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3761" w:rsidRPr="007D605C" w:rsidRDefault="00316A71" w:rsidP="00F049AB">
      <w:pPr>
        <w:pStyle w:val="Tytuinfomacjisygnalnej"/>
      </w:pPr>
      <w:bookmarkStart w:id="0" w:name="_GoBack"/>
      <w:r>
        <w:t xml:space="preserve">Wskaźniki cen produkcji budowlano-montażowej </w:t>
      </w:r>
      <w:r w:rsidRPr="003F006F">
        <w:t>w</w:t>
      </w:r>
      <w:r w:rsidR="007A3E6E">
        <w:t>e</w:t>
      </w:r>
      <w:r w:rsidR="00810784">
        <w:t> </w:t>
      </w:r>
      <w:r w:rsidR="007A3E6E">
        <w:t>wrześniu</w:t>
      </w:r>
      <w:r w:rsidR="005A3221">
        <w:t xml:space="preserve"> 2024</w:t>
      </w:r>
      <w:r w:rsidRPr="003F006F">
        <w:t xml:space="preserve"> r.</w:t>
      </w:r>
    </w:p>
    <w:bookmarkEnd w:id="0"/>
    <w:p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3E165F4B" wp14:editId="2A7409F7">
                <wp:simplePos x="0" y="0"/>
                <wp:positionH relativeFrom="margin">
                  <wp:align>left</wp:align>
                </wp:positionH>
                <wp:positionV relativeFrom="paragraph">
                  <wp:posOffset>43180</wp:posOffset>
                </wp:positionV>
                <wp:extent cx="2101850" cy="1238250"/>
                <wp:effectExtent l="0" t="0" r="0" b="0"/>
                <wp:wrapSquare wrapText="bothSides"/>
                <wp:docPr id="6" name="Pole tekstowe 2" descr="5,0% - wzrost cen producentów &#10;w budownictwie w porównaniu z wrześniem 2023 r.&#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238250"/>
                        </a:xfrm>
                        <a:prstGeom prst="roundRect">
                          <a:avLst/>
                        </a:prstGeom>
                        <a:solidFill>
                          <a:srgbClr val="001D77"/>
                        </a:solidFill>
                        <a:ln w="9525">
                          <a:noFill/>
                          <a:miter lim="800000"/>
                          <a:headEnd/>
                          <a:tailEnd/>
                        </a:ln>
                      </wps:spPr>
                      <wps:txbx>
                        <w:txbxContent>
                          <w:p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BF7673">
                              <w:rPr>
                                <w:rStyle w:val="WartowskanikaZnak"/>
                                <w:sz w:val="72"/>
                                <w:szCs w:val="72"/>
                              </w:rPr>
                              <w:t>5,</w:t>
                            </w:r>
                            <w:r w:rsidR="00CB1F59">
                              <w:rPr>
                                <w:rStyle w:val="WartowskanikaZnak"/>
                                <w:sz w:val="72"/>
                                <w:szCs w:val="72"/>
                              </w:rPr>
                              <w:t>0</w:t>
                            </w:r>
                            <w:r w:rsidR="003A7D2B" w:rsidRPr="00FE7EA6">
                              <w:rPr>
                                <w:rStyle w:val="WartowskanikaZnak"/>
                                <w:sz w:val="72"/>
                                <w:szCs w:val="72"/>
                              </w:rPr>
                              <w:t>%</w:t>
                            </w:r>
                          </w:p>
                          <w:p w:rsidR="00B14BA6" w:rsidRDefault="00067C4B" w:rsidP="00316A71">
                            <w:pPr>
                              <w:pStyle w:val="tekstnaniebieskimtle"/>
                            </w:pPr>
                            <w:r>
                              <w:t>wzrost</w:t>
                            </w:r>
                            <w:r w:rsidR="00316A71">
                              <w:t xml:space="preserve"> </w:t>
                            </w:r>
                            <w:r w:rsidR="005744F9">
                              <w:t xml:space="preserve">cen producentów </w:t>
                            </w:r>
                          </w:p>
                          <w:p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4845DD">
                              <w:t xml:space="preserve"> </w:t>
                            </w:r>
                            <w:r w:rsidR="007A3E6E">
                              <w:t>wrześniem</w:t>
                            </w:r>
                            <w:r w:rsidR="005A3221">
                              <w:t xml:space="preserve"> 202</w:t>
                            </w:r>
                            <w:r w:rsidR="00074411">
                              <w:t>3</w:t>
                            </w:r>
                            <w:r w:rsidR="00CC5BE5">
                              <w:t xml:space="preserve"> r.</w:t>
                            </w:r>
                          </w:p>
                          <w:p w:rsidR="00316A71" w:rsidRPr="00EB6683" w:rsidRDefault="00B651AD" w:rsidP="00316A71">
                            <w:pPr>
                              <w:pStyle w:val="tekstnaniebieskimtle"/>
                              <w:rPr>
                                <w:color w:val="FFFFFF" w:themeColor="background1"/>
                                <w:sz w:val="18"/>
                                <w:szCs w:val="20"/>
                              </w:rPr>
                            </w:pPr>
                            <w:r>
                              <w:t xml:space="preserve"> poprzedniego roku</w:t>
                            </w:r>
                          </w:p>
                          <w:p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E165F4B" id="Pole tekstowe 2" o:spid="_x0000_s1026" alt="5,0% - wzrost cen producentów &#10;w budownictwie w porównaniu z wrześniem 2023 r.&#10;&#10;" style="position:absolute;margin-left:0;margin-top:3.4pt;width:165.5pt;height:9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" fillcolor="#001d77" stroked="f">
                <v:stroke joinstyle="miter"/>
                <v:textbox>
                  <w:txbxContent>
                    <w:p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BF7673">
                        <w:rPr>
                          <w:rStyle w:val="WartowskanikaZnak"/>
                          <w:sz w:val="72"/>
                          <w:szCs w:val="72"/>
                        </w:rPr>
                        <w:t>5,</w:t>
                      </w:r>
                      <w:r w:rsidR="00CB1F59">
                        <w:rPr>
                          <w:rStyle w:val="WartowskanikaZnak"/>
                          <w:sz w:val="72"/>
                          <w:szCs w:val="72"/>
                        </w:rPr>
                        <w:t>0</w:t>
                      </w:r>
                      <w:r w:rsidR="003A7D2B" w:rsidRPr="00FE7EA6">
                        <w:rPr>
                          <w:rStyle w:val="WartowskanikaZnak"/>
                          <w:sz w:val="72"/>
                          <w:szCs w:val="72"/>
                        </w:rPr>
                        <w:t>%</w:t>
                      </w:r>
                    </w:p>
                    <w:p w:rsidR="00B14BA6" w:rsidRDefault="00067C4B" w:rsidP="00316A71">
                      <w:pPr>
                        <w:pStyle w:val="tekstnaniebieskimtle"/>
                      </w:pPr>
                      <w:r>
                        <w:t>wzrost</w:t>
                      </w:r>
                      <w:r w:rsidR="00316A71">
                        <w:t xml:space="preserve"> </w:t>
                      </w:r>
                      <w:r w:rsidR="005744F9">
                        <w:t xml:space="preserve">cen producentów </w:t>
                      </w:r>
                    </w:p>
                    <w:p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4845DD">
                        <w:t xml:space="preserve"> </w:t>
                      </w:r>
                      <w:r w:rsidR="007A3E6E">
                        <w:t>wrześniem</w:t>
                      </w:r>
                      <w:r w:rsidR="005A3221">
                        <w:t xml:space="preserve"> 202</w:t>
                      </w:r>
                      <w:r w:rsidR="00074411">
                        <w:t>3</w:t>
                      </w:r>
                      <w:r w:rsidR="00CC5BE5">
                        <w:t xml:space="preserve"> r.</w:t>
                      </w:r>
                    </w:p>
                    <w:p w:rsidR="00316A71" w:rsidRPr="00EB6683" w:rsidRDefault="00B651AD" w:rsidP="00316A71">
                      <w:pPr>
                        <w:pStyle w:val="tekstnaniebieskimtle"/>
                        <w:rPr>
                          <w:color w:val="FFFFFF" w:themeColor="background1"/>
                          <w:sz w:val="18"/>
                          <w:szCs w:val="20"/>
                        </w:rPr>
                      </w:pPr>
                      <w:r>
                        <w:t xml:space="preserve"> poprzedniego roku</w:t>
                      </w:r>
                    </w:p>
                    <w:p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1D1E21">
        <w:rPr>
          <w:rFonts w:eastAsia="Times New Roman" w:cs="Times New Roman"/>
          <w:bCs/>
          <w:spacing w:val="-4"/>
        </w:rPr>
        <w:t xml:space="preserve">Według wstępnych danych </w:t>
      </w:r>
      <w:r w:rsidR="00810784">
        <w:rPr>
          <w:rFonts w:eastAsia="Times New Roman" w:cs="Times New Roman"/>
          <w:bCs/>
          <w:spacing w:val="-4"/>
        </w:rPr>
        <w:t>w</w:t>
      </w:r>
      <w:r w:rsidR="007A3E6E">
        <w:rPr>
          <w:rFonts w:eastAsia="Times New Roman" w:cs="Times New Roman"/>
          <w:bCs/>
          <w:spacing w:val="-4"/>
        </w:rPr>
        <w:t>e wrześniu</w:t>
      </w:r>
      <w:r w:rsidR="005A3221">
        <w:rPr>
          <w:rFonts w:eastAsia="Times New Roman" w:cs="Times New Roman"/>
          <w:bCs/>
          <w:spacing w:val="-4"/>
        </w:rPr>
        <w:t xml:space="preserve"> 2024</w:t>
      </w:r>
      <w:r w:rsidR="00316A71" w:rsidRPr="00417923">
        <w:rPr>
          <w:rFonts w:eastAsia="Times New Roman" w:cs="Times New Roman"/>
          <w:bCs/>
          <w:spacing w:val="-4"/>
        </w:rPr>
        <w:t xml:space="preserve"> r.</w:t>
      </w:r>
      <w:r w:rsidR="00316A71" w:rsidRPr="001D1E21">
        <w:rPr>
          <w:rFonts w:eastAsia="Times New Roman" w:cs="Times New Roman"/>
          <w:bCs/>
          <w:spacing w:val="-4"/>
        </w:rPr>
        <w:t xml:space="preserve"> ceny produkcji budowlano-montażowej </w:t>
      </w:r>
      <w:r w:rsidR="00631607" w:rsidRPr="001D1E21">
        <w:rPr>
          <w:rFonts w:eastAsia="Times New Roman" w:cs="Times New Roman"/>
          <w:bCs/>
          <w:spacing w:val="-4"/>
        </w:rPr>
        <w:t>w porównaniu</w:t>
      </w:r>
      <w:r w:rsidR="001F3E4C" w:rsidRPr="001D1E21">
        <w:rPr>
          <w:rFonts w:eastAsia="Times New Roman" w:cs="Times New Roman"/>
          <w:bCs/>
          <w:spacing w:val="-4"/>
        </w:rPr>
        <w:t xml:space="preserve"> </w:t>
      </w:r>
      <w:r w:rsidR="00316A71" w:rsidRPr="001D1E21">
        <w:rPr>
          <w:rFonts w:eastAsia="Times New Roman" w:cs="Times New Roman"/>
          <w:bCs/>
          <w:spacing w:val="-4"/>
        </w:rPr>
        <w:t>z</w:t>
      </w:r>
      <w:r w:rsidR="00325621">
        <w:rPr>
          <w:rFonts w:eastAsia="Times New Roman" w:cs="Times New Roman"/>
          <w:bCs/>
          <w:spacing w:val="-4"/>
        </w:rPr>
        <w:t> </w:t>
      </w:r>
      <w:r w:rsidR="00316A71" w:rsidRPr="001D1E21">
        <w:rPr>
          <w:rFonts w:eastAsia="Times New Roman" w:cs="Times New Roman"/>
          <w:bCs/>
          <w:spacing w:val="-4"/>
        </w:rPr>
        <w:t xml:space="preserve"> analogicznym miesiącem poprzedniego roku wzrosły</w:t>
      </w:r>
      <w:r w:rsidR="006D19E9">
        <w:rPr>
          <w:rFonts w:eastAsia="Times New Roman" w:cs="Times New Roman"/>
          <w:bCs/>
          <w:spacing w:val="-4"/>
        </w:rPr>
        <w:t xml:space="preserve"> </w:t>
      </w:r>
      <w:r w:rsidR="00316A71" w:rsidRPr="007E02D9">
        <w:rPr>
          <w:rFonts w:eastAsia="Times New Roman" w:cs="Times New Roman"/>
          <w:bCs/>
          <w:spacing w:val="-4"/>
        </w:rPr>
        <w:t xml:space="preserve">o </w:t>
      </w:r>
      <w:r w:rsidR="00C57F0E">
        <w:rPr>
          <w:rFonts w:eastAsia="Times New Roman" w:cs="Times New Roman"/>
          <w:bCs/>
          <w:spacing w:val="-4"/>
        </w:rPr>
        <w:t>5,</w:t>
      </w:r>
      <w:r w:rsidR="004A68F7">
        <w:rPr>
          <w:rFonts w:eastAsia="Times New Roman" w:cs="Times New Roman"/>
          <w:bCs/>
          <w:spacing w:val="-4"/>
        </w:rPr>
        <w:t>0</w:t>
      </w:r>
      <w:r w:rsidR="00316A71" w:rsidRPr="007E02D9">
        <w:rPr>
          <w:rFonts w:eastAsia="Times New Roman" w:cs="Times New Roman"/>
          <w:bCs/>
          <w:spacing w:val="-4"/>
        </w:rPr>
        <w:t>%,</w:t>
      </w:r>
      <w:r w:rsidR="005E0060" w:rsidRPr="00C812B3">
        <w:rPr>
          <w:rFonts w:eastAsia="Times New Roman" w:cs="Times New Roman"/>
          <w:bCs/>
          <w:spacing w:val="-4"/>
        </w:rPr>
        <w:t xml:space="preserve"> </w:t>
      </w:r>
      <w:r w:rsidR="00316A71" w:rsidRPr="001D1E21">
        <w:rPr>
          <w:rFonts w:eastAsia="Times New Roman" w:cs="Times New Roman"/>
          <w:bCs/>
          <w:spacing w:val="-4"/>
        </w:rPr>
        <w:t xml:space="preserve">a w porównaniu </w:t>
      </w:r>
      <w:r w:rsidR="00873001">
        <w:rPr>
          <w:rFonts w:eastAsia="Times New Roman" w:cs="Times New Roman"/>
          <w:bCs/>
          <w:spacing w:val="-4"/>
        </w:rPr>
        <w:t xml:space="preserve">z </w:t>
      </w:r>
      <w:r w:rsidR="004A68F7">
        <w:rPr>
          <w:rFonts w:eastAsia="Times New Roman" w:cs="Times New Roman"/>
          <w:bCs/>
          <w:spacing w:val="-4"/>
        </w:rPr>
        <w:t>sierpniem</w:t>
      </w:r>
      <w:r w:rsidR="00470779" w:rsidRPr="001D1E21">
        <w:rPr>
          <w:rFonts w:eastAsia="Times New Roman" w:cs="Times New Roman"/>
          <w:bCs/>
          <w:spacing w:val="-4"/>
        </w:rPr>
        <w:t xml:space="preserve"> </w:t>
      </w:r>
      <w:r w:rsidR="00316A71" w:rsidRPr="001D1E21">
        <w:rPr>
          <w:rFonts w:eastAsia="Times New Roman" w:cs="Times New Roman"/>
          <w:bCs/>
          <w:spacing w:val="-4"/>
        </w:rPr>
        <w:t>202</w:t>
      </w:r>
      <w:r w:rsidR="00A175B3">
        <w:rPr>
          <w:rFonts w:eastAsia="Times New Roman" w:cs="Times New Roman"/>
          <w:bCs/>
          <w:spacing w:val="-4"/>
        </w:rPr>
        <w:t>4</w:t>
      </w:r>
      <w:r w:rsidR="00326EA5">
        <w:rPr>
          <w:rFonts w:eastAsia="Times New Roman" w:cs="Times New Roman"/>
          <w:bCs/>
          <w:spacing w:val="-4"/>
        </w:rPr>
        <w:t> </w:t>
      </w:r>
      <w:r w:rsidR="00316A71" w:rsidRPr="001D1E21">
        <w:rPr>
          <w:rFonts w:eastAsia="Times New Roman" w:cs="Times New Roman"/>
          <w:bCs/>
          <w:spacing w:val="-4"/>
        </w:rPr>
        <w:t>r</w:t>
      </w:r>
      <w:r w:rsidR="00631607" w:rsidRPr="00FE1C2D">
        <w:rPr>
          <w:rFonts w:eastAsia="Times New Roman" w:cs="Times New Roman"/>
          <w:bCs/>
          <w:spacing w:val="-4"/>
        </w:rPr>
        <w:t>.</w:t>
      </w:r>
      <w:r w:rsidR="00325621">
        <w:rPr>
          <w:rFonts w:eastAsia="Times New Roman" w:cs="Times New Roman"/>
          <w:bCs/>
          <w:spacing w:val="-4"/>
        </w:rPr>
        <w:t> </w:t>
      </w:r>
      <w:r w:rsidR="00417923" w:rsidRPr="007E02D9">
        <w:rPr>
          <w:rFonts w:eastAsia="Times New Roman" w:cs="Times New Roman"/>
          <w:bCs/>
          <w:spacing w:val="-4"/>
        </w:rPr>
        <w:t>o</w:t>
      </w:r>
      <w:r w:rsidR="00325621">
        <w:rPr>
          <w:rFonts w:eastAsia="Times New Roman" w:cs="Times New Roman"/>
          <w:bCs/>
          <w:spacing w:val="-4"/>
        </w:rPr>
        <w:t> </w:t>
      </w:r>
      <w:r w:rsidR="00470779">
        <w:rPr>
          <w:rFonts w:eastAsia="Times New Roman" w:cs="Times New Roman"/>
          <w:bCs/>
          <w:spacing w:val="-4"/>
        </w:rPr>
        <w:t>0,</w:t>
      </w:r>
      <w:r w:rsidR="00BF7673">
        <w:rPr>
          <w:rFonts w:eastAsia="Times New Roman" w:cs="Times New Roman"/>
          <w:bCs/>
          <w:spacing w:val="-4"/>
        </w:rPr>
        <w:t>3</w:t>
      </w:r>
      <w:r w:rsidR="00417923" w:rsidRPr="007E02D9">
        <w:rPr>
          <w:rFonts w:eastAsia="Times New Roman" w:cs="Times New Roman"/>
          <w:bCs/>
          <w:spacing w:val="-4"/>
        </w:rPr>
        <w:t>%</w:t>
      </w:r>
      <w:r w:rsidR="00854836" w:rsidRPr="007E02D9">
        <w:t>.</w:t>
      </w:r>
    </w:p>
    <w:p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29DFDBD3" wp14:editId="0C00E46E">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DFDBD3"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rsidR="001578AB" w:rsidRPr="009B7A1C" w:rsidRDefault="001578AB" w:rsidP="001578AB">
      <w:pPr>
        <w:jc w:val="both"/>
        <w:rPr>
          <w:shd w:val="clear" w:color="auto" w:fill="FFFFFF"/>
        </w:rPr>
      </w:pPr>
      <w:r w:rsidRPr="001857EF">
        <w:rPr>
          <w:shd w:val="clear" w:color="auto" w:fill="FFFFFF"/>
        </w:rPr>
        <w:t>W</w:t>
      </w:r>
      <w:r w:rsidR="007A3E6E">
        <w:rPr>
          <w:shd w:val="clear" w:color="auto" w:fill="FFFFFF"/>
        </w:rPr>
        <w:t>e</w:t>
      </w:r>
      <w:r w:rsidR="00810784">
        <w:rPr>
          <w:shd w:val="clear" w:color="auto" w:fill="FFFFFF"/>
        </w:rPr>
        <w:t xml:space="preserve"> </w:t>
      </w:r>
      <w:r w:rsidR="007A3E6E">
        <w:rPr>
          <w:shd w:val="clear" w:color="auto" w:fill="FFFFFF"/>
        </w:rPr>
        <w:t>wrześniu</w:t>
      </w:r>
      <w:r w:rsidR="00470779">
        <w:rPr>
          <w:shd w:val="clear" w:color="auto" w:fill="FFFFFF"/>
        </w:rPr>
        <w:t xml:space="preserve"> </w:t>
      </w:r>
      <w:r w:rsidRPr="001857EF">
        <w:rPr>
          <w:shd w:val="clear" w:color="auto" w:fill="FFFFFF"/>
        </w:rPr>
        <w:t>202</w:t>
      </w:r>
      <w:r w:rsidR="00074411">
        <w:rPr>
          <w:shd w:val="clear" w:color="auto" w:fill="FFFFFF"/>
        </w:rPr>
        <w:t>4</w:t>
      </w:r>
      <w:r w:rsidR="000E6EA7">
        <w:rPr>
          <w:shd w:val="clear" w:color="auto" w:fill="FFFFFF"/>
        </w:rPr>
        <w:t> </w:t>
      </w:r>
      <w:r w:rsidRPr="001857EF">
        <w:rPr>
          <w:shd w:val="clear" w:color="auto" w:fill="FFFFFF"/>
        </w:rPr>
        <w:t>r.</w:t>
      </w:r>
      <w:r w:rsidRPr="00EE2C6C">
        <w:rPr>
          <w:shd w:val="clear" w:color="auto" w:fill="FFFFFF"/>
        </w:rPr>
        <w:t xml:space="preserve"> w stosunku do </w:t>
      </w:r>
      <w:r w:rsidR="007A3E6E">
        <w:rPr>
          <w:shd w:val="clear" w:color="auto" w:fill="FFFFFF"/>
        </w:rPr>
        <w:t>sierpnia</w:t>
      </w:r>
      <w:r w:rsidR="00A175B3">
        <w:rPr>
          <w:shd w:val="clear" w:color="auto" w:fill="FFFFFF"/>
        </w:rPr>
        <w:t xml:space="preserve"> 2024</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anotowano</w:t>
      </w:r>
      <w:r w:rsidR="002D4402">
        <w:rPr>
          <w:shd w:val="clear" w:color="auto" w:fill="FFFFFF"/>
        </w:rPr>
        <w:t xml:space="preserve"> </w:t>
      </w:r>
      <w:r>
        <w:rPr>
          <w:shd w:val="clear" w:color="auto" w:fill="FFFFFF"/>
        </w:rPr>
        <w:t xml:space="preserve">wzrost </w:t>
      </w:r>
      <w:r w:rsidR="00495C0A">
        <w:rPr>
          <w:shd w:val="clear" w:color="auto" w:fill="FFFFFF"/>
        </w:rPr>
        <w:t xml:space="preserve">cen </w:t>
      </w:r>
      <w:r w:rsidR="009A7C54">
        <w:rPr>
          <w:shd w:val="clear" w:color="auto" w:fill="FFFFFF"/>
        </w:rPr>
        <w:t xml:space="preserve">robót </w:t>
      </w:r>
      <w:r w:rsidR="009A7C54" w:rsidRPr="009B7A1C">
        <w:rPr>
          <w:shd w:val="clear" w:color="auto" w:fill="FFFFFF"/>
        </w:rPr>
        <w:t xml:space="preserve">budowlanych </w:t>
      </w:r>
      <w:r w:rsidR="009A7C54" w:rsidRPr="00BE7526">
        <w:rPr>
          <w:shd w:val="clear" w:color="auto" w:fill="FFFFFF"/>
        </w:rPr>
        <w:t>specjalistycznych</w:t>
      </w:r>
      <w:r w:rsidR="00774670">
        <w:rPr>
          <w:shd w:val="clear" w:color="auto" w:fill="FFFFFF"/>
        </w:rPr>
        <w:t xml:space="preserve"> </w:t>
      </w:r>
      <w:r w:rsidR="004A68F7">
        <w:rPr>
          <w:shd w:val="clear" w:color="auto" w:fill="FFFFFF"/>
        </w:rPr>
        <w:t xml:space="preserve">oraz </w:t>
      </w:r>
      <w:r w:rsidR="004A68F7" w:rsidRPr="009B7A1C">
        <w:rPr>
          <w:shd w:val="clear" w:color="auto" w:fill="FFFFFF"/>
        </w:rPr>
        <w:t>obiektów inżynierii lądowej</w:t>
      </w:r>
      <w:r w:rsidR="004A68F7">
        <w:rPr>
          <w:shd w:val="clear" w:color="auto" w:fill="FFFFFF"/>
        </w:rPr>
        <w:t xml:space="preserve"> </w:t>
      </w:r>
      <w:r w:rsidR="004A68F7" w:rsidRPr="00C264A5">
        <w:rPr>
          <w:shd w:val="clear" w:color="auto" w:fill="FFFFFF"/>
        </w:rPr>
        <w:t>i </w:t>
      </w:r>
      <w:r w:rsidR="004A68F7" w:rsidRPr="00B74669">
        <w:rPr>
          <w:shd w:val="clear" w:color="auto" w:fill="FFFFFF"/>
        </w:rPr>
        <w:t>wodne</w:t>
      </w:r>
      <w:r w:rsidR="004A68F7">
        <w:rPr>
          <w:shd w:val="clear" w:color="auto" w:fill="FFFFFF"/>
        </w:rPr>
        <w:t>j p</w:t>
      </w:r>
      <w:r w:rsidR="00350DC8">
        <w:rPr>
          <w:shd w:val="clear" w:color="auto" w:fill="FFFFFF"/>
        </w:rPr>
        <w:t>o 0,</w:t>
      </w:r>
      <w:r w:rsidR="00BF7673">
        <w:rPr>
          <w:shd w:val="clear" w:color="auto" w:fill="FFFFFF"/>
        </w:rPr>
        <w:t>4</w:t>
      </w:r>
      <w:r w:rsidR="00350DC8">
        <w:rPr>
          <w:shd w:val="clear" w:color="auto" w:fill="FFFFFF"/>
        </w:rPr>
        <w:t>%</w:t>
      </w:r>
      <w:r w:rsidR="008F2F6A">
        <w:rPr>
          <w:shd w:val="clear" w:color="auto" w:fill="FFFFFF"/>
        </w:rPr>
        <w:t xml:space="preserve">, </w:t>
      </w:r>
      <w:r w:rsidR="00BE77B1">
        <w:rPr>
          <w:shd w:val="clear" w:color="auto" w:fill="FFFFFF"/>
        </w:rPr>
        <w:t xml:space="preserve">a </w:t>
      </w:r>
      <w:r w:rsidR="00495C0A">
        <w:rPr>
          <w:shd w:val="clear" w:color="auto" w:fill="FFFFFF"/>
        </w:rPr>
        <w:t xml:space="preserve">cen budowy budynków </w:t>
      </w:r>
      <w:r w:rsidR="00BF7673">
        <w:rPr>
          <w:shd w:val="clear" w:color="auto" w:fill="FFFFFF"/>
        </w:rPr>
        <w:t>o</w:t>
      </w:r>
      <w:r w:rsidR="00495C0A">
        <w:rPr>
          <w:shd w:val="clear" w:color="auto" w:fill="FFFFFF"/>
        </w:rPr>
        <w:t xml:space="preserve"> 0,</w:t>
      </w:r>
      <w:r w:rsidR="00276EF9">
        <w:rPr>
          <w:shd w:val="clear" w:color="auto" w:fill="FFFFFF"/>
        </w:rPr>
        <w:t>3</w:t>
      </w:r>
      <w:r w:rsidR="00495C0A">
        <w:rPr>
          <w:shd w:val="clear" w:color="auto" w:fill="FFFFFF"/>
        </w:rPr>
        <w:t>%.</w:t>
      </w:r>
    </w:p>
    <w:p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A175B3">
        <w:rPr>
          <w:shd w:val="clear" w:color="auto" w:fill="FFFFFF"/>
        </w:rPr>
        <w:t xml:space="preserve"> </w:t>
      </w:r>
      <w:r w:rsidR="007A3E6E">
        <w:rPr>
          <w:shd w:val="clear" w:color="auto" w:fill="FFFFFF"/>
        </w:rPr>
        <w:t>wrześniem</w:t>
      </w:r>
      <w:r w:rsidR="00EF78A1">
        <w:rPr>
          <w:shd w:val="clear" w:color="auto" w:fill="FFFFFF"/>
        </w:rPr>
        <w:t xml:space="preserve"> </w:t>
      </w:r>
      <w:r w:rsidRPr="00484223">
        <w:rPr>
          <w:shd w:val="clear" w:color="auto" w:fill="FFFFFF"/>
        </w:rPr>
        <w:t>202</w:t>
      </w:r>
      <w:r w:rsidR="00074411">
        <w:rPr>
          <w:shd w:val="clear" w:color="auto" w:fill="FFFFFF"/>
        </w:rPr>
        <w:t>3</w:t>
      </w:r>
      <w:r w:rsidR="005D4AA9">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w:t>
      </w:r>
      <w:r w:rsidR="00AB1612">
        <w:rPr>
          <w:shd w:val="clear" w:color="auto" w:fill="FFFFFF"/>
        </w:rPr>
        <w:t xml:space="preserve">budowy obiektów </w:t>
      </w:r>
      <w:r w:rsidR="00AB1612" w:rsidRPr="00AC14C9">
        <w:rPr>
          <w:shd w:val="clear" w:color="auto" w:fill="FFFFFF"/>
        </w:rPr>
        <w:t>in</w:t>
      </w:r>
      <w:r w:rsidR="00AB1612">
        <w:rPr>
          <w:shd w:val="clear" w:color="auto" w:fill="FFFFFF"/>
        </w:rPr>
        <w:t>żynierii lądowej i</w:t>
      </w:r>
      <w:r w:rsidR="001D40F0">
        <w:rPr>
          <w:shd w:val="clear" w:color="auto" w:fill="FFFFFF"/>
        </w:rPr>
        <w:t> </w:t>
      </w:r>
      <w:r w:rsidR="00AB1612" w:rsidRPr="00256333">
        <w:rPr>
          <w:shd w:val="clear" w:color="auto" w:fill="FFFFFF"/>
        </w:rPr>
        <w:t xml:space="preserve">wodnej </w:t>
      </w:r>
      <w:r w:rsidR="005F0A89">
        <w:rPr>
          <w:shd w:val="clear" w:color="auto" w:fill="FFFFFF"/>
        </w:rPr>
        <w:t>(</w:t>
      </w:r>
      <w:r w:rsidR="00AB1612" w:rsidRPr="00256333">
        <w:rPr>
          <w:shd w:val="clear" w:color="auto" w:fill="FFFFFF"/>
        </w:rPr>
        <w:t xml:space="preserve">o </w:t>
      </w:r>
      <w:r w:rsidR="00BF7673">
        <w:rPr>
          <w:shd w:val="clear" w:color="auto" w:fill="FFFFFF"/>
        </w:rPr>
        <w:t>5,</w:t>
      </w:r>
      <w:r w:rsidR="004A68F7">
        <w:rPr>
          <w:shd w:val="clear" w:color="auto" w:fill="FFFFFF"/>
        </w:rPr>
        <w:t>4</w:t>
      </w:r>
      <w:r w:rsidR="00AB1612" w:rsidRPr="00256333">
        <w:rPr>
          <w:shd w:val="clear" w:color="auto" w:fill="FFFFFF"/>
        </w:rPr>
        <w:t>%</w:t>
      </w:r>
      <w:r w:rsidR="005F0A89">
        <w:rPr>
          <w:shd w:val="clear" w:color="auto" w:fill="FFFFFF"/>
        </w:rPr>
        <w:t xml:space="preserve">), </w:t>
      </w:r>
      <w:r w:rsidRPr="00B50F19">
        <w:rPr>
          <w:shd w:val="clear" w:color="auto" w:fill="FFFFFF"/>
        </w:rPr>
        <w:t xml:space="preserve">robót budowlanych </w:t>
      </w:r>
      <w:r w:rsidRPr="005F760E">
        <w:rPr>
          <w:shd w:val="clear" w:color="auto" w:fill="FFFFFF"/>
        </w:rPr>
        <w:t>specjalistycznych</w:t>
      </w:r>
      <w:r w:rsidR="00F43224" w:rsidRPr="005F760E">
        <w:rPr>
          <w:shd w:val="clear" w:color="auto" w:fill="FFFFFF"/>
        </w:rPr>
        <w:t xml:space="preserve"> </w:t>
      </w:r>
      <w:r w:rsidR="004A68F7">
        <w:rPr>
          <w:shd w:val="clear" w:color="auto" w:fill="FFFFFF"/>
        </w:rPr>
        <w:t xml:space="preserve">(o 4,9%) </w:t>
      </w:r>
      <w:r w:rsidR="001D40F0">
        <w:rPr>
          <w:shd w:val="clear" w:color="auto" w:fill="FFFFFF"/>
        </w:rPr>
        <w:t xml:space="preserve">oraz </w:t>
      </w:r>
      <w:r w:rsidR="001D40F0" w:rsidRPr="00AC14C9">
        <w:rPr>
          <w:shd w:val="clear" w:color="auto" w:fill="FFFFFF"/>
        </w:rPr>
        <w:t xml:space="preserve">budowy </w:t>
      </w:r>
      <w:r w:rsidR="001D40F0" w:rsidRPr="004F3870">
        <w:rPr>
          <w:shd w:val="clear" w:color="auto" w:fill="FFFFFF"/>
        </w:rPr>
        <w:t>budynków</w:t>
      </w:r>
      <w:r w:rsidR="001D40F0">
        <w:rPr>
          <w:shd w:val="clear" w:color="auto" w:fill="FFFFFF"/>
        </w:rPr>
        <w:t xml:space="preserve"> (o </w:t>
      </w:r>
      <w:r w:rsidR="004A68F7">
        <w:rPr>
          <w:shd w:val="clear" w:color="auto" w:fill="FFFFFF"/>
        </w:rPr>
        <w:t>4,7</w:t>
      </w:r>
      <w:r w:rsidR="001D40F0">
        <w:rPr>
          <w:shd w:val="clear" w:color="auto" w:fill="FFFFFF"/>
        </w:rPr>
        <w:t>%).</w:t>
      </w:r>
    </w:p>
    <w:p w:rsidR="005F0A89" w:rsidRDefault="005F0A89" w:rsidP="001578AB">
      <w:pPr>
        <w:jc w:val="both"/>
        <w:rPr>
          <w:shd w:val="clear" w:color="auto" w:fill="FFFFFF"/>
        </w:rPr>
      </w:pPr>
    </w:p>
    <w:p w:rsidR="00D308D5" w:rsidRDefault="00D308D5" w:rsidP="00D308D5">
      <w:pPr>
        <w:pStyle w:val="Tytutablicy"/>
        <w:rPr>
          <w:shd w:val="clear" w:color="auto" w:fill="FFFFFF"/>
        </w:rPr>
      </w:pPr>
      <w:r>
        <w:rPr>
          <w:shd w:val="clear" w:color="auto" w:fill="FFFFFF"/>
        </w:rPr>
        <w:t xml:space="preserve">Tablica 1. </w:t>
      </w:r>
      <w:r w:rsidRPr="00D308D5">
        <w:rPr>
          <w:shd w:val="clear" w:color="auto" w:fill="FFFFFF"/>
        </w:rPr>
        <w:t xml:space="preserve">Wskaźniki cen produkcji budowlano-montażowej w </w:t>
      </w:r>
      <w:r w:rsidR="00A910E6">
        <w:rPr>
          <w:shd w:val="clear" w:color="auto" w:fill="FFFFFF"/>
        </w:rPr>
        <w:t>sierpniu</w:t>
      </w:r>
      <w:r w:rsidR="007A3E6E">
        <w:rPr>
          <w:shd w:val="clear" w:color="auto" w:fill="FFFFFF"/>
        </w:rPr>
        <w:t xml:space="preserve"> i wrześniu</w:t>
      </w:r>
      <w:r w:rsidR="00A910E6">
        <w:rPr>
          <w:shd w:val="clear" w:color="auto" w:fill="FFFFFF"/>
        </w:rPr>
        <w:t xml:space="preserve"> </w:t>
      </w:r>
      <w:r w:rsidRPr="00D308D5">
        <w:rPr>
          <w:shd w:val="clear" w:color="auto" w:fill="FFFFFF"/>
        </w:rPr>
        <w:t>2024 r.</w:t>
      </w:r>
    </w:p>
    <w:tbl>
      <w:tblPr>
        <w:tblStyle w:val="Tabela-Siatka"/>
        <w:tblpPr w:leftFromText="141" w:rightFromText="141" w:vertAnchor="text" w:horzAnchor="margin" w:tblpY="182"/>
        <w:tblW w:w="7937"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sierpniu i wrześniu 2024 r."/>
        <w:tblDescription w:val="Wskaźniki cen produkcji budowlano-montażowej w różnych okresach odniesienia: sierpień 2024 r. do lipca 2024 r., sierpień 2024 r. do analogicznego okresu  ubiegłego roku tj. sierpnia 2023 r., wrzesień 2024 r. do września 2023 r., wrzesień 2024 r. do sierpnia 2024 r., wrzesień 2024 r. do grudnia 2023 r., narastająco styczeń - wrzesień 2024 r. do stycznia - września 2023 r."/>
      </w:tblPr>
      <w:tblGrid>
        <w:gridCol w:w="2153"/>
        <w:gridCol w:w="964"/>
        <w:gridCol w:w="964"/>
        <w:gridCol w:w="964"/>
        <w:gridCol w:w="964"/>
        <w:gridCol w:w="964"/>
        <w:gridCol w:w="964"/>
      </w:tblGrid>
      <w:tr w:rsidR="003D340A" w:rsidRPr="002929E3" w:rsidTr="009E1E16">
        <w:tc>
          <w:tcPr>
            <w:tcW w:w="2153" w:type="dxa"/>
            <w:vMerge w:val="restart"/>
            <w:tcBorders>
              <w:top w:val="single" w:sz="4" w:space="0" w:color="auto"/>
              <w:right w:val="single" w:sz="4" w:space="0" w:color="auto"/>
            </w:tcBorders>
            <w:vAlign w:val="center"/>
          </w:tcPr>
          <w:p w:rsidR="003D340A" w:rsidRDefault="003D340A" w:rsidP="003D340A">
            <w:pPr>
              <w:jc w:val="center"/>
              <w:rPr>
                <w:shd w:val="clear" w:color="auto" w:fill="FFFFFF"/>
              </w:rPr>
            </w:pPr>
            <w:r w:rsidRPr="009C7251">
              <w:rPr>
                <w:rFonts w:cs="Arial"/>
                <w:color w:val="000000" w:themeColor="text1"/>
                <w:sz w:val="16"/>
                <w:szCs w:val="16"/>
              </w:rPr>
              <w:t>WYSZCZEGÓLNIENIE</w:t>
            </w:r>
          </w:p>
        </w:tc>
        <w:tc>
          <w:tcPr>
            <w:tcW w:w="1928" w:type="dxa"/>
            <w:gridSpan w:val="2"/>
            <w:tcBorders>
              <w:top w:val="single" w:sz="4" w:space="0" w:color="auto"/>
              <w:left w:val="single" w:sz="4" w:space="0" w:color="auto"/>
              <w:bottom w:val="single" w:sz="4" w:space="0" w:color="001D77"/>
            </w:tcBorders>
            <w:vAlign w:val="center"/>
          </w:tcPr>
          <w:p w:rsidR="003D340A" w:rsidRPr="00AD6942" w:rsidRDefault="0090612D" w:rsidP="003D340A">
            <w:pPr>
              <w:jc w:val="center"/>
              <w:rPr>
                <w:sz w:val="16"/>
                <w:szCs w:val="16"/>
                <w:shd w:val="clear" w:color="auto" w:fill="FFFFFF"/>
              </w:rPr>
            </w:pPr>
            <w:r>
              <w:rPr>
                <w:color w:val="000000" w:themeColor="text1"/>
                <w:sz w:val="16"/>
                <w:szCs w:val="16"/>
              </w:rPr>
              <w:t>0</w:t>
            </w:r>
            <w:r w:rsidR="007A3E6E">
              <w:rPr>
                <w:color w:val="000000" w:themeColor="text1"/>
                <w:sz w:val="16"/>
                <w:szCs w:val="16"/>
              </w:rPr>
              <w:t>8</w:t>
            </w:r>
            <w:r w:rsidR="003D340A" w:rsidRPr="00AD6942">
              <w:rPr>
                <w:color w:val="000000" w:themeColor="text1"/>
                <w:sz w:val="16"/>
                <w:szCs w:val="16"/>
              </w:rPr>
              <w:t xml:space="preserve"> 2024</w:t>
            </w:r>
          </w:p>
        </w:tc>
        <w:tc>
          <w:tcPr>
            <w:tcW w:w="2892" w:type="dxa"/>
            <w:gridSpan w:val="3"/>
            <w:tcBorders>
              <w:top w:val="single" w:sz="4" w:space="0" w:color="auto"/>
              <w:bottom w:val="single" w:sz="4" w:space="0" w:color="001D77"/>
            </w:tcBorders>
            <w:vAlign w:val="center"/>
          </w:tcPr>
          <w:p w:rsidR="003D340A" w:rsidRPr="00AD6942" w:rsidRDefault="003D340A" w:rsidP="003D340A">
            <w:pPr>
              <w:jc w:val="center"/>
              <w:rPr>
                <w:sz w:val="16"/>
                <w:szCs w:val="16"/>
                <w:shd w:val="clear" w:color="auto" w:fill="FFFFFF"/>
              </w:rPr>
            </w:pPr>
            <w:r w:rsidRPr="00AD6942">
              <w:rPr>
                <w:color w:val="000000" w:themeColor="text1"/>
                <w:sz w:val="16"/>
                <w:szCs w:val="16"/>
              </w:rPr>
              <w:t>0</w:t>
            </w:r>
            <w:r w:rsidR="007A3E6E">
              <w:rPr>
                <w:color w:val="000000" w:themeColor="text1"/>
                <w:sz w:val="16"/>
                <w:szCs w:val="16"/>
              </w:rPr>
              <w:t>9</w:t>
            </w:r>
            <w:r w:rsidRPr="00AD6942">
              <w:rPr>
                <w:color w:val="000000" w:themeColor="text1"/>
                <w:sz w:val="16"/>
                <w:szCs w:val="16"/>
              </w:rPr>
              <w:t xml:space="preserve"> 2024</w:t>
            </w:r>
          </w:p>
        </w:tc>
        <w:tc>
          <w:tcPr>
            <w:tcW w:w="964" w:type="dxa"/>
            <w:tcBorders>
              <w:top w:val="single" w:sz="4" w:space="0" w:color="auto"/>
              <w:bottom w:val="single" w:sz="4" w:space="0" w:color="001D77"/>
            </w:tcBorders>
            <w:vAlign w:val="center"/>
          </w:tcPr>
          <w:p w:rsidR="003D340A" w:rsidRPr="00AD6942" w:rsidRDefault="003D340A" w:rsidP="003D340A">
            <w:pPr>
              <w:jc w:val="center"/>
              <w:rPr>
                <w:color w:val="000000" w:themeColor="text1"/>
                <w:sz w:val="16"/>
                <w:szCs w:val="16"/>
              </w:rPr>
            </w:pPr>
            <w:r w:rsidRPr="00AD6942">
              <w:rPr>
                <w:color w:val="000000" w:themeColor="text1"/>
                <w:sz w:val="16"/>
                <w:szCs w:val="16"/>
              </w:rPr>
              <w:t>01-0</w:t>
            </w:r>
            <w:r w:rsidR="007A3E6E">
              <w:rPr>
                <w:color w:val="000000" w:themeColor="text1"/>
                <w:sz w:val="16"/>
                <w:szCs w:val="16"/>
              </w:rPr>
              <w:t>9</w:t>
            </w:r>
            <w:r w:rsidRPr="00AD6942">
              <w:rPr>
                <w:color w:val="000000" w:themeColor="text1"/>
                <w:sz w:val="16"/>
                <w:szCs w:val="16"/>
              </w:rPr>
              <w:t xml:space="preserve"> 2024</w:t>
            </w:r>
          </w:p>
        </w:tc>
      </w:tr>
      <w:tr w:rsidR="003D340A" w:rsidRPr="002929E3" w:rsidTr="009E1E16">
        <w:tc>
          <w:tcPr>
            <w:tcW w:w="2153" w:type="dxa"/>
            <w:vMerge/>
            <w:tcBorders>
              <w:bottom w:val="single" w:sz="12" w:space="0" w:color="001D77"/>
              <w:right w:val="single" w:sz="4" w:space="0" w:color="auto"/>
            </w:tcBorders>
          </w:tcPr>
          <w:p w:rsidR="003D340A" w:rsidRDefault="003D340A" w:rsidP="00E14F59">
            <w:pPr>
              <w:rPr>
                <w:shd w:val="clear" w:color="auto" w:fill="FFFFFF"/>
              </w:rPr>
            </w:pPr>
          </w:p>
        </w:tc>
        <w:tc>
          <w:tcPr>
            <w:tcW w:w="964" w:type="dxa"/>
            <w:tcBorders>
              <w:top w:val="single" w:sz="4" w:space="0" w:color="001D77"/>
              <w:left w:val="single" w:sz="4" w:space="0" w:color="auto"/>
              <w:bottom w:val="single" w:sz="12" w:space="0" w:color="001D77"/>
            </w:tcBorders>
            <w:vAlign w:val="center"/>
          </w:tcPr>
          <w:p w:rsidR="003D340A" w:rsidRPr="00AD6942" w:rsidRDefault="003D340A" w:rsidP="003D340A">
            <w:pPr>
              <w:jc w:val="center"/>
              <w:rPr>
                <w:spacing w:val="-12"/>
                <w:sz w:val="16"/>
                <w:szCs w:val="16"/>
                <w:shd w:val="clear" w:color="auto" w:fill="FFFFFF"/>
              </w:rPr>
            </w:pPr>
            <w:r w:rsidRPr="00AD6942">
              <w:rPr>
                <w:color w:val="000000" w:themeColor="text1"/>
                <w:spacing w:val="-12"/>
                <w:sz w:val="16"/>
                <w:szCs w:val="16"/>
              </w:rPr>
              <w:t>0</w:t>
            </w:r>
            <w:r w:rsidR="007A3E6E">
              <w:rPr>
                <w:color w:val="000000" w:themeColor="text1"/>
                <w:spacing w:val="-12"/>
                <w:sz w:val="16"/>
                <w:szCs w:val="16"/>
              </w:rPr>
              <w:t>7</w:t>
            </w:r>
            <w:r w:rsidRPr="00AD6942">
              <w:rPr>
                <w:color w:val="000000" w:themeColor="text1"/>
                <w:spacing w:val="-12"/>
                <w:sz w:val="16"/>
                <w:szCs w:val="16"/>
              </w:rPr>
              <w:t xml:space="preserve"> 2024=100</w:t>
            </w:r>
          </w:p>
        </w:tc>
        <w:tc>
          <w:tcPr>
            <w:tcW w:w="1928" w:type="dxa"/>
            <w:gridSpan w:val="2"/>
            <w:tcBorders>
              <w:top w:val="single" w:sz="4" w:space="0" w:color="001D77"/>
              <w:bottom w:val="single" w:sz="12" w:space="0" w:color="001D77"/>
            </w:tcBorders>
            <w:vAlign w:val="center"/>
          </w:tcPr>
          <w:p w:rsidR="003D340A" w:rsidRPr="00AD6942" w:rsidRDefault="003D340A" w:rsidP="003D340A">
            <w:pPr>
              <w:jc w:val="center"/>
              <w:rPr>
                <w:sz w:val="16"/>
                <w:szCs w:val="16"/>
                <w:shd w:val="clear" w:color="auto" w:fill="FFFFFF"/>
              </w:rPr>
            </w:pPr>
            <w:r w:rsidRPr="00AD6942">
              <w:rPr>
                <w:color w:val="000000" w:themeColor="text1"/>
                <w:sz w:val="16"/>
                <w:szCs w:val="16"/>
              </w:rPr>
              <w:t>analogiczny okres 2023=100</w:t>
            </w:r>
          </w:p>
        </w:tc>
        <w:tc>
          <w:tcPr>
            <w:tcW w:w="964" w:type="dxa"/>
            <w:tcBorders>
              <w:top w:val="single" w:sz="4" w:space="0" w:color="001D77"/>
              <w:bottom w:val="single" w:sz="12" w:space="0" w:color="001D77"/>
            </w:tcBorders>
            <w:vAlign w:val="center"/>
          </w:tcPr>
          <w:p w:rsidR="003D340A" w:rsidRPr="00AD6942" w:rsidRDefault="003D340A" w:rsidP="003D340A">
            <w:pPr>
              <w:jc w:val="center"/>
              <w:rPr>
                <w:color w:val="000000" w:themeColor="text1"/>
                <w:spacing w:val="-12"/>
                <w:sz w:val="16"/>
                <w:szCs w:val="16"/>
              </w:rPr>
            </w:pPr>
            <w:r w:rsidRPr="00AD6942">
              <w:rPr>
                <w:color w:val="000000" w:themeColor="text1"/>
                <w:spacing w:val="-12"/>
                <w:sz w:val="16"/>
                <w:szCs w:val="16"/>
              </w:rPr>
              <w:t>0</w:t>
            </w:r>
            <w:r w:rsidR="007A3E6E">
              <w:rPr>
                <w:color w:val="000000" w:themeColor="text1"/>
                <w:spacing w:val="-12"/>
                <w:sz w:val="16"/>
                <w:szCs w:val="16"/>
              </w:rPr>
              <w:t>8</w:t>
            </w:r>
            <w:r w:rsidRPr="00AD6942">
              <w:rPr>
                <w:color w:val="000000" w:themeColor="text1"/>
                <w:spacing w:val="-12"/>
                <w:sz w:val="16"/>
                <w:szCs w:val="16"/>
              </w:rPr>
              <w:t xml:space="preserve"> 2024=100</w:t>
            </w:r>
          </w:p>
        </w:tc>
        <w:tc>
          <w:tcPr>
            <w:tcW w:w="964" w:type="dxa"/>
            <w:tcBorders>
              <w:top w:val="single" w:sz="4" w:space="0" w:color="001D77"/>
              <w:bottom w:val="single" w:sz="12" w:space="0" w:color="001D77"/>
            </w:tcBorders>
            <w:vAlign w:val="center"/>
          </w:tcPr>
          <w:p w:rsidR="003D340A" w:rsidRPr="00AD6942" w:rsidRDefault="003D340A" w:rsidP="003D340A">
            <w:pPr>
              <w:jc w:val="center"/>
              <w:rPr>
                <w:color w:val="000000" w:themeColor="text1"/>
                <w:spacing w:val="-12"/>
                <w:sz w:val="16"/>
                <w:szCs w:val="16"/>
              </w:rPr>
            </w:pPr>
            <w:r w:rsidRPr="00AD6942">
              <w:rPr>
                <w:color w:val="000000" w:themeColor="text1"/>
                <w:spacing w:val="-12"/>
                <w:sz w:val="16"/>
                <w:szCs w:val="16"/>
              </w:rPr>
              <w:t>12 2023=100</w:t>
            </w:r>
          </w:p>
        </w:tc>
        <w:tc>
          <w:tcPr>
            <w:tcW w:w="964" w:type="dxa"/>
            <w:tcBorders>
              <w:top w:val="single" w:sz="4" w:space="0" w:color="001D77"/>
              <w:bottom w:val="single" w:sz="12" w:space="0" w:color="001D77"/>
            </w:tcBorders>
            <w:vAlign w:val="center"/>
          </w:tcPr>
          <w:p w:rsidR="003D340A" w:rsidRPr="00AD6942" w:rsidRDefault="003D340A" w:rsidP="003D340A">
            <w:pPr>
              <w:jc w:val="center"/>
              <w:rPr>
                <w:color w:val="000000" w:themeColor="text1"/>
                <w:sz w:val="16"/>
                <w:szCs w:val="16"/>
              </w:rPr>
            </w:pPr>
            <w:r w:rsidRPr="00AD6942">
              <w:rPr>
                <w:color w:val="000000" w:themeColor="text1"/>
                <w:sz w:val="16"/>
                <w:szCs w:val="16"/>
              </w:rPr>
              <w:t>01-0</w:t>
            </w:r>
            <w:r w:rsidR="007A3E6E">
              <w:rPr>
                <w:color w:val="000000" w:themeColor="text1"/>
                <w:sz w:val="16"/>
                <w:szCs w:val="16"/>
              </w:rPr>
              <w:t>9</w:t>
            </w:r>
            <w:r w:rsidR="001F1EAC">
              <w:rPr>
                <w:color w:val="000000" w:themeColor="text1"/>
                <w:sz w:val="16"/>
                <w:szCs w:val="16"/>
              </w:rPr>
              <w:t xml:space="preserve"> </w:t>
            </w:r>
            <w:r w:rsidRPr="00AD6942">
              <w:rPr>
                <w:color w:val="000000" w:themeColor="text1"/>
                <w:sz w:val="16"/>
                <w:szCs w:val="16"/>
              </w:rPr>
              <w:t>2023=100</w:t>
            </w:r>
          </w:p>
        </w:tc>
      </w:tr>
      <w:tr w:rsidR="007A3E6E" w:rsidRPr="00173157" w:rsidTr="00FD10FB">
        <w:tc>
          <w:tcPr>
            <w:tcW w:w="2153" w:type="dxa"/>
          </w:tcPr>
          <w:p w:rsidR="007A3E6E" w:rsidRPr="002929E3" w:rsidRDefault="007A3E6E" w:rsidP="007A3E6E">
            <w:pPr>
              <w:rPr>
                <w:shd w:val="clear" w:color="auto" w:fill="FFFFFF"/>
              </w:rPr>
            </w:pPr>
            <w:r w:rsidRPr="002929E3">
              <w:rPr>
                <w:b/>
                <w:color w:val="000000" w:themeColor="text1"/>
                <w:sz w:val="16"/>
                <w:szCs w:val="16"/>
              </w:rPr>
              <w:t>OGÓŁEM</w:t>
            </w:r>
          </w:p>
        </w:tc>
        <w:tc>
          <w:tcPr>
            <w:tcW w:w="964" w:type="dxa"/>
            <w:vAlign w:val="center"/>
          </w:tcPr>
          <w:p w:rsidR="007A3E6E" w:rsidRPr="00F21FDA" w:rsidRDefault="007A3E6E" w:rsidP="007A3E6E">
            <w:pPr>
              <w:jc w:val="right"/>
              <w:rPr>
                <w:rFonts w:cs="Arial"/>
                <w:b/>
                <w:color w:val="000000" w:themeColor="text1"/>
                <w:sz w:val="16"/>
                <w:szCs w:val="16"/>
              </w:rPr>
            </w:pPr>
            <w:r>
              <w:rPr>
                <w:rFonts w:cs="Arial"/>
                <w:b/>
                <w:color w:val="000000" w:themeColor="text1"/>
                <w:sz w:val="16"/>
                <w:szCs w:val="16"/>
              </w:rPr>
              <w:t>100,3</w:t>
            </w:r>
          </w:p>
        </w:tc>
        <w:tc>
          <w:tcPr>
            <w:tcW w:w="964" w:type="dxa"/>
            <w:vAlign w:val="center"/>
          </w:tcPr>
          <w:p w:rsidR="007A3E6E" w:rsidRPr="00F21FDA" w:rsidRDefault="007A3E6E" w:rsidP="007A3E6E">
            <w:pPr>
              <w:jc w:val="right"/>
              <w:rPr>
                <w:rFonts w:cs="Arial"/>
                <w:b/>
                <w:color w:val="000000" w:themeColor="text1"/>
                <w:sz w:val="16"/>
                <w:szCs w:val="16"/>
              </w:rPr>
            </w:pPr>
            <w:r>
              <w:rPr>
                <w:rFonts w:cs="Arial"/>
                <w:b/>
                <w:color w:val="000000" w:themeColor="text1"/>
                <w:sz w:val="16"/>
                <w:szCs w:val="16"/>
              </w:rPr>
              <w:t>105,3</w:t>
            </w:r>
          </w:p>
        </w:tc>
        <w:tc>
          <w:tcPr>
            <w:tcW w:w="964" w:type="dxa"/>
            <w:vAlign w:val="center"/>
          </w:tcPr>
          <w:p w:rsidR="007A3E6E" w:rsidRPr="00F21FDA" w:rsidRDefault="004A68F7" w:rsidP="007A3E6E">
            <w:pPr>
              <w:jc w:val="right"/>
              <w:rPr>
                <w:rFonts w:cs="Arial"/>
                <w:b/>
                <w:color w:val="000000" w:themeColor="text1"/>
                <w:sz w:val="16"/>
                <w:szCs w:val="16"/>
              </w:rPr>
            </w:pPr>
            <w:r>
              <w:rPr>
                <w:rFonts w:cs="Arial"/>
                <w:b/>
                <w:color w:val="000000" w:themeColor="text1"/>
                <w:sz w:val="16"/>
                <w:szCs w:val="16"/>
              </w:rPr>
              <w:t>105,0</w:t>
            </w:r>
          </w:p>
        </w:tc>
        <w:tc>
          <w:tcPr>
            <w:tcW w:w="964" w:type="dxa"/>
            <w:vAlign w:val="center"/>
          </w:tcPr>
          <w:p w:rsidR="007A3E6E" w:rsidRPr="00F21FDA" w:rsidRDefault="004A68F7" w:rsidP="007A3E6E">
            <w:pPr>
              <w:jc w:val="right"/>
              <w:rPr>
                <w:rFonts w:cs="Arial"/>
                <w:b/>
                <w:color w:val="000000" w:themeColor="text1"/>
                <w:sz w:val="16"/>
                <w:szCs w:val="16"/>
              </w:rPr>
            </w:pPr>
            <w:r>
              <w:rPr>
                <w:rFonts w:cs="Arial"/>
                <w:b/>
                <w:color w:val="000000" w:themeColor="text1"/>
                <w:sz w:val="16"/>
                <w:szCs w:val="16"/>
              </w:rPr>
              <w:t>100,3</w:t>
            </w:r>
          </w:p>
        </w:tc>
        <w:tc>
          <w:tcPr>
            <w:tcW w:w="964" w:type="dxa"/>
            <w:vAlign w:val="center"/>
          </w:tcPr>
          <w:p w:rsidR="007A3E6E" w:rsidRPr="00F21FDA" w:rsidRDefault="004A68F7" w:rsidP="007A3E6E">
            <w:pPr>
              <w:jc w:val="right"/>
              <w:rPr>
                <w:rFonts w:cs="Arial"/>
                <w:b/>
                <w:color w:val="000000" w:themeColor="text1"/>
                <w:sz w:val="16"/>
                <w:szCs w:val="16"/>
              </w:rPr>
            </w:pPr>
            <w:r>
              <w:rPr>
                <w:rFonts w:cs="Arial"/>
                <w:b/>
                <w:color w:val="000000" w:themeColor="text1"/>
                <w:sz w:val="16"/>
                <w:szCs w:val="16"/>
              </w:rPr>
              <w:t>103,4</w:t>
            </w:r>
          </w:p>
        </w:tc>
        <w:tc>
          <w:tcPr>
            <w:tcW w:w="964" w:type="dxa"/>
            <w:vAlign w:val="center"/>
          </w:tcPr>
          <w:p w:rsidR="007A3E6E" w:rsidRPr="00F21FDA" w:rsidRDefault="004A68F7" w:rsidP="007A3E6E">
            <w:pPr>
              <w:jc w:val="right"/>
              <w:rPr>
                <w:rFonts w:cs="Arial"/>
                <w:b/>
                <w:color w:val="000000" w:themeColor="text1"/>
                <w:sz w:val="16"/>
                <w:szCs w:val="16"/>
              </w:rPr>
            </w:pPr>
            <w:r>
              <w:rPr>
                <w:rFonts w:cs="Arial"/>
                <w:b/>
                <w:color w:val="000000" w:themeColor="text1"/>
                <w:sz w:val="16"/>
                <w:szCs w:val="16"/>
              </w:rPr>
              <w:t>106,5</w:t>
            </w:r>
          </w:p>
        </w:tc>
      </w:tr>
      <w:tr w:rsidR="007A3E6E" w:rsidRPr="00173157" w:rsidTr="00FD10FB">
        <w:tc>
          <w:tcPr>
            <w:tcW w:w="2153" w:type="dxa"/>
          </w:tcPr>
          <w:p w:rsidR="007A3E6E" w:rsidRPr="002929E3" w:rsidRDefault="007A3E6E" w:rsidP="007A3E6E">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964" w:type="dxa"/>
            <w:vAlign w:val="center"/>
          </w:tcPr>
          <w:p w:rsidR="007A3E6E" w:rsidRPr="00713E22" w:rsidRDefault="007A3E6E" w:rsidP="007A3E6E">
            <w:pPr>
              <w:jc w:val="right"/>
              <w:rPr>
                <w:rFonts w:cs="Arial"/>
                <w:color w:val="000000" w:themeColor="text1"/>
                <w:sz w:val="16"/>
                <w:szCs w:val="16"/>
              </w:rPr>
            </w:pPr>
            <w:r>
              <w:rPr>
                <w:rFonts w:cs="Arial"/>
                <w:color w:val="000000" w:themeColor="text1"/>
                <w:sz w:val="16"/>
                <w:szCs w:val="16"/>
              </w:rPr>
              <w:t>100,3</w:t>
            </w:r>
          </w:p>
        </w:tc>
        <w:tc>
          <w:tcPr>
            <w:tcW w:w="964" w:type="dxa"/>
            <w:vAlign w:val="center"/>
          </w:tcPr>
          <w:p w:rsidR="007A3E6E" w:rsidRPr="00713E22" w:rsidRDefault="007A3E6E" w:rsidP="007A3E6E">
            <w:pPr>
              <w:jc w:val="right"/>
              <w:rPr>
                <w:rFonts w:cs="Arial"/>
                <w:color w:val="000000" w:themeColor="text1"/>
                <w:sz w:val="16"/>
                <w:szCs w:val="16"/>
              </w:rPr>
            </w:pPr>
            <w:r>
              <w:rPr>
                <w:rFonts w:cs="Arial"/>
                <w:color w:val="000000" w:themeColor="text1"/>
                <w:sz w:val="16"/>
                <w:szCs w:val="16"/>
              </w:rPr>
              <w:t>105,1</w:t>
            </w:r>
          </w:p>
        </w:tc>
        <w:tc>
          <w:tcPr>
            <w:tcW w:w="964" w:type="dxa"/>
            <w:vAlign w:val="center"/>
          </w:tcPr>
          <w:p w:rsidR="007A3E6E" w:rsidRPr="00713E22" w:rsidRDefault="004A68F7" w:rsidP="007A3E6E">
            <w:pPr>
              <w:jc w:val="right"/>
              <w:rPr>
                <w:rFonts w:cs="Arial"/>
                <w:color w:val="000000" w:themeColor="text1"/>
                <w:sz w:val="16"/>
                <w:szCs w:val="16"/>
              </w:rPr>
            </w:pPr>
            <w:r>
              <w:rPr>
                <w:rFonts w:cs="Arial"/>
                <w:color w:val="000000" w:themeColor="text1"/>
                <w:sz w:val="16"/>
                <w:szCs w:val="16"/>
              </w:rPr>
              <w:t>104,7</w:t>
            </w:r>
          </w:p>
        </w:tc>
        <w:tc>
          <w:tcPr>
            <w:tcW w:w="964" w:type="dxa"/>
            <w:vAlign w:val="center"/>
          </w:tcPr>
          <w:p w:rsidR="007A3E6E" w:rsidRPr="00713E22" w:rsidRDefault="004A68F7" w:rsidP="007A3E6E">
            <w:pPr>
              <w:jc w:val="right"/>
              <w:rPr>
                <w:rFonts w:cs="Arial"/>
                <w:color w:val="000000" w:themeColor="text1"/>
                <w:sz w:val="16"/>
                <w:szCs w:val="16"/>
              </w:rPr>
            </w:pPr>
            <w:r>
              <w:rPr>
                <w:rFonts w:cs="Arial"/>
                <w:color w:val="000000" w:themeColor="text1"/>
                <w:sz w:val="16"/>
                <w:szCs w:val="16"/>
              </w:rPr>
              <w:t>100,3</w:t>
            </w:r>
          </w:p>
        </w:tc>
        <w:tc>
          <w:tcPr>
            <w:tcW w:w="964" w:type="dxa"/>
            <w:vAlign w:val="center"/>
          </w:tcPr>
          <w:p w:rsidR="007A3E6E" w:rsidRPr="00713E22" w:rsidRDefault="004A68F7" w:rsidP="007A3E6E">
            <w:pPr>
              <w:jc w:val="right"/>
              <w:rPr>
                <w:rFonts w:cs="Arial"/>
                <w:color w:val="000000" w:themeColor="text1"/>
                <w:sz w:val="16"/>
                <w:szCs w:val="16"/>
              </w:rPr>
            </w:pPr>
            <w:r>
              <w:rPr>
                <w:rFonts w:cs="Arial"/>
                <w:color w:val="000000" w:themeColor="text1"/>
                <w:sz w:val="16"/>
                <w:szCs w:val="16"/>
              </w:rPr>
              <w:t>103,2</w:t>
            </w:r>
          </w:p>
        </w:tc>
        <w:tc>
          <w:tcPr>
            <w:tcW w:w="964" w:type="dxa"/>
            <w:vAlign w:val="center"/>
          </w:tcPr>
          <w:p w:rsidR="007A3E6E" w:rsidRPr="00713E22" w:rsidRDefault="004A68F7" w:rsidP="007A3E6E">
            <w:pPr>
              <w:jc w:val="right"/>
              <w:rPr>
                <w:rFonts w:cs="Arial"/>
                <w:color w:val="000000" w:themeColor="text1"/>
                <w:sz w:val="16"/>
                <w:szCs w:val="16"/>
              </w:rPr>
            </w:pPr>
            <w:r>
              <w:rPr>
                <w:rFonts w:cs="Arial"/>
                <w:color w:val="000000" w:themeColor="text1"/>
                <w:sz w:val="16"/>
                <w:szCs w:val="16"/>
              </w:rPr>
              <w:t>105,8</w:t>
            </w:r>
          </w:p>
        </w:tc>
      </w:tr>
      <w:tr w:rsidR="007A3E6E" w:rsidRPr="00173157" w:rsidTr="00FD10FB">
        <w:tc>
          <w:tcPr>
            <w:tcW w:w="2153" w:type="dxa"/>
          </w:tcPr>
          <w:p w:rsidR="007A3E6E" w:rsidRPr="002929E3" w:rsidRDefault="007A3E6E" w:rsidP="007A3E6E">
            <w:pPr>
              <w:rPr>
                <w:shd w:val="clear" w:color="auto" w:fill="FFFFFF"/>
              </w:rPr>
            </w:pPr>
            <w:r w:rsidRPr="005C3CA8">
              <w:rPr>
                <w:color w:val="000000" w:themeColor="text1"/>
                <w:sz w:val="16"/>
                <w:szCs w:val="16"/>
              </w:rPr>
              <w:t>Budowa  obiektów inżynierii  lądowej i</w:t>
            </w:r>
            <w:r>
              <w:rPr>
                <w:color w:val="000000" w:themeColor="text1"/>
                <w:sz w:val="16"/>
                <w:szCs w:val="16"/>
              </w:rPr>
              <w:t>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964" w:type="dxa"/>
            <w:shd w:val="clear" w:color="auto" w:fill="auto"/>
            <w:vAlign w:val="center"/>
          </w:tcPr>
          <w:p w:rsidR="007A3E6E" w:rsidRPr="00F21FDA" w:rsidRDefault="007A3E6E" w:rsidP="007A3E6E">
            <w:pPr>
              <w:jc w:val="right"/>
              <w:rPr>
                <w:rFonts w:cs="Arial"/>
                <w:color w:val="000000" w:themeColor="text1"/>
                <w:sz w:val="16"/>
                <w:szCs w:val="16"/>
              </w:rPr>
            </w:pPr>
            <w:r>
              <w:rPr>
                <w:rFonts w:cs="Arial"/>
                <w:color w:val="000000" w:themeColor="text1"/>
                <w:sz w:val="16"/>
                <w:szCs w:val="16"/>
              </w:rPr>
              <w:t>100,3</w:t>
            </w:r>
          </w:p>
        </w:tc>
        <w:tc>
          <w:tcPr>
            <w:tcW w:w="964" w:type="dxa"/>
            <w:shd w:val="clear" w:color="auto" w:fill="auto"/>
            <w:vAlign w:val="center"/>
          </w:tcPr>
          <w:p w:rsidR="007A3E6E" w:rsidRPr="00F21FDA" w:rsidRDefault="007A3E6E" w:rsidP="007A3E6E">
            <w:pPr>
              <w:jc w:val="right"/>
              <w:rPr>
                <w:rFonts w:cs="Arial"/>
                <w:color w:val="000000" w:themeColor="text1"/>
                <w:sz w:val="16"/>
                <w:szCs w:val="16"/>
              </w:rPr>
            </w:pPr>
            <w:r>
              <w:rPr>
                <w:rFonts w:cs="Arial"/>
                <w:color w:val="000000" w:themeColor="text1"/>
                <w:sz w:val="16"/>
                <w:szCs w:val="16"/>
              </w:rPr>
              <w:t>105,7</w:t>
            </w:r>
          </w:p>
        </w:tc>
        <w:tc>
          <w:tcPr>
            <w:tcW w:w="964" w:type="dxa"/>
            <w:shd w:val="clear" w:color="auto" w:fill="auto"/>
            <w:vAlign w:val="center"/>
          </w:tcPr>
          <w:p w:rsidR="007A3E6E" w:rsidRPr="00F21FDA" w:rsidRDefault="004A68F7" w:rsidP="007A3E6E">
            <w:pPr>
              <w:jc w:val="right"/>
              <w:rPr>
                <w:rFonts w:cs="Arial"/>
                <w:color w:val="000000" w:themeColor="text1"/>
                <w:sz w:val="16"/>
                <w:szCs w:val="16"/>
              </w:rPr>
            </w:pPr>
            <w:r>
              <w:rPr>
                <w:rFonts w:cs="Arial"/>
                <w:color w:val="000000" w:themeColor="text1"/>
                <w:sz w:val="16"/>
                <w:szCs w:val="16"/>
              </w:rPr>
              <w:t>105,4</w:t>
            </w:r>
          </w:p>
        </w:tc>
        <w:tc>
          <w:tcPr>
            <w:tcW w:w="964" w:type="dxa"/>
            <w:shd w:val="clear" w:color="auto" w:fill="auto"/>
            <w:vAlign w:val="center"/>
          </w:tcPr>
          <w:p w:rsidR="007A3E6E" w:rsidRPr="00F21FDA" w:rsidRDefault="004A68F7" w:rsidP="007A3E6E">
            <w:pPr>
              <w:jc w:val="right"/>
              <w:rPr>
                <w:rFonts w:cs="Arial"/>
                <w:color w:val="000000" w:themeColor="text1"/>
                <w:sz w:val="16"/>
                <w:szCs w:val="16"/>
              </w:rPr>
            </w:pPr>
            <w:r>
              <w:rPr>
                <w:rFonts w:cs="Arial"/>
                <w:color w:val="000000" w:themeColor="text1"/>
                <w:sz w:val="16"/>
                <w:szCs w:val="16"/>
              </w:rPr>
              <w:t>100,4</w:t>
            </w:r>
          </w:p>
        </w:tc>
        <w:tc>
          <w:tcPr>
            <w:tcW w:w="964" w:type="dxa"/>
            <w:shd w:val="clear" w:color="auto" w:fill="auto"/>
            <w:vAlign w:val="center"/>
          </w:tcPr>
          <w:p w:rsidR="007A3E6E" w:rsidRPr="00F21FDA" w:rsidRDefault="004A68F7" w:rsidP="007A3E6E">
            <w:pPr>
              <w:jc w:val="right"/>
              <w:rPr>
                <w:rFonts w:cs="Arial"/>
                <w:color w:val="000000" w:themeColor="text1"/>
                <w:sz w:val="16"/>
                <w:szCs w:val="16"/>
              </w:rPr>
            </w:pPr>
            <w:r>
              <w:rPr>
                <w:rFonts w:cs="Arial"/>
                <w:color w:val="000000" w:themeColor="text1"/>
                <w:sz w:val="16"/>
                <w:szCs w:val="16"/>
              </w:rPr>
              <w:t>103,7</w:t>
            </w:r>
          </w:p>
        </w:tc>
        <w:tc>
          <w:tcPr>
            <w:tcW w:w="964" w:type="dxa"/>
            <w:shd w:val="clear" w:color="auto" w:fill="auto"/>
            <w:vAlign w:val="center"/>
          </w:tcPr>
          <w:p w:rsidR="007A3E6E" w:rsidRPr="00F21FDA" w:rsidRDefault="004A68F7" w:rsidP="007A3E6E">
            <w:pPr>
              <w:jc w:val="right"/>
              <w:rPr>
                <w:rFonts w:cs="Arial"/>
                <w:color w:val="000000" w:themeColor="text1"/>
                <w:sz w:val="16"/>
                <w:szCs w:val="16"/>
              </w:rPr>
            </w:pPr>
            <w:r>
              <w:rPr>
                <w:rFonts w:cs="Arial"/>
                <w:color w:val="000000" w:themeColor="text1"/>
                <w:sz w:val="16"/>
                <w:szCs w:val="16"/>
              </w:rPr>
              <w:t>107,2</w:t>
            </w:r>
          </w:p>
        </w:tc>
      </w:tr>
      <w:tr w:rsidR="007A3E6E" w:rsidRPr="00173157" w:rsidTr="00FD10FB">
        <w:tc>
          <w:tcPr>
            <w:tcW w:w="2153" w:type="dxa"/>
          </w:tcPr>
          <w:p w:rsidR="007A3E6E" w:rsidRPr="002929E3" w:rsidRDefault="007A3E6E" w:rsidP="007A3E6E">
            <w:pPr>
              <w:rPr>
                <w:shd w:val="clear" w:color="auto" w:fill="FFFFFF"/>
              </w:rPr>
            </w:pPr>
            <w:r w:rsidRPr="002929E3">
              <w:rPr>
                <w:color w:val="000000" w:themeColor="text1"/>
                <w:sz w:val="16"/>
                <w:szCs w:val="16"/>
              </w:rPr>
              <w:t>Roboty budowlane specjalistyczne</w:t>
            </w:r>
          </w:p>
        </w:tc>
        <w:tc>
          <w:tcPr>
            <w:tcW w:w="964" w:type="dxa"/>
            <w:vAlign w:val="center"/>
          </w:tcPr>
          <w:p w:rsidR="007A3E6E" w:rsidRPr="00F21FDA" w:rsidRDefault="007A3E6E" w:rsidP="007A3E6E">
            <w:pPr>
              <w:jc w:val="right"/>
              <w:rPr>
                <w:rFonts w:cs="Arial"/>
                <w:color w:val="000000" w:themeColor="text1"/>
                <w:sz w:val="16"/>
                <w:szCs w:val="16"/>
              </w:rPr>
            </w:pPr>
            <w:r>
              <w:rPr>
                <w:rFonts w:cs="Arial"/>
                <w:color w:val="000000" w:themeColor="text1"/>
                <w:sz w:val="16"/>
                <w:szCs w:val="16"/>
              </w:rPr>
              <w:t>100,4</w:t>
            </w:r>
          </w:p>
        </w:tc>
        <w:tc>
          <w:tcPr>
            <w:tcW w:w="964" w:type="dxa"/>
            <w:vAlign w:val="center"/>
          </w:tcPr>
          <w:p w:rsidR="007A3E6E" w:rsidRPr="00F21FDA" w:rsidRDefault="007A3E6E" w:rsidP="007A3E6E">
            <w:pPr>
              <w:jc w:val="right"/>
              <w:rPr>
                <w:rFonts w:cs="Arial"/>
                <w:color w:val="000000" w:themeColor="text1"/>
                <w:sz w:val="16"/>
                <w:szCs w:val="16"/>
              </w:rPr>
            </w:pPr>
            <w:r>
              <w:rPr>
                <w:rFonts w:cs="Arial"/>
                <w:color w:val="000000" w:themeColor="text1"/>
                <w:sz w:val="16"/>
                <w:szCs w:val="16"/>
              </w:rPr>
              <w:t>105,1</w:t>
            </w:r>
          </w:p>
        </w:tc>
        <w:tc>
          <w:tcPr>
            <w:tcW w:w="964" w:type="dxa"/>
            <w:vAlign w:val="center"/>
          </w:tcPr>
          <w:p w:rsidR="007A3E6E" w:rsidRPr="00F21FDA" w:rsidRDefault="004A68F7" w:rsidP="007A3E6E">
            <w:pPr>
              <w:jc w:val="right"/>
              <w:rPr>
                <w:rFonts w:cs="Arial"/>
                <w:color w:val="000000" w:themeColor="text1"/>
                <w:sz w:val="16"/>
                <w:szCs w:val="16"/>
              </w:rPr>
            </w:pPr>
            <w:r>
              <w:rPr>
                <w:rFonts w:cs="Arial"/>
                <w:color w:val="000000" w:themeColor="text1"/>
                <w:sz w:val="16"/>
                <w:szCs w:val="16"/>
              </w:rPr>
              <w:t>104,9</w:t>
            </w:r>
          </w:p>
        </w:tc>
        <w:tc>
          <w:tcPr>
            <w:tcW w:w="964" w:type="dxa"/>
            <w:vAlign w:val="center"/>
          </w:tcPr>
          <w:p w:rsidR="007A3E6E" w:rsidRPr="00F21FDA" w:rsidRDefault="004A68F7" w:rsidP="007A3E6E">
            <w:pPr>
              <w:jc w:val="right"/>
              <w:rPr>
                <w:rFonts w:cs="Arial"/>
                <w:color w:val="000000" w:themeColor="text1"/>
                <w:sz w:val="16"/>
                <w:szCs w:val="16"/>
              </w:rPr>
            </w:pPr>
            <w:r>
              <w:rPr>
                <w:rFonts w:cs="Arial"/>
                <w:color w:val="000000" w:themeColor="text1"/>
                <w:sz w:val="16"/>
                <w:szCs w:val="16"/>
              </w:rPr>
              <w:t>100,4</w:t>
            </w:r>
          </w:p>
        </w:tc>
        <w:tc>
          <w:tcPr>
            <w:tcW w:w="964" w:type="dxa"/>
            <w:vAlign w:val="center"/>
          </w:tcPr>
          <w:p w:rsidR="007A3E6E" w:rsidRPr="00F21FDA" w:rsidRDefault="004A68F7" w:rsidP="007A3E6E">
            <w:pPr>
              <w:jc w:val="right"/>
              <w:rPr>
                <w:rFonts w:cs="Arial"/>
                <w:color w:val="000000" w:themeColor="text1"/>
                <w:sz w:val="16"/>
                <w:szCs w:val="16"/>
              </w:rPr>
            </w:pPr>
            <w:r>
              <w:rPr>
                <w:rFonts w:cs="Arial"/>
                <w:color w:val="000000" w:themeColor="text1"/>
                <w:sz w:val="16"/>
                <w:szCs w:val="16"/>
              </w:rPr>
              <w:t>103,7</w:t>
            </w:r>
          </w:p>
        </w:tc>
        <w:tc>
          <w:tcPr>
            <w:tcW w:w="964" w:type="dxa"/>
            <w:vAlign w:val="center"/>
          </w:tcPr>
          <w:p w:rsidR="007A3E6E" w:rsidRPr="00F21FDA" w:rsidRDefault="004A68F7" w:rsidP="007A3E6E">
            <w:pPr>
              <w:jc w:val="right"/>
              <w:rPr>
                <w:rFonts w:cs="Arial"/>
                <w:color w:val="000000" w:themeColor="text1"/>
                <w:sz w:val="16"/>
                <w:szCs w:val="16"/>
              </w:rPr>
            </w:pPr>
            <w:r>
              <w:rPr>
                <w:rFonts w:cs="Arial"/>
                <w:color w:val="000000" w:themeColor="text1"/>
                <w:sz w:val="16"/>
                <w:szCs w:val="16"/>
              </w:rPr>
              <w:t>106,2</w:t>
            </w:r>
          </w:p>
        </w:tc>
      </w:tr>
    </w:tbl>
    <w:p w:rsidR="00003BD1" w:rsidRDefault="00003BD1" w:rsidP="00967374">
      <w:pPr>
        <w:rPr>
          <w:b/>
          <w:shd w:val="clear" w:color="auto" w:fill="FFFFFF"/>
        </w:rPr>
      </w:pPr>
    </w:p>
    <w:p w:rsidR="00003BD1" w:rsidRDefault="00003BD1" w:rsidP="00967374">
      <w:pPr>
        <w:rPr>
          <w:b/>
          <w:shd w:val="clear" w:color="auto" w:fill="FFFFFF"/>
        </w:rPr>
      </w:pPr>
    </w:p>
    <w:p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rsidR="001578AB" w:rsidRDefault="001578AB" w:rsidP="00966C9A">
      <w:pPr>
        <w:pStyle w:val="Tablicanotka"/>
      </w:pPr>
    </w:p>
    <w:p w:rsidR="001578AB" w:rsidRDefault="001578AB" w:rsidP="00966C9A">
      <w:pPr>
        <w:pStyle w:val="Tablicanotka"/>
      </w:pPr>
    </w:p>
    <w:p w:rsidR="003977D0" w:rsidRDefault="003977D0" w:rsidP="00966C9A">
      <w:pPr>
        <w:pStyle w:val="Tablicanotka"/>
      </w:pPr>
    </w:p>
    <w:p w:rsidR="009A7FCD" w:rsidRDefault="009A7FCD" w:rsidP="00966C9A">
      <w:pPr>
        <w:pStyle w:val="Tablicanotka"/>
      </w:pPr>
    </w:p>
    <w:p w:rsidR="009A7FCD" w:rsidRDefault="009A7FCD" w:rsidP="00966C9A">
      <w:pPr>
        <w:pStyle w:val="Tablicanotka"/>
      </w:pPr>
    </w:p>
    <w:p w:rsidR="003977D0" w:rsidRDefault="003977D0" w:rsidP="00966C9A">
      <w:pPr>
        <w:pStyle w:val="Tablicanotka"/>
      </w:pPr>
    </w:p>
    <w:p w:rsidR="00C2119C" w:rsidRDefault="00C2119C" w:rsidP="00C2119C">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lastRenderedPageBreak/>
        <w:t>Wykres 1. Zmiany cen produkcji budowlano-montażowej w latach 202</w:t>
      </w:r>
      <w:r>
        <w:rPr>
          <w:rFonts w:ascii="Fira Sans SemiBold" w:eastAsia="Times New Roman" w:hAnsi="Fira Sans SemiBold" w:cs="Times New Roman"/>
          <w:b/>
          <w:bCs/>
          <w:noProof/>
          <w:sz w:val="18"/>
          <w:szCs w:val="18"/>
          <w:lang w:eastAsia="pl-PL"/>
        </w:rPr>
        <w:t>3</w:t>
      </w:r>
      <w:r w:rsidRPr="008D0278">
        <w:rPr>
          <w:rFonts w:ascii="Fira Sans SemiBold" w:eastAsia="Times New Roman" w:hAnsi="Fira Sans SemiBold" w:cs="Times New Roman"/>
          <w:b/>
          <w:bCs/>
          <w:noProof/>
          <w:sz w:val="18"/>
          <w:szCs w:val="18"/>
          <w:lang w:eastAsia="pl-PL"/>
        </w:rPr>
        <w:t>-202</w:t>
      </w:r>
      <w:r>
        <w:rPr>
          <w:rFonts w:ascii="Fira Sans SemiBold" w:eastAsia="Times New Roman" w:hAnsi="Fira Sans SemiBold" w:cs="Times New Roman"/>
          <w:b/>
          <w:bCs/>
          <w:noProof/>
          <w:sz w:val="18"/>
          <w:szCs w:val="18"/>
          <w:lang w:eastAsia="pl-PL"/>
        </w:rPr>
        <w:t>4</w:t>
      </w:r>
      <w:r w:rsidRPr="008D0278">
        <w:rPr>
          <w:rFonts w:ascii="Fira Sans SemiBold" w:eastAsia="Times New Roman" w:hAnsi="Fira Sans SemiBold" w:cs="Times New Roman"/>
          <w:b/>
          <w:bCs/>
          <w:noProof/>
          <w:sz w:val="18"/>
          <w:szCs w:val="18"/>
          <w:lang w:eastAsia="pl-PL"/>
        </w:rPr>
        <w:t xml:space="preserve"> w </w:t>
      </w:r>
      <w:r>
        <w:rPr>
          <w:rFonts w:ascii="Fira Sans SemiBold" w:eastAsia="Times New Roman" w:hAnsi="Fira Sans SemiBold" w:cs="Times New Roman"/>
          <w:b/>
          <w:bCs/>
          <w:noProof/>
          <w:sz w:val="18"/>
          <w:szCs w:val="18"/>
          <w:lang w:eastAsia="pl-PL"/>
        </w:rPr>
        <w:t>porównaniu z </w:t>
      </w:r>
      <w:r w:rsidRPr="008D0278">
        <w:rPr>
          <w:rFonts w:ascii="Fira Sans SemiBold" w:eastAsia="Times New Roman" w:hAnsi="Fira Sans SemiBold" w:cs="Times New Roman"/>
          <w:b/>
          <w:bCs/>
          <w:noProof/>
          <w:sz w:val="18"/>
          <w:szCs w:val="18"/>
          <w:lang w:eastAsia="pl-PL"/>
        </w:rPr>
        <w:t>poprzedni</w:t>
      </w:r>
      <w:r>
        <w:rPr>
          <w:rFonts w:ascii="Fira Sans SemiBold" w:eastAsia="Times New Roman" w:hAnsi="Fira Sans SemiBold" w:cs="Times New Roman"/>
          <w:b/>
          <w:bCs/>
          <w:noProof/>
          <w:sz w:val="18"/>
          <w:szCs w:val="18"/>
          <w:lang w:eastAsia="pl-PL"/>
        </w:rPr>
        <w:t xml:space="preserve">m </w:t>
      </w:r>
      <w:r w:rsidRPr="008D0278">
        <w:rPr>
          <w:rFonts w:ascii="Fira Sans SemiBold" w:eastAsia="Times New Roman" w:hAnsi="Fira Sans SemiBold" w:cs="Times New Roman"/>
          <w:b/>
          <w:bCs/>
          <w:noProof/>
          <w:sz w:val="18"/>
          <w:szCs w:val="18"/>
          <w:lang w:eastAsia="pl-PL"/>
        </w:rPr>
        <w:t>okres</w:t>
      </w:r>
      <w:r>
        <w:rPr>
          <w:rFonts w:ascii="Fira Sans SemiBold" w:eastAsia="Times New Roman" w:hAnsi="Fira Sans SemiBold" w:cs="Times New Roman"/>
          <w:b/>
          <w:bCs/>
          <w:noProof/>
          <w:sz w:val="18"/>
          <w:szCs w:val="18"/>
          <w:lang w:eastAsia="pl-PL"/>
        </w:rPr>
        <w:t>em</w:t>
      </w:r>
    </w:p>
    <w:p w:rsidR="001578AB" w:rsidRDefault="003977D0" w:rsidP="00966C9A">
      <w:pPr>
        <w:pStyle w:val="Tablicanotka"/>
      </w:pPr>
      <w:r w:rsidRPr="008D0278">
        <w:rPr>
          <w:sz w:val="18"/>
          <w:szCs w:val="18"/>
          <w:lang w:eastAsia="pl-PL"/>
        </w:rPr>
        <mc:AlternateContent>
          <mc:Choice Requires="wps">
            <w:drawing>
              <wp:anchor distT="0" distB="0" distL="114300" distR="114300" simplePos="0" relativeHeight="251759616" behindDoc="0" locked="0" layoutInCell="1" allowOverlap="1" wp14:anchorId="6D64322A" wp14:editId="489C1B3F">
                <wp:simplePos x="0" y="0"/>
                <wp:positionH relativeFrom="page">
                  <wp:posOffset>5704205</wp:posOffset>
                </wp:positionH>
                <wp:positionV relativeFrom="paragraph">
                  <wp:posOffset>381635</wp:posOffset>
                </wp:positionV>
                <wp:extent cx="1724660" cy="982980"/>
                <wp:effectExtent l="0" t="0" r="0" b="7620"/>
                <wp:wrapNone/>
                <wp:docPr id="25" name="Pole tekstowe 25" descr="We wrześniu 2024 r. ceny produkcji budowlano-montażowej w stosunku do poprzedniego miesiąca wzrosły o 0,3%"/>
                <wp:cNvGraphicFramePr/>
                <a:graphic xmlns:a="http://schemas.openxmlformats.org/drawingml/2006/main">
                  <a:graphicData uri="http://schemas.microsoft.com/office/word/2010/wordprocessingShape">
                    <wps:wsp>
                      <wps:cNvSpPr txBox="1"/>
                      <wps:spPr>
                        <a:xfrm>
                          <a:off x="0" y="0"/>
                          <a:ext cx="1724660" cy="982980"/>
                        </a:xfrm>
                        <a:prstGeom prst="rect">
                          <a:avLst/>
                        </a:prstGeom>
                        <a:noFill/>
                        <a:ln w="6350">
                          <a:noFill/>
                        </a:ln>
                        <a:effectLst/>
                      </wps:spPr>
                      <wps:txbx>
                        <w:txbxContent>
                          <w:p w:rsidR="001578AB" w:rsidRPr="00E15CF4" w:rsidRDefault="00547819" w:rsidP="001578AB">
                            <w:pPr>
                              <w:pStyle w:val="tekstzboku"/>
                              <w:rPr>
                                <w:strike/>
                              </w:rPr>
                            </w:pPr>
                            <w:r>
                              <w:t>We wrześniu</w:t>
                            </w:r>
                            <w:r w:rsidR="005A3221">
                              <w:t xml:space="preserve"> 2024</w:t>
                            </w:r>
                            <w:r w:rsidR="00F00A70" w:rsidRPr="00BB423E">
                              <w:t xml:space="preserve"> r</w:t>
                            </w:r>
                            <w:r w:rsidR="00854836" w:rsidRPr="00BB423E">
                              <w:t>.</w:t>
                            </w:r>
                            <w:r w:rsidR="002F4DB5">
                              <w:t xml:space="preserve"> cen</w:t>
                            </w:r>
                            <w:r w:rsidR="00854836">
                              <w:t>y</w:t>
                            </w:r>
                            <w:r w:rsidR="00F00A70">
                              <w:t xml:space="preserve"> produkcji budowlano-montażowej</w:t>
                            </w:r>
                            <w:r w:rsidR="001D1E21">
                              <w:t xml:space="preserve"> </w:t>
                            </w:r>
                            <w:r w:rsidR="0074063E">
                              <w:t>w</w:t>
                            </w:r>
                            <w:r w:rsidR="00FD211F">
                              <w:t> </w:t>
                            </w:r>
                            <w:r w:rsidR="0074063E">
                              <w:t>stosunku do</w:t>
                            </w:r>
                            <w:r w:rsidR="00360A52">
                              <w:t> </w:t>
                            </w:r>
                            <w:r w:rsidR="008A5DAB">
                              <w:t>poprzedniego miesi</w:t>
                            </w:r>
                            <w:r w:rsidR="00851AC9">
                              <w:t>ą</w:t>
                            </w:r>
                            <w:r w:rsidR="008A5DAB">
                              <w:t>ca</w:t>
                            </w:r>
                            <w:r w:rsidR="00854836">
                              <w:t xml:space="preserve"> </w:t>
                            </w:r>
                            <w:r w:rsidR="004B36A5">
                              <w:t xml:space="preserve">wzrosły </w:t>
                            </w:r>
                            <w:r w:rsidR="00A910E6">
                              <w:t xml:space="preserve">o </w:t>
                            </w:r>
                            <w:r w:rsidR="00681768">
                              <w:t>0,3</w:t>
                            </w:r>
                            <w:r w:rsidR="0074063E" w:rsidRPr="004C42F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4322A" id="Pole tekstowe 25" o:spid="_x0000_s1028" type="#_x0000_t202" alt="We wrześniu 2024 r. ceny produkcji budowlano-montażowej w stosunku do poprzedniego miesiąca wzrosły o 0,3%" style="position:absolute;margin-left:449.15pt;margin-top:30.05pt;width:135.8pt;height:77.4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" filled="f" stroked="f" strokeweight=".5pt">
                <v:textbox>
                  <w:txbxContent>
                    <w:p w:rsidR="001578AB" w:rsidRPr="00E15CF4" w:rsidRDefault="00547819" w:rsidP="001578AB">
                      <w:pPr>
                        <w:pStyle w:val="tekstzboku"/>
                        <w:rPr>
                          <w:strike/>
                        </w:rPr>
                      </w:pPr>
                      <w:r>
                        <w:t>We wrześniu</w:t>
                      </w:r>
                      <w:r w:rsidR="005A3221">
                        <w:t xml:space="preserve"> 2024</w:t>
                      </w:r>
                      <w:r w:rsidR="00F00A70" w:rsidRPr="00BB423E">
                        <w:t xml:space="preserve"> r</w:t>
                      </w:r>
                      <w:r w:rsidR="00854836" w:rsidRPr="00BB423E">
                        <w:t>.</w:t>
                      </w:r>
                      <w:r w:rsidR="002F4DB5">
                        <w:t xml:space="preserve"> cen</w:t>
                      </w:r>
                      <w:r w:rsidR="00854836">
                        <w:t>y</w:t>
                      </w:r>
                      <w:r w:rsidR="00F00A70">
                        <w:t xml:space="preserve"> produkcji budowlano-montażowej</w:t>
                      </w:r>
                      <w:r w:rsidR="001D1E21">
                        <w:t xml:space="preserve"> </w:t>
                      </w:r>
                      <w:r w:rsidR="0074063E">
                        <w:t>w</w:t>
                      </w:r>
                      <w:r w:rsidR="00FD211F">
                        <w:t> </w:t>
                      </w:r>
                      <w:r w:rsidR="0074063E">
                        <w:t>stosunku do</w:t>
                      </w:r>
                      <w:r w:rsidR="00360A52">
                        <w:t> </w:t>
                      </w:r>
                      <w:r w:rsidR="008A5DAB">
                        <w:t>poprzedniego miesi</w:t>
                      </w:r>
                      <w:r w:rsidR="00851AC9">
                        <w:t>ą</w:t>
                      </w:r>
                      <w:r w:rsidR="008A5DAB">
                        <w:t>ca</w:t>
                      </w:r>
                      <w:r w:rsidR="00854836">
                        <w:t xml:space="preserve"> </w:t>
                      </w:r>
                      <w:r w:rsidR="004B36A5">
                        <w:t xml:space="preserve">wzrosły </w:t>
                      </w:r>
                      <w:r w:rsidR="00A910E6">
                        <w:t xml:space="preserve">o </w:t>
                      </w:r>
                      <w:r w:rsidR="00681768">
                        <w:t>0,3</w:t>
                      </w:r>
                      <w:r w:rsidR="0074063E" w:rsidRPr="004C42F1">
                        <w:t>%</w:t>
                      </w:r>
                    </w:p>
                  </w:txbxContent>
                </v:textbox>
                <w10:wrap anchorx="page"/>
              </v:shape>
            </w:pict>
          </mc:Fallback>
        </mc:AlternateContent>
      </w:r>
    </w:p>
    <w:p w:rsidR="001578AB" w:rsidRDefault="003977D0" w:rsidP="00966C9A">
      <w:pPr>
        <w:pStyle w:val="Tablicanotka"/>
      </w:pPr>
      <w:r>
        <w:rPr>
          <w:rFonts w:ascii="Fira Sans SemiBold" w:eastAsia="Times New Roman" w:hAnsi="Fira Sans SemiBold" w:cs="Times New Roman"/>
          <w:b/>
          <w:bCs/>
          <w:sz w:val="18"/>
          <w:szCs w:val="18"/>
          <w:lang w:eastAsia="pl-PL"/>
        </w:rPr>
        <w:drawing>
          <wp:anchor distT="0" distB="0" distL="114300" distR="114300" simplePos="0" relativeHeight="251928576" behindDoc="0" locked="0" layoutInCell="1" allowOverlap="1" wp14:anchorId="08DC919E" wp14:editId="16AE72E0">
            <wp:simplePos x="0" y="0"/>
            <wp:positionH relativeFrom="margin">
              <wp:align>right</wp:align>
            </wp:positionH>
            <wp:positionV relativeFrom="paragraph">
              <wp:posOffset>2540</wp:posOffset>
            </wp:positionV>
            <wp:extent cx="5122545" cy="2707200"/>
            <wp:effectExtent l="0" t="0" r="0" b="0"/>
            <wp:wrapTopAndBottom/>
            <wp:docPr id="3" name="Wykres 3" descr="Wykres 1. Zmiany cen produkcji budowlano-montażowej w latach 2023-2024 w porównaniu z poprzednim okresem"/>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p>
    <w:p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rsidR="00DE4A46" w:rsidRDefault="00DE4A46" w:rsidP="00DE4A46">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t>Wykres 2. Zmiany cen produkcji budowlano-montażowej w latach 202</w:t>
      </w:r>
      <w:r w:rsidR="003D340A">
        <w:rPr>
          <w:rFonts w:ascii="Fira Sans SemiBold" w:eastAsia="Times New Roman" w:hAnsi="Fira Sans SemiBold" w:cs="Times New Roman"/>
          <w:b/>
          <w:bCs/>
          <w:noProof/>
          <w:sz w:val="18"/>
          <w:szCs w:val="18"/>
          <w:lang w:eastAsia="pl-PL"/>
        </w:rPr>
        <w:t>3 </w:t>
      </w:r>
      <w:r w:rsidRPr="008D0278">
        <w:rPr>
          <w:rFonts w:ascii="Fira Sans SemiBold" w:eastAsia="Times New Roman" w:hAnsi="Fira Sans SemiBold" w:cs="Times New Roman"/>
          <w:b/>
          <w:bCs/>
          <w:noProof/>
          <w:sz w:val="18"/>
          <w:szCs w:val="18"/>
          <w:lang w:eastAsia="pl-PL"/>
        </w:rPr>
        <w:t>-</w:t>
      </w:r>
      <w:r w:rsidR="003D340A">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Pr="008D0278">
        <w:rPr>
          <w:rFonts w:ascii="Fira Sans SemiBold" w:eastAsia="Times New Roman" w:hAnsi="Fira Sans SemiBold" w:cs="Times New Roman"/>
          <w:b/>
          <w:bCs/>
          <w:noProof/>
          <w:sz w:val="18"/>
          <w:szCs w:val="18"/>
          <w:lang w:eastAsia="pl-PL"/>
        </w:rPr>
        <w:t xml:space="preserve"> w </w:t>
      </w:r>
      <w:r w:rsidR="005A3221">
        <w:rPr>
          <w:rFonts w:ascii="Fira Sans SemiBold" w:eastAsia="Times New Roman" w:hAnsi="Fira Sans SemiBold" w:cs="Times New Roman"/>
          <w:b/>
          <w:bCs/>
          <w:noProof/>
          <w:sz w:val="18"/>
          <w:szCs w:val="18"/>
          <w:lang w:eastAsia="pl-PL"/>
        </w:rPr>
        <w:t>porównaniu z</w:t>
      </w:r>
      <w:r w:rsidR="00360A52">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analogiczn</w:t>
      </w:r>
      <w:r w:rsidR="005A3221">
        <w:rPr>
          <w:rFonts w:ascii="Fira Sans SemiBold" w:eastAsia="Times New Roman" w:hAnsi="Fira Sans SemiBold" w:cs="Times New Roman"/>
          <w:b/>
          <w:bCs/>
          <w:noProof/>
          <w:sz w:val="18"/>
          <w:szCs w:val="18"/>
          <w:lang w:eastAsia="pl-PL"/>
        </w:rPr>
        <w:t>ym</w:t>
      </w:r>
      <w:r w:rsidRPr="008D0278">
        <w:rPr>
          <w:rFonts w:ascii="Fira Sans SemiBold" w:eastAsia="Times New Roman" w:hAnsi="Fira Sans SemiBold" w:cs="Times New Roman"/>
          <w:b/>
          <w:bCs/>
          <w:noProof/>
          <w:sz w:val="18"/>
          <w:szCs w:val="18"/>
          <w:lang w:eastAsia="pl-PL"/>
        </w:rPr>
        <w:t xml:space="preserve"> okres</w:t>
      </w:r>
      <w:r w:rsidR="005A3221">
        <w:rPr>
          <w:rFonts w:ascii="Fira Sans SemiBold" w:eastAsia="Times New Roman" w:hAnsi="Fira Sans SemiBold" w:cs="Times New Roman"/>
          <w:b/>
          <w:bCs/>
          <w:noProof/>
          <w:sz w:val="18"/>
          <w:szCs w:val="18"/>
          <w:lang w:eastAsia="pl-PL"/>
        </w:rPr>
        <w:t>em</w:t>
      </w:r>
      <w:r w:rsidRPr="008D0278">
        <w:rPr>
          <w:rFonts w:ascii="Fira Sans SemiBold" w:eastAsia="Times New Roman" w:hAnsi="Fira Sans SemiBold" w:cs="Times New Roman"/>
          <w:b/>
          <w:bCs/>
          <w:noProof/>
          <w:sz w:val="18"/>
          <w:szCs w:val="18"/>
          <w:lang w:eastAsia="pl-PL"/>
        </w:rPr>
        <w:t xml:space="preserve"> roku poprzedniego</w:t>
      </w:r>
    </w:p>
    <w:p w:rsidR="003977D0" w:rsidRDefault="003977D0" w:rsidP="00DE4A46">
      <w:pPr>
        <w:spacing w:line="288" w:lineRule="auto"/>
        <w:ind w:left="851" w:hanging="851"/>
        <w:rPr>
          <w:rFonts w:ascii="Fira Sans SemiBold" w:eastAsia="Times New Roman" w:hAnsi="Fira Sans SemiBold" w:cs="Times New Roman"/>
          <w:b/>
          <w:bCs/>
          <w:noProof/>
          <w:sz w:val="18"/>
          <w:szCs w:val="18"/>
          <w:lang w:eastAsia="pl-PL"/>
        </w:rPr>
      </w:pPr>
    </w:p>
    <w:p w:rsidR="00A910E6" w:rsidRDefault="00A910E6" w:rsidP="00BB1006">
      <w:pPr>
        <w:spacing w:line="288" w:lineRule="auto"/>
        <w:ind w:left="851" w:hanging="851"/>
        <w:rPr>
          <w:noProof/>
          <w:lang w:eastAsia="pl-PL"/>
        </w:rPr>
      </w:pPr>
    </w:p>
    <w:p w:rsidR="00233338" w:rsidRDefault="00FC77AE" w:rsidP="00BB1006">
      <w:pPr>
        <w:spacing w:line="288" w:lineRule="auto"/>
        <w:ind w:left="851" w:hanging="851"/>
        <w:rPr>
          <w:noProof/>
          <w:lang w:eastAsia="pl-PL"/>
        </w:rPr>
      </w:pPr>
      <w:r>
        <w:rPr>
          <w:rFonts w:ascii="Fira Sans SemiBold" w:eastAsia="Times New Roman" w:hAnsi="Fira Sans SemiBold" w:cs="Times New Roman"/>
          <w:b/>
          <w:bCs/>
          <w:noProof/>
          <w:sz w:val="18"/>
          <w:szCs w:val="18"/>
          <w:lang w:eastAsia="pl-PL"/>
        </w:rPr>
        <w:drawing>
          <wp:anchor distT="0" distB="0" distL="114300" distR="114300" simplePos="0" relativeHeight="251929600" behindDoc="0" locked="0" layoutInCell="1" allowOverlap="1" wp14:anchorId="478733C5" wp14:editId="5C390CC0">
            <wp:simplePos x="0" y="0"/>
            <wp:positionH relativeFrom="margin">
              <wp:posOffset>76200</wp:posOffset>
            </wp:positionH>
            <wp:positionV relativeFrom="paragraph">
              <wp:posOffset>86360</wp:posOffset>
            </wp:positionV>
            <wp:extent cx="5122545" cy="2620800"/>
            <wp:effectExtent l="0" t="0" r="1905" b="8255"/>
            <wp:wrapTopAndBottom/>
            <wp:docPr id="16" name="Wykres 16" descr="Wykres 2. Zmiany cen produkcji budowlano-montażowej w latach 2023 - 2024 w porównaniu z analogicznym okresem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Pr="00127824">
        <w:rPr>
          <w:noProof/>
          <w:lang w:eastAsia="pl-PL"/>
        </w:rPr>
        <mc:AlternateContent>
          <mc:Choice Requires="wps">
            <w:drawing>
              <wp:anchor distT="0" distB="0" distL="114300" distR="114300" simplePos="0" relativeHeight="251769856" behindDoc="0" locked="0" layoutInCell="1" allowOverlap="1" wp14:anchorId="49F3F6C5" wp14:editId="25647A50">
                <wp:simplePos x="0" y="0"/>
                <wp:positionH relativeFrom="page">
                  <wp:posOffset>5783580</wp:posOffset>
                </wp:positionH>
                <wp:positionV relativeFrom="paragraph">
                  <wp:posOffset>307975</wp:posOffset>
                </wp:positionV>
                <wp:extent cx="1623060" cy="845820"/>
                <wp:effectExtent l="0" t="0" r="0" b="0"/>
                <wp:wrapNone/>
                <wp:docPr id="15" name="Pole tekstowe 15" descr="We wrześniu 2024 r. ceny produkcji budowlano-montażowej były wyższe w skali roku o 5,0%"/>
                <wp:cNvGraphicFramePr/>
                <a:graphic xmlns:a="http://schemas.openxmlformats.org/drawingml/2006/main">
                  <a:graphicData uri="http://schemas.microsoft.com/office/word/2010/wordprocessingShape">
                    <wps:wsp>
                      <wps:cNvSpPr txBox="1"/>
                      <wps:spPr>
                        <a:xfrm>
                          <a:off x="0" y="0"/>
                          <a:ext cx="1623060" cy="845820"/>
                        </a:xfrm>
                        <a:prstGeom prst="rect">
                          <a:avLst/>
                        </a:prstGeom>
                        <a:noFill/>
                        <a:ln w="6350">
                          <a:noFill/>
                        </a:ln>
                        <a:effectLst/>
                      </wps:spPr>
                      <wps:txbx>
                        <w:txbxContent>
                          <w:p w:rsidR="00BB1006" w:rsidRDefault="00241724" w:rsidP="00BB1006">
                            <w:pPr>
                              <w:pStyle w:val="tekstzboku"/>
                            </w:pPr>
                            <w:r>
                              <w:rPr>
                                <w:bCs w:val="0"/>
                              </w:rPr>
                              <w:t>W</w:t>
                            </w:r>
                            <w:r w:rsidR="00547819">
                              <w:rPr>
                                <w:bCs w:val="0"/>
                              </w:rPr>
                              <w:t>e wrześniu</w:t>
                            </w:r>
                            <w:r w:rsidR="003613EE">
                              <w:rPr>
                                <w:bCs w:val="0"/>
                              </w:rPr>
                              <w:t xml:space="preserve"> </w:t>
                            </w:r>
                            <w:r w:rsidR="00962CD9">
                              <w:rPr>
                                <w:bCs w:val="0"/>
                              </w:rPr>
                              <w:t xml:space="preserve">2024 r. </w:t>
                            </w:r>
                            <w:r w:rsidR="003613EE">
                              <w:rPr>
                                <w:bCs w:val="0"/>
                              </w:rPr>
                              <w:t>cen</w:t>
                            </w:r>
                            <w:r>
                              <w:rPr>
                                <w:bCs w:val="0"/>
                              </w:rPr>
                              <w:t>y</w:t>
                            </w:r>
                            <w:r w:rsidR="003613EE">
                              <w:rPr>
                                <w:bCs w:val="0"/>
                              </w:rPr>
                              <w:t xml:space="preserve"> produkcji budowlano-montażowej </w:t>
                            </w:r>
                            <w:r w:rsidR="00962CD9">
                              <w:rPr>
                                <w:bCs w:val="0"/>
                              </w:rPr>
                              <w:t>były</w:t>
                            </w:r>
                            <w:r w:rsidR="00DE0E21">
                              <w:rPr>
                                <w:bCs w:val="0"/>
                              </w:rPr>
                              <w:t xml:space="preserve"> wyższe</w:t>
                            </w:r>
                            <w:r w:rsidR="00962CD9">
                              <w:rPr>
                                <w:bCs w:val="0"/>
                              </w:rPr>
                              <w:t xml:space="preserve"> </w:t>
                            </w:r>
                            <w:r w:rsidR="003613EE">
                              <w:rPr>
                                <w:bCs w:val="0"/>
                              </w:rPr>
                              <w:t>w</w:t>
                            </w:r>
                            <w:r w:rsidR="00664AFD">
                              <w:rPr>
                                <w:bCs w:val="0"/>
                              </w:rPr>
                              <w:t> </w:t>
                            </w:r>
                            <w:r w:rsidR="003613EE">
                              <w:rPr>
                                <w:bCs w:val="0"/>
                              </w:rPr>
                              <w:t>skali roku</w:t>
                            </w:r>
                            <w:r w:rsidR="00962CD9">
                              <w:rPr>
                                <w:bCs w:val="0"/>
                              </w:rPr>
                              <w:t xml:space="preserve"> o </w:t>
                            </w:r>
                            <w:r w:rsidR="00681768">
                              <w:rPr>
                                <w:bCs w:val="0"/>
                              </w:rPr>
                              <w:t>5,0</w:t>
                            </w:r>
                            <w:r w:rsidR="00962CD9">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F6C5" id="Pole tekstowe 15" o:spid="_x0000_s1029" type="#_x0000_t202" alt="We wrześniu 2024 r. ceny produkcji budowlano-montażowej były wyższe w skali roku o 5,0%" style="position:absolute;left:0;text-align:left;margin-left:455.4pt;margin-top:24.25pt;width:127.8pt;height:66.6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" filled="f" stroked="f" strokeweight=".5pt">
                <v:textbox>
                  <w:txbxContent>
                    <w:p w:rsidR="00BB1006" w:rsidRDefault="00241724" w:rsidP="00BB1006">
                      <w:pPr>
                        <w:pStyle w:val="tekstzboku"/>
                      </w:pPr>
                      <w:r>
                        <w:rPr>
                          <w:bCs w:val="0"/>
                        </w:rPr>
                        <w:t>W</w:t>
                      </w:r>
                      <w:r w:rsidR="00547819">
                        <w:rPr>
                          <w:bCs w:val="0"/>
                        </w:rPr>
                        <w:t>e wrześniu</w:t>
                      </w:r>
                      <w:r w:rsidR="003613EE">
                        <w:rPr>
                          <w:bCs w:val="0"/>
                        </w:rPr>
                        <w:t xml:space="preserve"> </w:t>
                      </w:r>
                      <w:r w:rsidR="00962CD9">
                        <w:rPr>
                          <w:bCs w:val="0"/>
                        </w:rPr>
                        <w:t xml:space="preserve">2024 r. </w:t>
                      </w:r>
                      <w:r w:rsidR="003613EE">
                        <w:rPr>
                          <w:bCs w:val="0"/>
                        </w:rPr>
                        <w:t>cen</w:t>
                      </w:r>
                      <w:r>
                        <w:rPr>
                          <w:bCs w:val="0"/>
                        </w:rPr>
                        <w:t>y</w:t>
                      </w:r>
                      <w:r w:rsidR="003613EE">
                        <w:rPr>
                          <w:bCs w:val="0"/>
                        </w:rPr>
                        <w:t xml:space="preserve"> produkcji budowlano-montażowej </w:t>
                      </w:r>
                      <w:r w:rsidR="00962CD9">
                        <w:rPr>
                          <w:bCs w:val="0"/>
                        </w:rPr>
                        <w:t>były</w:t>
                      </w:r>
                      <w:r w:rsidR="00DE0E21">
                        <w:rPr>
                          <w:bCs w:val="0"/>
                        </w:rPr>
                        <w:t xml:space="preserve"> wyższe</w:t>
                      </w:r>
                      <w:r w:rsidR="00962CD9">
                        <w:rPr>
                          <w:bCs w:val="0"/>
                        </w:rPr>
                        <w:t xml:space="preserve"> </w:t>
                      </w:r>
                      <w:r w:rsidR="003613EE">
                        <w:rPr>
                          <w:bCs w:val="0"/>
                        </w:rPr>
                        <w:t>w</w:t>
                      </w:r>
                      <w:r w:rsidR="00664AFD">
                        <w:rPr>
                          <w:bCs w:val="0"/>
                        </w:rPr>
                        <w:t> </w:t>
                      </w:r>
                      <w:r w:rsidR="003613EE">
                        <w:rPr>
                          <w:bCs w:val="0"/>
                        </w:rPr>
                        <w:t>skali roku</w:t>
                      </w:r>
                      <w:r w:rsidR="00962CD9">
                        <w:rPr>
                          <w:bCs w:val="0"/>
                        </w:rPr>
                        <w:t xml:space="preserve"> o </w:t>
                      </w:r>
                      <w:r w:rsidR="00681768">
                        <w:rPr>
                          <w:bCs w:val="0"/>
                        </w:rPr>
                        <w:t>5,0</w:t>
                      </w:r>
                      <w:r w:rsidR="00962CD9">
                        <w:rPr>
                          <w:bCs w:val="0"/>
                        </w:rPr>
                        <w:t>%</w:t>
                      </w:r>
                    </w:p>
                  </w:txbxContent>
                </v:textbox>
                <w10:wrap anchorx="page"/>
              </v:shape>
            </w:pict>
          </mc:Fallback>
        </mc:AlternateContent>
      </w:r>
    </w:p>
    <w:p w:rsidR="00A910E6" w:rsidRDefault="00A910E6" w:rsidP="00BB1006">
      <w:pPr>
        <w:spacing w:line="288" w:lineRule="auto"/>
        <w:ind w:left="851" w:hanging="851"/>
        <w:rPr>
          <w:rFonts w:ascii="Fira Sans SemiBold" w:eastAsia="Times New Roman" w:hAnsi="Fira Sans SemiBold" w:cs="Times New Roman"/>
          <w:b/>
          <w:bCs/>
          <w:noProof/>
          <w:sz w:val="18"/>
          <w:szCs w:val="18"/>
          <w:lang w:eastAsia="pl-PL"/>
        </w:rPr>
      </w:pPr>
    </w:p>
    <w:p w:rsidR="00A910E6" w:rsidRDefault="00A910E6">
      <w:pPr>
        <w:spacing w:before="0" w:after="160" w:line="259" w:lineRule="auto"/>
        <w:rPr>
          <w:rFonts w:ascii="Fira Sans SemiBold" w:eastAsia="Times New Roman" w:hAnsi="Fira Sans SemiBold" w:cs="Times New Roman"/>
          <w:b/>
          <w:bCs/>
          <w:noProof/>
          <w:sz w:val="18"/>
          <w:szCs w:val="18"/>
          <w:lang w:eastAsia="pl-PL"/>
        </w:rPr>
      </w:pPr>
      <w:r>
        <w:rPr>
          <w:rFonts w:ascii="Fira Sans SemiBold" w:eastAsia="Times New Roman" w:hAnsi="Fira Sans SemiBold" w:cs="Times New Roman"/>
          <w:b/>
          <w:bCs/>
          <w:noProof/>
          <w:sz w:val="18"/>
          <w:szCs w:val="18"/>
          <w:lang w:eastAsia="pl-PL"/>
        </w:rPr>
        <w:br w:type="page"/>
      </w:r>
    </w:p>
    <w:p w:rsidR="00BB1006" w:rsidRDefault="00BB1006" w:rsidP="00BB1006">
      <w:pPr>
        <w:spacing w:line="288" w:lineRule="auto"/>
        <w:ind w:left="851" w:hanging="851"/>
        <w:rPr>
          <w:rFonts w:ascii="Fira Sans SemiBold" w:eastAsia="Times New Roman" w:hAnsi="Fira Sans SemiBold" w:cs="Times New Roman"/>
          <w:b/>
          <w:bCs/>
          <w:noProof/>
          <w:sz w:val="18"/>
          <w:szCs w:val="18"/>
          <w:lang w:eastAsia="pl-PL"/>
        </w:rPr>
      </w:pPr>
      <w:r w:rsidRPr="004510EC">
        <w:rPr>
          <w:rFonts w:ascii="Fira Sans SemiBold" w:eastAsia="Times New Roman" w:hAnsi="Fira Sans SemiBold" w:cs="Times New Roman"/>
          <w:b/>
          <w:bCs/>
          <w:noProof/>
          <w:sz w:val="18"/>
          <w:szCs w:val="18"/>
          <w:lang w:eastAsia="pl-PL"/>
        </w:rPr>
        <w:lastRenderedPageBreak/>
        <w:t>Wykres 3. Zmiany cen produkcji budowlano-montażowej według działów PKD w latach</w:t>
      </w:r>
      <w:r w:rsidRPr="008D0278">
        <w:rPr>
          <w:rFonts w:eastAsia="Times New Roman" w:cs="Times New Roman"/>
          <w:b/>
          <w:bCs/>
          <w:noProof/>
          <w:sz w:val="18"/>
          <w:szCs w:val="18"/>
          <w:lang w:eastAsia="pl-PL"/>
        </w:rPr>
        <w:t xml:space="preserve"> </w:t>
      </w:r>
      <w:r w:rsidRPr="004510EC">
        <w:rPr>
          <w:rFonts w:ascii="Fira Sans SemiBold" w:eastAsia="Times New Roman" w:hAnsi="Fira Sans SemiBold" w:cs="Times New Roman"/>
          <w:b/>
          <w:bCs/>
          <w:noProof/>
          <w:sz w:val="18"/>
          <w:szCs w:val="18"/>
          <w:lang w:eastAsia="pl-PL"/>
        </w:rPr>
        <w:t>202</w:t>
      </w:r>
      <w:r w:rsidR="003D340A">
        <w:rPr>
          <w:rFonts w:ascii="Fira Sans SemiBold" w:eastAsia="Times New Roman" w:hAnsi="Fira Sans SemiBold" w:cs="Times New Roman"/>
          <w:b/>
          <w:bCs/>
          <w:noProof/>
          <w:sz w:val="18"/>
          <w:szCs w:val="18"/>
          <w:lang w:eastAsia="pl-PL"/>
        </w:rPr>
        <w:t>3</w:t>
      </w:r>
      <w:r w:rsidR="00EC5400">
        <w:rPr>
          <w:rFonts w:ascii="Fira Sans SemiBold" w:eastAsia="Times New Roman" w:hAnsi="Fira Sans SemiBold" w:cs="Times New Roman"/>
          <w:b/>
          <w:bCs/>
          <w:noProof/>
          <w:sz w:val="18"/>
          <w:szCs w:val="18"/>
          <w:lang w:eastAsia="pl-PL"/>
        </w:rPr>
        <w:t> – </w:t>
      </w:r>
      <w:r w:rsidR="00FD461A">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00EC5400">
        <w:rPr>
          <w:rFonts w:ascii="Fira Sans SemiBold" w:eastAsia="Times New Roman" w:hAnsi="Fira Sans SemiBold" w:cs="Times New Roman"/>
          <w:b/>
          <w:bCs/>
          <w:noProof/>
          <w:sz w:val="18"/>
          <w:szCs w:val="18"/>
          <w:lang w:eastAsia="pl-PL"/>
        </w:rPr>
        <w:t> </w:t>
      </w:r>
      <w:r w:rsidRPr="004510EC">
        <w:rPr>
          <w:rFonts w:ascii="Fira Sans SemiBold" w:eastAsia="Times New Roman" w:hAnsi="Fira Sans SemiBold" w:cs="Times New Roman"/>
          <w:b/>
          <w:bCs/>
          <w:noProof/>
          <w:sz w:val="18"/>
          <w:szCs w:val="18"/>
          <w:lang w:eastAsia="pl-PL"/>
        </w:rPr>
        <w:t xml:space="preserve">w </w:t>
      </w:r>
      <w:r w:rsidR="005A3221">
        <w:rPr>
          <w:rFonts w:ascii="Fira Sans SemiBold" w:eastAsia="Times New Roman" w:hAnsi="Fira Sans SemiBold" w:cs="Times New Roman"/>
          <w:b/>
          <w:bCs/>
          <w:noProof/>
          <w:sz w:val="18"/>
          <w:szCs w:val="18"/>
          <w:lang w:eastAsia="pl-PL"/>
        </w:rPr>
        <w:t>porównaniu z</w:t>
      </w:r>
      <w:r w:rsidRPr="004510EC">
        <w:rPr>
          <w:rFonts w:ascii="Fira Sans SemiBold" w:eastAsia="Times New Roman" w:hAnsi="Fira Sans SemiBold" w:cs="Times New Roman"/>
          <w:b/>
          <w:bCs/>
          <w:noProof/>
          <w:sz w:val="18"/>
          <w:szCs w:val="18"/>
          <w:lang w:eastAsia="pl-PL"/>
        </w:rPr>
        <w:t xml:space="preserve"> grudni</w:t>
      </w:r>
      <w:r w:rsidR="005A3221">
        <w:rPr>
          <w:rFonts w:ascii="Fira Sans SemiBold" w:eastAsia="Times New Roman" w:hAnsi="Fira Sans SemiBold" w:cs="Times New Roman"/>
          <w:b/>
          <w:bCs/>
          <w:noProof/>
          <w:sz w:val="18"/>
          <w:szCs w:val="18"/>
          <w:lang w:eastAsia="pl-PL"/>
        </w:rPr>
        <w:t>em</w:t>
      </w:r>
      <w:r w:rsidRPr="004510EC">
        <w:rPr>
          <w:rFonts w:ascii="Fira Sans SemiBold" w:eastAsia="Times New Roman" w:hAnsi="Fira Sans SemiBold" w:cs="Times New Roman"/>
          <w:b/>
          <w:bCs/>
          <w:noProof/>
          <w:sz w:val="18"/>
          <w:szCs w:val="18"/>
          <w:lang w:eastAsia="pl-PL"/>
        </w:rPr>
        <w:t xml:space="preserve"> 20</w:t>
      </w:r>
      <w:r w:rsidR="00DA7D9B">
        <w:rPr>
          <w:rFonts w:ascii="Fira Sans SemiBold" w:eastAsia="Times New Roman" w:hAnsi="Fira Sans SemiBold" w:cs="Times New Roman"/>
          <w:b/>
          <w:bCs/>
          <w:noProof/>
          <w:sz w:val="18"/>
          <w:szCs w:val="18"/>
          <w:lang w:eastAsia="pl-PL"/>
        </w:rPr>
        <w:t>2</w:t>
      </w:r>
      <w:r w:rsidR="0003538A">
        <w:rPr>
          <w:rFonts w:ascii="Fira Sans SemiBold" w:eastAsia="Times New Roman" w:hAnsi="Fira Sans SemiBold" w:cs="Times New Roman"/>
          <w:b/>
          <w:bCs/>
          <w:noProof/>
          <w:sz w:val="18"/>
          <w:szCs w:val="18"/>
          <w:lang w:eastAsia="pl-PL"/>
        </w:rPr>
        <w:t>2</w:t>
      </w:r>
      <w:r w:rsidR="00D14CF8">
        <w:rPr>
          <w:rFonts w:ascii="Fira Sans SemiBold" w:eastAsia="Times New Roman" w:hAnsi="Fira Sans SemiBold" w:cs="Times New Roman"/>
          <w:b/>
          <w:bCs/>
          <w:noProof/>
          <w:sz w:val="18"/>
          <w:szCs w:val="18"/>
          <w:lang w:eastAsia="pl-PL"/>
        </w:rPr>
        <w:t xml:space="preserve"> </w:t>
      </w:r>
      <w:r w:rsidRPr="004510EC">
        <w:rPr>
          <w:rFonts w:ascii="Fira Sans SemiBold" w:eastAsia="Times New Roman" w:hAnsi="Fira Sans SemiBold" w:cs="Times New Roman"/>
          <w:b/>
          <w:bCs/>
          <w:noProof/>
          <w:sz w:val="18"/>
          <w:szCs w:val="18"/>
          <w:lang w:eastAsia="pl-PL"/>
        </w:rPr>
        <w:t>r.</w:t>
      </w:r>
    </w:p>
    <w:p w:rsidR="00664AFD" w:rsidRDefault="00681768" w:rsidP="00272DFC">
      <w:pPr>
        <w:spacing w:line="360" w:lineRule="auto"/>
        <w:ind w:left="851" w:hanging="851"/>
        <w:rPr>
          <w:rFonts w:ascii="Fira Sans SemiBold" w:eastAsia="Times New Roman" w:hAnsi="Fira Sans SemiBold" w:cs="Times New Roman"/>
          <w:b/>
          <w:bCs/>
          <w:noProof/>
          <w:sz w:val="18"/>
          <w:szCs w:val="18"/>
          <w:lang w:eastAsia="pl-PL"/>
        </w:rPr>
      </w:pPr>
      <w:r>
        <w:rPr>
          <w:rFonts w:ascii="Fira Sans SemiBold" w:eastAsia="Times New Roman" w:hAnsi="Fira Sans SemiBold" w:cs="Times New Roman"/>
          <w:b/>
          <w:bCs/>
          <w:noProof/>
          <w:sz w:val="18"/>
          <w:szCs w:val="18"/>
          <w:lang w:eastAsia="pl-PL"/>
        </w:rPr>
        <w:drawing>
          <wp:anchor distT="0" distB="0" distL="114300" distR="114300" simplePos="0" relativeHeight="251930624" behindDoc="0" locked="0" layoutInCell="1" allowOverlap="1" wp14:anchorId="11E2FA83">
            <wp:simplePos x="0" y="0"/>
            <wp:positionH relativeFrom="margin">
              <wp:align>left</wp:align>
            </wp:positionH>
            <wp:positionV relativeFrom="paragraph">
              <wp:posOffset>157249</wp:posOffset>
            </wp:positionV>
            <wp:extent cx="5222875" cy="3408045"/>
            <wp:effectExtent l="0" t="0" r="0" b="1905"/>
            <wp:wrapTopAndBottom/>
            <wp:docPr id="17" name="Wykres 17" descr="Wykres 3. Zmiany cen produkcji budowlano-montażowej według działów PKD w latach 2023 – 2024 w porównaniu z grudniem 2022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7124F1" w:rsidRPr="00127824">
        <w:rPr>
          <w:noProof/>
          <w:lang w:eastAsia="pl-PL"/>
        </w:rPr>
        <mc:AlternateContent>
          <mc:Choice Requires="wps">
            <w:drawing>
              <wp:anchor distT="0" distB="0" distL="114300" distR="114300" simplePos="0" relativeHeight="251767808" behindDoc="0" locked="0" layoutInCell="1" allowOverlap="1" wp14:anchorId="7B5A89BA" wp14:editId="6EC40B52">
                <wp:simplePos x="0" y="0"/>
                <wp:positionH relativeFrom="page">
                  <wp:posOffset>5711780</wp:posOffset>
                </wp:positionH>
                <wp:positionV relativeFrom="paragraph">
                  <wp:posOffset>460080</wp:posOffset>
                </wp:positionV>
                <wp:extent cx="1784985" cy="920839"/>
                <wp:effectExtent l="0" t="0" r="0" b="0"/>
                <wp:wrapNone/>
                <wp:docPr id="13" name="Pole tekstowe 13" descr="W stosunku do grudnia 2022 r. najbardziej wzrosły ceny budowy obiektów inżynierii lądowej i wodnej &#10;"/>
                <wp:cNvGraphicFramePr/>
                <a:graphic xmlns:a="http://schemas.openxmlformats.org/drawingml/2006/main">
                  <a:graphicData uri="http://schemas.microsoft.com/office/word/2010/wordprocessingShape">
                    <wps:wsp>
                      <wps:cNvSpPr txBox="1"/>
                      <wps:spPr>
                        <a:xfrm>
                          <a:off x="0" y="0"/>
                          <a:ext cx="1784985" cy="920839"/>
                        </a:xfrm>
                        <a:prstGeom prst="rect">
                          <a:avLst/>
                        </a:prstGeom>
                        <a:noFill/>
                        <a:ln w="6350">
                          <a:noFill/>
                        </a:ln>
                        <a:effectLst/>
                      </wps:spPr>
                      <wps:txbx>
                        <w:txbxContent>
                          <w:p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03538A">
                              <w:rPr>
                                <w:bCs w:val="0"/>
                              </w:rPr>
                              <w:t>2</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A89BA" id="Pole tekstowe 13" o:spid="_x0000_s1030" type="#_x0000_t202" alt="W stosunku do grudnia 2022 r. najbardziej wzrosły ceny budowy obiektów inżynierii lądowej i wodnej &#10;" style="position:absolute;left:0;text-align:left;margin-left:449.75pt;margin-top:36.25pt;width:140.55pt;height:7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" filled="f" stroked="f" strokeweight=".5pt">
                <v:textbox>
                  <w:txbxContent>
                    <w:p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03538A">
                        <w:rPr>
                          <w:bCs w:val="0"/>
                        </w:rPr>
                        <w:t>2</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w:t>
                      </w:r>
                      <w:bookmarkStart w:id="1" w:name="_GoBack"/>
                      <w:bookmarkEnd w:id="1"/>
                      <w:r w:rsidR="00A901EB" w:rsidRPr="004130B5">
                        <w:rPr>
                          <w:bCs w:val="0"/>
                        </w:rPr>
                        <w:t>ektów inżynierii lądowej i wodnej</w:t>
                      </w:r>
                    </w:p>
                  </w:txbxContent>
                </v:textbox>
                <w10:wrap anchorx="page"/>
              </v:shape>
            </w:pict>
          </mc:Fallback>
        </mc:AlternateContent>
      </w:r>
    </w:p>
    <w:p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rsidR="004818A7" w:rsidRDefault="004818A7" w:rsidP="00BB1006">
      <w:pPr>
        <w:spacing w:line="288" w:lineRule="auto"/>
        <w:ind w:left="851" w:hanging="851"/>
        <w:rPr>
          <w:rFonts w:ascii="Fira Sans SemiBold" w:eastAsia="Times New Roman" w:hAnsi="Fira Sans SemiBold" w:cs="Times New Roman"/>
          <w:b/>
          <w:bCs/>
          <w:noProof/>
          <w:sz w:val="18"/>
          <w:szCs w:val="18"/>
          <w:lang w:eastAsia="pl-PL"/>
        </w:rPr>
      </w:pPr>
    </w:p>
    <w:p w:rsidR="00765293" w:rsidRDefault="00765293" w:rsidP="00BB1006">
      <w:pPr>
        <w:spacing w:line="288" w:lineRule="auto"/>
        <w:ind w:left="851" w:hanging="851"/>
        <w:rPr>
          <w:rFonts w:ascii="Fira Sans SemiBold" w:eastAsia="Times New Roman" w:hAnsi="Fira Sans SemiBold" w:cs="Times New Roman"/>
          <w:b/>
          <w:bCs/>
          <w:noProof/>
          <w:sz w:val="18"/>
          <w:szCs w:val="18"/>
          <w:lang w:eastAsia="pl-PL"/>
        </w:rPr>
      </w:pPr>
    </w:p>
    <w:p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rsidR="00BB1006" w:rsidRDefault="00317455" w:rsidP="00BB1006">
      <w:pPr>
        <w:rPr>
          <w:rFonts w:ascii="Calibri" w:hAnsi="Calibri"/>
          <w:sz w:val="22"/>
        </w:rPr>
      </w:pPr>
      <w:r w:rsidRPr="00317455">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rsidR="00BB1006" w:rsidRDefault="00BB1006" w:rsidP="00DA331D">
      <w:pPr>
        <w:spacing w:before="360"/>
        <w:rPr>
          <w:sz w:val="18"/>
        </w:rPr>
      </w:pPr>
    </w:p>
    <w:p w:rsidR="007B63D4" w:rsidRDefault="007B63D4" w:rsidP="00DA331D">
      <w:pPr>
        <w:spacing w:before="360"/>
        <w:rPr>
          <w:sz w:val="18"/>
        </w:rPr>
      </w:pPr>
    </w:p>
    <w:p w:rsidR="007B63D4" w:rsidRDefault="007B63D4" w:rsidP="00DA331D">
      <w:pPr>
        <w:spacing w:before="360"/>
        <w:rPr>
          <w:sz w:val="18"/>
        </w:rPr>
      </w:pPr>
    </w:p>
    <w:p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17455" w:rsidTr="00B84C43">
        <w:trPr>
          <w:trHeight w:val="1626"/>
        </w:trPr>
        <w:tc>
          <w:tcPr>
            <w:tcW w:w="4926" w:type="dxa"/>
          </w:tcPr>
          <w:p w:rsidR="00317455" w:rsidRPr="004A1D19" w:rsidRDefault="00317455" w:rsidP="00317455">
            <w:pPr>
              <w:spacing w:before="0" w:after="0" w:line="276" w:lineRule="auto"/>
              <w:rPr>
                <w:rFonts w:cs="Arial"/>
                <w:sz w:val="20"/>
              </w:rPr>
            </w:pPr>
            <w:r w:rsidRPr="004A1D19">
              <w:rPr>
                <w:rFonts w:cs="Arial"/>
                <w:sz w:val="20"/>
              </w:rPr>
              <w:lastRenderedPageBreak/>
              <w:t>Opracowanie merytoryczne:</w:t>
            </w:r>
          </w:p>
          <w:p w:rsidR="00317455" w:rsidRPr="008925F0" w:rsidRDefault="00317455" w:rsidP="00317455">
            <w:pPr>
              <w:spacing w:before="0" w:line="276" w:lineRule="auto"/>
              <w:rPr>
                <w:rFonts w:cs="Arial"/>
                <w:b/>
                <w:color w:val="000000" w:themeColor="text1"/>
                <w:sz w:val="20"/>
              </w:rPr>
            </w:pPr>
            <w:r w:rsidRPr="008925F0">
              <w:rPr>
                <w:rFonts w:cs="Arial"/>
                <w:b/>
                <w:color w:val="000000" w:themeColor="text1"/>
                <w:sz w:val="20"/>
              </w:rPr>
              <w:t xml:space="preserve">Departament </w:t>
            </w:r>
            <w:r>
              <w:rPr>
                <w:rFonts w:cs="Arial"/>
                <w:b/>
                <w:color w:val="000000" w:themeColor="text1"/>
                <w:sz w:val="20"/>
              </w:rPr>
              <w:t>Handlu i Usług</w:t>
            </w:r>
          </w:p>
          <w:p w:rsidR="00317455" w:rsidRPr="00DE2400" w:rsidRDefault="00317455" w:rsidP="00317455">
            <w:pPr>
              <w:spacing w:before="0" w:after="0" w:line="276" w:lineRule="auto"/>
              <w:rPr>
                <w:b/>
                <w:lang w:val="fi-FI"/>
              </w:rPr>
            </w:pPr>
            <w:r w:rsidRPr="00DE2400">
              <w:rPr>
                <w:b/>
                <w:lang w:val="fi-FI"/>
              </w:rPr>
              <w:t xml:space="preserve">Dyrektor </w:t>
            </w:r>
            <w:r>
              <w:rPr>
                <w:rFonts w:cs="Arial"/>
                <w:b/>
                <w:color w:val="000000" w:themeColor="text1"/>
                <w:sz w:val="20"/>
                <w:szCs w:val="28"/>
              </w:rPr>
              <w:t>Ewa Adach-Stankiewicz</w:t>
            </w:r>
          </w:p>
          <w:p w:rsidR="00317455" w:rsidRPr="00AB24E4" w:rsidRDefault="00317455" w:rsidP="00317455">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22</w:t>
            </w:r>
            <w:r w:rsidRPr="00AC6DB5">
              <w:rPr>
                <w:rFonts w:ascii="Fira Sans" w:hAnsi="Fira Sans" w:cs="Arial"/>
                <w:color w:val="000000" w:themeColor="text1"/>
                <w:sz w:val="20"/>
                <w:lang w:val="fi-FI"/>
              </w:rPr>
              <w:t> 608 3</w:t>
            </w:r>
            <w:r>
              <w:rPr>
                <w:rFonts w:ascii="Fira Sans" w:hAnsi="Fira Sans" w:cs="Arial"/>
                <w:color w:val="000000" w:themeColor="text1"/>
                <w:sz w:val="20"/>
                <w:lang w:val="fi-FI"/>
              </w:rPr>
              <w:t>1 24</w:t>
            </w:r>
          </w:p>
        </w:tc>
        <w:tc>
          <w:tcPr>
            <w:tcW w:w="4927" w:type="dxa"/>
          </w:tcPr>
          <w:p w:rsidR="00A64DDF" w:rsidRDefault="00A64DDF" w:rsidP="00A64DDF">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rsidR="00A64DDF" w:rsidRDefault="00A64DDF" w:rsidP="00A64DDF">
            <w:r>
              <w:t>Tel. komórkowy: +48 695 255 032</w:t>
            </w:r>
          </w:p>
          <w:p w:rsidR="00A64DDF" w:rsidRDefault="00A64DDF" w:rsidP="00A64DDF">
            <w:pPr>
              <w:ind w:left="1494" w:hanging="1494"/>
            </w:pPr>
            <w:r>
              <w:t>Tel. stacjonarne: +48 22 608 38 04, +48 22 449 41 45,     +48 22 608 30 09</w:t>
            </w:r>
          </w:p>
          <w:p w:rsidR="00317455" w:rsidRDefault="00A64DDF" w:rsidP="00A64DDF">
            <w:pPr>
              <w:pStyle w:val="Nagwek3"/>
              <w:spacing w:before="0" w:after="120" w:line="276" w:lineRule="auto"/>
              <w:outlineLvl w:val="2"/>
              <w:rPr>
                <w:rStyle w:val="Hipercze"/>
                <w:rFonts w:cs="Arial"/>
                <w:b/>
                <w:color w:val="auto"/>
                <w:sz w:val="20"/>
                <w:szCs w:val="20"/>
              </w:rPr>
            </w:pPr>
            <w:r w:rsidRPr="00610ED9">
              <w:rPr>
                <w:b/>
                <w:sz w:val="20"/>
              </w:rPr>
              <w:t>e-mail:</w:t>
            </w:r>
            <w:r w:rsidRPr="00610ED9">
              <w:rPr>
                <w:sz w:val="20"/>
              </w:rPr>
              <w:t xml:space="preserve"> </w:t>
            </w:r>
            <w:hyperlink r:id="rId17" w:history="1">
              <w:r w:rsidRPr="00610ED9">
                <w:rPr>
                  <w:rStyle w:val="Hipercze"/>
                  <w:rFonts w:cs="Arial"/>
                  <w:b/>
                  <w:color w:val="auto"/>
                  <w:sz w:val="20"/>
                  <w:szCs w:val="20"/>
                </w:rPr>
                <w:t>obslugaprasowa@stat.gov.pl</w:t>
              </w:r>
            </w:hyperlink>
          </w:p>
          <w:p w:rsidR="00206C20" w:rsidRPr="00206C20" w:rsidRDefault="00206C20" w:rsidP="00206C20"/>
        </w:tc>
      </w:tr>
      <w:tr w:rsidR="00317455" w:rsidTr="00B84C43">
        <w:trPr>
          <w:trHeight w:val="418"/>
        </w:trPr>
        <w:tc>
          <w:tcPr>
            <w:tcW w:w="4926" w:type="dxa"/>
            <w:vMerge w:val="restart"/>
          </w:tcPr>
          <w:p w:rsidR="00317455" w:rsidRPr="00F05FC7" w:rsidRDefault="00317455" w:rsidP="00317455">
            <w:pPr>
              <w:rPr>
                <w:sz w:val="18"/>
                <w:lang w:val="en-US"/>
              </w:rPr>
            </w:pPr>
          </w:p>
        </w:tc>
        <w:tc>
          <w:tcPr>
            <w:tcW w:w="4927" w:type="dxa"/>
            <w:vAlign w:val="center"/>
          </w:tcPr>
          <w:p w:rsidR="00317455" w:rsidRDefault="00317455" w:rsidP="00317455">
            <w:pPr>
              <w:ind w:firstLine="680"/>
              <w:rPr>
                <w:sz w:val="18"/>
              </w:rPr>
            </w:pPr>
            <w:r>
              <w:rPr>
                <w:noProof/>
                <w:sz w:val="20"/>
                <w:lang w:eastAsia="pl-PL"/>
              </w:rPr>
              <w:drawing>
                <wp:anchor distT="0" distB="0" distL="114300" distR="114300" simplePos="0" relativeHeight="251885568" behindDoc="0" locked="0" layoutInCell="1" allowOverlap="1" wp14:anchorId="4415AF50" wp14:editId="0EF35FA4">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317455" w:rsidTr="00B84C43">
        <w:trPr>
          <w:trHeight w:val="418"/>
        </w:trPr>
        <w:tc>
          <w:tcPr>
            <w:tcW w:w="4926" w:type="dxa"/>
            <w:vMerge/>
          </w:tcPr>
          <w:p w:rsidR="00317455" w:rsidRPr="00C91687" w:rsidRDefault="00317455" w:rsidP="00317455">
            <w:pPr>
              <w:rPr>
                <w:b/>
                <w:sz w:val="20"/>
              </w:rPr>
            </w:pPr>
          </w:p>
        </w:tc>
        <w:tc>
          <w:tcPr>
            <w:tcW w:w="4927" w:type="dxa"/>
            <w:vAlign w:val="center"/>
          </w:tcPr>
          <w:p w:rsidR="00317455" w:rsidRDefault="00317455" w:rsidP="00317455">
            <w:pPr>
              <w:ind w:firstLine="680"/>
              <w:rPr>
                <w:sz w:val="18"/>
              </w:rPr>
            </w:pPr>
            <w:r>
              <w:rPr>
                <w:noProof/>
                <w:sz w:val="20"/>
                <w:lang w:eastAsia="pl-PL"/>
              </w:rPr>
              <w:drawing>
                <wp:anchor distT="0" distB="0" distL="114300" distR="114300" simplePos="0" relativeHeight="251886592" behindDoc="0" locked="0" layoutInCell="1" allowOverlap="1" wp14:anchorId="29A8C64F" wp14:editId="4ACC9339">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317455" w:rsidTr="00B84C43">
        <w:trPr>
          <w:trHeight w:val="476"/>
        </w:trPr>
        <w:tc>
          <w:tcPr>
            <w:tcW w:w="4926" w:type="dxa"/>
            <w:vMerge/>
          </w:tcPr>
          <w:p w:rsidR="00317455" w:rsidRPr="00C91687" w:rsidRDefault="00317455" w:rsidP="00317455">
            <w:pPr>
              <w:rPr>
                <w:b/>
                <w:sz w:val="20"/>
              </w:rPr>
            </w:pPr>
          </w:p>
        </w:tc>
        <w:tc>
          <w:tcPr>
            <w:tcW w:w="4927" w:type="dxa"/>
          </w:tcPr>
          <w:p w:rsidR="00317455" w:rsidRDefault="00317455" w:rsidP="00317455">
            <w:pPr>
              <w:ind w:firstLine="680"/>
              <w:rPr>
                <w:sz w:val="18"/>
              </w:rPr>
            </w:pPr>
            <w:r>
              <w:rPr>
                <w:noProof/>
                <w:sz w:val="20"/>
                <w:lang w:eastAsia="pl-PL"/>
              </w:rPr>
              <w:drawing>
                <wp:anchor distT="0" distB="0" distL="114300" distR="114300" simplePos="0" relativeHeight="251887616" behindDoc="0" locked="0" layoutInCell="1" allowOverlap="1" wp14:anchorId="2538D956" wp14:editId="10F673B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317455" w:rsidTr="00B84C43">
        <w:trPr>
          <w:trHeight w:val="426"/>
        </w:trPr>
        <w:tc>
          <w:tcPr>
            <w:tcW w:w="4926" w:type="dxa"/>
          </w:tcPr>
          <w:p w:rsidR="00317455" w:rsidRPr="00C91687" w:rsidRDefault="00317455" w:rsidP="00317455">
            <w:pPr>
              <w:rPr>
                <w:b/>
                <w:sz w:val="20"/>
              </w:rPr>
            </w:pPr>
          </w:p>
        </w:tc>
        <w:tc>
          <w:tcPr>
            <w:tcW w:w="4927" w:type="dxa"/>
          </w:tcPr>
          <w:p w:rsidR="00317455" w:rsidRDefault="00317455" w:rsidP="00317455">
            <w:pPr>
              <w:ind w:firstLine="680"/>
              <w:rPr>
                <w:noProof/>
                <w:sz w:val="20"/>
                <w:lang w:eastAsia="pl-PL"/>
              </w:rPr>
            </w:pPr>
            <w:r>
              <w:rPr>
                <w:noProof/>
                <w:sz w:val="20"/>
                <w:lang w:eastAsia="pl-PL"/>
              </w:rPr>
              <w:drawing>
                <wp:anchor distT="0" distB="0" distL="114300" distR="114300" simplePos="0" relativeHeight="251888640" behindDoc="0" locked="0" layoutInCell="1" allowOverlap="1" wp14:anchorId="59C2D5AD" wp14:editId="228C3AA5">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317455" w:rsidTr="00B84C43">
        <w:trPr>
          <w:trHeight w:val="504"/>
        </w:trPr>
        <w:tc>
          <w:tcPr>
            <w:tcW w:w="4926" w:type="dxa"/>
          </w:tcPr>
          <w:p w:rsidR="00317455" w:rsidRPr="00C91687" w:rsidRDefault="00317455" w:rsidP="00317455">
            <w:pPr>
              <w:rPr>
                <w:b/>
                <w:sz w:val="20"/>
              </w:rPr>
            </w:pPr>
          </w:p>
        </w:tc>
        <w:tc>
          <w:tcPr>
            <w:tcW w:w="4927" w:type="dxa"/>
          </w:tcPr>
          <w:p w:rsidR="00317455" w:rsidRDefault="00317455" w:rsidP="00317455">
            <w:pPr>
              <w:ind w:firstLine="680"/>
              <w:rPr>
                <w:noProof/>
                <w:sz w:val="20"/>
                <w:lang w:eastAsia="pl-PL"/>
              </w:rPr>
            </w:pPr>
            <w:r>
              <w:rPr>
                <w:noProof/>
                <w:sz w:val="20"/>
                <w:lang w:eastAsia="pl-PL"/>
              </w:rPr>
              <w:drawing>
                <wp:anchor distT="0" distB="0" distL="114300" distR="114300" simplePos="0" relativeHeight="251889664" behindDoc="0" locked="0" layoutInCell="1" allowOverlap="1" wp14:anchorId="78B29BE3" wp14:editId="77134C65">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17455" w:rsidTr="00B84C43">
        <w:trPr>
          <w:trHeight w:val="1546"/>
        </w:trPr>
        <w:tc>
          <w:tcPr>
            <w:tcW w:w="4926" w:type="dxa"/>
          </w:tcPr>
          <w:p w:rsidR="00317455" w:rsidRPr="00C91687" w:rsidRDefault="00317455" w:rsidP="00317455">
            <w:pPr>
              <w:rPr>
                <w:b/>
                <w:sz w:val="20"/>
              </w:rPr>
            </w:pPr>
          </w:p>
        </w:tc>
        <w:tc>
          <w:tcPr>
            <w:tcW w:w="4927" w:type="dxa"/>
          </w:tcPr>
          <w:p w:rsidR="00317455" w:rsidRDefault="00317455" w:rsidP="00317455">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890688" behindDoc="0" locked="0" layoutInCell="1" allowOverlap="1" wp14:anchorId="3A66C57D" wp14:editId="13B31D8F">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Tr="00B84C43">
        <w:trPr>
          <w:trHeight w:val="4114"/>
        </w:trPr>
        <w:tc>
          <w:tcPr>
            <w:tcW w:w="9853" w:type="dxa"/>
            <w:gridSpan w:val="2"/>
            <w:shd w:val="clear" w:color="auto" w:fill="D9D9D9" w:themeFill="background1" w:themeFillShade="D9"/>
          </w:tcPr>
          <w:p w:rsidR="00531873" w:rsidRPr="00876479" w:rsidRDefault="00531873" w:rsidP="00531873">
            <w:pPr>
              <w:shd w:val="clear" w:color="auto" w:fill="D9D9D9" w:themeFill="background1" w:themeFillShade="D9"/>
              <w:rPr>
                <w:b/>
              </w:rPr>
            </w:pPr>
            <w:r w:rsidRPr="00210B1C">
              <w:rPr>
                <w:b/>
              </w:rPr>
              <w:t>Powiązane opracowania</w:t>
            </w:r>
          </w:p>
          <w:p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547819">
              <w:rPr>
                <w:color w:val="001381"/>
                <w:sz w:val="18"/>
                <w:szCs w:val="18"/>
              </w:rPr>
              <w:instrText>HYPERLINK "https://stat.gov.pl/obszary-tematyczne/inne-opracowania/informacje-o-sytuacji-spoleczno-gospodarczej/biuletyn-statystyczny-nr-82024,4,153.html" \o "Link do publikacji  Biuletyn Statystyczny"</w:instrText>
            </w:r>
            <w:r w:rsidRPr="008F2660">
              <w:rPr>
                <w:color w:val="001381"/>
                <w:sz w:val="18"/>
                <w:szCs w:val="18"/>
              </w:rPr>
              <w:fldChar w:fldCharType="separate"/>
            </w:r>
            <w:r w:rsidRPr="008F2660">
              <w:rPr>
                <w:rStyle w:val="Hipercze"/>
                <w:rFonts w:cstheme="minorBidi"/>
                <w:color w:val="001381"/>
                <w:sz w:val="18"/>
                <w:szCs w:val="18"/>
              </w:rPr>
              <w:t>Biuletyn Statystyczny</w:t>
            </w:r>
          </w:p>
          <w:p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974795">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rsidR="007A4583" w:rsidRDefault="0015476B" w:rsidP="0015476B">
            <w:pPr>
              <w:jc w:val="both"/>
              <w:rPr>
                <w:sz w:val="18"/>
                <w:szCs w:val="18"/>
              </w:rPr>
            </w:pPr>
            <w:r>
              <w:rPr>
                <w:sz w:val="18"/>
                <w:szCs w:val="18"/>
              </w:rPr>
              <w:fldChar w:fldCharType="end"/>
            </w:r>
          </w:p>
          <w:p w:rsidR="00531873" w:rsidRPr="00694D63" w:rsidRDefault="00531873" w:rsidP="0015476B">
            <w:pPr>
              <w:jc w:val="both"/>
              <w:rPr>
                <w:b/>
                <w:color w:val="000000" w:themeColor="text1"/>
                <w:szCs w:val="24"/>
              </w:rPr>
            </w:pPr>
            <w:r>
              <w:rPr>
                <w:b/>
                <w:color w:val="000000" w:themeColor="text1"/>
                <w:szCs w:val="24"/>
              </w:rPr>
              <w:t>Temat dostępny w bazach danych</w:t>
            </w:r>
          </w:p>
          <w:p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8B1614">
              <w:rPr>
                <w:rStyle w:val="Hipercze"/>
                <w:rFonts w:cstheme="minorBidi"/>
                <w:color w:val="001381"/>
                <w:sz w:val="18"/>
                <w:szCs w:val="18"/>
              </w:rPr>
              <w:instrText>HYPERLINK "https://dbw.stat.gov.pl/"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Dziedzinowa Baza Wiedzy Ceny</w:t>
            </w:r>
          </w:p>
          <w:p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rsidR="00531873" w:rsidRPr="007A4583"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E767DC" w:rsidRPr="007A4583">
              <w:rPr>
                <w:rStyle w:val="Hipercze"/>
                <w:rFonts w:cstheme="minorBidi"/>
                <w:color w:val="001381"/>
                <w:sz w:val="18"/>
                <w:szCs w:val="18"/>
              </w:rPr>
              <w:t>Wskaźniki cen (Obszary tematyczne: Ceny, Handel)</w:t>
            </w:r>
          </w:p>
          <w:p w:rsidR="00531873" w:rsidRPr="007A4583" w:rsidRDefault="00531873" w:rsidP="00531873">
            <w:pPr>
              <w:rPr>
                <w:rStyle w:val="Hipercze"/>
                <w:rFonts w:cstheme="minorBidi"/>
                <w:color w:val="auto"/>
                <w:u w:val="none"/>
              </w:rPr>
            </w:pPr>
            <w:r w:rsidRPr="007A4583">
              <w:rPr>
                <w:rStyle w:val="Hipercze"/>
                <w:rFonts w:cstheme="minorBidi"/>
                <w:color w:val="auto"/>
                <w:u w:val="none"/>
              </w:rPr>
              <w:fldChar w:fldCharType="begin"/>
            </w:r>
            <w:r w:rsidRPr="007A4583">
              <w:rPr>
                <w:rStyle w:val="Hipercze"/>
                <w:rFonts w:cstheme="minorBidi"/>
                <w:color w:val="auto"/>
                <w:u w:val="none"/>
              </w:rPr>
              <w:instrText xml:space="preserve"> HYPERLINK "https://stat.gov.pl/" \o "Link do danych w bazie..." </w:instrText>
            </w:r>
            <w:r w:rsidRPr="007A4583">
              <w:rPr>
                <w:rStyle w:val="Hipercze"/>
                <w:rFonts w:cstheme="minorBidi"/>
                <w:color w:val="auto"/>
                <w:u w:val="none"/>
              </w:rPr>
              <w:fldChar w:fldCharType="separate"/>
            </w:r>
          </w:p>
          <w:p w:rsidR="00531873" w:rsidRPr="00694D63" w:rsidRDefault="00531873" w:rsidP="007A4583">
            <w:pPr>
              <w:rPr>
                <w:b/>
                <w:color w:val="000000" w:themeColor="text1"/>
                <w:szCs w:val="24"/>
              </w:rPr>
            </w:pPr>
            <w:r w:rsidRPr="007A4583">
              <w:rPr>
                <w:rStyle w:val="Hipercze"/>
                <w:rFonts w:cstheme="minorBidi"/>
                <w:color w:val="auto"/>
                <w:u w:val="none"/>
              </w:rPr>
              <w:fldChar w:fldCharType="end"/>
            </w:r>
            <w:r w:rsidRPr="00694D63">
              <w:rPr>
                <w:b/>
                <w:color w:val="000000" w:themeColor="text1"/>
                <w:szCs w:val="24"/>
              </w:rPr>
              <w:t>Ważniejsze pojęcia dostępne w słowniku</w:t>
            </w:r>
          </w:p>
          <w:p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rsidR="00531873" w:rsidRPr="007A4583" w:rsidRDefault="00531873" w:rsidP="00531873">
            <w:pPr>
              <w:rPr>
                <w:rStyle w:val="Hipercze"/>
                <w:rFonts w:cstheme="minorBidi"/>
                <w:color w:val="auto"/>
                <w:u w:val="none"/>
              </w:rPr>
            </w:pPr>
          </w:p>
          <w:p w:rsidR="00531873" w:rsidRPr="007A4583" w:rsidRDefault="00531873" w:rsidP="00531873">
            <w:pPr>
              <w:rPr>
                <w:rStyle w:val="Hipercze"/>
                <w:rFonts w:cstheme="minorBidi"/>
                <w:color w:val="auto"/>
                <w:u w:val="none"/>
              </w:rPr>
            </w:pPr>
          </w:p>
          <w:p w:rsidR="00531873" w:rsidRPr="007A4583" w:rsidRDefault="00531873" w:rsidP="00531873">
            <w:pPr>
              <w:rPr>
                <w:rStyle w:val="Hipercze"/>
                <w:rFonts w:cstheme="minorBidi"/>
                <w:color w:val="auto"/>
                <w:u w:val="none"/>
              </w:rPr>
            </w:pPr>
          </w:p>
          <w:p w:rsidR="00531873" w:rsidRPr="007B63D4" w:rsidRDefault="00531873" w:rsidP="00531873">
            <w:pPr>
              <w:rPr>
                <w:b/>
                <w:color w:val="000000" w:themeColor="text1"/>
                <w:szCs w:val="24"/>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7B63D4" w:rsidRDefault="000470AA" w:rsidP="00D00796">
            <w:pPr>
              <w:pStyle w:val="Nagwek3"/>
              <w:spacing w:before="0" w:line="240" w:lineRule="auto"/>
              <w:rPr>
                <w:rFonts w:ascii="Fira Sans" w:hAnsi="Fira Sans" w:cs="Arial"/>
                <w:color w:val="auto"/>
                <w:sz w:val="20"/>
                <w:szCs w:val="20"/>
              </w:rPr>
            </w:pPr>
          </w:p>
        </w:tc>
      </w:tr>
    </w:tbl>
    <w:p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5702" w:rsidRDefault="00AB5702" w:rsidP="000662E2">
      <w:pPr>
        <w:spacing w:after="0" w:line="240" w:lineRule="auto"/>
      </w:pPr>
      <w:r>
        <w:separator/>
      </w:r>
    </w:p>
  </w:endnote>
  <w:endnote w:type="continuationSeparator" w:id="0">
    <w:p w:rsidR="00AB5702" w:rsidRDefault="00AB5702"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FE176FED-FBB7-4759-8AC9-2EB47475CAC6}"/>
    <w:embedBold r:id="rId2" w:fontKey="{6B70E523-EA1D-4132-BB91-42CD754108FE}"/>
    <w:embedItalic r:id="rId3" w:fontKey="{39E681C5-CBDC-4BC2-8B70-96BEF2A15168}"/>
  </w:font>
  <w:font w:name="Fira Sans Light">
    <w:panose1 w:val="020B0403050000020004"/>
    <w:charset w:val="EE"/>
    <w:family w:val="swiss"/>
    <w:pitch w:val="variable"/>
    <w:sig w:usb0="600002FF" w:usb1="02000001" w:usb2="00000000" w:usb3="00000000" w:csb0="0000019F" w:csb1="00000000"/>
    <w:embedRegular r:id="rId4" w:fontKey="{0B31E5C5-AF16-4D3E-8D44-E4D8707F1C70}"/>
    <w:embedBold r:id="rId5" w:fontKey="{FAA9495D-676D-4382-9DB7-57A8BAC06CC7}"/>
    <w:embedItalic r:id="rId6" w:fontKey="{A862E8A0-3092-4BE7-A321-3D5B983AAA0C}"/>
  </w:font>
  <w:font w:name="Fira Sans SemiBold">
    <w:panose1 w:val="020B0603050000020004"/>
    <w:charset w:val="EE"/>
    <w:family w:val="swiss"/>
    <w:pitch w:val="variable"/>
    <w:sig w:usb0="600002FF" w:usb1="02000001" w:usb2="00000000" w:usb3="00000000" w:csb0="0000019F" w:csb1="00000000"/>
    <w:embedRegular r:id="rId7" w:fontKey="{957B1C56-E860-40B1-80E8-DD5A5CF1D855}"/>
    <w:embedBold r:id="rId8" w:fontKey="{0AB0C816-0934-43E1-8800-A83C2FABFA3A}"/>
  </w:font>
  <w:font w:name="Fira Sans Medium">
    <w:panose1 w:val="020B0603050000020004"/>
    <w:charset w:val="EE"/>
    <w:family w:val="swiss"/>
    <w:pitch w:val="variable"/>
    <w:sig w:usb0="600002FF" w:usb1="02000001" w:usb2="00000000" w:usb3="00000000" w:csb0="0000019F" w:csb1="00000000"/>
    <w:embedRegular r:id="rId9" w:fontKey="{FD72C58E-0BA5-416F-A098-C31C765A3A38}"/>
    <w:embedBold r:id="rId10" w:fontKey="{EFE21FDB-DE05-4643-B2F8-561E38421BE8}"/>
    <w:embedItalic r:id="rId11" w:fontKey="{BFBC0B4B-346D-462E-91FF-820E232AA2DB}"/>
  </w:font>
  <w:font w:name="Segoe UI">
    <w:panose1 w:val="020B0502040204020203"/>
    <w:charset w:val="EE"/>
    <w:family w:val="swiss"/>
    <w:pitch w:val="variable"/>
    <w:sig w:usb0="E4002EFF" w:usb1="C000E47F" w:usb2="00000009" w:usb3="00000000" w:csb0="000001FF" w:csb1="00000000"/>
    <w:embedRegular r:id="rId12" w:fontKey="{9FF30375-15AD-445C-BA99-72C3FA302792}"/>
  </w:font>
  <w:font w:name="Fira Sans Extra Condensed SemiB">
    <w:panose1 w:val="020B0603050000020004"/>
    <w:charset w:val="EE"/>
    <w:family w:val="swiss"/>
    <w:pitch w:val="variable"/>
    <w:sig w:usb0="600002FF" w:usb1="00000001" w:usb2="00000000" w:usb3="00000000" w:csb0="0000019F" w:csb1="00000000"/>
    <w:embedRegular r:id="rId13" w:fontKey="{DFE170D6-79D6-4CEF-92F7-409CC437A615}"/>
  </w:font>
  <w:font w:name="Calibri">
    <w:panose1 w:val="020F0502020204030204"/>
    <w:charset w:val="EE"/>
    <w:family w:val="swiss"/>
    <w:pitch w:val="variable"/>
    <w:sig w:usb0="E4002EFF" w:usb1="C000247B" w:usb2="00000009" w:usb3="00000000" w:csb0="000001FF" w:csb1="00000000"/>
    <w:embedRegular r:id="rId14" w:fontKey="{16F736F5-BA21-4B7D-9053-AD7DAA361D2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5702" w:rsidRDefault="00AB5702" w:rsidP="000662E2">
      <w:pPr>
        <w:spacing w:after="0" w:line="240" w:lineRule="auto"/>
      </w:pPr>
      <w:r>
        <w:separator/>
      </w:r>
    </w:p>
  </w:footnote>
  <w:footnote w:type="continuationSeparator" w:id="0">
    <w:p w:rsidR="00AB5702" w:rsidRDefault="00AB5702"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170B5BC" wp14:editId="7BF8AA5C">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B20CB"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0DAC8D0D" wp14:editId="2FABE87E">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7102E929" wp14:editId="17B7BD5D">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2E929"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EB3333">
      <w:rPr>
        <w:noProof/>
        <w:lang w:eastAsia="pl-PL"/>
      </w:rPr>
      <w:t xml:space="preserve"> </w:t>
    </w:r>
    <w:r w:rsidR="00540C5C" w:rsidRPr="00540C5C">
      <w:rPr>
        <w:noProof/>
      </w:rPr>
      <w:t xml:space="preserve"> </w:t>
    </w:r>
  </w:p>
  <w:p w:rsidR="00540C5C" w:rsidRDefault="00410FA5">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7EE848D0" wp14:editId="3E163D59">
              <wp:simplePos x="0" y="0"/>
              <wp:positionH relativeFrom="page">
                <wp:align>right</wp:align>
              </wp:positionH>
              <wp:positionV relativeFrom="paragraph">
                <wp:posOffset>243205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F92DE" id="Prostokąt 10" o:spid="_x0000_s1026" style="position:absolute;margin-left:96.2pt;margin-top:19.15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" fillcolor="#f2f2f2" stroked="f" strokeweight="1pt">
              <w10:wrap type="tight" anchorx="page"/>
            </v:rect>
          </w:pict>
        </mc:Fallback>
      </mc:AlternateContent>
    </w: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5EDBDD82" wp14:editId="5632F092">
              <wp:simplePos x="0" y="0"/>
              <wp:positionH relativeFrom="column">
                <wp:posOffset>5287976</wp:posOffset>
              </wp:positionH>
              <wp:positionV relativeFrom="paragraph">
                <wp:posOffset>266065</wp:posOffset>
              </wp:positionV>
              <wp:extent cx="1432293" cy="336589"/>
              <wp:effectExtent l="0" t="0" r="0" b="6350"/>
              <wp:wrapNone/>
              <wp:docPr id="8" name="Pole tekstowe 2" descr="21.10.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7A3E6E" w:rsidP="00F049AB">
                          <w:pPr>
                            <w:pStyle w:val="Datainformacjisygnalnej"/>
                          </w:pPr>
                          <w:r>
                            <w:t>21.10</w:t>
                          </w:r>
                          <w:r w:rsidR="000E6EA7">
                            <w:t>.</w:t>
                          </w:r>
                          <w:r w:rsidR="00316A71">
                            <w:t>202</w:t>
                          </w:r>
                          <w:r w:rsidR="00284CA5">
                            <w:t>4</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DBDD82" id="_x0000_t202" coordsize="21600,21600" o:spt="202" path="m,l,21600r21600,l21600,xe">
              <v:stroke joinstyle="miter"/>
              <v:path gradientshapeok="t" o:connecttype="rect"/>
            </v:shapetype>
            <v:shape id="_x0000_s1032" type="#_x0000_t202" alt="21.10.2024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&#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Wei5cSACAAAUBAAADgAAAAAAAAAAAAAAAAAuAgAAZHJzL2Uyb0RvYy54bWxQ&#10;SwECLQAUAAYACAAAACEAtMlX394AAAAKAQAADwAAAAAAAAAAAAAAAAB6BAAAZHJzL2Rvd25yZXYu&#10;eG1sUEsFBgAAAAAEAAQA8wAAAIUFAAAAAA==&#10;" filled="f" stroked="f">
              <v:textbox>
                <w:txbxContent>
                  <w:p w:rsidR="00F37172" w:rsidRPr="00A01B40" w:rsidRDefault="007A3E6E" w:rsidP="00F049AB">
                    <w:pPr>
                      <w:pStyle w:val="Datainformacjisygnalnej"/>
                    </w:pPr>
                    <w:r>
                      <w:t>21.10</w:t>
                    </w:r>
                    <w:r w:rsidR="000E6EA7">
                      <w:t>.</w:t>
                    </w:r>
                    <w:r w:rsidR="00316A71">
                      <w:t>202</w:t>
                    </w:r>
                    <w:r w:rsidR="00284CA5">
                      <w:t>4</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124.5pt;height:125.5pt;visibility:visible;mso-wrap-style:square" o:bullet="t">
        <v:imagedata r:id="rId1" o:title=""/>
      </v:shape>
    </w:pict>
  </w:numPicBullet>
  <w:numPicBullet w:numPicBulletId="1">
    <w:pict>
      <v:shape id="_x0000_i1137" type="#_x0000_t75" style="width:122.5pt;height:125.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2B07"/>
    <w:rsid w:val="00003437"/>
    <w:rsid w:val="00003BD1"/>
    <w:rsid w:val="00004010"/>
    <w:rsid w:val="00004FD8"/>
    <w:rsid w:val="000066E7"/>
    <w:rsid w:val="00006A33"/>
    <w:rsid w:val="0000709F"/>
    <w:rsid w:val="00007311"/>
    <w:rsid w:val="0001027E"/>
    <w:rsid w:val="000108B8"/>
    <w:rsid w:val="00010DF6"/>
    <w:rsid w:val="000121F6"/>
    <w:rsid w:val="00014098"/>
    <w:rsid w:val="00014331"/>
    <w:rsid w:val="00014470"/>
    <w:rsid w:val="000152F5"/>
    <w:rsid w:val="00015458"/>
    <w:rsid w:val="0001585A"/>
    <w:rsid w:val="0001623A"/>
    <w:rsid w:val="00020673"/>
    <w:rsid w:val="00022780"/>
    <w:rsid w:val="0002374D"/>
    <w:rsid w:val="00024043"/>
    <w:rsid w:val="000245D6"/>
    <w:rsid w:val="00025823"/>
    <w:rsid w:val="00027A6B"/>
    <w:rsid w:val="00027DEE"/>
    <w:rsid w:val="00027E94"/>
    <w:rsid w:val="000308F4"/>
    <w:rsid w:val="00031C74"/>
    <w:rsid w:val="00033194"/>
    <w:rsid w:val="00033429"/>
    <w:rsid w:val="00034499"/>
    <w:rsid w:val="0003538A"/>
    <w:rsid w:val="00037EBF"/>
    <w:rsid w:val="00037F75"/>
    <w:rsid w:val="000402B5"/>
    <w:rsid w:val="000403CB"/>
    <w:rsid w:val="00040959"/>
    <w:rsid w:val="00041491"/>
    <w:rsid w:val="0004197F"/>
    <w:rsid w:val="0004248F"/>
    <w:rsid w:val="00042F5F"/>
    <w:rsid w:val="00043B26"/>
    <w:rsid w:val="00044115"/>
    <w:rsid w:val="000441DE"/>
    <w:rsid w:val="0004513F"/>
    <w:rsid w:val="0004582E"/>
    <w:rsid w:val="00046A89"/>
    <w:rsid w:val="00046AB3"/>
    <w:rsid w:val="00046F3E"/>
    <w:rsid w:val="000470AA"/>
    <w:rsid w:val="0005781E"/>
    <w:rsid w:val="00057CA1"/>
    <w:rsid w:val="000606C9"/>
    <w:rsid w:val="00061FC5"/>
    <w:rsid w:val="000647A9"/>
    <w:rsid w:val="00065ED4"/>
    <w:rsid w:val="000662E2"/>
    <w:rsid w:val="00066883"/>
    <w:rsid w:val="00066C6B"/>
    <w:rsid w:val="000672A9"/>
    <w:rsid w:val="0006797B"/>
    <w:rsid w:val="00067C4B"/>
    <w:rsid w:val="00070D26"/>
    <w:rsid w:val="00071B39"/>
    <w:rsid w:val="00073683"/>
    <w:rsid w:val="00074411"/>
    <w:rsid w:val="00074DD8"/>
    <w:rsid w:val="00075759"/>
    <w:rsid w:val="00076686"/>
    <w:rsid w:val="00077136"/>
    <w:rsid w:val="000806F7"/>
    <w:rsid w:val="00080CA8"/>
    <w:rsid w:val="00081FA7"/>
    <w:rsid w:val="00082198"/>
    <w:rsid w:val="00082CB5"/>
    <w:rsid w:val="00084B03"/>
    <w:rsid w:val="000855E0"/>
    <w:rsid w:val="00085B85"/>
    <w:rsid w:val="000866BB"/>
    <w:rsid w:val="00087A60"/>
    <w:rsid w:val="0009054F"/>
    <w:rsid w:val="00091BEF"/>
    <w:rsid w:val="0009371D"/>
    <w:rsid w:val="0009449E"/>
    <w:rsid w:val="00094F94"/>
    <w:rsid w:val="00097840"/>
    <w:rsid w:val="00097C73"/>
    <w:rsid w:val="000A0246"/>
    <w:rsid w:val="000A025E"/>
    <w:rsid w:val="000A11C7"/>
    <w:rsid w:val="000A4AA2"/>
    <w:rsid w:val="000A4D74"/>
    <w:rsid w:val="000A4FBB"/>
    <w:rsid w:val="000A5834"/>
    <w:rsid w:val="000B0727"/>
    <w:rsid w:val="000B0860"/>
    <w:rsid w:val="000B3531"/>
    <w:rsid w:val="000B4245"/>
    <w:rsid w:val="000B4C20"/>
    <w:rsid w:val="000B503D"/>
    <w:rsid w:val="000B5273"/>
    <w:rsid w:val="000B5AC2"/>
    <w:rsid w:val="000B65CF"/>
    <w:rsid w:val="000B68A7"/>
    <w:rsid w:val="000B718D"/>
    <w:rsid w:val="000C135D"/>
    <w:rsid w:val="000C3FA9"/>
    <w:rsid w:val="000C5CD1"/>
    <w:rsid w:val="000D12D2"/>
    <w:rsid w:val="000D1BED"/>
    <w:rsid w:val="000D1D43"/>
    <w:rsid w:val="000D225C"/>
    <w:rsid w:val="000D2A5C"/>
    <w:rsid w:val="000D39F0"/>
    <w:rsid w:val="000D5152"/>
    <w:rsid w:val="000D79AE"/>
    <w:rsid w:val="000E0918"/>
    <w:rsid w:val="000E2275"/>
    <w:rsid w:val="000E50A2"/>
    <w:rsid w:val="000E50CA"/>
    <w:rsid w:val="000E64D1"/>
    <w:rsid w:val="000E66B7"/>
    <w:rsid w:val="000E67D0"/>
    <w:rsid w:val="000E6EA7"/>
    <w:rsid w:val="000E791F"/>
    <w:rsid w:val="000E79A9"/>
    <w:rsid w:val="000F0276"/>
    <w:rsid w:val="000F189F"/>
    <w:rsid w:val="000F1A2F"/>
    <w:rsid w:val="000F223E"/>
    <w:rsid w:val="000F2820"/>
    <w:rsid w:val="000F4066"/>
    <w:rsid w:val="000F55A6"/>
    <w:rsid w:val="000F67FA"/>
    <w:rsid w:val="000F6EFD"/>
    <w:rsid w:val="000F7BBB"/>
    <w:rsid w:val="00101051"/>
    <w:rsid w:val="001011C3"/>
    <w:rsid w:val="001025AC"/>
    <w:rsid w:val="00102C45"/>
    <w:rsid w:val="00106461"/>
    <w:rsid w:val="00106DA3"/>
    <w:rsid w:val="001078C4"/>
    <w:rsid w:val="00107ACA"/>
    <w:rsid w:val="00110214"/>
    <w:rsid w:val="00110352"/>
    <w:rsid w:val="0011043D"/>
    <w:rsid w:val="00110D87"/>
    <w:rsid w:val="00111FB6"/>
    <w:rsid w:val="00112399"/>
    <w:rsid w:val="00113471"/>
    <w:rsid w:val="00113E6D"/>
    <w:rsid w:val="00114DB9"/>
    <w:rsid w:val="00116087"/>
    <w:rsid w:val="001166A1"/>
    <w:rsid w:val="00117711"/>
    <w:rsid w:val="00120162"/>
    <w:rsid w:val="001219CA"/>
    <w:rsid w:val="00122C1B"/>
    <w:rsid w:val="00122DF8"/>
    <w:rsid w:val="001233CF"/>
    <w:rsid w:val="001238F1"/>
    <w:rsid w:val="001249DC"/>
    <w:rsid w:val="00130296"/>
    <w:rsid w:val="00131A41"/>
    <w:rsid w:val="00133CC7"/>
    <w:rsid w:val="00134145"/>
    <w:rsid w:val="00136736"/>
    <w:rsid w:val="00136740"/>
    <w:rsid w:val="00136D67"/>
    <w:rsid w:val="00137268"/>
    <w:rsid w:val="00137708"/>
    <w:rsid w:val="001423B6"/>
    <w:rsid w:val="0014482E"/>
    <w:rsid w:val="001448A7"/>
    <w:rsid w:val="00146621"/>
    <w:rsid w:val="00146F54"/>
    <w:rsid w:val="00147109"/>
    <w:rsid w:val="00150A84"/>
    <w:rsid w:val="00150E30"/>
    <w:rsid w:val="00152B4F"/>
    <w:rsid w:val="00152D6A"/>
    <w:rsid w:val="001535BD"/>
    <w:rsid w:val="00153880"/>
    <w:rsid w:val="0015476B"/>
    <w:rsid w:val="00156065"/>
    <w:rsid w:val="001578AB"/>
    <w:rsid w:val="00157BEB"/>
    <w:rsid w:val="001617E3"/>
    <w:rsid w:val="00162325"/>
    <w:rsid w:val="00162D92"/>
    <w:rsid w:val="00164170"/>
    <w:rsid w:val="00164D8C"/>
    <w:rsid w:val="00165E0B"/>
    <w:rsid w:val="0016633B"/>
    <w:rsid w:val="00166FC2"/>
    <w:rsid w:val="0017002B"/>
    <w:rsid w:val="00172DE1"/>
    <w:rsid w:val="00173157"/>
    <w:rsid w:val="00175717"/>
    <w:rsid w:val="001757C9"/>
    <w:rsid w:val="001759C9"/>
    <w:rsid w:val="00176AAA"/>
    <w:rsid w:val="00176AE3"/>
    <w:rsid w:val="00180798"/>
    <w:rsid w:val="00181FB6"/>
    <w:rsid w:val="00182AF1"/>
    <w:rsid w:val="00183273"/>
    <w:rsid w:val="001876F3"/>
    <w:rsid w:val="00190708"/>
    <w:rsid w:val="00191CE8"/>
    <w:rsid w:val="00193678"/>
    <w:rsid w:val="001950EF"/>
    <w:rsid w:val="001951DA"/>
    <w:rsid w:val="00197102"/>
    <w:rsid w:val="00197EA9"/>
    <w:rsid w:val="001A1C52"/>
    <w:rsid w:val="001A3E19"/>
    <w:rsid w:val="001A7DBA"/>
    <w:rsid w:val="001B053D"/>
    <w:rsid w:val="001B2EE7"/>
    <w:rsid w:val="001B32C7"/>
    <w:rsid w:val="001B58F4"/>
    <w:rsid w:val="001B67CD"/>
    <w:rsid w:val="001B7CB1"/>
    <w:rsid w:val="001C3269"/>
    <w:rsid w:val="001C4A5D"/>
    <w:rsid w:val="001C73CE"/>
    <w:rsid w:val="001D19B6"/>
    <w:rsid w:val="001D1DB4"/>
    <w:rsid w:val="001D1E21"/>
    <w:rsid w:val="001D23F1"/>
    <w:rsid w:val="001D25F9"/>
    <w:rsid w:val="001D40F0"/>
    <w:rsid w:val="001D5A5D"/>
    <w:rsid w:val="001D5CE4"/>
    <w:rsid w:val="001D61ED"/>
    <w:rsid w:val="001D622F"/>
    <w:rsid w:val="001E10B0"/>
    <w:rsid w:val="001E44FC"/>
    <w:rsid w:val="001E5B2D"/>
    <w:rsid w:val="001E6750"/>
    <w:rsid w:val="001E727A"/>
    <w:rsid w:val="001E7F5F"/>
    <w:rsid w:val="001F1EAC"/>
    <w:rsid w:val="001F3E4C"/>
    <w:rsid w:val="001F3EC4"/>
    <w:rsid w:val="001F4582"/>
    <w:rsid w:val="001F6A86"/>
    <w:rsid w:val="00200701"/>
    <w:rsid w:val="0020156C"/>
    <w:rsid w:val="002044BC"/>
    <w:rsid w:val="00204F07"/>
    <w:rsid w:val="002069CA"/>
    <w:rsid w:val="00206A07"/>
    <w:rsid w:val="00206C20"/>
    <w:rsid w:val="00206D5A"/>
    <w:rsid w:val="00207F7D"/>
    <w:rsid w:val="00207FD2"/>
    <w:rsid w:val="002100D6"/>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4E82"/>
    <w:rsid w:val="0022506B"/>
    <w:rsid w:val="0022538F"/>
    <w:rsid w:val="00225585"/>
    <w:rsid w:val="00225B35"/>
    <w:rsid w:val="002262CF"/>
    <w:rsid w:val="00230FC4"/>
    <w:rsid w:val="00232169"/>
    <w:rsid w:val="00233338"/>
    <w:rsid w:val="00234F76"/>
    <w:rsid w:val="00235715"/>
    <w:rsid w:val="00235F19"/>
    <w:rsid w:val="00236916"/>
    <w:rsid w:val="002372CA"/>
    <w:rsid w:val="00237AB4"/>
    <w:rsid w:val="00237ADB"/>
    <w:rsid w:val="002407D9"/>
    <w:rsid w:val="00241724"/>
    <w:rsid w:val="00241DEB"/>
    <w:rsid w:val="00242236"/>
    <w:rsid w:val="00242D31"/>
    <w:rsid w:val="00242F8C"/>
    <w:rsid w:val="002447C8"/>
    <w:rsid w:val="00245554"/>
    <w:rsid w:val="00245D40"/>
    <w:rsid w:val="00246C3E"/>
    <w:rsid w:val="00247269"/>
    <w:rsid w:val="002546C8"/>
    <w:rsid w:val="0025481E"/>
    <w:rsid w:val="00254DE9"/>
    <w:rsid w:val="00255AA8"/>
    <w:rsid w:val="00256333"/>
    <w:rsid w:val="00256667"/>
    <w:rsid w:val="00256AA8"/>
    <w:rsid w:val="002574F9"/>
    <w:rsid w:val="002577AB"/>
    <w:rsid w:val="002619B7"/>
    <w:rsid w:val="00262B61"/>
    <w:rsid w:val="00262CC6"/>
    <w:rsid w:val="00263A11"/>
    <w:rsid w:val="00263E08"/>
    <w:rsid w:val="00264AA1"/>
    <w:rsid w:val="00265F5F"/>
    <w:rsid w:val="00266582"/>
    <w:rsid w:val="00271F45"/>
    <w:rsid w:val="0027264D"/>
    <w:rsid w:val="00272D92"/>
    <w:rsid w:val="00272DFC"/>
    <w:rsid w:val="00273C79"/>
    <w:rsid w:val="00274B2A"/>
    <w:rsid w:val="00276811"/>
    <w:rsid w:val="00276A47"/>
    <w:rsid w:val="00276EF9"/>
    <w:rsid w:val="00280764"/>
    <w:rsid w:val="00280900"/>
    <w:rsid w:val="00280AF0"/>
    <w:rsid w:val="00280F47"/>
    <w:rsid w:val="00282699"/>
    <w:rsid w:val="00282892"/>
    <w:rsid w:val="002829DB"/>
    <w:rsid w:val="00282C80"/>
    <w:rsid w:val="002844C2"/>
    <w:rsid w:val="00284CA5"/>
    <w:rsid w:val="00286335"/>
    <w:rsid w:val="002870CA"/>
    <w:rsid w:val="00290187"/>
    <w:rsid w:val="00292262"/>
    <w:rsid w:val="00292553"/>
    <w:rsid w:val="002926DF"/>
    <w:rsid w:val="002952A4"/>
    <w:rsid w:val="002952DF"/>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6E13"/>
    <w:rsid w:val="002B762A"/>
    <w:rsid w:val="002B7A94"/>
    <w:rsid w:val="002B7B88"/>
    <w:rsid w:val="002C071A"/>
    <w:rsid w:val="002C21F0"/>
    <w:rsid w:val="002C2266"/>
    <w:rsid w:val="002C71CA"/>
    <w:rsid w:val="002D01DF"/>
    <w:rsid w:val="002D3E7D"/>
    <w:rsid w:val="002D4214"/>
    <w:rsid w:val="002D4402"/>
    <w:rsid w:val="002E1606"/>
    <w:rsid w:val="002E38C5"/>
    <w:rsid w:val="002E3EB3"/>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6A71"/>
    <w:rsid w:val="0031717F"/>
    <w:rsid w:val="00317455"/>
    <w:rsid w:val="00317F4D"/>
    <w:rsid w:val="00320B0F"/>
    <w:rsid w:val="00320C2A"/>
    <w:rsid w:val="00321872"/>
    <w:rsid w:val="00321FA4"/>
    <w:rsid w:val="00322EDD"/>
    <w:rsid w:val="00324ECD"/>
    <w:rsid w:val="00325621"/>
    <w:rsid w:val="00325D16"/>
    <w:rsid w:val="003268BA"/>
    <w:rsid w:val="00326DE0"/>
    <w:rsid w:val="00326EA5"/>
    <w:rsid w:val="003309FA"/>
    <w:rsid w:val="00331B40"/>
    <w:rsid w:val="00332320"/>
    <w:rsid w:val="0033434E"/>
    <w:rsid w:val="00335EB2"/>
    <w:rsid w:val="00337D45"/>
    <w:rsid w:val="00340947"/>
    <w:rsid w:val="00340999"/>
    <w:rsid w:val="003416CF"/>
    <w:rsid w:val="0034178B"/>
    <w:rsid w:val="0034225B"/>
    <w:rsid w:val="0034274F"/>
    <w:rsid w:val="00343D10"/>
    <w:rsid w:val="003448EC"/>
    <w:rsid w:val="00345943"/>
    <w:rsid w:val="00345B4D"/>
    <w:rsid w:val="00347786"/>
    <w:rsid w:val="003479AF"/>
    <w:rsid w:val="00347D72"/>
    <w:rsid w:val="00350C93"/>
    <w:rsid w:val="00350DC8"/>
    <w:rsid w:val="003520FA"/>
    <w:rsid w:val="00352F37"/>
    <w:rsid w:val="00353F45"/>
    <w:rsid w:val="003541B9"/>
    <w:rsid w:val="00354624"/>
    <w:rsid w:val="00356A1A"/>
    <w:rsid w:val="0035744A"/>
    <w:rsid w:val="00357611"/>
    <w:rsid w:val="00357668"/>
    <w:rsid w:val="00360A52"/>
    <w:rsid w:val="00360C2A"/>
    <w:rsid w:val="003613EE"/>
    <w:rsid w:val="00361653"/>
    <w:rsid w:val="00362F2B"/>
    <w:rsid w:val="0036432A"/>
    <w:rsid w:val="00364798"/>
    <w:rsid w:val="00364AF9"/>
    <w:rsid w:val="0036566B"/>
    <w:rsid w:val="00367237"/>
    <w:rsid w:val="0037077F"/>
    <w:rsid w:val="00370802"/>
    <w:rsid w:val="00372411"/>
    <w:rsid w:val="0037250A"/>
    <w:rsid w:val="00373829"/>
    <w:rsid w:val="00373882"/>
    <w:rsid w:val="00373D8D"/>
    <w:rsid w:val="00374698"/>
    <w:rsid w:val="00374CED"/>
    <w:rsid w:val="003769D3"/>
    <w:rsid w:val="003821A7"/>
    <w:rsid w:val="0038379C"/>
    <w:rsid w:val="003843DB"/>
    <w:rsid w:val="00384A50"/>
    <w:rsid w:val="00384CCB"/>
    <w:rsid w:val="00385352"/>
    <w:rsid w:val="00385579"/>
    <w:rsid w:val="003860FA"/>
    <w:rsid w:val="00390517"/>
    <w:rsid w:val="00390628"/>
    <w:rsid w:val="003909F9"/>
    <w:rsid w:val="0039322C"/>
    <w:rsid w:val="00393761"/>
    <w:rsid w:val="00394E26"/>
    <w:rsid w:val="00395D67"/>
    <w:rsid w:val="00396691"/>
    <w:rsid w:val="003974E7"/>
    <w:rsid w:val="003977D0"/>
    <w:rsid w:val="00397D18"/>
    <w:rsid w:val="003A0EE2"/>
    <w:rsid w:val="003A1B36"/>
    <w:rsid w:val="003A217C"/>
    <w:rsid w:val="003A26DC"/>
    <w:rsid w:val="003A2DE7"/>
    <w:rsid w:val="003A5394"/>
    <w:rsid w:val="003A6500"/>
    <w:rsid w:val="003A7D2B"/>
    <w:rsid w:val="003B1454"/>
    <w:rsid w:val="003B18B6"/>
    <w:rsid w:val="003B2EAC"/>
    <w:rsid w:val="003B4685"/>
    <w:rsid w:val="003B5EBB"/>
    <w:rsid w:val="003B6EA4"/>
    <w:rsid w:val="003B7B59"/>
    <w:rsid w:val="003C1363"/>
    <w:rsid w:val="003C161B"/>
    <w:rsid w:val="003C16A2"/>
    <w:rsid w:val="003C1882"/>
    <w:rsid w:val="003C19ED"/>
    <w:rsid w:val="003C1C18"/>
    <w:rsid w:val="003C2024"/>
    <w:rsid w:val="003C2394"/>
    <w:rsid w:val="003C3AB2"/>
    <w:rsid w:val="003C59E0"/>
    <w:rsid w:val="003C69C9"/>
    <w:rsid w:val="003C6C8D"/>
    <w:rsid w:val="003D1DAE"/>
    <w:rsid w:val="003D2656"/>
    <w:rsid w:val="003D340A"/>
    <w:rsid w:val="003D3585"/>
    <w:rsid w:val="003D4F95"/>
    <w:rsid w:val="003D5F42"/>
    <w:rsid w:val="003D60A9"/>
    <w:rsid w:val="003D6573"/>
    <w:rsid w:val="003E1779"/>
    <w:rsid w:val="003E4367"/>
    <w:rsid w:val="003E4466"/>
    <w:rsid w:val="003E527C"/>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04BD1"/>
    <w:rsid w:val="00410D85"/>
    <w:rsid w:val="00410FA5"/>
    <w:rsid w:val="00411623"/>
    <w:rsid w:val="00411D20"/>
    <w:rsid w:val="00412205"/>
    <w:rsid w:val="004130B5"/>
    <w:rsid w:val="004137AF"/>
    <w:rsid w:val="00413E74"/>
    <w:rsid w:val="00414887"/>
    <w:rsid w:val="00416EAF"/>
    <w:rsid w:val="00417923"/>
    <w:rsid w:val="004212E7"/>
    <w:rsid w:val="0042253E"/>
    <w:rsid w:val="00422D9D"/>
    <w:rsid w:val="00422F22"/>
    <w:rsid w:val="00423C88"/>
    <w:rsid w:val="0042446D"/>
    <w:rsid w:val="00427BF8"/>
    <w:rsid w:val="00431C02"/>
    <w:rsid w:val="004324D5"/>
    <w:rsid w:val="00432E68"/>
    <w:rsid w:val="00433A14"/>
    <w:rsid w:val="00435867"/>
    <w:rsid w:val="00435979"/>
    <w:rsid w:val="00437395"/>
    <w:rsid w:val="004405D9"/>
    <w:rsid w:val="00441144"/>
    <w:rsid w:val="004419D1"/>
    <w:rsid w:val="00445047"/>
    <w:rsid w:val="00446749"/>
    <w:rsid w:val="00447F94"/>
    <w:rsid w:val="004510EC"/>
    <w:rsid w:val="00453EB7"/>
    <w:rsid w:val="00455709"/>
    <w:rsid w:val="004560F7"/>
    <w:rsid w:val="004565FB"/>
    <w:rsid w:val="00456C5C"/>
    <w:rsid w:val="0045772E"/>
    <w:rsid w:val="0046266D"/>
    <w:rsid w:val="00462E92"/>
    <w:rsid w:val="0046352B"/>
    <w:rsid w:val="00463574"/>
    <w:rsid w:val="00463E39"/>
    <w:rsid w:val="00464A28"/>
    <w:rsid w:val="004657FC"/>
    <w:rsid w:val="00466C69"/>
    <w:rsid w:val="004704A9"/>
    <w:rsid w:val="00470779"/>
    <w:rsid w:val="00470802"/>
    <w:rsid w:val="004712CA"/>
    <w:rsid w:val="004733F6"/>
    <w:rsid w:val="0047355B"/>
    <w:rsid w:val="00474E69"/>
    <w:rsid w:val="004759A1"/>
    <w:rsid w:val="0047615C"/>
    <w:rsid w:val="004770F8"/>
    <w:rsid w:val="00477A43"/>
    <w:rsid w:val="00480879"/>
    <w:rsid w:val="00481081"/>
    <w:rsid w:val="0048115F"/>
    <w:rsid w:val="00481884"/>
    <w:rsid w:val="004818A7"/>
    <w:rsid w:val="004829C2"/>
    <w:rsid w:val="00482B8E"/>
    <w:rsid w:val="0048309E"/>
    <w:rsid w:val="00483E9F"/>
    <w:rsid w:val="00484223"/>
    <w:rsid w:val="004845DD"/>
    <w:rsid w:val="00485708"/>
    <w:rsid w:val="00485A2C"/>
    <w:rsid w:val="00485F55"/>
    <w:rsid w:val="00486DB1"/>
    <w:rsid w:val="00491A62"/>
    <w:rsid w:val="00491BEA"/>
    <w:rsid w:val="00495001"/>
    <w:rsid w:val="00495887"/>
    <w:rsid w:val="004958E7"/>
    <w:rsid w:val="00495C0A"/>
    <w:rsid w:val="0049621B"/>
    <w:rsid w:val="004971B4"/>
    <w:rsid w:val="004A0543"/>
    <w:rsid w:val="004A1469"/>
    <w:rsid w:val="004A1C47"/>
    <w:rsid w:val="004A1D19"/>
    <w:rsid w:val="004A2086"/>
    <w:rsid w:val="004A24B0"/>
    <w:rsid w:val="004A4326"/>
    <w:rsid w:val="004A4599"/>
    <w:rsid w:val="004A5007"/>
    <w:rsid w:val="004A64E1"/>
    <w:rsid w:val="004A68F7"/>
    <w:rsid w:val="004A6B20"/>
    <w:rsid w:val="004A6FC0"/>
    <w:rsid w:val="004A721E"/>
    <w:rsid w:val="004A72B9"/>
    <w:rsid w:val="004B36A5"/>
    <w:rsid w:val="004B54B3"/>
    <w:rsid w:val="004B73BD"/>
    <w:rsid w:val="004C037E"/>
    <w:rsid w:val="004C0C40"/>
    <w:rsid w:val="004C1895"/>
    <w:rsid w:val="004C1897"/>
    <w:rsid w:val="004C1E5D"/>
    <w:rsid w:val="004C2364"/>
    <w:rsid w:val="004C2EFE"/>
    <w:rsid w:val="004C408F"/>
    <w:rsid w:val="004C4282"/>
    <w:rsid w:val="004C42F1"/>
    <w:rsid w:val="004C5271"/>
    <w:rsid w:val="004C6B67"/>
    <w:rsid w:val="004C6D40"/>
    <w:rsid w:val="004C7819"/>
    <w:rsid w:val="004C7B0A"/>
    <w:rsid w:val="004D043E"/>
    <w:rsid w:val="004D0AED"/>
    <w:rsid w:val="004D1641"/>
    <w:rsid w:val="004D32BB"/>
    <w:rsid w:val="004D3F2D"/>
    <w:rsid w:val="004D5566"/>
    <w:rsid w:val="004E349E"/>
    <w:rsid w:val="004E58DC"/>
    <w:rsid w:val="004E6AA8"/>
    <w:rsid w:val="004E7251"/>
    <w:rsid w:val="004F0246"/>
    <w:rsid w:val="004F0C3C"/>
    <w:rsid w:val="004F1326"/>
    <w:rsid w:val="004F2280"/>
    <w:rsid w:val="004F23BB"/>
    <w:rsid w:val="004F23F0"/>
    <w:rsid w:val="004F34E9"/>
    <w:rsid w:val="004F3870"/>
    <w:rsid w:val="004F41C8"/>
    <w:rsid w:val="004F4D76"/>
    <w:rsid w:val="004F63FC"/>
    <w:rsid w:val="0050217C"/>
    <w:rsid w:val="00505315"/>
    <w:rsid w:val="0050555D"/>
    <w:rsid w:val="00505A92"/>
    <w:rsid w:val="005072FB"/>
    <w:rsid w:val="00507587"/>
    <w:rsid w:val="00510158"/>
    <w:rsid w:val="00516534"/>
    <w:rsid w:val="0052004D"/>
    <w:rsid w:val="005203F1"/>
    <w:rsid w:val="0052088E"/>
    <w:rsid w:val="00521BC3"/>
    <w:rsid w:val="005221EB"/>
    <w:rsid w:val="0052251B"/>
    <w:rsid w:val="00523AC4"/>
    <w:rsid w:val="00524B76"/>
    <w:rsid w:val="0052623B"/>
    <w:rsid w:val="0052721B"/>
    <w:rsid w:val="0053015B"/>
    <w:rsid w:val="00530785"/>
    <w:rsid w:val="00531873"/>
    <w:rsid w:val="00532E05"/>
    <w:rsid w:val="0053307D"/>
    <w:rsid w:val="00533632"/>
    <w:rsid w:val="0053396F"/>
    <w:rsid w:val="00533D4A"/>
    <w:rsid w:val="00534013"/>
    <w:rsid w:val="00537181"/>
    <w:rsid w:val="00537CD7"/>
    <w:rsid w:val="0054058E"/>
    <w:rsid w:val="005405F5"/>
    <w:rsid w:val="0054095E"/>
    <w:rsid w:val="00540C5C"/>
    <w:rsid w:val="00541E6E"/>
    <w:rsid w:val="0054251F"/>
    <w:rsid w:val="00546BCF"/>
    <w:rsid w:val="00547819"/>
    <w:rsid w:val="00550EB3"/>
    <w:rsid w:val="005511B7"/>
    <w:rsid w:val="005511F1"/>
    <w:rsid w:val="00551D3D"/>
    <w:rsid w:val="005520D8"/>
    <w:rsid w:val="0055275E"/>
    <w:rsid w:val="00552CEE"/>
    <w:rsid w:val="00553344"/>
    <w:rsid w:val="00553F5E"/>
    <w:rsid w:val="00555548"/>
    <w:rsid w:val="00555CFB"/>
    <w:rsid w:val="00556A03"/>
    <w:rsid w:val="00556ADB"/>
    <w:rsid w:val="00556CF1"/>
    <w:rsid w:val="00556E2D"/>
    <w:rsid w:val="00557B02"/>
    <w:rsid w:val="0056057E"/>
    <w:rsid w:val="0056061B"/>
    <w:rsid w:val="0056098D"/>
    <w:rsid w:val="00560DBE"/>
    <w:rsid w:val="00561466"/>
    <w:rsid w:val="005625F6"/>
    <w:rsid w:val="005626F0"/>
    <w:rsid w:val="00566158"/>
    <w:rsid w:val="00566F9E"/>
    <w:rsid w:val="005677FD"/>
    <w:rsid w:val="00571A95"/>
    <w:rsid w:val="005737D3"/>
    <w:rsid w:val="005744F9"/>
    <w:rsid w:val="00575136"/>
    <w:rsid w:val="005762A7"/>
    <w:rsid w:val="005769A3"/>
    <w:rsid w:val="005773C1"/>
    <w:rsid w:val="00580565"/>
    <w:rsid w:val="005821D9"/>
    <w:rsid w:val="00582561"/>
    <w:rsid w:val="005826C5"/>
    <w:rsid w:val="00582984"/>
    <w:rsid w:val="00583940"/>
    <w:rsid w:val="005844FC"/>
    <w:rsid w:val="00584794"/>
    <w:rsid w:val="005850AC"/>
    <w:rsid w:val="00585E96"/>
    <w:rsid w:val="005870EC"/>
    <w:rsid w:val="0058782F"/>
    <w:rsid w:val="00587CEE"/>
    <w:rsid w:val="00590B84"/>
    <w:rsid w:val="005916D7"/>
    <w:rsid w:val="00591F70"/>
    <w:rsid w:val="00591FA4"/>
    <w:rsid w:val="005932DC"/>
    <w:rsid w:val="0059427F"/>
    <w:rsid w:val="00594DDF"/>
    <w:rsid w:val="005975B8"/>
    <w:rsid w:val="00597DE2"/>
    <w:rsid w:val="005A3221"/>
    <w:rsid w:val="005A3338"/>
    <w:rsid w:val="005A5FB9"/>
    <w:rsid w:val="005A60DF"/>
    <w:rsid w:val="005A6572"/>
    <w:rsid w:val="005A6896"/>
    <w:rsid w:val="005A698C"/>
    <w:rsid w:val="005B099C"/>
    <w:rsid w:val="005B1799"/>
    <w:rsid w:val="005B2965"/>
    <w:rsid w:val="005B3273"/>
    <w:rsid w:val="005B3F84"/>
    <w:rsid w:val="005B4347"/>
    <w:rsid w:val="005B4CAD"/>
    <w:rsid w:val="005B71A4"/>
    <w:rsid w:val="005C0CAC"/>
    <w:rsid w:val="005C3190"/>
    <w:rsid w:val="005C43BC"/>
    <w:rsid w:val="005C567C"/>
    <w:rsid w:val="005D04B2"/>
    <w:rsid w:val="005D062E"/>
    <w:rsid w:val="005D2F6B"/>
    <w:rsid w:val="005D41EF"/>
    <w:rsid w:val="005D4AA9"/>
    <w:rsid w:val="005D4DE5"/>
    <w:rsid w:val="005D4FDC"/>
    <w:rsid w:val="005D72D8"/>
    <w:rsid w:val="005E0060"/>
    <w:rsid w:val="005E0799"/>
    <w:rsid w:val="005E07DC"/>
    <w:rsid w:val="005E0E58"/>
    <w:rsid w:val="005E10F9"/>
    <w:rsid w:val="005E1200"/>
    <w:rsid w:val="005E12BF"/>
    <w:rsid w:val="005E3A4A"/>
    <w:rsid w:val="005E75A0"/>
    <w:rsid w:val="005F0A89"/>
    <w:rsid w:val="005F0AE0"/>
    <w:rsid w:val="005F16C4"/>
    <w:rsid w:val="005F1DB8"/>
    <w:rsid w:val="005F45EE"/>
    <w:rsid w:val="005F5A80"/>
    <w:rsid w:val="005F7049"/>
    <w:rsid w:val="005F760E"/>
    <w:rsid w:val="0060064B"/>
    <w:rsid w:val="00600CAF"/>
    <w:rsid w:val="006044FF"/>
    <w:rsid w:val="0060483A"/>
    <w:rsid w:val="0060556A"/>
    <w:rsid w:val="00605A95"/>
    <w:rsid w:val="00607A34"/>
    <w:rsid w:val="00607CC5"/>
    <w:rsid w:val="006104D8"/>
    <w:rsid w:val="006109E7"/>
    <w:rsid w:val="00610E64"/>
    <w:rsid w:val="0061179B"/>
    <w:rsid w:val="006125F9"/>
    <w:rsid w:val="00621C0C"/>
    <w:rsid w:val="00623020"/>
    <w:rsid w:val="00623A12"/>
    <w:rsid w:val="00624A41"/>
    <w:rsid w:val="00624C1F"/>
    <w:rsid w:val="0062592F"/>
    <w:rsid w:val="00625F38"/>
    <w:rsid w:val="00631607"/>
    <w:rsid w:val="006316D7"/>
    <w:rsid w:val="00632758"/>
    <w:rsid w:val="00632A36"/>
    <w:rsid w:val="00633014"/>
    <w:rsid w:val="0063437B"/>
    <w:rsid w:val="00634466"/>
    <w:rsid w:val="006344A3"/>
    <w:rsid w:val="0063686C"/>
    <w:rsid w:val="00640054"/>
    <w:rsid w:val="0064017E"/>
    <w:rsid w:val="006404AB"/>
    <w:rsid w:val="00643691"/>
    <w:rsid w:val="00644761"/>
    <w:rsid w:val="00646554"/>
    <w:rsid w:val="00646B5E"/>
    <w:rsid w:val="00651689"/>
    <w:rsid w:val="006517AA"/>
    <w:rsid w:val="00651D36"/>
    <w:rsid w:val="0065256B"/>
    <w:rsid w:val="00652A3A"/>
    <w:rsid w:val="00654346"/>
    <w:rsid w:val="006547A7"/>
    <w:rsid w:val="00654BB6"/>
    <w:rsid w:val="00654D62"/>
    <w:rsid w:val="006553F2"/>
    <w:rsid w:val="00656C25"/>
    <w:rsid w:val="00656F02"/>
    <w:rsid w:val="00657121"/>
    <w:rsid w:val="00657390"/>
    <w:rsid w:val="00664AFD"/>
    <w:rsid w:val="00664CED"/>
    <w:rsid w:val="006659FE"/>
    <w:rsid w:val="00665E72"/>
    <w:rsid w:val="006673CA"/>
    <w:rsid w:val="00667BC3"/>
    <w:rsid w:val="006702B1"/>
    <w:rsid w:val="00670607"/>
    <w:rsid w:val="0067251E"/>
    <w:rsid w:val="00673128"/>
    <w:rsid w:val="00673C26"/>
    <w:rsid w:val="00674DE5"/>
    <w:rsid w:val="00675192"/>
    <w:rsid w:val="00676F6C"/>
    <w:rsid w:val="00677751"/>
    <w:rsid w:val="006778AF"/>
    <w:rsid w:val="00677ACA"/>
    <w:rsid w:val="00680DFA"/>
    <w:rsid w:val="006812AF"/>
    <w:rsid w:val="00681453"/>
    <w:rsid w:val="00681658"/>
    <w:rsid w:val="00681768"/>
    <w:rsid w:val="0068314F"/>
    <w:rsid w:val="0068327D"/>
    <w:rsid w:val="00683E1B"/>
    <w:rsid w:val="00684C34"/>
    <w:rsid w:val="0068698F"/>
    <w:rsid w:val="00687DBE"/>
    <w:rsid w:val="006909DF"/>
    <w:rsid w:val="00691002"/>
    <w:rsid w:val="00691534"/>
    <w:rsid w:val="00693880"/>
    <w:rsid w:val="00693D09"/>
    <w:rsid w:val="00694AF0"/>
    <w:rsid w:val="0069739A"/>
    <w:rsid w:val="006A291B"/>
    <w:rsid w:val="006A2A9B"/>
    <w:rsid w:val="006A3EAA"/>
    <w:rsid w:val="006A4686"/>
    <w:rsid w:val="006A4C0F"/>
    <w:rsid w:val="006B0E9E"/>
    <w:rsid w:val="006B1CF5"/>
    <w:rsid w:val="006B2288"/>
    <w:rsid w:val="006B265C"/>
    <w:rsid w:val="006B3618"/>
    <w:rsid w:val="006B43C8"/>
    <w:rsid w:val="006B486D"/>
    <w:rsid w:val="006B5492"/>
    <w:rsid w:val="006B5AE4"/>
    <w:rsid w:val="006B7591"/>
    <w:rsid w:val="006C0AF8"/>
    <w:rsid w:val="006C15E8"/>
    <w:rsid w:val="006C30D3"/>
    <w:rsid w:val="006C3FD5"/>
    <w:rsid w:val="006C4831"/>
    <w:rsid w:val="006C58C2"/>
    <w:rsid w:val="006C75D9"/>
    <w:rsid w:val="006D003F"/>
    <w:rsid w:val="006D1507"/>
    <w:rsid w:val="006D19E9"/>
    <w:rsid w:val="006D3FF8"/>
    <w:rsid w:val="006D4054"/>
    <w:rsid w:val="006D416E"/>
    <w:rsid w:val="006D775F"/>
    <w:rsid w:val="006E02EC"/>
    <w:rsid w:val="006E3C4F"/>
    <w:rsid w:val="006E3E8D"/>
    <w:rsid w:val="006E6F41"/>
    <w:rsid w:val="006E72A7"/>
    <w:rsid w:val="006E73E6"/>
    <w:rsid w:val="006F0782"/>
    <w:rsid w:val="006F2230"/>
    <w:rsid w:val="006F277C"/>
    <w:rsid w:val="006F31C8"/>
    <w:rsid w:val="006F44F4"/>
    <w:rsid w:val="006F4A7F"/>
    <w:rsid w:val="006F505D"/>
    <w:rsid w:val="00701685"/>
    <w:rsid w:val="007025A2"/>
    <w:rsid w:val="00702A2A"/>
    <w:rsid w:val="00703357"/>
    <w:rsid w:val="00704045"/>
    <w:rsid w:val="00707F3F"/>
    <w:rsid w:val="00710687"/>
    <w:rsid w:val="00710D00"/>
    <w:rsid w:val="007124F1"/>
    <w:rsid w:val="00713729"/>
    <w:rsid w:val="00713E22"/>
    <w:rsid w:val="0071427B"/>
    <w:rsid w:val="007158AB"/>
    <w:rsid w:val="007173D1"/>
    <w:rsid w:val="0071752C"/>
    <w:rsid w:val="007211B1"/>
    <w:rsid w:val="00721DF1"/>
    <w:rsid w:val="00725EE9"/>
    <w:rsid w:val="007277DA"/>
    <w:rsid w:val="00731D27"/>
    <w:rsid w:val="00733F2B"/>
    <w:rsid w:val="007342B4"/>
    <w:rsid w:val="00736A1A"/>
    <w:rsid w:val="00737B96"/>
    <w:rsid w:val="0074063E"/>
    <w:rsid w:val="0074187B"/>
    <w:rsid w:val="00742A47"/>
    <w:rsid w:val="00743D4B"/>
    <w:rsid w:val="00746187"/>
    <w:rsid w:val="007514E9"/>
    <w:rsid w:val="00751D9B"/>
    <w:rsid w:val="007557CC"/>
    <w:rsid w:val="007575B5"/>
    <w:rsid w:val="00757EC4"/>
    <w:rsid w:val="007600A8"/>
    <w:rsid w:val="00760F9D"/>
    <w:rsid w:val="0076236E"/>
    <w:rsid w:val="0076254F"/>
    <w:rsid w:val="007643E3"/>
    <w:rsid w:val="00765293"/>
    <w:rsid w:val="00765BED"/>
    <w:rsid w:val="00770DB6"/>
    <w:rsid w:val="00771CD5"/>
    <w:rsid w:val="00774670"/>
    <w:rsid w:val="0077476D"/>
    <w:rsid w:val="00776042"/>
    <w:rsid w:val="007760D4"/>
    <w:rsid w:val="007762CA"/>
    <w:rsid w:val="0077677B"/>
    <w:rsid w:val="007801F5"/>
    <w:rsid w:val="00782F91"/>
    <w:rsid w:val="00783CA4"/>
    <w:rsid w:val="007842FB"/>
    <w:rsid w:val="00786124"/>
    <w:rsid w:val="0078628F"/>
    <w:rsid w:val="00787B0B"/>
    <w:rsid w:val="007908E3"/>
    <w:rsid w:val="0079490B"/>
    <w:rsid w:val="0079514B"/>
    <w:rsid w:val="00795252"/>
    <w:rsid w:val="007963C9"/>
    <w:rsid w:val="00797892"/>
    <w:rsid w:val="007A0795"/>
    <w:rsid w:val="007A2770"/>
    <w:rsid w:val="007A2DC1"/>
    <w:rsid w:val="007A36F0"/>
    <w:rsid w:val="007A3E6E"/>
    <w:rsid w:val="007A4583"/>
    <w:rsid w:val="007A4892"/>
    <w:rsid w:val="007A48F8"/>
    <w:rsid w:val="007A5D6D"/>
    <w:rsid w:val="007A6752"/>
    <w:rsid w:val="007A7504"/>
    <w:rsid w:val="007B00AD"/>
    <w:rsid w:val="007B06AB"/>
    <w:rsid w:val="007B1377"/>
    <w:rsid w:val="007B4927"/>
    <w:rsid w:val="007B5040"/>
    <w:rsid w:val="007B601B"/>
    <w:rsid w:val="007B63D4"/>
    <w:rsid w:val="007C0815"/>
    <w:rsid w:val="007C2331"/>
    <w:rsid w:val="007C6DF1"/>
    <w:rsid w:val="007C7D79"/>
    <w:rsid w:val="007D07E5"/>
    <w:rsid w:val="007D0869"/>
    <w:rsid w:val="007D14C4"/>
    <w:rsid w:val="007D3319"/>
    <w:rsid w:val="007D335D"/>
    <w:rsid w:val="007D5AE5"/>
    <w:rsid w:val="007D605C"/>
    <w:rsid w:val="007D72EE"/>
    <w:rsid w:val="007E02D9"/>
    <w:rsid w:val="007E1079"/>
    <w:rsid w:val="007E1499"/>
    <w:rsid w:val="007E3314"/>
    <w:rsid w:val="007E3514"/>
    <w:rsid w:val="007E3982"/>
    <w:rsid w:val="007E3B0A"/>
    <w:rsid w:val="007E4B03"/>
    <w:rsid w:val="007E5635"/>
    <w:rsid w:val="007E596D"/>
    <w:rsid w:val="007E5E7D"/>
    <w:rsid w:val="007F2D4A"/>
    <w:rsid w:val="007F324B"/>
    <w:rsid w:val="007F3E1A"/>
    <w:rsid w:val="007F40B1"/>
    <w:rsid w:val="007F4105"/>
    <w:rsid w:val="007F570D"/>
    <w:rsid w:val="007F5814"/>
    <w:rsid w:val="007F58E2"/>
    <w:rsid w:val="007F5FA5"/>
    <w:rsid w:val="007F78EC"/>
    <w:rsid w:val="008007BF"/>
    <w:rsid w:val="00800E76"/>
    <w:rsid w:val="00800F14"/>
    <w:rsid w:val="0080553C"/>
    <w:rsid w:val="00805B46"/>
    <w:rsid w:val="00805C5C"/>
    <w:rsid w:val="00805DB4"/>
    <w:rsid w:val="00805EB2"/>
    <w:rsid w:val="0081038A"/>
    <w:rsid w:val="008106B1"/>
    <w:rsid w:val="00810784"/>
    <w:rsid w:val="008112CE"/>
    <w:rsid w:val="0081200F"/>
    <w:rsid w:val="00814D88"/>
    <w:rsid w:val="00816BE2"/>
    <w:rsid w:val="00817867"/>
    <w:rsid w:val="00823593"/>
    <w:rsid w:val="00825DC2"/>
    <w:rsid w:val="00827B6A"/>
    <w:rsid w:val="0083103F"/>
    <w:rsid w:val="008310A2"/>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4836"/>
    <w:rsid w:val="008549BB"/>
    <w:rsid w:val="00854D60"/>
    <w:rsid w:val="00855A56"/>
    <w:rsid w:val="00855BDE"/>
    <w:rsid w:val="0086207B"/>
    <w:rsid w:val="00862404"/>
    <w:rsid w:val="008633D6"/>
    <w:rsid w:val="008659FC"/>
    <w:rsid w:val="008670A0"/>
    <w:rsid w:val="0086781C"/>
    <w:rsid w:val="008678B1"/>
    <w:rsid w:val="00867F7E"/>
    <w:rsid w:val="00870A89"/>
    <w:rsid w:val="008715CD"/>
    <w:rsid w:val="00873001"/>
    <w:rsid w:val="00874642"/>
    <w:rsid w:val="00877C67"/>
    <w:rsid w:val="00877F6C"/>
    <w:rsid w:val="00881244"/>
    <w:rsid w:val="0088258A"/>
    <w:rsid w:val="008837E4"/>
    <w:rsid w:val="00883B81"/>
    <w:rsid w:val="008852CB"/>
    <w:rsid w:val="00885C1A"/>
    <w:rsid w:val="00886332"/>
    <w:rsid w:val="00886773"/>
    <w:rsid w:val="00886C00"/>
    <w:rsid w:val="008872A6"/>
    <w:rsid w:val="008925F0"/>
    <w:rsid w:val="0089448A"/>
    <w:rsid w:val="00894647"/>
    <w:rsid w:val="00894B70"/>
    <w:rsid w:val="00895DFA"/>
    <w:rsid w:val="00897877"/>
    <w:rsid w:val="008A19A3"/>
    <w:rsid w:val="008A1F3E"/>
    <w:rsid w:val="008A26D9"/>
    <w:rsid w:val="008A52EC"/>
    <w:rsid w:val="008A5637"/>
    <w:rsid w:val="008A5DAB"/>
    <w:rsid w:val="008A6473"/>
    <w:rsid w:val="008A648D"/>
    <w:rsid w:val="008A76FE"/>
    <w:rsid w:val="008A7B5B"/>
    <w:rsid w:val="008B12D2"/>
    <w:rsid w:val="008B1614"/>
    <w:rsid w:val="008B2015"/>
    <w:rsid w:val="008B572B"/>
    <w:rsid w:val="008B7756"/>
    <w:rsid w:val="008C00EC"/>
    <w:rsid w:val="008C0428"/>
    <w:rsid w:val="008C0C29"/>
    <w:rsid w:val="008C4D54"/>
    <w:rsid w:val="008C575E"/>
    <w:rsid w:val="008C599F"/>
    <w:rsid w:val="008D0278"/>
    <w:rsid w:val="008D02DA"/>
    <w:rsid w:val="008D2F55"/>
    <w:rsid w:val="008D3B88"/>
    <w:rsid w:val="008D4A9C"/>
    <w:rsid w:val="008D4B19"/>
    <w:rsid w:val="008D4BCF"/>
    <w:rsid w:val="008D76BC"/>
    <w:rsid w:val="008E1C49"/>
    <w:rsid w:val="008E409E"/>
    <w:rsid w:val="008E5816"/>
    <w:rsid w:val="008E6A8F"/>
    <w:rsid w:val="008E6AD8"/>
    <w:rsid w:val="008E7DBA"/>
    <w:rsid w:val="008F0692"/>
    <w:rsid w:val="008F0829"/>
    <w:rsid w:val="008F0B72"/>
    <w:rsid w:val="008F2660"/>
    <w:rsid w:val="008F2E89"/>
    <w:rsid w:val="008F2F6A"/>
    <w:rsid w:val="008F356D"/>
    <w:rsid w:val="008F3638"/>
    <w:rsid w:val="008F4441"/>
    <w:rsid w:val="008F4B71"/>
    <w:rsid w:val="008F6B20"/>
    <w:rsid w:val="008F6DEF"/>
    <w:rsid w:val="008F6F31"/>
    <w:rsid w:val="008F74DF"/>
    <w:rsid w:val="008F7E65"/>
    <w:rsid w:val="00901064"/>
    <w:rsid w:val="00902120"/>
    <w:rsid w:val="00902274"/>
    <w:rsid w:val="009027BC"/>
    <w:rsid w:val="00905F1D"/>
    <w:rsid w:val="0090612D"/>
    <w:rsid w:val="00907CB0"/>
    <w:rsid w:val="009119C8"/>
    <w:rsid w:val="00911FF1"/>
    <w:rsid w:val="009127BA"/>
    <w:rsid w:val="00912D0F"/>
    <w:rsid w:val="00913450"/>
    <w:rsid w:val="00913DF0"/>
    <w:rsid w:val="00914E8E"/>
    <w:rsid w:val="0092073A"/>
    <w:rsid w:val="00920AAE"/>
    <w:rsid w:val="009223CC"/>
    <w:rsid w:val="009227A6"/>
    <w:rsid w:val="00922D8C"/>
    <w:rsid w:val="009238F3"/>
    <w:rsid w:val="00923D0C"/>
    <w:rsid w:val="009252D2"/>
    <w:rsid w:val="00926560"/>
    <w:rsid w:val="00931088"/>
    <w:rsid w:val="00931B72"/>
    <w:rsid w:val="00931EB4"/>
    <w:rsid w:val="00932F70"/>
    <w:rsid w:val="00933EC1"/>
    <w:rsid w:val="009347D5"/>
    <w:rsid w:val="00935C28"/>
    <w:rsid w:val="009372EE"/>
    <w:rsid w:val="0094139F"/>
    <w:rsid w:val="009417C5"/>
    <w:rsid w:val="00942C9D"/>
    <w:rsid w:val="009446AD"/>
    <w:rsid w:val="009449AA"/>
    <w:rsid w:val="00946821"/>
    <w:rsid w:val="009471D4"/>
    <w:rsid w:val="00947BEA"/>
    <w:rsid w:val="00951627"/>
    <w:rsid w:val="009530DB"/>
    <w:rsid w:val="00953676"/>
    <w:rsid w:val="00953AB8"/>
    <w:rsid w:val="009544AD"/>
    <w:rsid w:val="00955BAD"/>
    <w:rsid w:val="00956F30"/>
    <w:rsid w:val="0095798B"/>
    <w:rsid w:val="0096011C"/>
    <w:rsid w:val="0096158D"/>
    <w:rsid w:val="00962CD9"/>
    <w:rsid w:val="0096358E"/>
    <w:rsid w:val="00963E28"/>
    <w:rsid w:val="00965B01"/>
    <w:rsid w:val="00966C9A"/>
    <w:rsid w:val="00967374"/>
    <w:rsid w:val="009705EE"/>
    <w:rsid w:val="00972E42"/>
    <w:rsid w:val="00972E53"/>
    <w:rsid w:val="00972FB5"/>
    <w:rsid w:val="00974591"/>
    <w:rsid w:val="00974629"/>
    <w:rsid w:val="00974795"/>
    <w:rsid w:val="00974D48"/>
    <w:rsid w:val="009751ED"/>
    <w:rsid w:val="00977062"/>
    <w:rsid w:val="00977658"/>
    <w:rsid w:val="00977927"/>
    <w:rsid w:val="0098135C"/>
    <w:rsid w:val="0098156A"/>
    <w:rsid w:val="00981D23"/>
    <w:rsid w:val="0098335A"/>
    <w:rsid w:val="009834D5"/>
    <w:rsid w:val="00991BAC"/>
    <w:rsid w:val="0099257F"/>
    <w:rsid w:val="009929A9"/>
    <w:rsid w:val="00993426"/>
    <w:rsid w:val="00993C70"/>
    <w:rsid w:val="0099461D"/>
    <w:rsid w:val="0099757D"/>
    <w:rsid w:val="009A25EE"/>
    <w:rsid w:val="009A3E21"/>
    <w:rsid w:val="009A614F"/>
    <w:rsid w:val="009A6B5F"/>
    <w:rsid w:val="009A6EA0"/>
    <w:rsid w:val="009A7C54"/>
    <w:rsid w:val="009A7CCB"/>
    <w:rsid w:val="009A7FCD"/>
    <w:rsid w:val="009B02A6"/>
    <w:rsid w:val="009B033C"/>
    <w:rsid w:val="009B2AEA"/>
    <w:rsid w:val="009B39A3"/>
    <w:rsid w:val="009B4430"/>
    <w:rsid w:val="009B5729"/>
    <w:rsid w:val="009B7A68"/>
    <w:rsid w:val="009C1335"/>
    <w:rsid w:val="009C1AB2"/>
    <w:rsid w:val="009C2116"/>
    <w:rsid w:val="009C2350"/>
    <w:rsid w:val="009C2BD5"/>
    <w:rsid w:val="009C3803"/>
    <w:rsid w:val="009C3C46"/>
    <w:rsid w:val="009C5941"/>
    <w:rsid w:val="009C687D"/>
    <w:rsid w:val="009C6A04"/>
    <w:rsid w:val="009C7251"/>
    <w:rsid w:val="009D3454"/>
    <w:rsid w:val="009D5CB2"/>
    <w:rsid w:val="009E1E16"/>
    <w:rsid w:val="009E2E91"/>
    <w:rsid w:val="009E3538"/>
    <w:rsid w:val="009E35EE"/>
    <w:rsid w:val="009E4ADF"/>
    <w:rsid w:val="009E4AFE"/>
    <w:rsid w:val="009E4D0C"/>
    <w:rsid w:val="009E604D"/>
    <w:rsid w:val="009E61F4"/>
    <w:rsid w:val="009E629C"/>
    <w:rsid w:val="009E6880"/>
    <w:rsid w:val="009E6FCA"/>
    <w:rsid w:val="009F0BBA"/>
    <w:rsid w:val="009F3F4B"/>
    <w:rsid w:val="009F49DA"/>
    <w:rsid w:val="009F5CD5"/>
    <w:rsid w:val="009F7620"/>
    <w:rsid w:val="00A004EE"/>
    <w:rsid w:val="00A00BBD"/>
    <w:rsid w:val="00A01B40"/>
    <w:rsid w:val="00A04D1D"/>
    <w:rsid w:val="00A0693D"/>
    <w:rsid w:val="00A10414"/>
    <w:rsid w:val="00A10475"/>
    <w:rsid w:val="00A11765"/>
    <w:rsid w:val="00A11D12"/>
    <w:rsid w:val="00A13746"/>
    <w:rsid w:val="00A139F5"/>
    <w:rsid w:val="00A14D34"/>
    <w:rsid w:val="00A175B3"/>
    <w:rsid w:val="00A22F32"/>
    <w:rsid w:val="00A2524B"/>
    <w:rsid w:val="00A254F9"/>
    <w:rsid w:val="00A26309"/>
    <w:rsid w:val="00A27819"/>
    <w:rsid w:val="00A3064F"/>
    <w:rsid w:val="00A307A2"/>
    <w:rsid w:val="00A328CB"/>
    <w:rsid w:val="00A32E16"/>
    <w:rsid w:val="00A330C5"/>
    <w:rsid w:val="00A3394B"/>
    <w:rsid w:val="00A365F4"/>
    <w:rsid w:val="00A36723"/>
    <w:rsid w:val="00A367A6"/>
    <w:rsid w:val="00A36D7F"/>
    <w:rsid w:val="00A36FA3"/>
    <w:rsid w:val="00A3713B"/>
    <w:rsid w:val="00A37AE2"/>
    <w:rsid w:val="00A40292"/>
    <w:rsid w:val="00A41AE4"/>
    <w:rsid w:val="00A436D6"/>
    <w:rsid w:val="00A45D3B"/>
    <w:rsid w:val="00A45F04"/>
    <w:rsid w:val="00A46AFE"/>
    <w:rsid w:val="00A47B5B"/>
    <w:rsid w:val="00A47D80"/>
    <w:rsid w:val="00A47F4A"/>
    <w:rsid w:val="00A518F4"/>
    <w:rsid w:val="00A53132"/>
    <w:rsid w:val="00A5339C"/>
    <w:rsid w:val="00A53C29"/>
    <w:rsid w:val="00A53F76"/>
    <w:rsid w:val="00A54447"/>
    <w:rsid w:val="00A54C8C"/>
    <w:rsid w:val="00A563F2"/>
    <w:rsid w:val="00A566E8"/>
    <w:rsid w:val="00A573C6"/>
    <w:rsid w:val="00A60366"/>
    <w:rsid w:val="00A607F8"/>
    <w:rsid w:val="00A608B2"/>
    <w:rsid w:val="00A62D55"/>
    <w:rsid w:val="00A64238"/>
    <w:rsid w:val="00A64527"/>
    <w:rsid w:val="00A64DDF"/>
    <w:rsid w:val="00A66347"/>
    <w:rsid w:val="00A66678"/>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3CB"/>
    <w:rsid w:val="00A85E7E"/>
    <w:rsid w:val="00A86ECC"/>
    <w:rsid w:val="00A86FCC"/>
    <w:rsid w:val="00A901EB"/>
    <w:rsid w:val="00A90A6D"/>
    <w:rsid w:val="00A910E6"/>
    <w:rsid w:val="00A91FDD"/>
    <w:rsid w:val="00A9408F"/>
    <w:rsid w:val="00A944F9"/>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5702"/>
    <w:rsid w:val="00AB64F3"/>
    <w:rsid w:val="00AB6A52"/>
    <w:rsid w:val="00AB6D25"/>
    <w:rsid w:val="00AB7497"/>
    <w:rsid w:val="00AB7EFE"/>
    <w:rsid w:val="00AC0BEA"/>
    <w:rsid w:val="00AC222E"/>
    <w:rsid w:val="00AC2858"/>
    <w:rsid w:val="00AC36A6"/>
    <w:rsid w:val="00AC4469"/>
    <w:rsid w:val="00AC474A"/>
    <w:rsid w:val="00AC699F"/>
    <w:rsid w:val="00AC6E41"/>
    <w:rsid w:val="00AC75E6"/>
    <w:rsid w:val="00AD0E56"/>
    <w:rsid w:val="00AD1AA6"/>
    <w:rsid w:val="00AD248A"/>
    <w:rsid w:val="00AD49E9"/>
    <w:rsid w:val="00AD58F4"/>
    <w:rsid w:val="00AD6356"/>
    <w:rsid w:val="00AD6942"/>
    <w:rsid w:val="00AD7A64"/>
    <w:rsid w:val="00AE229B"/>
    <w:rsid w:val="00AE257A"/>
    <w:rsid w:val="00AE2D4B"/>
    <w:rsid w:val="00AE3ACA"/>
    <w:rsid w:val="00AE4F99"/>
    <w:rsid w:val="00AE5097"/>
    <w:rsid w:val="00AF09A5"/>
    <w:rsid w:val="00AF1EBD"/>
    <w:rsid w:val="00AF204B"/>
    <w:rsid w:val="00AF2452"/>
    <w:rsid w:val="00AF29F6"/>
    <w:rsid w:val="00AF38C9"/>
    <w:rsid w:val="00AF4CA2"/>
    <w:rsid w:val="00AF6C42"/>
    <w:rsid w:val="00AF6CA5"/>
    <w:rsid w:val="00B000A8"/>
    <w:rsid w:val="00B002A9"/>
    <w:rsid w:val="00B00A72"/>
    <w:rsid w:val="00B02AAC"/>
    <w:rsid w:val="00B03641"/>
    <w:rsid w:val="00B047DB"/>
    <w:rsid w:val="00B060A8"/>
    <w:rsid w:val="00B0689A"/>
    <w:rsid w:val="00B10249"/>
    <w:rsid w:val="00B1061C"/>
    <w:rsid w:val="00B10E30"/>
    <w:rsid w:val="00B1164B"/>
    <w:rsid w:val="00B11855"/>
    <w:rsid w:val="00B11B69"/>
    <w:rsid w:val="00B11C8B"/>
    <w:rsid w:val="00B1379F"/>
    <w:rsid w:val="00B138D5"/>
    <w:rsid w:val="00B14952"/>
    <w:rsid w:val="00B14BA6"/>
    <w:rsid w:val="00B14F2C"/>
    <w:rsid w:val="00B15ABD"/>
    <w:rsid w:val="00B16713"/>
    <w:rsid w:val="00B16871"/>
    <w:rsid w:val="00B22EC0"/>
    <w:rsid w:val="00B22EEB"/>
    <w:rsid w:val="00B24C2C"/>
    <w:rsid w:val="00B24D00"/>
    <w:rsid w:val="00B25B45"/>
    <w:rsid w:val="00B26BBB"/>
    <w:rsid w:val="00B27242"/>
    <w:rsid w:val="00B272A1"/>
    <w:rsid w:val="00B31E5A"/>
    <w:rsid w:val="00B32B63"/>
    <w:rsid w:val="00B3303C"/>
    <w:rsid w:val="00B33B62"/>
    <w:rsid w:val="00B343AD"/>
    <w:rsid w:val="00B3471E"/>
    <w:rsid w:val="00B3524F"/>
    <w:rsid w:val="00B358FB"/>
    <w:rsid w:val="00B405DF"/>
    <w:rsid w:val="00B4183D"/>
    <w:rsid w:val="00B41DA7"/>
    <w:rsid w:val="00B42088"/>
    <w:rsid w:val="00B427CC"/>
    <w:rsid w:val="00B4364E"/>
    <w:rsid w:val="00B445A5"/>
    <w:rsid w:val="00B469C3"/>
    <w:rsid w:val="00B47359"/>
    <w:rsid w:val="00B47D4A"/>
    <w:rsid w:val="00B51835"/>
    <w:rsid w:val="00B52A32"/>
    <w:rsid w:val="00B5505E"/>
    <w:rsid w:val="00B55390"/>
    <w:rsid w:val="00B56777"/>
    <w:rsid w:val="00B56ACF"/>
    <w:rsid w:val="00B575E6"/>
    <w:rsid w:val="00B57F0A"/>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7349D"/>
    <w:rsid w:val="00B7386E"/>
    <w:rsid w:val="00B73D86"/>
    <w:rsid w:val="00B74121"/>
    <w:rsid w:val="00B74162"/>
    <w:rsid w:val="00B74669"/>
    <w:rsid w:val="00B74B1C"/>
    <w:rsid w:val="00B761F3"/>
    <w:rsid w:val="00B76BA3"/>
    <w:rsid w:val="00B8044B"/>
    <w:rsid w:val="00B8202F"/>
    <w:rsid w:val="00B844FC"/>
    <w:rsid w:val="00B84503"/>
    <w:rsid w:val="00B84C43"/>
    <w:rsid w:val="00B8694E"/>
    <w:rsid w:val="00B8781E"/>
    <w:rsid w:val="00B90450"/>
    <w:rsid w:val="00B91167"/>
    <w:rsid w:val="00B911B6"/>
    <w:rsid w:val="00B914E9"/>
    <w:rsid w:val="00B92048"/>
    <w:rsid w:val="00B92619"/>
    <w:rsid w:val="00B92E18"/>
    <w:rsid w:val="00B956B7"/>
    <w:rsid w:val="00B956EE"/>
    <w:rsid w:val="00B96491"/>
    <w:rsid w:val="00B96738"/>
    <w:rsid w:val="00B973FA"/>
    <w:rsid w:val="00BA1186"/>
    <w:rsid w:val="00BA11B8"/>
    <w:rsid w:val="00BA1394"/>
    <w:rsid w:val="00BA1490"/>
    <w:rsid w:val="00BA2BA1"/>
    <w:rsid w:val="00BA306E"/>
    <w:rsid w:val="00BA3447"/>
    <w:rsid w:val="00BA3562"/>
    <w:rsid w:val="00BA3D71"/>
    <w:rsid w:val="00BA4D06"/>
    <w:rsid w:val="00BB1006"/>
    <w:rsid w:val="00BB254F"/>
    <w:rsid w:val="00BB272F"/>
    <w:rsid w:val="00BB423E"/>
    <w:rsid w:val="00BB4661"/>
    <w:rsid w:val="00BB46B7"/>
    <w:rsid w:val="00BB4F09"/>
    <w:rsid w:val="00BB54B5"/>
    <w:rsid w:val="00BB6B89"/>
    <w:rsid w:val="00BB6E64"/>
    <w:rsid w:val="00BB7412"/>
    <w:rsid w:val="00BB7620"/>
    <w:rsid w:val="00BC3D4E"/>
    <w:rsid w:val="00BC3FAF"/>
    <w:rsid w:val="00BC4210"/>
    <w:rsid w:val="00BC4421"/>
    <w:rsid w:val="00BC4ACB"/>
    <w:rsid w:val="00BC69F3"/>
    <w:rsid w:val="00BC777D"/>
    <w:rsid w:val="00BD18DC"/>
    <w:rsid w:val="00BD1A9A"/>
    <w:rsid w:val="00BD2BBD"/>
    <w:rsid w:val="00BD483E"/>
    <w:rsid w:val="00BD4BB0"/>
    <w:rsid w:val="00BD4E33"/>
    <w:rsid w:val="00BD5571"/>
    <w:rsid w:val="00BD774A"/>
    <w:rsid w:val="00BE1655"/>
    <w:rsid w:val="00BE2046"/>
    <w:rsid w:val="00BE321C"/>
    <w:rsid w:val="00BE6521"/>
    <w:rsid w:val="00BE703E"/>
    <w:rsid w:val="00BE7526"/>
    <w:rsid w:val="00BE77B1"/>
    <w:rsid w:val="00BE78F4"/>
    <w:rsid w:val="00BF13D1"/>
    <w:rsid w:val="00BF1DE3"/>
    <w:rsid w:val="00BF2CA8"/>
    <w:rsid w:val="00BF6121"/>
    <w:rsid w:val="00BF666E"/>
    <w:rsid w:val="00BF6DF8"/>
    <w:rsid w:val="00BF7673"/>
    <w:rsid w:val="00C00767"/>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119C"/>
    <w:rsid w:val="00C22105"/>
    <w:rsid w:val="00C244B6"/>
    <w:rsid w:val="00C27BF1"/>
    <w:rsid w:val="00C318B6"/>
    <w:rsid w:val="00C31DFC"/>
    <w:rsid w:val="00C33D18"/>
    <w:rsid w:val="00C354B7"/>
    <w:rsid w:val="00C3603C"/>
    <w:rsid w:val="00C3702F"/>
    <w:rsid w:val="00C420D4"/>
    <w:rsid w:val="00C43C90"/>
    <w:rsid w:val="00C44031"/>
    <w:rsid w:val="00C4500A"/>
    <w:rsid w:val="00C45459"/>
    <w:rsid w:val="00C46188"/>
    <w:rsid w:val="00C5036E"/>
    <w:rsid w:val="00C5167B"/>
    <w:rsid w:val="00C51F59"/>
    <w:rsid w:val="00C5308C"/>
    <w:rsid w:val="00C537FC"/>
    <w:rsid w:val="00C560D6"/>
    <w:rsid w:val="00C56B17"/>
    <w:rsid w:val="00C56D06"/>
    <w:rsid w:val="00C56F2D"/>
    <w:rsid w:val="00C57F0E"/>
    <w:rsid w:val="00C60D6C"/>
    <w:rsid w:val="00C62238"/>
    <w:rsid w:val="00C64A37"/>
    <w:rsid w:val="00C6585B"/>
    <w:rsid w:val="00C712C6"/>
    <w:rsid w:val="00C7158E"/>
    <w:rsid w:val="00C7246E"/>
    <w:rsid w:val="00C7250B"/>
    <w:rsid w:val="00C73430"/>
    <w:rsid w:val="00C7346B"/>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5A19"/>
    <w:rsid w:val="00C96FAA"/>
    <w:rsid w:val="00C975A5"/>
    <w:rsid w:val="00C97A04"/>
    <w:rsid w:val="00C97B1F"/>
    <w:rsid w:val="00CA107B"/>
    <w:rsid w:val="00CA484D"/>
    <w:rsid w:val="00CA4FB6"/>
    <w:rsid w:val="00CA52B6"/>
    <w:rsid w:val="00CA5D07"/>
    <w:rsid w:val="00CA79A9"/>
    <w:rsid w:val="00CA7C64"/>
    <w:rsid w:val="00CB0D86"/>
    <w:rsid w:val="00CB1F59"/>
    <w:rsid w:val="00CB20FB"/>
    <w:rsid w:val="00CB2F90"/>
    <w:rsid w:val="00CB3239"/>
    <w:rsid w:val="00CB4E26"/>
    <w:rsid w:val="00CB6AD4"/>
    <w:rsid w:val="00CB756E"/>
    <w:rsid w:val="00CC0C19"/>
    <w:rsid w:val="00CC0F6D"/>
    <w:rsid w:val="00CC5155"/>
    <w:rsid w:val="00CC5928"/>
    <w:rsid w:val="00CC5BE5"/>
    <w:rsid w:val="00CC739E"/>
    <w:rsid w:val="00CC7CA3"/>
    <w:rsid w:val="00CD04FC"/>
    <w:rsid w:val="00CD1002"/>
    <w:rsid w:val="00CD12CD"/>
    <w:rsid w:val="00CD1509"/>
    <w:rsid w:val="00CD187A"/>
    <w:rsid w:val="00CD1EBB"/>
    <w:rsid w:val="00CD28CF"/>
    <w:rsid w:val="00CD3981"/>
    <w:rsid w:val="00CD45C3"/>
    <w:rsid w:val="00CD58B7"/>
    <w:rsid w:val="00CD5CF9"/>
    <w:rsid w:val="00CD7967"/>
    <w:rsid w:val="00CE51A3"/>
    <w:rsid w:val="00CE6127"/>
    <w:rsid w:val="00CE635B"/>
    <w:rsid w:val="00CF18EE"/>
    <w:rsid w:val="00CF30BD"/>
    <w:rsid w:val="00CF4099"/>
    <w:rsid w:val="00CF4688"/>
    <w:rsid w:val="00CF48A6"/>
    <w:rsid w:val="00CF4E3D"/>
    <w:rsid w:val="00CF53B6"/>
    <w:rsid w:val="00CF5B70"/>
    <w:rsid w:val="00CF6F42"/>
    <w:rsid w:val="00D00796"/>
    <w:rsid w:val="00D0435A"/>
    <w:rsid w:val="00D04A17"/>
    <w:rsid w:val="00D061FD"/>
    <w:rsid w:val="00D068E0"/>
    <w:rsid w:val="00D1014D"/>
    <w:rsid w:val="00D10C4D"/>
    <w:rsid w:val="00D12CEC"/>
    <w:rsid w:val="00D12E1E"/>
    <w:rsid w:val="00D14CF8"/>
    <w:rsid w:val="00D15149"/>
    <w:rsid w:val="00D2040C"/>
    <w:rsid w:val="00D223A6"/>
    <w:rsid w:val="00D22D74"/>
    <w:rsid w:val="00D25B0D"/>
    <w:rsid w:val="00D261A2"/>
    <w:rsid w:val="00D26D4E"/>
    <w:rsid w:val="00D26D5B"/>
    <w:rsid w:val="00D27D6D"/>
    <w:rsid w:val="00D308D5"/>
    <w:rsid w:val="00D30D7B"/>
    <w:rsid w:val="00D31A22"/>
    <w:rsid w:val="00D36AF0"/>
    <w:rsid w:val="00D40038"/>
    <w:rsid w:val="00D407E8"/>
    <w:rsid w:val="00D436F7"/>
    <w:rsid w:val="00D44522"/>
    <w:rsid w:val="00D46D60"/>
    <w:rsid w:val="00D50192"/>
    <w:rsid w:val="00D50CFA"/>
    <w:rsid w:val="00D54D8D"/>
    <w:rsid w:val="00D555DF"/>
    <w:rsid w:val="00D55685"/>
    <w:rsid w:val="00D602ED"/>
    <w:rsid w:val="00D60F69"/>
    <w:rsid w:val="00D6135A"/>
    <w:rsid w:val="00D616D2"/>
    <w:rsid w:val="00D61DCD"/>
    <w:rsid w:val="00D63B5F"/>
    <w:rsid w:val="00D658A7"/>
    <w:rsid w:val="00D66905"/>
    <w:rsid w:val="00D66D1F"/>
    <w:rsid w:val="00D67A64"/>
    <w:rsid w:val="00D70EF7"/>
    <w:rsid w:val="00D71433"/>
    <w:rsid w:val="00D71D22"/>
    <w:rsid w:val="00D7513E"/>
    <w:rsid w:val="00D8061D"/>
    <w:rsid w:val="00D80B70"/>
    <w:rsid w:val="00D82ED3"/>
    <w:rsid w:val="00D8397C"/>
    <w:rsid w:val="00D83F26"/>
    <w:rsid w:val="00D8654F"/>
    <w:rsid w:val="00D90160"/>
    <w:rsid w:val="00D9095E"/>
    <w:rsid w:val="00D91096"/>
    <w:rsid w:val="00D9172A"/>
    <w:rsid w:val="00D91BC4"/>
    <w:rsid w:val="00D921FB"/>
    <w:rsid w:val="00D934FB"/>
    <w:rsid w:val="00D94EED"/>
    <w:rsid w:val="00D95604"/>
    <w:rsid w:val="00D95CA9"/>
    <w:rsid w:val="00D96026"/>
    <w:rsid w:val="00D96994"/>
    <w:rsid w:val="00D96E96"/>
    <w:rsid w:val="00D96FFA"/>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3F6F"/>
    <w:rsid w:val="00DC44AD"/>
    <w:rsid w:val="00DC48B4"/>
    <w:rsid w:val="00DC5D45"/>
    <w:rsid w:val="00DC6708"/>
    <w:rsid w:val="00DD011A"/>
    <w:rsid w:val="00DD0AB4"/>
    <w:rsid w:val="00DD1D3A"/>
    <w:rsid w:val="00DD4669"/>
    <w:rsid w:val="00DD52AE"/>
    <w:rsid w:val="00DD56F4"/>
    <w:rsid w:val="00DD5899"/>
    <w:rsid w:val="00DD6079"/>
    <w:rsid w:val="00DD7417"/>
    <w:rsid w:val="00DE0A70"/>
    <w:rsid w:val="00DE0E21"/>
    <w:rsid w:val="00DE1CA6"/>
    <w:rsid w:val="00DE2400"/>
    <w:rsid w:val="00DE35FF"/>
    <w:rsid w:val="00DE397F"/>
    <w:rsid w:val="00DE4A46"/>
    <w:rsid w:val="00DE5025"/>
    <w:rsid w:val="00DE58F1"/>
    <w:rsid w:val="00DE64D3"/>
    <w:rsid w:val="00DE67A5"/>
    <w:rsid w:val="00DE6B58"/>
    <w:rsid w:val="00DE72D5"/>
    <w:rsid w:val="00DF0F71"/>
    <w:rsid w:val="00DF280C"/>
    <w:rsid w:val="00DF3391"/>
    <w:rsid w:val="00DF49A9"/>
    <w:rsid w:val="00DF5C59"/>
    <w:rsid w:val="00DF5E32"/>
    <w:rsid w:val="00DF7CEA"/>
    <w:rsid w:val="00E01436"/>
    <w:rsid w:val="00E01B00"/>
    <w:rsid w:val="00E02C88"/>
    <w:rsid w:val="00E038BB"/>
    <w:rsid w:val="00E03D3E"/>
    <w:rsid w:val="00E03E79"/>
    <w:rsid w:val="00E045BD"/>
    <w:rsid w:val="00E04D6C"/>
    <w:rsid w:val="00E07116"/>
    <w:rsid w:val="00E077A5"/>
    <w:rsid w:val="00E1295D"/>
    <w:rsid w:val="00E12B8E"/>
    <w:rsid w:val="00E131F0"/>
    <w:rsid w:val="00E14A1F"/>
    <w:rsid w:val="00E15CF4"/>
    <w:rsid w:val="00E164E5"/>
    <w:rsid w:val="00E17B77"/>
    <w:rsid w:val="00E202BC"/>
    <w:rsid w:val="00E21449"/>
    <w:rsid w:val="00E21E32"/>
    <w:rsid w:val="00E21F93"/>
    <w:rsid w:val="00E231AB"/>
    <w:rsid w:val="00E23337"/>
    <w:rsid w:val="00E23F06"/>
    <w:rsid w:val="00E24B9E"/>
    <w:rsid w:val="00E24E61"/>
    <w:rsid w:val="00E259EA"/>
    <w:rsid w:val="00E25D33"/>
    <w:rsid w:val="00E2669B"/>
    <w:rsid w:val="00E2734F"/>
    <w:rsid w:val="00E27BD3"/>
    <w:rsid w:val="00E32061"/>
    <w:rsid w:val="00E32D31"/>
    <w:rsid w:val="00E33F48"/>
    <w:rsid w:val="00E35511"/>
    <w:rsid w:val="00E41BB6"/>
    <w:rsid w:val="00E42FF9"/>
    <w:rsid w:val="00E44790"/>
    <w:rsid w:val="00E45707"/>
    <w:rsid w:val="00E4714C"/>
    <w:rsid w:val="00E5178D"/>
    <w:rsid w:val="00E51AEB"/>
    <w:rsid w:val="00E522A7"/>
    <w:rsid w:val="00E5349E"/>
    <w:rsid w:val="00E54452"/>
    <w:rsid w:val="00E567AF"/>
    <w:rsid w:val="00E60B2E"/>
    <w:rsid w:val="00E617F4"/>
    <w:rsid w:val="00E627FE"/>
    <w:rsid w:val="00E63B0C"/>
    <w:rsid w:val="00E664C5"/>
    <w:rsid w:val="00E671A2"/>
    <w:rsid w:val="00E6730E"/>
    <w:rsid w:val="00E679EC"/>
    <w:rsid w:val="00E72B9F"/>
    <w:rsid w:val="00E75768"/>
    <w:rsid w:val="00E76482"/>
    <w:rsid w:val="00E767DC"/>
    <w:rsid w:val="00E76D26"/>
    <w:rsid w:val="00E76EE5"/>
    <w:rsid w:val="00E80DC3"/>
    <w:rsid w:val="00E819FD"/>
    <w:rsid w:val="00E8255C"/>
    <w:rsid w:val="00E834C1"/>
    <w:rsid w:val="00E83D90"/>
    <w:rsid w:val="00E8416F"/>
    <w:rsid w:val="00E8578C"/>
    <w:rsid w:val="00E85E41"/>
    <w:rsid w:val="00E86B7B"/>
    <w:rsid w:val="00E875FB"/>
    <w:rsid w:val="00E902C7"/>
    <w:rsid w:val="00E903E2"/>
    <w:rsid w:val="00E90CBB"/>
    <w:rsid w:val="00E94276"/>
    <w:rsid w:val="00E95036"/>
    <w:rsid w:val="00E95B8E"/>
    <w:rsid w:val="00E9608D"/>
    <w:rsid w:val="00E97D01"/>
    <w:rsid w:val="00EA01DD"/>
    <w:rsid w:val="00EA036C"/>
    <w:rsid w:val="00EA34B9"/>
    <w:rsid w:val="00EA350D"/>
    <w:rsid w:val="00EA3687"/>
    <w:rsid w:val="00EA436C"/>
    <w:rsid w:val="00EA4A4B"/>
    <w:rsid w:val="00EB07DC"/>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B01"/>
    <w:rsid w:val="00EC4F34"/>
    <w:rsid w:val="00EC53E2"/>
    <w:rsid w:val="00EC5400"/>
    <w:rsid w:val="00EC57DB"/>
    <w:rsid w:val="00ED003D"/>
    <w:rsid w:val="00ED1E33"/>
    <w:rsid w:val="00ED2BF9"/>
    <w:rsid w:val="00ED3385"/>
    <w:rsid w:val="00ED55C0"/>
    <w:rsid w:val="00ED681B"/>
    <w:rsid w:val="00ED682B"/>
    <w:rsid w:val="00EE0177"/>
    <w:rsid w:val="00EE11EE"/>
    <w:rsid w:val="00EE172F"/>
    <w:rsid w:val="00EE335F"/>
    <w:rsid w:val="00EE41D5"/>
    <w:rsid w:val="00EE4FD2"/>
    <w:rsid w:val="00EE5F8A"/>
    <w:rsid w:val="00EE67F3"/>
    <w:rsid w:val="00EE6878"/>
    <w:rsid w:val="00EE7690"/>
    <w:rsid w:val="00EF1584"/>
    <w:rsid w:val="00EF1698"/>
    <w:rsid w:val="00EF4380"/>
    <w:rsid w:val="00EF4CF7"/>
    <w:rsid w:val="00EF51DF"/>
    <w:rsid w:val="00EF6C45"/>
    <w:rsid w:val="00EF78A1"/>
    <w:rsid w:val="00EF7E72"/>
    <w:rsid w:val="00F00A70"/>
    <w:rsid w:val="00F00FDC"/>
    <w:rsid w:val="00F012B7"/>
    <w:rsid w:val="00F0166F"/>
    <w:rsid w:val="00F0277C"/>
    <w:rsid w:val="00F037A4"/>
    <w:rsid w:val="00F042CE"/>
    <w:rsid w:val="00F04543"/>
    <w:rsid w:val="00F0498C"/>
    <w:rsid w:val="00F049AB"/>
    <w:rsid w:val="00F04D40"/>
    <w:rsid w:val="00F05A1D"/>
    <w:rsid w:val="00F106A6"/>
    <w:rsid w:val="00F10A84"/>
    <w:rsid w:val="00F112B4"/>
    <w:rsid w:val="00F118F7"/>
    <w:rsid w:val="00F12EA9"/>
    <w:rsid w:val="00F142DB"/>
    <w:rsid w:val="00F14824"/>
    <w:rsid w:val="00F16482"/>
    <w:rsid w:val="00F164E0"/>
    <w:rsid w:val="00F202D8"/>
    <w:rsid w:val="00F20430"/>
    <w:rsid w:val="00F20595"/>
    <w:rsid w:val="00F214AE"/>
    <w:rsid w:val="00F21E8D"/>
    <w:rsid w:val="00F21FDA"/>
    <w:rsid w:val="00F2242E"/>
    <w:rsid w:val="00F22B52"/>
    <w:rsid w:val="00F22D76"/>
    <w:rsid w:val="00F234E5"/>
    <w:rsid w:val="00F25AC4"/>
    <w:rsid w:val="00F27C8F"/>
    <w:rsid w:val="00F27CD3"/>
    <w:rsid w:val="00F30535"/>
    <w:rsid w:val="00F32267"/>
    <w:rsid w:val="00F32749"/>
    <w:rsid w:val="00F33A22"/>
    <w:rsid w:val="00F33EE4"/>
    <w:rsid w:val="00F348C9"/>
    <w:rsid w:val="00F354AA"/>
    <w:rsid w:val="00F35D4B"/>
    <w:rsid w:val="00F36FEA"/>
    <w:rsid w:val="00F37172"/>
    <w:rsid w:val="00F3718E"/>
    <w:rsid w:val="00F379FF"/>
    <w:rsid w:val="00F42175"/>
    <w:rsid w:val="00F426EC"/>
    <w:rsid w:val="00F43224"/>
    <w:rsid w:val="00F43465"/>
    <w:rsid w:val="00F4465B"/>
    <w:rsid w:val="00F4477E"/>
    <w:rsid w:val="00F46269"/>
    <w:rsid w:val="00F4708B"/>
    <w:rsid w:val="00F47C7B"/>
    <w:rsid w:val="00F51BA1"/>
    <w:rsid w:val="00F51FFF"/>
    <w:rsid w:val="00F52B98"/>
    <w:rsid w:val="00F52F90"/>
    <w:rsid w:val="00F5402A"/>
    <w:rsid w:val="00F56653"/>
    <w:rsid w:val="00F60BA8"/>
    <w:rsid w:val="00F60F0D"/>
    <w:rsid w:val="00F61162"/>
    <w:rsid w:val="00F62099"/>
    <w:rsid w:val="00F63ADA"/>
    <w:rsid w:val="00F64F16"/>
    <w:rsid w:val="00F66E45"/>
    <w:rsid w:val="00F6780B"/>
    <w:rsid w:val="00F67A86"/>
    <w:rsid w:val="00F67B1E"/>
    <w:rsid w:val="00F67D8F"/>
    <w:rsid w:val="00F7333F"/>
    <w:rsid w:val="00F73418"/>
    <w:rsid w:val="00F742E2"/>
    <w:rsid w:val="00F75647"/>
    <w:rsid w:val="00F772D9"/>
    <w:rsid w:val="00F77815"/>
    <w:rsid w:val="00F802BE"/>
    <w:rsid w:val="00F80E93"/>
    <w:rsid w:val="00F81404"/>
    <w:rsid w:val="00F83399"/>
    <w:rsid w:val="00F84D9C"/>
    <w:rsid w:val="00F86024"/>
    <w:rsid w:val="00F8611A"/>
    <w:rsid w:val="00F86A00"/>
    <w:rsid w:val="00F86A1B"/>
    <w:rsid w:val="00F9153E"/>
    <w:rsid w:val="00F92AB2"/>
    <w:rsid w:val="00F95E32"/>
    <w:rsid w:val="00F97656"/>
    <w:rsid w:val="00FA01D0"/>
    <w:rsid w:val="00FA0F12"/>
    <w:rsid w:val="00FA4395"/>
    <w:rsid w:val="00FA5128"/>
    <w:rsid w:val="00FA79FA"/>
    <w:rsid w:val="00FB32ED"/>
    <w:rsid w:val="00FB4014"/>
    <w:rsid w:val="00FB42D4"/>
    <w:rsid w:val="00FB42E5"/>
    <w:rsid w:val="00FB5906"/>
    <w:rsid w:val="00FB6607"/>
    <w:rsid w:val="00FB7212"/>
    <w:rsid w:val="00FB762F"/>
    <w:rsid w:val="00FB77EC"/>
    <w:rsid w:val="00FC21D0"/>
    <w:rsid w:val="00FC2AED"/>
    <w:rsid w:val="00FC2D07"/>
    <w:rsid w:val="00FC4025"/>
    <w:rsid w:val="00FC61C8"/>
    <w:rsid w:val="00FC6211"/>
    <w:rsid w:val="00FC748C"/>
    <w:rsid w:val="00FC77AE"/>
    <w:rsid w:val="00FC7DE9"/>
    <w:rsid w:val="00FD08AE"/>
    <w:rsid w:val="00FD211F"/>
    <w:rsid w:val="00FD461A"/>
    <w:rsid w:val="00FD5170"/>
    <w:rsid w:val="00FD5609"/>
    <w:rsid w:val="00FD5EA7"/>
    <w:rsid w:val="00FD6F27"/>
    <w:rsid w:val="00FE0AA0"/>
    <w:rsid w:val="00FE1C2D"/>
    <w:rsid w:val="00FE36CF"/>
    <w:rsid w:val="00FE3A19"/>
    <w:rsid w:val="00FE4330"/>
    <w:rsid w:val="00FE4548"/>
    <w:rsid w:val="00FE5874"/>
    <w:rsid w:val="00FE59CF"/>
    <w:rsid w:val="00FE79AA"/>
    <w:rsid w:val="00FE7EA6"/>
    <w:rsid w:val="00FF003A"/>
    <w:rsid w:val="00FF0246"/>
    <w:rsid w:val="00FF0CE0"/>
    <w:rsid w:val="00FF1A3B"/>
    <w:rsid w:val="00FF215E"/>
    <w:rsid w:val="00FF2AB6"/>
    <w:rsid w:val="00FF3F94"/>
    <w:rsid w:val="00FF6C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Seria 1</c:v>
                </c:pt>
              </c:strCache>
            </c:strRef>
          </c:tx>
          <c:spPr>
            <a:ln w="28575" cap="sq">
              <a:solidFill>
                <a:srgbClr val="001D77"/>
              </a:solidFill>
              <a:round/>
            </a:ln>
            <a:effectLst/>
          </c:spPr>
          <c:marker>
            <c:symbol val="square"/>
            <c:size val="4"/>
            <c:spPr>
              <a:solidFill>
                <a:srgbClr val="001381"/>
              </a:solidFill>
              <a:ln w="9525" cap="flat">
                <a:solidFill>
                  <a:srgbClr val="002060"/>
                </a:solidFill>
              </a:ln>
              <a:effectLst/>
            </c:spPr>
          </c:marker>
          <c:dLbls>
            <c:dLbl>
              <c:idx val="0"/>
              <c:layout>
                <c:manualLayout>
                  <c:x val="-4.0461137969505394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CF1-491C-9815-5937127F7FF2}"/>
                </c:ext>
              </c:extLst>
            </c:dLbl>
            <c:dLbl>
              <c:idx val="2"/>
              <c:layout>
                <c:manualLayout>
                  <c:x val="-3.767814631203828E-2"/>
                  <c:y val="-6.07734806629834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F1-491C-9815-5937127F7FF2}"/>
                </c:ext>
              </c:extLst>
            </c:dLbl>
            <c:dLbl>
              <c:idx val="3"/>
              <c:layout>
                <c:manualLayout>
                  <c:x val="-3.958715833633477E-2"/>
                  <c:y val="-4.8023799405014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F1-491C-9815-5937127F7FF2}"/>
                </c:ext>
              </c:extLst>
            </c:dLbl>
            <c:dLbl>
              <c:idx val="6"/>
              <c:layout>
                <c:manualLayout>
                  <c:x val="-2.4711739965193127E-2"/>
                  <c:y val="-4.8023799405014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F1-491C-9815-5937127F7FF2}"/>
                </c:ext>
              </c:extLst>
            </c:dLbl>
            <c:dLbl>
              <c:idx val="11"/>
              <c:layout>
                <c:manualLayout>
                  <c:x val="-3.2694881157705788E-2"/>
                  <c:y val="-7.35231619209520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CF1-491C-9815-5937127F7FF2}"/>
                </c:ext>
              </c:extLst>
            </c:dLbl>
            <c:dLbl>
              <c:idx val="13"/>
              <c:layout>
                <c:manualLayout>
                  <c:x val="-3.0215644762515509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CF1-491C-9815-5937127F7FF2}"/>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Arkusz1!$A$26:$A$46</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Arkusz1!$B$26:$B$46</c:f>
              <c:numCache>
                <c:formatCode>General</c:formatCode>
                <c:ptCount val="21"/>
                <c:pt idx="0">
                  <c:v>0.4</c:v>
                </c:pt>
                <c:pt idx="1">
                  <c:v>0.6</c:v>
                </c:pt>
                <c:pt idx="2">
                  <c:v>0.5</c:v>
                </c:pt>
                <c:pt idx="3">
                  <c:v>0.7</c:v>
                </c:pt>
                <c:pt idx="4">
                  <c:v>0.9</c:v>
                </c:pt>
                <c:pt idx="5" formatCode="0.0">
                  <c:v>0.9</c:v>
                </c:pt>
                <c:pt idx="6">
                  <c:v>0.7</c:v>
                </c:pt>
                <c:pt idx="7">
                  <c:v>0.7</c:v>
                </c:pt>
                <c:pt idx="8">
                  <c:v>0.7</c:v>
                </c:pt>
                <c:pt idx="9">
                  <c:v>0.6</c:v>
                </c:pt>
                <c:pt idx="10">
                  <c:v>0.5</c:v>
                </c:pt>
                <c:pt idx="11">
                  <c:v>0.3</c:v>
                </c:pt>
                <c:pt idx="12">
                  <c:v>0.5</c:v>
                </c:pt>
                <c:pt idx="13">
                  <c:v>0.3</c:v>
                </c:pt>
                <c:pt idx="14">
                  <c:v>0.4</c:v>
                </c:pt>
                <c:pt idx="15">
                  <c:v>0.5</c:v>
                </c:pt>
                <c:pt idx="16">
                  <c:v>0.4</c:v>
                </c:pt>
                <c:pt idx="17">
                  <c:v>0.3</c:v>
                </c:pt>
                <c:pt idx="18">
                  <c:v>0.4</c:v>
                </c:pt>
                <c:pt idx="19">
                  <c:v>0.3</c:v>
                </c:pt>
                <c:pt idx="20">
                  <c:v>0.3</c:v>
                </c:pt>
              </c:numCache>
            </c:numRef>
          </c:val>
          <c:smooth val="0"/>
          <c:extLst>
            <c:ext xmlns:c16="http://schemas.microsoft.com/office/drawing/2014/chart" uri="{C3380CC4-5D6E-409C-BE32-E72D297353CC}">
              <c16:uniqueId val="{00000000-9CF1-491C-9815-5937127F7FF2}"/>
            </c:ext>
          </c:extLst>
        </c:ser>
        <c:dLbls>
          <c:showLegendKey val="0"/>
          <c:showVal val="0"/>
          <c:showCatName val="0"/>
          <c:showSerName val="0"/>
          <c:showPercent val="0"/>
          <c:showBubbleSize val="0"/>
        </c:dLbls>
        <c:marker val="1"/>
        <c:smooth val="0"/>
        <c:axId val="152094639"/>
        <c:axId val="143964575"/>
      </c:lineChart>
      <c:catAx>
        <c:axId val="152094639"/>
        <c:scaling>
          <c:orientation val="minMax"/>
        </c:scaling>
        <c:delete val="0"/>
        <c:axPos val="b"/>
        <c:numFmt formatCode="General" sourceLinked="1"/>
        <c:majorTickMark val="none"/>
        <c:minorTickMark val="in"/>
        <c:tickLblPos val="low"/>
        <c:spPr>
          <a:noFill/>
          <a:ln w="9525" cap="flat" cmpd="sng" algn="ctr">
            <a:solidFill>
              <a:srgbClr val="00138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3964575"/>
        <c:crossesAt val="0"/>
        <c:auto val="0"/>
        <c:lblAlgn val="ctr"/>
        <c:lblOffset val="100"/>
        <c:tickLblSkip val="1"/>
        <c:noMultiLvlLbl val="0"/>
      </c:catAx>
      <c:valAx>
        <c:axId val="143964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209463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rot="0" vert="horz"/>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91583480476992E-2"/>
          <c:y val="0.13016270337922403"/>
          <c:w val="0.90353681617242987"/>
          <c:h val="0.71621219437682926"/>
        </c:manualLayout>
      </c:layout>
      <c:lineChart>
        <c:grouping val="standard"/>
        <c:varyColors val="0"/>
        <c:ser>
          <c:idx val="0"/>
          <c:order val="0"/>
          <c:tx>
            <c:strRef>
              <c:f>Arkusz1!$B$1</c:f>
              <c:strCache>
                <c:ptCount val="1"/>
                <c:pt idx="0">
                  <c:v>Seria 1</c:v>
                </c:pt>
              </c:strCache>
            </c:strRef>
          </c:tx>
          <c:spPr>
            <a:ln w="28575" cap="rnd">
              <a:solidFill>
                <a:srgbClr val="001381"/>
              </a:solidFill>
              <a:round/>
            </a:ln>
            <a:effectLst/>
          </c:spPr>
          <c:marker>
            <c:symbol val="square"/>
            <c:size val="4"/>
            <c:spPr>
              <a:solidFill>
                <a:srgbClr val="001D77"/>
              </a:solidFill>
              <a:ln w="9525">
                <a:solidFill>
                  <a:srgbClr val="001381"/>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Arkusz1!$A$26:$A$46</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Arkusz1!$B$26:$B$46</c:f>
              <c:numCache>
                <c:formatCode>0.0</c:formatCode>
                <c:ptCount val="21"/>
                <c:pt idx="0">
                  <c:v>13.6</c:v>
                </c:pt>
                <c:pt idx="1">
                  <c:v>12.9</c:v>
                </c:pt>
                <c:pt idx="2">
                  <c:v>12</c:v>
                </c:pt>
                <c:pt idx="3">
                  <c:v>11.4</c:v>
                </c:pt>
                <c:pt idx="4">
                  <c:v>10.9</c:v>
                </c:pt>
                <c:pt idx="5">
                  <c:v>10.3</c:v>
                </c:pt>
                <c:pt idx="6">
                  <c:v>10</c:v>
                </c:pt>
                <c:pt idx="7">
                  <c:v>9.6999999999999993</c:v>
                </c:pt>
                <c:pt idx="8">
                  <c:v>8.9</c:v>
                </c:pt>
                <c:pt idx="9">
                  <c:v>8.1999999999999993</c:v>
                </c:pt>
                <c:pt idx="10">
                  <c:v>8</c:v>
                </c:pt>
                <c:pt idx="11">
                  <c:v>7.5</c:v>
                </c:pt>
                <c:pt idx="12">
                  <c:v>7.8</c:v>
                </c:pt>
                <c:pt idx="13">
                  <c:v>7.5</c:v>
                </c:pt>
                <c:pt idx="14">
                  <c:v>7.3</c:v>
                </c:pt>
                <c:pt idx="15">
                  <c:v>7.1</c:v>
                </c:pt>
                <c:pt idx="16">
                  <c:v>6.6</c:v>
                </c:pt>
                <c:pt idx="17">
                  <c:v>6</c:v>
                </c:pt>
                <c:pt idx="18">
                  <c:v>5.7</c:v>
                </c:pt>
                <c:pt idx="19">
                  <c:v>5.3</c:v>
                </c:pt>
                <c:pt idx="20">
                  <c:v>5</c:v>
                </c:pt>
              </c:numCache>
            </c:numRef>
          </c:val>
          <c:smooth val="0"/>
          <c:extLst>
            <c:ext xmlns:c16="http://schemas.microsoft.com/office/drawing/2014/chart" uri="{C3380CC4-5D6E-409C-BE32-E72D297353CC}">
              <c16:uniqueId val="{00000000-A004-469C-BA3E-531991F9540B}"/>
            </c:ext>
          </c:extLst>
        </c:ser>
        <c:dLbls>
          <c:showLegendKey val="0"/>
          <c:showVal val="0"/>
          <c:showCatName val="0"/>
          <c:showSerName val="0"/>
          <c:showPercent val="0"/>
          <c:showBubbleSize val="0"/>
        </c:dLbls>
        <c:marker val="1"/>
        <c:smooth val="0"/>
        <c:axId val="143726143"/>
        <c:axId val="303851823"/>
      </c:lineChart>
      <c:catAx>
        <c:axId val="143726143"/>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303851823"/>
        <c:crosses val="autoZero"/>
        <c:auto val="1"/>
        <c:lblAlgn val="ctr"/>
        <c:lblOffset val="100"/>
        <c:tickLblSkip val="1"/>
        <c:noMultiLvlLbl val="0"/>
      </c:catAx>
      <c:valAx>
        <c:axId val="3038518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4372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pl-PL" sz="8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3310583368E-2"/>
          <c:y val="3.4083162917518749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71529747795E-2"/>
          <c:y val="0.10088616223585549"/>
          <c:w val="0.84565454453728028"/>
          <c:h val="0.55418417789800811"/>
        </c:manualLayout>
      </c:layout>
      <c:barChart>
        <c:barDir val="col"/>
        <c:grouping val="clustered"/>
        <c:varyColors val="0"/>
        <c:ser>
          <c:idx val="0"/>
          <c:order val="0"/>
          <c:tx>
            <c:strRef>
              <c:f>Arkusz1!$B$1</c:f>
              <c:strCache>
                <c:ptCount val="1"/>
                <c:pt idx="0">
                  <c:v>ceny produkcji budowlano-montażowej</c:v>
                </c:pt>
              </c:strCache>
            </c:strRef>
          </c:tx>
          <c:spPr>
            <a:solidFill>
              <a:srgbClr val="001D77"/>
            </a:solidFill>
            <a:ln w="12700">
              <a:solidFill>
                <a:srgbClr val="001D77"/>
              </a:solidFill>
            </a:ln>
            <a:effectLst/>
          </c:spPr>
          <c:invertIfNegative val="0"/>
          <c:dLbls>
            <c:dLbl>
              <c:idx val="20"/>
              <c:layout>
                <c:manualLayout>
                  <c:x val="7.3928043371118773E-2"/>
                  <c:y val="6.81663258350376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FF-4218-8881-FE15B2CAF69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Arkusz1!$A$2:$A$22</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Arkusz1!$B$2:$B$22</c:f>
              <c:numCache>
                <c:formatCode>General</c:formatCode>
                <c:ptCount val="21"/>
                <c:pt idx="0" formatCode="0.0">
                  <c:v>0.4</c:v>
                </c:pt>
                <c:pt idx="1">
                  <c:v>1</c:v>
                </c:pt>
                <c:pt idx="2">
                  <c:v>1.5</c:v>
                </c:pt>
                <c:pt idx="3" formatCode="0.0">
                  <c:v>2.2000000000000002</c:v>
                </c:pt>
                <c:pt idx="4">
                  <c:v>3.1</c:v>
                </c:pt>
                <c:pt idx="5">
                  <c:v>4</c:v>
                </c:pt>
                <c:pt idx="6">
                  <c:v>4.7</c:v>
                </c:pt>
                <c:pt idx="7" formatCode="0.0">
                  <c:v>5.4</c:v>
                </c:pt>
                <c:pt idx="8" formatCode="0.0">
                  <c:v>6.1</c:v>
                </c:pt>
                <c:pt idx="9" formatCode="0.0">
                  <c:v>6.7</c:v>
                </c:pt>
                <c:pt idx="10" formatCode="0.0">
                  <c:v>7.2</c:v>
                </c:pt>
                <c:pt idx="11">
                  <c:v>7.5</c:v>
                </c:pt>
                <c:pt idx="12" formatCode="0.0">
                  <c:v>8</c:v>
                </c:pt>
                <c:pt idx="13" formatCode="0.0">
                  <c:v>8.3000000000000007</c:v>
                </c:pt>
                <c:pt idx="14" formatCode="0.0">
                  <c:v>8.6999999999999993</c:v>
                </c:pt>
                <c:pt idx="15" formatCode="0.0">
                  <c:v>9.1999999999999993</c:v>
                </c:pt>
                <c:pt idx="16" formatCode="0.0">
                  <c:v>9.6</c:v>
                </c:pt>
                <c:pt idx="17" formatCode="0.0">
                  <c:v>9.9</c:v>
                </c:pt>
                <c:pt idx="18" formatCode="0.0">
                  <c:v>10.3</c:v>
                </c:pt>
                <c:pt idx="19" formatCode="0.0">
                  <c:v>10.6</c:v>
                </c:pt>
                <c:pt idx="20" formatCode="0.0">
                  <c:v>10.9</c:v>
                </c:pt>
              </c:numCache>
            </c:numRef>
          </c:val>
          <c:extLst>
            <c:ext xmlns:c16="http://schemas.microsoft.com/office/drawing/2014/chart" uri="{C3380CC4-5D6E-409C-BE32-E72D297353CC}">
              <c16:uniqueId val="{00000000-82FF-4218-8881-FE15B2CAF69E}"/>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budowa budynków</c:v>
                </c:pt>
              </c:strCache>
            </c:strRef>
          </c:tx>
          <c:spPr>
            <a:ln w="25400" cap="rnd">
              <a:solidFill>
                <a:srgbClr val="99CEB3"/>
              </a:solidFill>
              <a:round/>
            </a:ln>
            <a:effectLst/>
          </c:spPr>
          <c:marker>
            <c:symbol val="none"/>
          </c:marker>
          <c:dLbls>
            <c:dLbl>
              <c:idx val="20"/>
              <c:layout>
                <c:manualLayout>
                  <c:x val="4.1892557910300637E-2"/>
                  <c:y val="1.0224948875255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2FF-4218-8881-FE15B2CAF69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Arkusz1!$A$2:$A$22</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Arkusz1!$C$2:$C$22</c:f>
              <c:numCache>
                <c:formatCode>0.0</c:formatCode>
                <c:ptCount val="21"/>
                <c:pt idx="0">
                  <c:v>0.5</c:v>
                </c:pt>
                <c:pt idx="1">
                  <c:v>1</c:v>
                </c:pt>
                <c:pt idx="2">
                  <c:v>1.4</c:v>
                </c:pt>
                <c:pt idx="3">
                  <c:v>2</c:v>
                </c:pt>
                <c:pt idx="4">
                  <c:v>2.7</c:v>
                </c:pt>
                <c:pt idx="5">
                  <c:v>3.4</c:v>
                </c:pt>
                <c:pt idx="6">
                  <c:v>4</c:v>
                </c:pt>
                <c:pt idx="7">
                  <c:v>4.5999999999999996</c:v>
                </c:pt>
                <c:pt idx="8">
                  <c:v>5.2</c:v>
                </c:pt>
                <c:pt idx="9">
                  <c:v>5.7</c:v>
                </c:pt>
                <c:pt idx="10">
                  <c:v>6.1</c:v>
                </c:pt>
                <c:pt idx="11">
                  <c:v>6.4</c:v>
                </c:pt>
                <c:pt idx="12">
                  <c:v>6.9</c:v>
                </c:pt>
                <c:pt idx="13">
                  <c:v>7.1</c:v>
                </c:pt>
                <c:pt idx="14">
                  <c:v>7.5</c:v>
                </c:pt>
                <c:pt idx="15">
                  <c:v>7.9</c:v>
                </c:pt>
                <c:pt idx="16">
                  <c:v>8.3000000000000007</c:v>
                </c:pt>
                <c:pt idx="17">
                  <c:v>8.6</c:v>
                </c:pt>
                <c:pt idx="18">
                  <c:v>9</c:v>
                </c:pt>
                <c:pt idx="19">
                  <c:v>9.3000000000000007</c:v>
                </c:pt>
                <c:pt idx="20">
                  <c:v>9.6</c:v>
                </c:pt>
              </c:numCache>
            </c:numRef>
          </c:val>
          <c:smooth val="0"/>
          <c:extLst>
            <c:ext xmlns:c16="http://schemas.microsoft.com/office/drawing/2014/chart" uri="{C3380CC4-5D6E-409C-BE32-E72D297353CC}">
              <c16:uniqueId val="{00000001-82FF-4218-8881-FE15B2CAF69E}"/>
            </c:ext>
          </c:extLst>
        </c:ser>
        <c:ser>
          <c:idx val="2"/>
          <c:order val="2"/>
          <c:tx>
            <c:strRef>
              <c:f>Arkusz1!$D$1</c:f>
              <c:strCache>
                <c:ptCount val="1"/>
                <c:pt idx="0">
                  <c:v>budowa obiektów inżynierii lądowej i wodnej</c:v>
                </c:pt>
              </c:strCache>
            </c:strRef>
          </c:tx>
          <c:spPr>
            <a:ln w="25400" cap="rnd">
              <a:solidFill>
                <a:srgbClr val="99A5C9"/>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FF-4218-8881-FE15B2CAF69E}"/>
                </c:ext>
              </c:extLst>
            </c:dLbl>
            <c:dLbl>
              <c:idx val="20"/>
              <c:layout>
                <c:manualLayout>
                  <c:x val="3.44997535731885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FF-4218-8881-FE15B2CAF69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Arkusz1!$A$2:$A$22</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Arkusz1!$D$2:$D$22</c:f>
              <c:numCache>
                <c:formatCode>0.0</c:formatCode>
                <c:ptCount val="21"/>
                <c:pt idx="0">
                  <c:v>0.6</c:v>
                </c:pt>
                <c:pt idx="1">
                  <c:v>1.4</c:v>
                </c:pt>
                <c:pt idx="2">
                  <c:v>2.1</c:v>
                </c:pt>
                <c:pt idx="3">
                  <c:v>2.9</c:v>
                </c:pt>
                <c:pt idx="4">
                  <c:v>3.9</c:v>
                </c:pt>
                <c:pt idx="5">
                  <c:v>4.9000000000000004</c:v>
                </c:pt>
                <c:pt idx="6">
                  <c:v>5.6</c:v>
                </c:pt>
                <c:pt idx="7">
                  <c:v>6.4</c:v>
                </c:pt>
                <c:pt idx="8">
                  <c:v>7.1</c:v>
                </c:pt>
                <c:pt idx="9">
                  <c:v>7.8</c:v>
                </c:pt>
                <c:pt idx="10">
                  <c:v>8.3000000000000007</c:v>
                </c:pt>
                <c:pt idx="11">
                  <c:v>8.6999999999999993</c:v>
                </c:pt>
                <c:pt idx="12">
                  <c:v>9.4</c:v>
                </c:pt>
                <c:pt idx="13">
                  <c:v>9.8000000000000007</c:v>
                </c:pt>
                <c:pt idx="14">
                  <c:v>10.199999999999999</c:v>
                </c:pt>
                <c:pt idx="15">
                  <c:v>10.8</c:v>
                </c:pt>
                <c:pt idx="16">
                  <c:v>11.2</c:v>
                </c:pt>
                <c:pt idx="17">
                  <c:v>11.5</c:v>
                </c:pt>
                <c:pt idx="18">
                  <c:v>11.9</c:v>
                </c:pt>
                <c:pt idx="19">
                  <c:v>12.2</c:v>
                </c:pt>
                <c:pt idx="20">
                  <c:v>12.6</c:v>
                </c:pt>
              </c:numCache>
            </c:numRef>
          </c:val>
          <c:smooth val="0"/>
          <c:extLst>
            <c:ext xmlns:c16="http://schemas.microsoft.com/office/drawing/2014/chart" uri="{C3380CC4-5D6E-409C-BE32-E72D297353CC}">
              <c16:uniqueId val="{00000002-82FF-4218-8881-FE15B2CAF69E}"/>
            </c:ext>
          </c:extLst>
        </c:ser>
        <c:ser>
          <c:idx val="3"/>
          <c:order val="3"/>
          <c:tx>
            <c:strRef>
              <c:f>Arkusz1!$E$1</c:f>
              <c:strCache>
                <c:ptCount val="1"/>
                <c:pt idx="0">
                  <c:v>roboty budowlane specjalistyczne</c:v>
                </c:pt>
              </c:strCache>
            </c:strRef>
          </c:tx>
          <c:spPr>
            <a:ln w="38100" cap="rnd">
              <a:solidFill>
                <a:srgbClr val="008542"/>
              </a:solidFill>
              <a:round/>
            </a:ln>
            <a:effectLst/>
          </c:spPr>
          <c:marker>
            <c:symbol val="none"/>
          </c:marker>
          <c:dLbls>
            <c:dLbl>
              <c:idx val="20"/>
              <c:layout>
                <c:manualLayout>
                  <c:x val="3.44997535731885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2FF-4218-8881-FE15B2CAF69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Arkusz1!$A$2:$A$22</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Arkusz1!$E$2:$E$22</c:f>
              <c:numCache>
                <c:formatCode>0.0</c:formatCode>
                <c:ptCount val="21"/>
                <c:pt idx="0">
                  <c:v>0.1</c:v>
                </c:pt>
                <c:pt idx="1">
                  <c:v>0.6</c:v>
                </c:pt>
                <c:pt idx="2">
                  <c:v>1.1000000000000001</c:v>
                </c:pt>
                <c:pt idx="3">
                  <c:v>1.8</c:v>
                </c:pt>
                <c:pt idx="4">
                  <c:v>2.7</c:v>
                </c:pt>
                <c:pt idx="5">
                  <c:v>3.6</c:v>
                </c:pt>
                <c:pt idx="6">
                  <c:v>4.3</c:v>
                </c:pt>
                <c:pt idx="7">
                  <c:v>4.9000000000000004</c:v>
                </c:pt>
                <c:pt idx="8">
                  <c:v>5.5</c:v>
                </c:pt>
                <c:pt idx="9">
                  <c:v>6</c:v>
                </c:pt>
                <c:pt idx="10">
                  <c:v>6.5</c:v>
                </c:pt>
                <c:pt idx="11">
                  <c:v>6.8</c:v>
                </c:pt>
                <c:pt idx="12">
                  <c:v>7.3</c:v>
                </c:pt>
                <c:pt idx="13">
                  <c:v>7.6</c:v>
                </c:pt>
                <c:pt idx="14">
                  <c:v>8</c:v>
                </c:pt>
                <c:pt idx="15">
                  <c:v>8.5</c:v>
                </c:pt>
                <c:pt idx="16">
                  <c:v>8.9</c:v>
                </c:pt>
                <c:pt idx="17">
                  <c:v>9.3000000000000007</c:v>
                </c:pt>
                <c:pt idx="18">
                  <c:v>9.6999999999999993</c:v>
                </c:pt>
                <c:pt idx="19">
                  <c:v>10.1</c:v>
                </c:pt>
                <c:pt idx="20">
                  <c:v>10.5</c:v>
                </c:pt>
              </c:numCache>
            </c:numRef>
          </c:val>
          <c:smooth val="0"/>
          <c:extLst>
            <c:ext xmlns:c16="http://schemas.microsoft.com/office/drawing/2014/chart" uri="{C3380CC4-5D6E-409C-BE32-E72D297353CC}">
              <c16:uniqueId val="{00000003-82FF-4218-8881-FE15B2CAF69E}"/>
            </c:ext>
          </c:extLst>
        </c:ser>
        <c:dLbls>
          <c:showLegendKey val="0"/>
          <c:showVal val="0"/>
          <c:showCatName val="0"/>
          <c:showSerName val="0"/>
          <c:showPercent val="0"/>
          <c:showBubbleSize val="0"/>
        </c:dLbls>
        <c:marker val="1"/>
        <c:smooth val="0"/>
        <c:axId val="1757124863"/>
        <c:axId val="1596053455"/>
      </c:lineChart>
      <c:catAx>
        <c:axId val="1757124863"/>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1"/>
        <c:lblAlgn val="ctr"/>
        <c:lblOffset val="100"/>
        <c:tickLblSkip val="1"/>
        <c:noMultiLvlLbl val="0"/>
      </c:catAx>
      <c:valAx>
        <c:axId val="1596053455"/>
        <c:scaling>
          <c:orientation val="minMax"/>
          <c:max val="13"/>
        </c:scaling>
        <c:delete val="0"/>
        <c:axPos val="l"/>
        <c:majorGridlines>
          <c:spPr>
            <a:ln w="9525" cap="flat" cmpd="sng" algn="ctr">
              <a:solidFill>
                <a:schemeClr val="tx1"/>
              </a:solidFill>
              <a:round/>
            </a:ln>
            <a:effectLst/>
          </c:spPr>
        </c:majorGridlines>
        <c:numFmt formatCode="0.0" sourceLinked="1"/>
        <c:majorTickMark val="out"/>
        <c:minorTickMark val="none"/>
        <c:tickLblPos val="nextTo"/>
        <c:spPr>
          <a:noFill/>
          <a:ln>
            <a:solidFill>
              <a:srgbClr val="99CEB3">
                <a:alpha val="97000"/>
              </a:srgb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1"/>
      </c:valAx>
      <c:valAx>
        <c:axId val="1670812303"/>
        <c:scaling>
          <c:orientation val="minMax"/>
        </c:scaling>
        <c:delete val="1"/>
        <c:axPos val="r"/>
        <c:numFmt formatCode="0.0"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26008995256867E-4"/>
          <c:y val="0.79211857271606112"/>
          <c:w val="0.99709832619237204"/>
          <c:h val="0.20625680992329948"/>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0.01449</cdr:x>
      <cdr:y>0.02784</cdr:y>
    </cdr:from>
    <cdr:to>
      <cdr:x>0.06248</cdr:x>
      <cdr:y>0.11754</cdr:y>
    </cdr:to>
    <cdr:pic>
      <cdr:nvPicPr>
        <cdr:cNvPr id="2" name="chart">
          <a:extLst xmlns:a="http://schemas.openxmlformats.org/drawingml/2006/main"/>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4246" y="70624"/>
          <a:ext cx="245794" cy="227554"/>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Wskaźniki cen produkcji budowlano-montażowej we wrześniu 2024.docx</NazwaPliku>
    <Odbiorcy2 xmlns="1E9983FF-DC4B-4F4E-A072-0441E2B88E6D" xsi:nil="true"/>
    <Osoba xmlns="1E9983FF-DC4B-4F4E-A072-0441E2B88E6D">STAT\MALMYSZKOI</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2.xml><?xml version="1.0" encoding="utf-8"?>
<ds:datastoreItem xmlns:ds="http://schemas.openxmlformats.org/officeDocument/2006/customXml" ds:itemID="{5001E409-2D59-4C77-967B-9768BAC9F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1895D8-1CF8-4425-9DDC-469579B35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482</Words>
  <Characters>2898</Characters>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2024-08-16T08:52:00Z</cp:lastPrinted>
  <dcterms:created xsi:type="dcterms:W3CDTF">2024-10-18T13:41:00Z</dcterms:created>
  <dcterms:modified xsi:type="dcterms:W3CDTF">2024-10-18T13:41:00Z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