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316A" w14:textId="7A9D5984" w:rsidR="00F05723" w:rsidRDefault="00FE5CB2" w:rsidP="00692DC7">
      <w:pPr>
        <w:pStyle w:val="Tytuinfomacjisygnalnej"/>
      </w:pPr>
      <w:r w:rsidRPr="008317CE">
        <w:rPr>
          <w:color w:val="auto"/>
        </w:rPr>
        <w:t xml:space="preserve">Popyt na pracę </w:t>
      </w:r>
      <w:r w:rsidR="00412AC0">
        <w:rPr>
          <w:color w:val="auto"/>
        </w:rPr>
        <w:t xml:space="preserve">w </w:t>
      </w:r>
      <w:r w:rsidR="00BC18F0">
        <w:rPr>
          <w:color w:val="auto"/>
        </w:rPr>
        <w:t>pierwszym</w:t>
      </w:r>
      <w:r w:rsidR="00C477D8">
        <w:rPr>
          <w:color w:val="auto"/>
        </w:rPr>
        <w:t xml:space="preserve"> kwartale</w:t>
      </w:r>
      <w:r w:rsidR="008317CE" w:rsidRPr="008317CE">
        <w:rPr>
          <w:color w:val="auto"/>
        </w:rPr>
        <w:t xml:space="preserve"> 202</w:t>
      </w:r>
      <w:r w:rsidR="00BC18F0">
        <w:rPr>
          <w:color w:val="auto"/>
        </w:rPr>
        <w:t>4</w:t>
      </w:r>
      <w:r w:rsidR="00495BD4" w:rsidRPr="008317CE">
        <w:rPr>
          <w:color w:val="auto"/>
        </w:rPr>
        <w:t xml:space="preserve"> r.</w:t>
      </w:r>
    </w:p>
    <w:p w14:paraId="1687BAA7" w14:textId="33BB3DD3" w:rsidR="00FA069A" w:rsidRDefault="008B1E47" w:rsidP="008B1E47">
      <w:pPr>
        <w:pStyle w:val="Lead"/>
        <w:spacing w:after="360"/>
      </w:pPr>
      <w:r w:rsidRPr="008317CE">
        <w:rPr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C4435B" wp14:editId="4EFBEE0F">
                <wp:simplePos x="0" y="0"/>
                <wp:positionH relativeFrom="margin">
                  <wp:posOffset>0</wp:posOffset>
                </wp:positionH>
                <wp:positionV relativeFrom="paragraph">
                  <wp:posOffset>41834</wp:posOffset>
                </wp:positionV>
                <wp:extent cx="2101850" cy="1250950"/>
                <wp:effectExtent l="0" t="0" r="0" b="6350"/>
                <wp:wrapSquare wrapText="bothSides"/>
                <wp:docPr id="2" name="Pole tekstowe 2" descr="2,5% Spadek liczby wolnych miejsc pracy w stosunku do końca pierwszego kwartału 2023 r.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50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D420" w14:textId="4542DD2D" w:rsidR="00D55051" w:rsidRPr="007D605C" w:rsidRDefault="00AD68C5" w:rsidP="00D5505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>⇩</w:t>
                            </w:r>
                            <w:r w:rsidR="00720CDD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5505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5505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2,5</w:t>
                            </w:r>
                            <w:r w:rsidR="00D55051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B0D898F" w14:textId="6D564C71" w:rsidR="00720CDD" w:rsidRPr="00D55051" w:rsidRDefault="00D55051" w:rsidP="00D5505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t>Spadek l</w:t>
                            </w:r>
                            <w:r w:rsidRPr="003028BF">
                              <w:t>iczb</w:t>
                            </w:r>
                            <w:r>
                              <w:t>y</w:t>
                            </w:r>
                            <w:r w:rsidRPr="003028BF">
                              <w:t xml:space="preserve"> wolnych m</w:t>
                            </w:r>
                            <w:r>
                              <w:t xml:space="preserve">iejsc pracy w stosunku do </w:t>
                            </w:r>
                            <w:r w:rsidR="00DA3FF0">
                              <w:t xml:space="preserve">końca </w:t>
                            </w:r>
                            <w:r>
                              <w:t>pierwszego kwartału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4435B" id="Pole tekstowe 2" o:spid="_x0000_s1026" alt="Tytuł: Lead graficzny — opis: 2,5% Spadek liczby wolnych miejsc pracy w stosunku do końca pierwszego kwartału 2023 r." style="position:absolute;margin-left:0;margin-top:3.3pt;width:165.5pt;height: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" fillcolor="#001d77" stroked="f">
                <v:stroke joinstyle="miter"/>
                <v:textbox>
                  <w:txbxContent>
                    <w:p w14:paraId="0B8AD420" w14:textId="4542DD2D" w:rsidR="00D55051" w:rsidRPr="007D605C" w:rsidRDefault="00AD68C5" w:rsidP="00D5505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>⇩</w:t>
                      </w:r>
                      <w:r w:rsidR="00720CDD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5505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5505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2,5</w:t>
                      </w:r>
                      <w:r w:rsidR="00D55051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B0D898F" w14:textId="6D564C71" w:rsidR="00720CDD" w:rsidRPr="00D55051" w:rsidRDefault="00D55051" w:rsidP="00D5505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t>Spadek l</w:t>
                      </w:r>
                      <w:r w:rsidRPr="003028BF">
                        <w:t>iczb</w:t>
                      </w:r>
                      <w:r>
                        <w:t>y</w:t>
                      </w:r>
                      <w:r w:rsidRPr="003028BF">
                        <w:t xml:space="preserve"> wolnych m</w:t>
                      </w:r>
                      <w:r>
                        <w:t xml:space="preserve">iejsc pracy w stosunku do </w:t>
                      </w:r>
                      <w:r w:rsidR="00DA3FF0">
                        <w:t xml:space="preserve">końca </w:t>
                      </w:r>
                      <w:r>
                        <w:t>pierwszego kwartału 2023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24F40">
        <w:t>W</w:t>
      </w:r>
      <w:r w:rsidR="00B24F40" w:rsidRPr="00C477D8">
        <w:t xml:space="preserve"> Polsce </w:t>
      </w:r>
      <w:r w:rsidR="00B24F40">
        <w:t>n</w:t>
      </w:r>
      <w:r w:rsidR="005529EE" w:rsidRPr="00C477D8">
        <w:t xml:space="preserve">a koniec </w:t>
      </w:r>
      <w:r w:rsidR="00BC18F0">
        <w:t>pierwszego</w:t>
      </w:r>
      <w:r w:rsidR="005529EE" w:rsidRPr="00C477D8">
        <w:t xml:space="preserve"> kwar</w:t>
      </w:r>
      <w:r w:rsidR="00AD68C5" w:rsidRPr="00C477D8">
        <w:t>tału 202</w:t>
      </w:r>
      <w:r w:rsidR="00BC18F0">
        <w:t>4</w:t>
      </w:r>
      <w:r w:rsidR="003D6F79" w:rsidRPr="00C477D8">
        <w:t xml:space="preserve"> r. było</w:t>
      </w:r>
      <w:r w:rsidR="00DA3FF0">
        <w:t xml:space="preserve"> </w:t>
      </w:r>
      <w:r w:rsidR="003D6F79" w:rsidRPr="00C477D8">
        <w:t xml:space="preserve">o </w:t>
      </w:r>
      <w:r w:rsidR="00A92D8A">
        <w:t>15,3</w:t>
      </w:r>
      <w:r w:rsidR="004405AD" w:rsidRPr="002A18C5">
        <w:t>%</w:t>
      </w:r>
      <w:r w:rsidR="004405AD" w:rsidRPr="00C477D8">
        <w:t xml:space="preserve"> </w:t>
      </w:r>
      <w:r w:rsidR="00A92D8A">
        <w:t xml:space="preserve">więcej </w:t>
      </w:r>
      <w:r w:rsidR="00DA3FF0">
        <w:t xml:space="preserve">wolnych miejsc pracy </w:t>
      </w:r>
      <w:r w:rsidR="002852E1" w:rsidRPr="00C477D8">
        <w:t xml:space="preserve">niż </w:t>
      </w:r>
      <w:r w:rsidR="00B24F40">
        <w:t>na</w:t>
      </w:r>
      <w:r w:rsidR="002852E1" w:rsidRPr="00C477D8">
        <w:t xml:space="preserve"> </w:t>
      </w:r>
      <w:r w:rsidR="00B24F40">
        <w:t xml:space="preserve">koniec </w:t>
      </w:r>
      <w:r w:rsidR="00DA3FF0">
        <w:t>czwartego</w:t>
      </w:r>
      <w:r w:rsidR="00543C64" w:rsidRPr="00C477D8">
        <w:t xml:space="preserve"> kwarta</w:t>
      </w:r>
      <w:r w:rsidR="00B24F40">
        <w:t>łu</w:t>
      </w:r>
      <w:r w:rsidR="00A92D8A">
        <w:t xml:space="preserve"> 2023 r. </w:t>
      </w:r>
      <w:bookmarkStart w:id="0" w:name="_Hlk167096944"/>
      <w:r w:rsidR="005E0A1E">
        <w:t xml:space="preserve">Wskaźnik </w:t>
      </w:r>
      <w:r w:rsidR="003C0B54" w:rsidRPr="00170F2D">
        <w:t xml:space="preserve">wolnych </w:t>
      </w:r>
      <w:r w:rsidR="00720CDD" w:rsidRPr="00170F2D">
        <w:t>miejsc pracy</w:t>
      </w:r>
      <w:r w:rsidR="007734CA" w:rsidRPr="00170F2D">
        <w:t xml:space="preserve"> </w:t>
      </w:r>
      <w:r w:rsidR="00852F54" w:rsidRPr="00170F2D">
        <w:t>z</w:t>
      </w:r>
      <w:r w:rsidR="004A7824">
        <w:t>większył</w:t>
      </w:r>
      <w:r w:rsidR="00852F54" w:rsidRPr="00170F2D">
        <w:t xml:space="preserve"> się</w:t>
      </w:r>
      <w:r w:rsidR="00F75A33">
        <w:t xml:space="preserve"> </w:t>
      </w:r>
      <w:r w:rsidR="00852F54">
        <w:t xml:space="preserve">w </w:t>
      </w:r>
      <w:r w:rsidR="00CC6F60">
        <w:t>porównaniu z czwartym</w:t>
      </w:r>
      <w:r w:rsidR="00644277">
        <w:t xml:space="preserve"> kwartałem 202</w:t>
      </w:r>
      <w:r w:rsidR="004A7824">
        <w:t>3</w:t>
      </w:r>
      <w:r w:rsidR="00644277">
        <w:t xml:space="preserve"> r.</w:t>
      </w:r>
      <w:r w:rsidR="00F75A33">
        <w:t xml:space="preserve"> </w:t>
      </w:r>
      <w:r w:rsidR="002006B5">
        <w:t xml:space="preserve">o </w:t>
      </w:r>
      <w:r w:rsidR="00C45334" w:rsidRPr="00E64249">
        <w:t>0,1</w:t>
      </w:r>
      <w:r w:rsidR="004A7824">
        <w:t>1</w:t>
      </w:r>
      <w:r w:rsidR="00227488" w:rsidRPr="00E64249">
        <w:t xml:space="preserve"> </w:t>
      </w:r>
      <w:r w:rsidR="00644277" w:rsidRPr="00E64249">
        <w:t>p.</w:t>
      </w:r>
      <w:r w:rsidR="00CF0F2C">
        <w:t xml:space="preserve"> </w:t>
      </w:r>
      <w:r w:rsidR="00644277" w:rsidRPr="00E64249">
        <w:t xml:space="preserve">proc. </w:t>
      </w:r>
      <w:r w:rsidR="00852F54" w:rsidRPr="00E64249">
        <w:t>(</w:t>
      </w:r>
      <w:r w:rsidR="000A5F76" w:rsidRPr="00E64249">
        <w:t>0,</w:t>
      </w:r>
      <w:r w:rsidR="004A7824">
        <w:t>89</w:t>
      </w:r>
      <w:r w:rsidR="005529EE" w:rsidRPr="00E64249">
        <w:t>%</w:t>
      </w:r>
      <w:r w:rsidR="00852F54" w:rsidRPr="00E64249">
        <w:t>)</w:t>
      </w:r>
      <w:r w:rsidR="00B24F40" w:rsidRPr="00E64249">
        <w:t>.</w:t>
      </w:r>
      <w:r w:rsidR="00543C64" w:rsidRPr="00C477D8">
        <w:t xml:space="preserve"> </w:t>
      </w:r>
      <w:bookmarkEnd w:id="0"/>
    </w:p>
    <w:p w14:paraId="701057FB" w14:textId="1465C981" w:rsidR="009C0546" w:rsidRPr="00BA1134" w:rsidRDefault="00A75D34" w:rsidP="008B1E47">
      <w:pPr>
        <w:spacing w:line="288" w:lineRule="auto"/>
        <w:rPr>
          <w:strike/>
        </w:rPr>
      </w:pPr>
      <w:r w:rsidRPr="00BA1134">
        <w:rPr>
          <w:b/>
          <w:strike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511A97" wp14:editId="02C11BDA">
                <wp:simplePos x="0" y="0"/>
                <wp:positionH relativeFrom="column">
                  <wp:posOffset>5279623</wp:posOffset>
                </wp:positionH>
                <wp:positionV relativeFrom="paragraph">
                  <wp:posOffset>12065</wp:posOffset>
                </wp:positionV>
                <wp:extent cx="1762125" cy="1019175"/>
                <wp:effectExtent l="0" t="0" r="0" b="9525"/>
                <wp:wrapNone/>
                <wp:docPr id="25" name="Text Box 23" descr="Badaniem objęte są wszystkie podmioty gospodarki narodowej oraz ich jednostki lokalne &#10;o liczbie zatrudnionych 1 i więcej osób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3B044" w14:textId="6FFA9B11" w:rsidR="008A2A1F" w:rsidRPr="00206A8A" w:rsidRDefault="00F75A33" w:rsidP="00F75A33">
                            <w:pPr>
                              <w:rPr>
                                <w:szCs w:val="19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Badaniem objęte są podmioty gospodarki </w:t>
                            </w:r>
                            <w:r w:rsidR="00A75D3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narodowej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oraz ich jednostki lokalne o </w:t>
                            </w:r>
                            <w:r w:rsidR="00A75D34">
                              <w:rPr>
                                <w:color w:val="001D77"/>
                                <w:sz w:val="18"/>
                                <w:szCs w:val="18"/>
                              </w:rPr>
                              <w:t>liczbi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e zatrudnionych 1 i </w:t>
                            </w:r>
                            <w:r w:rsidR="00206A8A">
                              <w:rPr>
                                <w:color w:val="001D77"/>
                                <w:sz w:val="18"/>
                                <w:szCs w:val="18"/>
                              </w:rPr>
                              <w:t>więcej osób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11A9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Badaniem objęte są wszystkie podmioty gospodarki narodowej oraz ich jednostki lokalne &#10;o liczbie zatrudnionych 1 i więcej osób&#10;" style="position:absolute;margin-left:415.7pt;margin-top:.95pt;width:138.75pt;height: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" filled="f" stroked="f">
                <v:textbox>
                  <w:txbxContent>
                    <w:p w14:paraId="42F3B044" w14:textId="6FFA9B11" w:rsidR="008A2A1F" w:rsidRPr="00206A8A" w:rsidRDefault="00F75A33" w:rsidP="00F75A33">
                      <w:pPr>
                        <w:rPr>
                          <w:szCs w:val="19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Badaniem objęte są podmioty gospodarki </w:t>
                      </w:r>
                      <w:r w:rsidR="00A75D34">
                        <w:rPr>
                          <w:color w:val="001D77"/>
                          <w:sz w:val="18"/>
                          <w:szCs w:val="18"/>
                        </w:rPr>
                        <w:t xml:space="preserve">narodowej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oraz ich jednostki lokalne o </w:t>
                      </w:r>
                      <w:r w:rsidR="00A75D34">
                        <w:rPr>
                          <w:color w:val="001D77"/>
                          <w:sz w:val="18"/>
                          <w:szCs w:val="18"/>
                        </w:rPr>
                        <w:t>liczbi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e zatrudnionych 1 i </w:t>
                      </w:r>
                      <w:r w:rsidR="00206A8A">
                        <w:rPr>
                          <w:color w:val="001D77"/>
                          <w:sz w:val="18"/>
                          <w:szCs w:val="18"/>
                        </w:rPr>
                        <w:t>więcej osób</w:t>
                      </w:r>
                    </w:p>
                  </w:txbxContent>
                </v:textbox>
              </v:shape>
            </w:pict>
          </mc:Fallback>
        </mc:AlternateContent>
      </w:r>
    </w:p>
    <w:p w14:paraId="1ABC2103" w14:textId="77777777" w:rsidR="0048457B" w:rsidRDefault="0048457B" w:rsidP="009F1D6E">
      <w:pPr>
        <w:spacing w:line="288" w:lineRule="auto"/>
      </w:pPr>
    </w:p>
    <w:p w14:paraId="63F32C2A" w14:textId="3A8EFE3C" w:rsidR="00520188" w:rsidRPr="00BC18F0" w:rsidRDefault="001273A5" w:rsidP="009F1D6E">
      <w:pPr>
        <w:spacing w:line="288" w:lineRule="auto"/>
        <w:rPr>
          <w:strike/>
        </w:rPr>
      </w:pPr>
      <w:r>
        <w:t xml:space="preserve">Na koniec </w:t>
      </w:r>
      <w:r w:rsidR="00DA3FF0">
        <w:t>pierwszego</w:t>
      </w:r>
      <w:r w:rsidR="004441CB">
        <w:t xml:space="preserve"> </w:t>
      </w:r>
      <w:r w:rsidR="00520188" w:rsidRPr="00520188">
        <w:t>kwarta</w:t>
      </w:r>
      <w:r w:rsidR="00DA3FF0">
        <w:t>łu</w:t>
      </w:r>
      <w:r w:rsidR="00520188" w:rsidRPr="00520188">
        <w:t xml:space="preserve"> 202</w:t>
      </w:r>
      <w:r w:rsidR="004441CB">
        <w:t>4</w:t>
      </w:r>
      <w:r w:rsidR="00520188" w:rsidRPr="00520188">
        <w:t xml:space="preserve"> r. </w:t>
      </w:r>
      <w:r>
        <w:t xml:space="preserve">w Polsce </w:t>
      </w:r>
      <w:r w:rsidR="00520188" w:rsidRPr="00520188">
        <w:t xml:space="preserve">odnotowano </w:t>
      </w:r>
      <w:r w:rsidR="004441CB">
        <w:t>112,0</w:t>
      </w:r>
      <w:r w:rsidR="00520188" w:rsidRPr="00520188">
        <w:t xml:space="preserve"> tys. </w:t>
      </w:r>
      <w:r w:rsidR="00520188" w:rsidRPr="00520188">
        <w:rPr>
          <w:b/>
          <w:bCs/>
        </w:rPr>
        <w:t>wolnych miejsc pracy</w:t>
      </w:r>
      <w:r w:rsidR="00520188" w:rsidRPr="00520188">
        <w:t>. Było to o </w:t>
      </w:r>
      <w:r w:rsidR="004441CB">
        <w:t>14,8</w:t>
      </w:r>
      <w:r w:rsidR="00520188" w:rsidRPr="00520188">
        <w:t xml:space="preserve"> tys. </w:t>
      </w:r>
      <w:r w:rsidR="004441CB">
        <w:t>więcej</w:t>
      </w:r>
      <w:r w:rsidR="00520188" w:rsidRPr="00520188">
        <w:t xml:space="preserve"> niż w </w:t>
      </w:r>
      <w:r w:rsidR="004441CB">
        <w:t>czwartym</w:t>
      </w:r>
      <w:r w:rsidR="00520188" w:rsidRPr="00520188">
        <w:t xml:space="preserve"> kwartale</w:t>
      </w:r>
      <w:r w:rsidR="004441CB">
        <w:t xml:space="preserve"> 2023 r.</w:t>
      </w:r>
      <w:r w:rsidR="00520188" w:rsidRPr="00520188">
        <w:t xml:space="preserve"> i o </w:t>
      </w:r>
      <w:r w:rsidR="004441CB">
        <w:t>2,9</w:t>
      </w:r>
      <w:r w:rsidR="00520188" w:rsidRPr="00520188">
        <w:t xml:space="preserve"> tys. mniej niż w analogicznym kwartale 202</w:t>
      </w:r>
      <w:r w:rsidR="00ED473F">
        <w:t>3</w:t>
      </w:r>
      <w:r w:rsidR="00520188" w:rsidRPr="00520188">
        <w:t xml:space="preserve"> r. </w:t>
      </w:r>
    </w:p>
    <w:p w14:paraId="72E801A6" w14:textId="38C97729" w:rsidR="009E6832" w:rsidRPr="005D0822" w:rsidRDefault="00597408" w:rsidP="008B1E47">
      <w:pPr>
        <w:spacing w:line="288" w:lineRule="auto"/>
      </w:pPr>
      <w:r w:rsidRPr="000D2297">
        <w:t>Do</w:t>
      </w:r>
      <w:r w:rsidR="00D74F74" w:rsidRPr="000D2297">
        <w:t xml:space="preserve"> oceny sytuacji na rynku pracy pod kątem zgłaszanego </w:t>
      </w:r>
      <w:r w:rsidR="00D74F74" w:rsidRPr="00F05723">
        <w:t xml:space="preserve">popytu na pracę </w:t>
      </w:r>
      <w:r>
        <w:t>może posłużyć</w:t>
      </w:r>
      <w:r w:rsidR="00D74F74" w:rsidRPr="00F05723">
        <w:t xml:space="preserve"> </w:t>
      </w:r>
      <w:r w:rsidR="00D74F74" w:rsidRPr="00F05723">
        <w:rPr>
          <w:b/>
        </w:rPr>
        <w:t>wskaźnik wolnych miejsc pracy</w:t>
      </w:r>
      <w:r w:rsidR="003A026F">
        <w:t xml:space="preserve">. </w:t>
      </w:r>
      <w:r w:rsidR="00D43584">
        <w:t xml:space="preserve">Na koniec </w:t>
      </w:r>
      <w:r w:rsidR="00764732">
        <w:t>pierwszego</w:t>
      </w:r>
      <w:r w:rsidR="00402693" w:rsidRPr="00F05723">
        <w:t xml:space="preserve"> kwartału 202</w:t>
      </w:r>
      <w:r w:rsidR="00D72655">
        <w:t>4</w:t>
      </w:r>
      <w:r w:rsidR="00D74F74" w:rsidRPr="00F05723">
        <w:t xml:space="preserve"> r. wskaźnik ten</w:t>
      </w:r>
      <w:r w:rsidR="00D43584">
        <w:t xml:space="preserve"> wyniósł 0,</w:t>
      </w:r>
      <w:r w:rsidR="00D72655">
        <w:t>89</w:t>
      </w:r>
      <w:r w:rsidR="00D74F74" w:rsidRPr="00F05723">
        <w:t>%</w:t>
      </w:r>
      <w:r w:rsidR="00925B60">
        <w:t xml:space="preserve"> tj. o 0,11 p.</w:t>
      </w:r>
      <w:r w:rsidR="00316870">
        <w:t xml:space="preserve"> </w:t>
      </w:r>
      <w:r w:rsidR="00925B60">
        <w:t>proc. więcej niż w czwartym kwartale 2023 r.</w:t>
      </w:r>
      <w:r w:rsidR="00316870">
        <w:t xml:space="preserve"> i 0,01 p. proc. mniej niż </w:t>
      </w:r>
      <w:r w:rsidR="00206A8A">
        <w:br/>
      </w:r>
      <w:r w:rsidR="00316870">
        <w:t xml:space="preserve">w pierwszym kwartale 2023 r. </w:t>
      </w:r>
    </w:p>
    <w:p w14:paraId="4994205C" w14:textId="59FCA011" w:rsidR="005B27A8" w:rsidRDefault="00D10B58" w:rsidP="008B1E47">
      <w:pPr>
        <w:spacing w:before="360" w:line="240" w:lineRule="auto"/>
        <w:ind w:left="851" w:hanging="851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87936" behindDoc="0" locked="0" layoutInCell="1" allowOverlap="1" wp14:anchorId="11A1CA60" wp14:editId="762C834C">
            <wp:simplePos x="0" y="0"/>
            <wp:positionH relativeFrom="margin">
              <wp:align>left</wp:align>
            </wp:positionH>
            <wp:positionV relativeFrom="paragraph">
              <wp:posOffset>471442</wp:posOffset>
            </wp:positionV>
            <wp:extent cx="5114290" cy="2779395"/>
            <wp:effectExtent l="0" t="0" r="0" b="1905"/>
            <wp:wrapTopAndBottom/>
            <wp:docPr id="13" name="Obraz 13" descr="Wykres przedstawia wskaźnik wolnych miejsc pracy na koniec kwartału począwszy od pierwszego kwartału 2015 r. do pierwszego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F8">
        <w:rPr>
          <w:b/>
          <w:noProof/>
          <w:color w:val="000000" w:themeColor="text1"/>
          <w:spacing w:val="-2"/>
          <w:szCs w:val="19"/>
          <w:lang w:eastAsia="pl-PL"/>
        </w:rPr>
        <w:t xml:space="preserve">Wykres </w:t>
      </w:r>
      <w:r w:rsidR="00261432">
        <w:rPr>
          <w:b/>
          <w:noProof/>
          <w:color w:val="000000" w:themeColor="text1"/>
          <w:spacing w:val="-2"/>
          <w:szCs w:val="19"/>
          <w:lang w:eastAsia="pl-PL"/>
        </w:rPr>
        <w:t>1</w:t>
      </w:r>
      <w:r w:rsidR="00C32DF8" w:rsidRPr="005177E5">
        <w:rPr>
          <w:b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C32DF8" w:rsidRPr="005177E5">
        <w:rPr>
          <w:b/>
          <w:noProof/>
          <w:color w:val="000000" w:themeColor="text1"/>
          <w:szCs w:val="19"/>
          <w:lang w:eastAsia="pl-PL"/>
        </w:rPr>
        <w:t>Wskaźnik wolnych miejsc pracy</w:t>
      </w:r>
      <w:r>
        <w:rPr>
          <w:b/>
          <w:noProof/>
          <w:color w:val="000000" w:themeColor="text1"/>
          <w:szCs w:val="19"/>
          <w:lang w:eastAsia="pl-PL"/>
        </w:rPr>
        <w:br/>
      </w:r>
      <w:r w:rsidR="005B27A8" w:rsidRPr="000964F8">
        <w:rPr>
          <w:noProof/>
          <w:szCs w:val="19"/>
          <w:lang w:eastAsia="pl-PL"/>
        </w:rPr>
        <w:t>Stan na koniec kwartał</w:t>
      </w:r>
      <w:r w:rsidR="001E7928">
        <w:rPr>
          <w:noProof/>
          <w:szCs w:val="19"/>
          <w:lang w:eastAsia="pl-PL"/>
        </w:rPr>
        <w:t>u</w:t>
      </w:r>
    </w:p>
    <w:p w14:paraId="69A6AA37" w14:textId="21AA3274" w:rsidR="00A503D8" w:rsidRPr="00C853EA" w:rsidRDefault="00A2691B" w:rsidP="00BC763E">
      <w:pPr>
        <w:spacing w:before="360" w:line="288" w:lineRule="auto"/>
        <w:rPr>
          <w:rFonts w:eastAsia="Times New Roman"/>
          <w:szCs w:val="19"/>
          <w:lang w:eastAsia="pl-PL"/>
        </w:rPr>
      </w:pPr>
      <w:r w:rsidRPr="00C853EA">
        <w:rPr>
          <w:noProof/>
          <w:szCs w:val="19"/>
          <w:lang w:eastAsia="pl-PL"/>
        </w:rPr>
        <w:t xml:space="preserve">W przekroju regionów (NUTS 2) na koniec </w:t>
      </w:r>
      <w:r w:rsidR="00D72655" w:rsidRPr="00C853EA">
        <w:rPr>
          <w:noProof/>
          <w:szCs w:val="19"/>
          <w:lang w:eastAsia="pl-PL"/>
        </w:rPr>
        <w:t>pierwszego</w:t>
      </w:r>
      <w:r w:rsidR="00E164DD" w:rsidRPr="00C853EA">
        <w:rPr>
          <w:noProof/>
          <w:szCs w:val="19"/>
          <w:lang w:eastAsia="pl-PL"/>
        </w:rPr>
        <w:t xml:space="preserve"> </w:t>
      </w:r>
      <w:r w:rsidRPr="00C853EA">
        <w:rPr>
          <w:noProof/>
          <w:szCs w:val="19"/>
          <w:lang w:eastAsia="pl-PL"/>
        </w:rPr>
        <w:t xml:space="preserve">kwartału </w:t>
      </w:r>
      <w:r w:rsidR="00E21B36" w:rsidRPr="00C853EA">
        <w:rPr>
          <w:noProof/>
          <w:szCs w:val="19"/>
          <w:lang w:eastAsia="pl-PL"/>
        </w:rPr>
        <w:t>202</w:t>
      </w:r>
      <w:r w:rsidR="00D72655" w:rsidRPr="00C853EA">
        <w:rPr>
          <w:noProof/>
          <w:szCs w:val="19"/>
          <w:lang w:eastAsia="pl-PL"/>
        </w:rPr>
        <w:t>4</w:t>
      </w:r>
      <w:r w:rsidR="00E21B36" w:rsidRPr="00C853EA">
        <w:rPr>
          <w:noProof/>
          <w:szCs w:val="19"/>
          <w:lang w:eastAsia="pl-PL"/>
        </w:rPr>
        <w:t xml:space="preserve"> r. </w:t>
      </w:r>
      <w:r w:rsidR="006C3758" w:rsidRPr="00C853EA">
        <w:rPr>
          <w:rFonts w:eastAsia="Times New Roman"/>
          <w:szCs w:val="19"/>
          <w:lang w:eastAsia="pl-PL"/>
        </w:rPr>
        <w:t>najwyższy wskaźnik wolnych miejsc pracy wystąpił w</w:t>
      </w:r>
      <w:r w:rsidR="005D0822" w:rsidRPr="00C853EA">
        <w:rPr>
          <w:rFonts w:eastAsia="Times New Roman"/>
          <w:szCs w:val="19"/>
          <w:lang w:eastAsia="pl-PL"/>
        </w:rPr>
        <w:t xml:space="preserve"> regionie </w:t>
      </w:r>
      <w:r w:rsidR="00D72655" w:rsidRPr="00C853EA">
        <w:rPr>
          <w:rFonts w:eastAsia="Times New Roman"/>
          <w:szCs w:val="19"/>
          <w:lang w:eastAsia="pl-PL"/>
        </w:rPr>
        <w:t xml:space="preserve">dolnośląskim </w:t>
      </w:r>
      <w:r w:rsidR="004C0C6F" w:rsidRPr="00C853EA">
        <w:rPr>
          <w:rFonts w:eastAsia="Times New Roman"/>
          <w:szCs w:val="19"/>
          <w:lang w:eastAsia="pl-PL"/>
        </w:rPr>
        <w:t>(1,</w:t>
      </w:r>
      <w:r w:rsidR="00EF0641" w:rsidRPr="00C853EA">
        <w:rPr>
          <w:rFonts w:eastAsia="Times New Roman"/>
          <w:szCs w:val="19"/>
          <w:lang w:eastAsia="pl-PL"/>
        </w:rPr>
        <w:t>10</w:t>
      </w:r>
      <w:r w:rsidR="00A503D8" w:rsidRPr="00C853EA">
        <w:rPr>
          <w:rFonts w:eastAsia="Times New Roman"/>
          <w:szCs w:val="19"/>
          <w:lang w:eastAsia="pl-PL"/>
        </w:rPr>
        <w:t>%)</w:t>
      </w:r>
      <w:r w:rsidR="003A026F" w:rsidRPr="00C853EA">
        <w:rPr>
          <w:rFonts w:eastAsia="Times New Roman"/>
          <w:szCs w:val="19"/>
          <w:lang w:eastAsia="pl-PL"/>
        </w:rPr>
        <w:t xml:space="preserve">. </w:t>
      </w:r>
      <w:r w:rsidR="00EF0641" w:rsidRPr="00C853EA">
        <w:rPr>
          <w:rFonts w:eastAsia="Times New Roman"/>
          <w:szCs w:val="19"/>
          <w:lang w:eastAsia="pl-PL"/>
        </w:rPr>
        <w:t>Natomiast n</w:t>
      </w:r>
      <w:r w:rsidR="00A503D8" w:rsidRPr="00C853EA">
        <w:rPr>
          <w:rFonts w:eastAsia="Times New Roman"/>
          <w:szCs w:val="19"/>
          <w:lang w:eastAsia="pl-PL"/>
        </w:rPr>
        <w:t>ajniższ</w:t>
      </w:r>
      <w:r w:rsidR="00E21B36" w:rsidRPr="00C853EA">
        <w:rPr>
          <w:rFonts w:eastAsia="Times New Roman"/>
          <w:szCs w:val="19"/>
          <w:lang w:eastAsia="pl-PL"/>
        </w:rPr>
        <w:t xml:space="preserve">y </w:t>
      </w:r>
      <w:r w:rsidR="00A503D8" w:rsidRPr="00C853EA">
        <w:rPr>
          <w:rFonts w:eastAsia="Times New Roman"/>
          <w:szCs w:val="19"/>
          <w:lang w:eastAsia="pl-PL"/>
        </w:rPr>
        <w:t>wskaźnik</w:t>
      </w:r>
      <w:r w:rsidR="00E21B36" w:rsidRPr="00C853EA">
        <w:rPr>
          <w:rFonts w:eastAsia="Times New Roman"/>
          <w:szCs w:val="19"/>
          <w:lang w:eastAsia="pl-PL"/>
        </w:rPr>
        <w:t xml:space="preserve"> wolnych miejsc pracy</w:t>
      </w:r>
      <w:r w:rsidR="00A503D8" w:rsidRPr="00C853EA">
        <w:rPr>
          <w:rFonts w:eastAsia="Times New Roman"/>
          <w:szCs w:val="19"/>
          <w:lang w:eastAsia="pl-PL"/>
        </w:rPr>
        <w:t xml:space="preserve"> </w:t>
      </w:r>
      <w:r w:rsidR="003D6F79" w:rsidRPr="00C853EA">
        <w:rPr>
          <w:rFonts w:eastAsia="Times New Roman"/>
          <w:szCs w:val="19"/>
          <w:lang w:eastAsia="pl-PL"/>
        </w:rPr>
        <w:t>odnotowano w regionie</w:t>
      </w:r>
      <w:r w:rsidR="00F86926" w:rsidRPr="00C853EA">
        <w:rPr>
          <w:rFonts w:eastAsia="Times New Roman"/>
          <w:szCs w:val="19"/>
          <w:lang w:eastAsia="pl-PL"/>
        </w:rPr>
        <w:t xml:space="preserve"> świętokrzyskim</w:t>
      </w:r>
      <w:r w:rsidR="00A503D8" w:rsidRPr="00C853EA">
        <w:rPr>
          <w:rFonts w:eastAsia="Times New Roman"/>
          <w:szCs w:val="19"/>
          <w:lang w:eastAsia="pl-PL"/>
        </w:rPr>
        <w:t xml:space="preserve"> (0,</w:t>
      </w:r>
      <w:r w:rsidR="00EF0641" w:rsidRPr="00C853EA">
        <w:rPr>
          <w:rFonts w:eastAsia="Times New Roman"/>
          <w:szCs w:val="19"/>
          <w:lang w:eastAsia="pl-PL"/>
        </w:rPr>
        <w:t>54</w:t>
      </w:r>
      <w:r w:rsidR="00A503D8" w:rsidRPr="00C853EA">
        <w:rPr>
          <w:rFonts w:eastAsia="Times New Roman"/>
          <w:szCs w:val="19"/>
          <w:lang w:eastAsia="pl-PL"/>
        </w:rPr>
        <w:t>%)</w:t>
      </w:r>
      <w:r w:rsidRPr="00C853EA">
        <w:rPr>
          <w:rFonts w:eastAsia="Times New Roman"/>
          <w:szCs w:val="19"/>
          <w:lang w:eastAsia="pl-PL"/>
        </w:rPr>
        <w:t>.</w:t>
      </w:r>
      <w:r w:rsidR="00A503D8" w:rsidRPr="00C853EA">
        <w:rPr>
          <w:rFonts w:eastAsia="Times New Roman"/>
          <w:szCs w:val="19"/>
          <w:lang w:eastAsia="pl-PL"/>
        </w:rPr>
        <w:t xml:space="preserve"> </w:t>
      </w:r>
    </w:p>
    <w:p w14:paraId="39DCF40C" w14:textId="478A0FB2" w:rsidR="009D206C" w:rsidRPr="00F15C18" w:rsidRDefault="00F75A33" w:rsidP="00474B43">
      <w:pPr>
        <w:pStyle w:val="Datainformacjisygnalnej"/>
        <w:spacing w:before="360" w:line="240" w:lineRule="auto"/>
        <w:ind w:left="680" w:hanging="680"/>
        <w:jc w:val="left"/>
        <w:rPr>
          <w:rFonts w:ascii="Fira Sans" w:hAnsi="Fira Sans"/>
          <w:color w:val="auto"/>
          <w:sz w:val="19"/>
          <w:szCs w:val="19"/>
        </w:rPr>
      </w:pPr>
      <w:r w:rsidRPr="00D10B58">
        <w:rPr>
          <w:b/>
          <w:noProof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562D96" wp14:editId="462344DF">
                <wp:simplePos x="0" y="0"/>
                <wp:positionH relativeFrom="page">
                  <wp:posOffset>5753100</wp:posOffset>
                </wp:positionH>
                <wp:positionV relativeFrom="paragraph">
                  <wp:posOffset>1454150</wp:posOffset>
                </wp:positionV>
                <wp:extent cx="1495425" cy="1085850"/>
                <wp:effectExtent l="0" t="0" r="0" b="0"/>
                <wp:wrapNone/>
                <wp:docPr id="18" name="Text Box 23" descr="Wskaźnik wolnych miejsc pracy określa udział wolnych miejsc pracy w ogólnej liczbie miejsc pracy (tj. obsadzonych i wolnych miejsc pracy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371D8" w14:textId="4B267875" w:rsidR="004C1642" w:rsidRPr="00820F2A" w:rsidRDefault="00982F8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B197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Wskaźnik wolnych miejsc pracy </w:t>
                            </w:r>
                            <w:r w:rsidR="00B26837" w:rsidRPr="00B26837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określa udział wolnych miejsc pracy </w:t>
                            </w:r>
                            <w:r w:rsidR="00206A8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B26837" w:rsidRPr="00B26837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ogólnej liczbie miejsc pracy (tj. obsa</w:t>
                            </w:r>
                            <w:r w:rsidR="00206A8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dzonych </w:t>
                            </w:r>
                            <w:r w:rsidR="00206A8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>i wolnych miejsc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2D96" id="_x0000_s1028" type="#_x0000_t202" alt="Wskaźnik wolnych miejsc pracy określa udział wolnych miejsc pracy w ogólnej liczbie miejsc pracy (tj. obsadzonych i wolnych miejsc pracy)" style="position:absolute;left:0;text-align:left;margin-left:453pt;margin-top:114.5pt;width:117.75pt;height:85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" filled="f" stroked="f">
                <v:textbox>
                  <w:txbxContent>
                    <w:p w14:paraId="623371D8" w14:textId="4B267875" w:rsidR="004C1642" w:rsidRPr="00820F2A" w:rsidRDefault="00982F8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B1975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Wskaźnik wolnych miejsc pracy </w:t>
                      </w:r>
                      <w:r w:rsidR="00B26837" w:rsidRPr="00B26837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określa udział wolnych miejsc pracy </w:t>
                      </w:r>
                      <w:r w:rsidR="00206A8A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B26837" w:rsidRPr="00B26837">
                        <w:rPr>
                          <w:bCs/>
                          <w:color w:val="001D77"/>
                          <w:sz w:val="18"/>
                          <w:szCs w:val="18"/>
                        </w:rPr>
                        <w:t>w ogólnej liczbie miejsc pracy (tj. obsa</w:t>
                      </w:r>
                      <w:r w:rsidR="00206A8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dzonych </w:t>
                      </w:r>
                      <w:r w:rsidR="00206A8A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>i wolnych miejsc pracy)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GoBack"/>
      <w:r w:rsidR="00BE3DA0">
        <w:rPr>
          <w:rFonts w:ascii="Fira Sans" w:hAnsi="Fira Sans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71CE6578" wp14:editId="29812125">
            <wp:simplePos x="0" y="0"/>
            <wp:positionH relativeFrom="margin">
              <wp:align>right</wp:align>
            </wp:positionH>
            <wp:positionV relativeFrom="paragraph">
              <wp:posOffset>388620</wp:posOffset>
            </wp:positionV>
            <wp:extent cx="5112385" cy="2988945"/>
            <wp:effectExtent l="0" t="0" r="0" b="1905"/>
            <wp:wrapTopAndBottom/>
            <wp:docPr id="16" name="Obraz 16" descr="Mapa prezentuje wskaźnik wolnych miejsc pracy w regionach na koniec pierwszego kwartału 2024 r. Ponadto diagram przedstawia zmianę wskaźnika w stosunku do pierwszego kwartału 2023 r. w punktach procent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588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Mapa 1. Wska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źnik wolnych miejsc pracy w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r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egionach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(</w:t>
      </w:r>
      <w:r w:rsidR="00C73DCE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>NUTS 2) w</w:t>
      </w:r>
      <w:r w:rsidR="00F15C18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</w:t>
      </w:r>
      <w:r w:rsidR="00EF0641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pierwszym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C73DCE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kwartale</w:t>
      </w:r>
      <w:r w:rsidR="00A76CCB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>202</w:t>
      </w:r>
      <w:r w:rsidR="00EF0641">
        <w:rPr>
          <w:rFonts w:ascii="Fira Sans" w:hAnsi="Fira Sans"/>
          <w:b/>
          <w:color w:val="auto"/>
          <w:sz w:val="19"/>
          <w:szCs w:val="19"/>
          <w:lang w:eastAsia="pl-PL"/>
        </w:rPr>
        <w:t>4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r.</w:t>
      </w:r>
      <w:r w:rsidR="00D10B58">
        <w:rPr>
          <w:rFonts w:ascii="Fira Sans" w:hAnsi="Fira Sans"/>
          <w:b/>
          <w:color w:val="auto"/>
          <w:sz w:val="19"/>
          <w:szCs w:val="19"/>
          <w:lang w:eastAsia="pl-PL"/>
        </w:rPr>
        <w:br/>
      </w:r>
      <w:r w:rsidR="00F15C18" w:rsidRPr="009C4FA4">
        <w:rPr>
          <w:rFonts w:ascii="Fira Sans" w:hAnsi="Fira Sans"/>
          <w:color w:val="auto"/>
          <w:sz w:val="19"/>
          <w:szCs w:val="19"/>
        </w:rPr>
        <w:t>Stan na koniec</w:t>
      </w:r>
      <w:r w:rsidR="00F15C18">
        <w:rPr>
          <w:rFonts w:ascii="Fira Sans" w:hAnsi="Fira Sans"/>
          <w:color w:val="auto"/>
          <w:sz w:val="19"/>
          <w:szCs w:val="19"/>
        </w:rPr>
        <w:t xml:space="preserve"> kwartału</w:t>
      </w:r>
    </w:p>
    <w:p w14:paraId="32FE627D" w14:textId="5EA3A8A8" w:rsidR="00DD3D0A" w:rsidRPr="00CB4BAC" w:rsidRDefault="00E21B36" w:rsidP="00684F1B">
      <w:pPr>
        <w:spacing w:before="360" w:line="288" w:lineRule="auto"/>
        <w:rPr>
          <w:bCs/>
          <w:strike/>
        </w:rPr>
      </w:pPr>
      <w:r>
        <w:t>Uwzględniając</w:t>
      </w:r>
      <w:r w:rsidR="00A2691B" w:rsidRPr="007D0930">
        <w:t xml:space="preserve"> </w:t>
      </w:r>
      <w:r w:rsidR="00A2691B" w:rsidRPr="007D0930">
        <w:rPr>
          <w:b/>
        </w:rPr>
        <w:t>rodzaj prowadzonej działalności</w:t>
      </w:r>
      <w:r w:rsidR="00A2691B" w:rsidRPr="007D0930">
        <w:t xml:space="preserve"> najw</w:t>
      </w:r>
      <w:r w:rsidR="00EF0641">
        <w:t>yższy wskaźnik</w:t>
      </w:r>
      <w:r w:rsidR="007D0930" w:rsidRPr="007D0930">
        <w:t xml:space="preserve"> wolnych miejsc pracy</w:t>
      </w:r>
      <w:r w:rsidR="007D0930" w:rsidRPr="00F05723">
        <w:t xml:space="preserve"> </w:t>
      </w:r>
      <w:r w:rsidR="00EF0641">
        <w:t xml:space="preserve">odnotowano w sekcji Budownictwo </w:t>
      </w:r>
      <w:r w:rsidR="00F17471">
        <w:t xml:space="preserve">(2,13%). Dla tej sekcji odnotowano </w:t>
      </w:r>
      <w:r w:rsidR="00DA3FF0">
        <w:t xml:space="preserve">również </w:t>
      </w:r>
      <w:r w:rsidR="00F17471">
        <w:t>najwyższy wzrost wskaźnika wolnych miejsc pracy w porównaniu z pierwszym kwartałem 2023 r. (wzrost o 0,45 p. proc.). Na koniec pierwszego kwartału 2024 r. naj</w:t>
      </w:r>
      <w:r w:rsidR="00CB4BAC">
        <w:t>większy spadek</w:t>
      </w:r>
      <w:r w:rsidR="00F17471">
        <w:t xml:space="preserve"> wskaźnik</w:t>
      </w:r>
      <w:r w:rsidR="00E561B1">
        <w:t>a</w:t>
      </w:r>
      <w:r w:rsidR="00F17471">
        <w:t xml:space="preserve"> wolnych miejsc pracy </w:t>
      </w:r>
      <w:r w:rsidR="00CB4BAC">
        <w:t xml:space="preserve">w porównaniu z analogicznym </w:t>
      </w:r>
      <w:r w:rsidR="00E561B1">
        <w:t xml:space="preserve">kwartałem </w:t>
      </w:r>
      <w:r w:rsidR="00CB4BAC">
        <w:t xml:space="preserve">2023 r. </w:t>
      </w:r>
      <w:r w:rsidR="00F17471">
        <w:t>wystąpił w sekcji</w:t>
      </w:r>
      <w:r w:rsidR="00CB4BAC">
        <w:t xml:space="preserve"> Informacja </w:t>
      </w:r>
      <w:r w:rsidR="00206A8A">
        <w:br/>
      </w:r>
      <w:r w:rsidR="00CB4BAC">
        <w:t>i</w:t>
      </w:r>
      <w:r w:rsidR="00E561B1">
        <w:t xml:space="preserve"> </w:t>
      </w:r>
      <w:r w:rsidR="00CB4BAC">
        <w:t>komunikacja (tj. o 0,49 p. proc. do 1,54%).</w:t>
      </w:r>
      <w:r w:rsidR="00CB4BAC" w:rsidRPr="00CB4BAC">
        <w:rPr>
          <w:strike/>
        </w:rPr>
        <w:t xml:space="preserve"> </w:t>
      </w:r>
    </w:p>
    <w:p w14:paraId="641533BE" w14:textId="395FF38E" w:rsidR="001A0361" w:rsidRPr="00ED5017" w:rsidRDefault="00BE3DA0" w:rsidP="00474B43">
      <w:pPr>
        <w:pStyle w:val="tytuwykresu"/>
        <w:spacing w:before="360" w:line="240" w:lineRule="auto"/>
        <w:ind w:left="868" w:hanging="868"/>
        <w:rPr>
          <w:color w:val="000000" w:themeColor="text1"/>
          <w:sz w:val="19"/>
          <w:szCs w:val="19"/>
        </w:rPr>
      </w:pPr>
      <w:r w:rsidRPr="00ED5017">
        <w:rPr>
          <w:noProof/>
          <w:color w:val="000000" w:themeColor="text1"/>
          <w:sz w:val="19"/>
          <w:szCs w:val="19"/>
          <w:lang w:eastAsia="pl-PL"/>
        </w:rPr>
        <w:drawing>
          <wp:anchor distT="0" distB="0" distL="114300" distR="114300" simplePos="0" relativeHeight="251691008" behindDoc="0" locked="0" layoutInCell="1" allowOverlap="1" wp14:anchorId="101937CB" wp14:editId="5B079ADE">
            <wp:simplePos x="0" y="0"/>
            <wp:positionH relativeFrom="margin">
              <wp:align>center</wp:align>
            </wp:positionH>
            <wp:positionV relativeFrom="paragraph">
              <wp:posOffset>603250</wp:posOffset>
            </wp:positionV>
            <wp:extent cx="4709160" cy="2309495"/>
            <wp:effectExtent l="0" t="0" r="0" b="0"/>
            <wp:wrapTopAndBottom/>
            <wp:docPr id="19" name="Obraz 19" descr="Wykres prezentuje wolne miejsca pracy w tysiącach oraz wskaźnik wolnych miejsc pracy w % według wybranych sekcji PKD. Dane dotyczą stanu na koniec pierwszego kwartał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3" cy="2309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Wykres </w:t>
      </w:r>
      <w:r w:rsidR="00982F8C" w:rsidRPr="00ED5017">
        <w:rPr>
          <w:noProof/>
          <w:color w:val="000000" w:themeColor="text1"/>
          <w:sz w:val="19"/>
          <w:szCs w:val="19"/>
          <w:lang w:eastAsia="pl-PL"/>
        </w:rPr>
        <w:t>2</w:t>
      </w:r>
      <w:r w:rsidR="00720CDD" w:rsidRPr="00ED5017">
        <w:rPr>
          <w:noProof/>
          <w:color w:val="000000" w:themeColor="text1"/>
          <w:sz w:val="19"/>
          <w:szCs w:val="19"/>
          <w:lang w:eastAsia="pl-PL"/>
        </w:rPr>
        <w:t xml:space="preserve">.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olne miejsca pracy i wskaźnik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wolnych miejsc pracy w</w:t>
      </w:r>
      <w:r w:rsidR="00431C6C" w:rsidRPr="00ED5017">
        <w:rPr>
          <w:noProof/>
          <w:color w:val="000000" w:themeColor="text1"/>
          <w:sz w:val="19"/>
          <w:szCs w:val="19"/>
          <w:lang w:eastAsia="pl-PL"/>
        </w:rPr>
        <w:t xml:space="preserve"> wybranych sekcjach P</w:t>
      </w:r>
      <w:r w:rsidR="007D73CA" w:rsidRPr="00ED5017">
        <w:rPr>
          <w:noProof/>
          <w:color w:val="000000" w:themeColor="text1"/>
          <w:sz w:val="19"/>
          <w:szCs w:val="19"/>
          <w:lang w:eastAsia="pl-PL"/>
        </w:rPr>
        <w:t>KD w </w:t>
      </w:r>
      <w:r w:rsidR="009F1D6E">
        <w:rPr>
          <w:noProof/>
          <w:color w:val="000000" w:themeColor="text1"/>
          <w:sz w:val="19"/>
          <w:szCs w:val="19"/>
          <w:lang w:eastAsia="pl-PL"/>
        </w:rPr>
        <w:t>pierwszym</w:t>
      </w:r>
      <w:r w:rsidR="000C6C48" w:rsidRPr="00ED5017">
        <w:rPr>
          <w:noProof/>
          <w:color w:val="000000" w:themeColor="text1"/>
          <w:sz w:val="19"/>
          <w:szCs w:val="19"/>
          <w:lang w:eastAsia="pl-PL"/>
        </w:rPr>
        <w:t xml:space="preserve"> kwartale 202</w:t>
      </w:r>
      <w:r w:rsidR="009F1D6E">
        <w:rPr>
          <w:noProof/>
          <w:color w:val="000000" w:themeColor="text1"/>
          <w:sz w:val="19"/>
          <w:szCs w:val="19"/>
          <w:lang w:eastAsia="pl-PL"/>
        </w:rPr>
        <w:t>4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 r.</w:t>
      </w:r>
      <w:r w:rsidR="00D10B58" w:rsidRPr="00ED5017">
        <w:rPr>
          <w:noProof/>
          <w:color w:val="000000" w:themeColor="text1"/>
          <w:sz w:val="19"/>
          <w:szCs w:val="19"/>
          <w:lang w:eastAsia="pl-PL"/>
        </w:rPr>
        <w:br/>
      </w:r>
      <w:r w:rsidR="00F53587" w:rsidRPr="00ED5017">
        <w:rPr>
          <w:b w:val="0"/>
          <w:sz w:val="19"/>
          <w:szCs w:val="19"/>
        </w:rPr>
        <w:t>Stan na koniec kwartału</w:t>
      </w:r>
    </w:p>
    <w:p w14:paraId="1C6EF42A" w14:textId="4199953D" w:rsidR="00982F8C" w:rsidRDefault="00982F8C" w:rsidP="00A225E5">
      <w:pPr>
        <w:spacing w:before="360" w:line="288" w:lineRule="auto"/>
        <w:rPr>
          <w:szCs w:val="19"/>
        </w:rPr>
      </w:pPr>
      <w:r w:rsidRPr="000D2297">
        <w:rPr>
          <w:szCs w:val="19"/>
        </w:rPr>
        <w:t>Badanie popytu na pracę</w:t>
      </w:r>
      <w:r w:rsidR="002263EB" w:rsidRPr="000D2297">
        <w:rPr>
          <w:szCs w:val="19"/>
        </w:rPr>
        <w:t xml:space="preserve"> </w:t>
      </w:r>
      <w:r w:rsidR="00BA3544">
        <w:rPr>
          <w:szCs w:val="19"/>
        </w:rPr>
        <w:t>pozwala</w:t>
      </w:r>
      <w:r w:rsidR="002263EB" w:rsidRPr="000D2297">
        <w:rPr>
          <w:szCs w:val="19"/>
        </w:rPr>
        <w:t xml:space="preserve"> także określ</w:t>
      </w:r>
      <w:r w:rsidR="000D2297" w:rsidRPr="000D2297">
        <w:rPr>
          <w:szCs w:val="19"/>
        </w:rPr>
        <w:t>ić zapotrzebowanie</w:t>
      </w:r>
      <w:r w:rsidR="002263EB" w:rsidRPr="000D2297">
        <w:rPr>
          <w:szCs w:val="19"/>
        </w:rPr>
        <w:t xml:space="preserve"> na pracowników </w:t>
      </w:r>
      <w:r w:rsidR="00635381">
        <w:rPr>
          <w:szCs w:val="19"/>
        </w:rPr>
        <w:br/>
      </w:r>
      <w:r w:rsidR="002263EB" w:rsidRPr="000D2297">
        <w:rPr>
          <w:szCs w:val="19"/>
        </w:rPr>
        <w:t xml:space="preserve">w przekroju </w:t>
      </w:r>
      <w:r w:rsidR="002263EB" w:rsidRPr="00BA3544">
        <w:rPr>
          <w:b/>
          <w:szCs w:val="19"/>
        </w:rPr>
        <w:t>wielkich grup zawodów</w:t>
      </w:r>
      <w:r w:rsidR="000120DF">
        <w:rPr>
          <w:szCs w:val="19"/>
        </w:rPr>
        <w:t>. Spośród 2</w:t>
      </w:r>
      <w:r w:rsidR="009F1D6E">
        <w:rPr>
          <w:szCs w:val="19"/>
        </w:rPr>
        <w:t>4,2</w:t>
      </w:r>
      <w:r w:rsidR="002263EB" w:rsidRPr="000D2297">
        <w:rPr>
          <w:szCs w:val="19"/>
        </w:rPr>
        <w:t xml:space="preserve"> tys. wolnych miejsc pracy w podmiotach gospodarki narodowej z sekcji Przetwórstwo przemys</w:t>
      </w:r>
      <w:r w:rsidR="005E62EC">
        <w:rPr>
          <w:szCs w:val="19"/>
        </w:rPr>
        <w:t>ł</w:t>
      </w:r>
      <w:r w:rsidR="000120DF">
        <w:rPr>
          <w:szCs w:val="19"/>
        </w:rPr>
        <w:t xml:space="preserve">owe w końcu </w:t>
      </w:r>
      <w:r w:rsidR="002A17F3">
        <w:rPr>
          <w:szCs w:val="19"/>
        </w:rPr>
        <w:t>pierwszego</w:t>
      </w:r>
      <w:r w:rsidR="002263EB" w:rsidRPr="000D2297">
        <w:rPr>
          <w:szCs w:val="19"/>
        </w:rPr>
        <w:t xml:space="preserve"> kwartału </w:t>
      </w:r>
      <w:r w:rsidR="00635381">
        <w:rPr>
          <w:szCs w:val="19"/>
        </w:rPr>
        <w:br/>
      </w:r>
      <w:r w:rsidR="002263EB" w:rsidRPr="000D2297">
        <w:rPr>
          <w:szCs w:val="19"/>
        </w:rPr>
        <w:t>202</w:t>
      </w:r>
      <w:r w:rsidR="002A17F3">
        <w:rPr>
          <w:szCs w:val="19"/>
        </w:rPr>
        <w:t>4</w:t>
      </w:r>
      <w:r w:rsidR="002263EB" w:rsidRPr="000D2297">
        <w:rPr>
          <w:szCs w:val="19"/>
        </w:rPr>
        <w:t xml:space="preserve"> r., najwięcej miejsc było</w:t>
      </w:r>
      <w:r w:rsidR="00611AA5">
        <w:rPr>
          <w:szCs w:val="19"/>
        </w:rPr>
        <w:t xml:space="preserve"> </w:t>
      </w:r>
      <w:r w:rsidR="00F82776">
        <w:rPr>
          <w:szCs w:val="19"/>
        </w:rPr>
        <w:t>dostępnych</w:t>
      </w:r>
      <w:r w:rsidR="00611AA5">
        <w:rPr>
          <w:szCs w:val="19"/>
        </w:rPr>
        <w:t xml:space="preserve"> dla zawodów</w:t>
      </w:r>
      <w:r w:rsidR="002263EB" w:rsidRPr="000D2297">
        <w:rPr>
          <w:szCs w:val="19"/>
        </w:rPr>
        <w:t xml:space="preserve"> </w:t>
      </w:r>
      <w:r w:rsidR="00611AA5">
        <w:rPr>
          <w:szCs w:val="19"/>
        </w:rPr>
        <w:t>z</w:t>
      </w:r>
      <w:r w:rsidR="00611AA5" w:rsidRPr="000D2297">
        <w:rPr>
          <w:szCs w:val="19"/>
        </w:rPr>
        <w:t xml:space="preserve"> </w:t>
      </w:r>
      <w:r w:rsidR="002263EB" w:rsidRPr="000D2297">
        <w:rPr>
          <w:szCs w:val="19"/>
        </w:rPr>
        <w:t>wielkiej grup</w:t>
      </w:r>
      <w:r w:rsidR="00611AA5">
        <w:rPr>
          <w:szCs w:val="19"/>
        </w:rPr>
        <w:t>y</w:t>
      </w:r>
      <w:r w:rsidR="002263EB" w:rsidRPr="000D2297">
        <w:rPr>
          <w:szCs w:val="19"/>
        </w:rPr>
        <w:t xml:space="preserve"> zawodów </w:t>
      </w:r>
      <w:r w:rsidR="002263EB" w:rsidRPr="003C5037">
        <w:rPr>
          <w:szCs w:val="19"/>
        </w:rPr>
        <w:t xml:space="preserve">Robotnicy </w:t>
      </w:r>
      <w:r w:rsidR="00FB3352">
        <w:rPr>
          <w:szCs w:val="19"/>
        </w:rPr>
        <w:t>przemysłowi i rzemieślnicy (</w:t>
      </w:r>
      <w:r w:rsidR="002A17F3">
        <w:rPr>
          <w:szCs w:val="19"/>
        </w:rPr>
        <w:t>9,5 tys.</w:t>
      </w:r>
      <w:r w:rsidR="002263EB" w:rsidRPr="003C5037">
        <w:rPr>
          <w:szCs w:val="19"/>
        </w:rPr>
        <w:t xml:space="preserve">). </w:t>
      </w:r>
      <w:r w:rsidR="00F65B81" w:rsidRPr="003C5037">
        <w:rPr>
          <w:szCs w:val="19"/>
        </w:rPr>
        <w:t xml:space="preserve">W podmiotach z sekcji </w:t>
      </w:r>
      <w:r w:rsidR="002A17F3">
        <w:rPr>
          <w:szCs w:val="19"/>
        </w:rPr>
        <w:t xml:space="preserve">Budownictwo </w:t>
      </w:r>
      <w:r w:rsidR="000D2297" w:rsidRPr="003C5037">
        <w:rPr>
          <w:szCs w:val="19"/>
        </w:rPr>
        <w:t>w</w:t>
      </w:r>
      <w:r w:rsidR="00F65B81" w:rsidRPr="003C5037">
        <w:rPr>
          <w:szCs w:val="19"/>
        </w:rPr>
        <w:t xml:space="preserve">olne miejsca pracy </w:t>
      </w:r>
      <w:r w:rsidR="00F82776" w:rsidRPr="003C5037">
        <w:rPr>
          <w:szCs w:val="19"/>
        </w:rPr>
        <w:t xml:space="preserve">najczęściej były </w:t>
      </w:r>
      <w:r w:rsidR="00611AA5" w:rsidRPr="003C5037">
        <w:rPr>
          <w:szCs w:val="19"/>
        </w:rPr>
        <w:t>przeznaczone dla z</w:t>
      </w:r>
      <w:r w:rsidR="00F82776" w:rsidRPr="003C5037">
        <w:rPr>
          <w:szCs w:val="19"/>
        </w:rPr>
        <w:t>a</w:t>
      </w:r>
      <w:r w:rsidR="00611AA5" w:rsidRPr="003C5037">
        <w:rPr>
          <w:szCs w:val="19"/>
        </w:rPr>
        <w:t xml:space="preserve">wodów z </w:t>
      </w:r>
      <w:r w:rsidR="002A17F3">
        <w:rPr>
          <w:szCs w:val="19"/>
        </w:rPr>
        <w:t xml:space="preserve">wielkiej </w:t>
      </w:r>
      <w:r w:rsidR="00F65B81" w:rsidRPr="003C5037">
        <w:rPr>
          <w:szCs w:val="19"/>
        </w:rPr>
        <w:t>grupy</w:t>
      </w:r>
      <w:r w:rsidR="002A17F3">
        <w:rPr>
          <w:szCs w:val="19"/>
        </w:rPr>
        <w:t xml:space="preserve"> Robotnicy przemysłowi </w:t>
      </w:r>
      <w:r w:rsidR="00A225E5">
        <w:rPr>
          <w:szCs w:val="19"/>
        </w:rPr>
        <w:br/>
      </w:r>
      <w:r w:rsidR="002A17F3">
        <w:rPr>
          <w:szCs w:val="19"/>
        </w:rPr>
        <w:t xml:space="preserve">i rzemieślnicy (10,3 tys. spośród 16,6 tys. wolnych miejsc pracy). </w:t>
      </w:r>
      <w:r w:rsidR="00F65B81" w:rsidRPr="003C5037">
        <w:rPr>
          <w:szCs w:val="19"/>
        </w:rPr>
        <w:t xml:space="preserve">Większość wolnych miejsc pracy w sekcji </w:t>
      </w:r>
      <w:r w:rsidR="002A17F3" w:rsidRPr="003C5037">
        <w:rPr>
          <w:szCs w:val="19"/>
        </w:rPr>
        <w:t xml:space="preserve">Handel; naprawa pojazdów </w:t>
      </w:r>
      <w:proofErr w:type="spellStart"/>
      <w:r w:rsidR="002A17F3" w:rsidRPr="003C5037">
        <w:rPr>
          <w:szCs w:val="19"/>
        </w:rPr>
        <w:t>samochodowych</w:t>
      </w:r>
      <w:r w:rsidR="002A17F3" w:rsidRPr="003C5037">
        <w:rPr>
          <w:szCs w:val="19"/>
          <w:vertAlign w:val="superscript"/>
        </w:rPr>
        <w:t>Δ</w:t>
      </w:r>
      <w:proofErr w:type="spellEnd"/>
      <w:r w:rsidR="002A17F3" w:rsidRPr="003C5037">
        <w:rPr>
          <w:szCs w:val="19"/>
        </w:rPr>
        <w:t xml:space="preserve"> </w:t>
      </w:r>
      <w:r w:rsidR="00C73C85">
        <w:rPr>
          <w:szCs w:val="19"/>
        </w:rPr>
        <w:t>dotyczy</w:t>
      </w:r>
      <w:r w:rsidR="000120DF">
        <w:rPr>
          <w:szCs w:val="19"/>
        </w:rPr>
        <w:t xml:space="preserve">ła zawodów z wielkiej grupy </w:t>
      </w:r>
      <w:r w:rsidR="002D252A" w:rsidRPr="002D252A">
        <w:rPr>
          <w:szCs w:val="19"/>
        </w:rPr>
        <w:t>Pracownicy usług</w:t>
      </w:r>
      <w:r w:rsidR="002D252A">
        <w:rPr>
          <w:szCs w:val="19"/>
        </w:rPr>
        <w:t xml:space="preserve"> </w:t>
      </w:r>
      <w:r w:rsidR="002D252A" w:rsidRPr="002D252A">
        <w:rPr>
          <w:szCs w:val="19"/>
        </w:rPr>
        <w:t>i sprzedawcy</w:t>
      </w:r>
      <w:r w:rsidR="00142718">
        <w:rPr>
          <w:szCs w:val="19"/>
        </w:rPr>
        <w:t xml:space="preserve"> (4,2</w:t>
      </w:r>
      <w:r w:rsidR="002D252A" w:rsidRPr="002D252A">
        <w:rPr>
          <w:szCs w:val="19"/>
        </w:rPr>
        <w:t xml:space="preserve"> </w:t>
      </w:r>
      <w:r w:rsidR="002D252A">
        <w:rPr>
          <w:szCs w:val="19"/>
        </w:rPr>
        <w:t>tys.</w:t>
      </w:r>
      <w:r w:rsidR="000120DF">
        <w:rPr>
          <w:szCs w:val="19"/>
        </w:rPr>
        <w:t xml:space="preserve"> spośród 1</w:t>
      </w:r>
      <w:r w:rsidR="002D252A">
        <w:rPr>
          <w:szCs w:val="19"/>
        </w:rPr>
        <w:t>4,2</w:t>
      </w:r>
      <w:r w:rsidR="00370BB7">
        <w:rPr>
          <w:szCs w:val="19"/>
        </w:rPr>
        <w:t xml:space="preserve"> tys. wolnych miejsc pracy).</w:t>
      </w:r>
    </w:p>
    <w:p w14:paraId="6799B790" w14:textId="099B0D5E" w:rsidR="00982F8C" w:rsidRPr="00474B43" w:rsidRDefault="000D2297" w:rsidP="00474B43">
      <w:pPr>
        <w:pStyle w:val="tytuwykresu"/>
        <w:spacing w:before="360" w:line="240" w:lineRule="auto"/>
        <w:ind w:left="811" w:hanging="811"/>
        <w:rPr>
          <w:color w:val="000000" w:themeColor="text1"/>
          <w:sz w:val="19"/>
          <w:szCs w:val="19"/>
        </w:rPr>
      </w:pPr>
      <w:r w:rsidRPr="00474B43">
        <w:rPr>
          <w:noProof/>
          <w:sz w:val="19"/>
          <w:szCs w:val="19"/>
          <w:lang w:eastAsia="pl-PL"/>
        </w:rPr>
        <w:lastRenderedPageBreak/>
        <w:drawing>
          <wp:anchor distT="0" distB="0" distL="114300" distR="114300" simplePos="0" relativeHeight="251694080" behindDoc="1" locked="0" layoutInCell="1" allowOverlap="1" wp14:anchorId="2B1441A2" wp14:editId="3EE31635">
            <wp:simplePos x="0" y="0"/>
            <wp:positionH relativeFrom="margin">
              <wp:align>left</wp:align>
            </wp:positionH>
            <wp:positionV relativeFrom="paragraph">
              <wp:posOffset>589966</wp:posOffset>
            </wp:positionV>
            <wp:extent cx="5114290" cy="3483610"/>
            <wp:effectExtent l="0" t="0" r="0" b="2540"/>
            <wp:wrapTight wrapText="bothSides">
              <wp:wrapPolygon edited="0">
                <wp:start x="0" y="0"/>
                <wp:lineTo x="0" y="21498"/>
                <wp:lineTo x="21482" y="21498"/>
                <wp:lineTo x="21482" y="0"/>
                <wp:lineTo x="0" y="0"/>
              </wp:wrapPolygon>
            </wp:wrapTight>
            <wp:docPr id="5" name="Obraz 5" descr="Wykres prezentuje strukturę wolnych miejsc pracy w % według wybranych wielkich grup zawodów w pierwszym kwartale 2024 r. w wybranych sekcjach PK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Wykres 3. Struktura wolnych miejsc pracy w wybranych sekcjach PKD wedłu</w:t>
      </w:r>
      <w:r w:rsidR="007F6993">
        <w:rPr>
          <w:noProof/>
          <w:color w:val="000000" w:themeColor="text1"/>
          <w:sz w:val="19"/>
          <w:szCs w:val="19"/>
          <w:lang w:eastAsia="pl-PL"/>
        </w:rPr>
        <w:t>g</w:t>
      </w:r>
      <w:r w:rsidR="00B11B7F">
        <w:rPr>
          <w:noProof/>
          <w:color w:val="000000" w:themeColor="text1"/>
          <w:sz w:val="19"/>
          <w:szCs w:val="19"/>
          <w:lang w:eastAsia="pl-PL"/>
        </w:rPr>
        <w:t xml:space="preserve"> wielkich grup zawodów w </w:t>
      </w:r>
      <w:r w:rsidR="003518EC">
        <w:rPr>
          <w:noProof/>
          <w:color w:val="000000" w:themeColor="text1"/>
          <w:sz w:val="19"/>
          <w:szCs w:val="19"/>
          <w:lang w:eastAsia="pl-PL"/>
        </w:rPr>
        <w:t>pierwszym</w:t>
      </w:r>
      <w:r w:rsidR="007F6993">
        <w:rPr>
          <w:noProof/>
          <w:color w:val="000000" w:themeColor="text1"/>
          <w:sz w:val="19"/>
          <w:szCs w:val="19"/>
          <w:lang w:eastAsia="pl-PL"/>
        </w:rPr>
        <w:t xml:space="preserve"> 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kwartale 202</w:t>
      </w:r>
      <w:r w:rsidR="003518EC">
        <w:rPr>
          <w:noProof/>
          <w:color w:val="000000" w:themeColor="text1"/>
          <w:sz w:val="19"/>
          <w:szCs w:val="19"/>
          <w:lang w:eastAsia="pl-PL"/>
        </w:rPr>
        <w:t>4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 xml:space="preserve"> r.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br/>
      </w:r>
      <w:r w:rsidR="00982F8C" w:rsidRPr="00474B43">
        <w:rPr>
          <w:b w:val="0"/>
          <w:sz w:val="19"/>
          <w:szCs w:val="19"/>
        </w:rPr>
        <w:t>Stan na koniec kwartału</w:t>
      </w:r>
    </w:p>
    <w:p w14:paraId="130F4C8D" w14:textId="4A772F29" w:rsidR="00172FB2" w:rsidRPr="00172FB2" w:rsidRDefault="00172FB2" w:rsidP="00172FB2">
      <w:pPr>
        <w:spacing w:before="840" w:line="288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t>W </w:t>
      </w:r>
      <w:r w:rsidRPr="009E5CAD">
        <w:rPr>
          <w:color w:val="000000" w:themeColor="text1"/>
          <w:szCs w:val="19"/>
        </w:rPr>
        <w:t xml:space="preserve">opracowaniu zastosowano skrócone nazwy sekcji PKD, oznaczając skróty znakiem „∆”. </w:t>
      </w:r>
      <w:r w:rsidR="00F73F25" w:rsidRPr="009E5CAD">
        <w:rPr>
          <w:color w:val="000000" w:themeColor="text1"/>
          <w:szCs w:val="19"/>
        </w:rPr>
        <w:t>Pełne nazwy</w:t>
      </w:r>
      <w:r w:rsidR="006A2AE7">
        <w:rPr>
          <w:color w:val="000000" w:themeColor="text1"/>
          <w:szCs w:val="19"/>
        </w:rPr>
        <w:t xml:space="preserve"> sekcji PKD</w:t>
      </w:r>
      <w:r w:rsidR="00F73F25" w:rsidRPr="009E5CAD">
        <w:rPr>
          <w:color w:val="000000" w:themeColor="text1"/>
          <w:szCs w:val="19"/>
        </w:rPr>
        <w:t xml:space="preserve"> dostępne są na stronie GUS pod adresem:</w:t>
      </w:r>
      <w:r w:rsidR="00692DC7">
        <w:rPr>
          <w:color w:val="000000" w:themeColor="text1"/>
          <w:szCs w:val="19"/>
        </w:rPr>
        <w:t xml:space="preserve"> </w:t>
      </w:r>
      <w:hyperlink r:id="rId11" w:history="1">
        <w:r w:rsidR="00692DC7" w:rsidRPr="00662896">
          <w:rPr>
            <w:rStyle w:val="Hipercze"/>
            <w:spacing w:val="-16"/>
            <w:szCs w:val="19"/>
          </w:rPr>
          <w:t>http://stat.gov.pl/Klasyfikacje/</w:t>
        </w:r>
      </w:hyperlink>
      <w:r w:rsidR="00F73F25" w:rsidRPr="00692DC7">
        <w:rPr>
          <w:rStyle w:val="Hipercze"/>
          <w:color w:val="000000" w:themeColor="text1"/>
          <w:spacing w:val="-16"/>
          <w:szCs w:val="19"/>
        </w:rPr>
        <w:t>.</w:t>
      </w:r>
      <w:r w:rsidR="00F73F25">
        <w:rPr>
          <w:rStyle w:val="Hipercze"/>
          <w:color w:val="000000" w:themeColor="text1"/>
          <w:szCs w:val="19"/>
        </w:rPr>
        <w:t xml:space="preserve"> </w:t>
      </w:r>
      <w:r w:rsidR="00982F8C">
        <w:rPr>
          <w:rStyle w:val="Hipercze"/>
          <w:color w:val="000000" w:themeColor="text1"/>
          <w:szCs w:val="19"/>
        </w:rPr>
        <w:br/>
      </w:r>
      <w:r w:rsidR="00720CDD" w:rsidRPr="009E5CAD">
        <w:rPr>
          <w:color w:val="000000" w:themeColor="text1"/>
          <w:lang w:eastAsia="pl-PL"/>
        </w:rPr>
        <w:t>Liczby względne (wskaźniki, odsetki) obliczono na podstawie danych bezwzględnych</w:t>
      </w:r>
      <w:r w:rsidR="00720CDD" w:rsidRPr="009E5CAD">
        <w:rPr>
          <w:color w:val="000000" w:themeColor="text1"/>
        </w:rPr>
        <w:t xml:space="preserve"> </w:t>
      </w:r>
      <w:r w:rsidR="00720CDD" w:rsidRPr="009E5CAD">
        <w:rPr>
          <w:color w:val="000000" w:themeColor="text1"/>
          <w:lang w:eastAsia="pl-PL"/>
        </w:rPr>
        <w:t>wyrażonych z większą dokładnością niż podano w opracowaniu.</w:t>
      </w:r>
    </w:p>
    <w:p w14:paraId="692361A4" w14:textId="7CC7AB9B" w:rsidR="00720CDD" w:rsidRPr="00172FB2" w:rsidRDefault="00720CDD" w:rsidP="00A225E5">
      <w:pPr>
        <w:spacing w:before="5160" w:line="288" w:lineRule="auto"/>
        <w:rPr>
          <w:color w:val="000000" w:themeColor="text1"/>
          <w:lang w:eastAsia="pl-PL"/>
        </w:rPr>
        <w:sectPr w:rsidR="00720CDD" w:rsidRPr="00172FB2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E5CAD">
        <w:rPr>
          <w:color w:val="000000" w:themeColor="text1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</w:t>
      </w:r>
      <w:r w:rsidR="00C16C2D">
        <w:rPr>
          <w:color w:val="000000" w:themeColor="text1"/>
        </w:rPr>
        <w:t>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0CDD" w14:paraId="0CBE1597" w14:textId="77777777" w:rsidTr="000759CD">
        <w:trPr>
          <w:trHeight w:val="1626"/>
        </w:trPr>
        <w:tc>
          <w:tcPr>
            <w:tcW w:w="4926" w:type="dxa"/>
          </w:tcPr>
          <w:p w14:paraId="0D65AEEB" w14:textId="77777777" w:rsidR="00720CDD" w:rsidRPr="004A1D19" w:rsidRDefault="00720CDD" w:rsidP="00184B7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0F414C9" w14:textId="77777777" w:rsidR="00720CDD" w:rsidRPr="008925F0" w:rsidRDefault="00720CDD" w:rsidP="00184B7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7ECE2B52" w14:textId="77777777" w:rsidR="00720CDD" w:rsidRPr="00DE2400" w:rsidRDefault="00720CDD" w:rsidP="00184B74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4660F3DB" w14:textId="77777777" w:rsidR="00720CDD" w:rsidRPr="00AB24E4" w:rsidRDefault="00720CDD" w:rsidP="00184B7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14:paraId="0399718B" w14:textId="77777777" w:rsidR="00A225E5" w:rsidRPr="00B16183" w:rsidRDefault="00A225E5" w:rsidP="00A225E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B16183">
              <w:rPr>
                <w:rFonts w:cs="Arial"/>
                <w:sz w:val="20"/>
              </w:rPr>
              <w:t>Rozpowszechnianie:</w:t>
            </w:r>
            <w:r w:rsidRPr="00B16183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</w:rPr>
              <w:t>Wydział Współpracy z Mediami</w:t>
            </w:r>
          </w:p>
          <w:p w14:paraId="30A59952" w14:textId="77777777" w:rsidR="00A225E5" w:rsidRDefault="00A225E5" w:rsidP="00A225E5">
            <w:r>
              <w:t>Tel. komórkowy: +48 695 255 032</w:t>
            </w:r>
          </w:p>
          <w:p w14:paraId="5BF79EA0" w14:textId="77777777" w:rsidR="00A225E5" w:rsidRDefault="00A225E5" w:rsidP="00A225E5">
            <w:pPr>
              <w:ind w:left="1494" w:hanging="1494"/>
            </w:pPr>
            <w:r>
              <w:t>Tel. stacjonarne: +48 22 608 38 04, +48 22 449 41 45,     +48 22 608 30 09</w:t>
            </w:r>
          </w:p>
          <w:p w14:paraId="458D5709" w14:textId="77777777" w:rsidR="00A225E5" w:rsidRPr="00A225E5" w:rsidRDefault="00A225E5" w:rsidP="00A225E5">
            <w:pPr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</w:rPr>
            </w:pPr>
            <w:r w:rsidRPr="00A225E5">
              <w:rPr>
                <w:b/>
                <w:sz w:val="20"/>
              </w:rPr>
              <w:t>e-mail:</w:t>
            </w:r>
            <w:r w:rsidRPr="00A225E5">
              <w:rPr>
                <w:sz w:val="20"/>
              </w:rPr>
              <w:t xml:space="preserve"> </w:t>
            </w:r>
            <w:hyperlink r:id="rId16" w:history="1">
              <w:r w:rsidRPr="00A225E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30AB492" w14:textId="77777777" w:rsidR="00720CDD" w:rsidRDefault="00720CDD" w:rsidP="00184B74">
            <w:pPr>
              <w:rPr>
                <w:sz w:val="18"/>
              </w:rPr>
            </w:pPr>
          </w:p>
        </w:tc>
      </w:tr>
      <w:tr w:rsidR="00720CDD" w14:paraId="42B7C8CC" w14:textId="77777777" w:rsidTr="000759CD">
        <w:trPr>
          <w:trHeight w:val="418"/>
        </w:trPr>
        <w:tc>
          <w:tcPr>
            <w:tcW w:w="4926" w:type="dxa"/>
            <w:vMerge w:val="restart"/>
          </w:tcPr>
          <w:p w14:paraId="047FC4EE" w14:textId="6DEF0D47" w:rsidR="00720CDD" w:rsidRPr="00F05FC7" w:rsidRDefault="00720CDD" w:rsidP="00184B7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34B29981" w14:textId="77777777" w:rsidR="00720CDD" w:rsidRDefault="00720CDD" w:rsidP="00184B74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3E315907" wp14:editId="06313A3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720CDD" w14:paraId="5249FBE7" w14:textId="77777777" w:rsidTr="000759CD">
        <w:trPr>
          <w:trHeight w:val="418"/>
        </w:trPr>
        <w:tc>
          <w:tcPr>
            <w:tcW w:w="4926" w:type="dxa"/>
            <w:vMerge/>
          </w:tcPr>
          <w:p w14:paraId="1F9F1945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59939C5" w14:textId="77777777" w:rsidR="00720CDD" w:rsidRDefault="00635381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2991F258" wp14:editId="5F0AE89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CDD" w:rsidRPr="003D5F42">
              <w:rPr>
                <w:sz w:val="20"/>
              </w:rPr>
              <w:t>@GUS_STAT</w:t>
            </w:r>
            <w:r w:rsidR="00720CDD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14:paraId="4CCE6F7A" w14:textId="77777777" w:rsidTr="000759CD">
        <w:trPr>
          <w:trHeight w:val="476"/>
        </w:trPr>
        <w:tc>
          <w:tcPr>
            <w:tcW w:w="4926" w:type="dxa"/>
            <w:vMerge/>
          </w:tcPr>
          <w:p w14:paraId="7B51B5BD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8B61849" w14:textId="77777777" w:rsidR="00720CDD" w:rsidRDefault="00720CDD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4088F145" wp14:editId="609CC1C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14:paraId="2EC2B44D" w14:textId="77777777" w:rsidTr="000759CD">
        <w:trPr>
          <w:trHeight w:val="476"/>
        </w:trPr>
        <w:tc>
          <w:tcPr>
            <w:tcW w:w="4926" w:type="dxa"/>
          </w:tcPr>
          <w:p w14:paraId="269775B0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B8A96AA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78C3B83A" wp14:editId="077F72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20CDD" w14:paraId="57475C75" w14:textId="77777777" w:rsidTr="000759CD">
        <w:trPr>
          <w:trHeight w:val="476"/>
        </w:trPr>
        <w:tc>
          <w:tcPr>
            <w:tcW w:w="4926" w:type="dxa"/>
          </w:tcPr>
          <w:p w14:paraId="7E8BBED1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2457C1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3F527BC0" wp14:editId="5A62502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20CDD" w14:paraId="6189F433" w14:textId="77777777" w:rsidTr="000759CD">
        <w:trPr>
          <w:trHeight w:val="953"/>
        </w:trPr>
        <w:tc>
          <w:tcPr>
            <w:tcW w:w="4926" w:type="dxa"/>
          </w:tcPr>
          <w:p w14:paraId="67B2CA12" w14:textId="77777777"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FEFF03" w14:textId="77777777" w:rsidR="00720CDD" w:rsidRPr="003D5F42" w:rsidRDefault="00720CDD" w:rsidP="00184B7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08AA25D1" wp14:editId="02796C2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0CDD" w:rsidRPr="003028BF" w14:paraId="33B08E28" w14:textId="77777777" w:rsidTr="0007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46A27C4" w14:textId="77777777" w:rsidR="00720CDD" w:rsidRPr="00876479" w:rsidRDefault="00720CDD" w:rsidP="00184B7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7843881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begin"/>
            </w:r>
            <w:r w:rsidR="0004499E">
              <w:rPr>
                <w:u w:val="single"/>
              </w:rPr>
              <w:instrText>HYPERLINK "https://stat.gov.pl/obszary-tematyczne/rynek-pracy/popyt-na-prace/popyt-na-prace-w-2022-roku,1,18.html" \o " Link do publikacji Popyt na pracę w 2022 r. Publikacja roczna"</w:instrText>
            </w:r>
            <w:r w:rsidRPr="002457CC">
              <w:rPr>
                <w:u w:val="single"/>
              </w:rPr>
              <w:fldChar w:fldCharType="separate"/>
            </w:r>
            <w:r w:rsidRPr="002457CC">
              <w:rPr>
                <w:rStyle w:val="Hipercze"/>
              </w:rPr>
              <w:t>Popyt na pracę w 202</w:t>
            </w:r>
            <w:r w:rsidR="0004499E">
              <w:rPr>
                <w:rStyle w:val="Hipercze"/>
              </w:rPr>
              <w:t>2</w:t>
            </w:r>
            <w:r w:rsidRPr="002457CC">
              <w:rPr>
                <w:rStyle w:val="Hipercze"/>
              </w:rPr>
              <w:t xml:space="preserve"> r. – publikacja roczna</w:t>
            </w:r>
          </w:p>
          <w:p w14:paraId="2678B6CF" w14:textId="7184A362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="00684F1B">
              <w:rPr>
                <w:rStyle w:val="Hipercze"/>
              </w:rPr>
              <w:instrText>HYPERLINK "https://stat.gov.pl/obszary-tematyczne/rynek-pracy/popyt-na-prace/popyt-na-prace-w-4-kwartale-2023-roku,2,53.html" \o "Link do opracowania Popyt na pracę w czwartym kwartale 2023 r. Opracowanie sygnalne"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 xml:space="preserve">Popyt na pracę w </w:t>
            </w:r>
            <w:r w:rsidR="00684F1B">
              <w:rPr>
                <w:rStyle w:val="Hipercze"/>
              </w:rPr>
              <w:t>czwartym</w:t>
            </w:r>
            <w:r w:rsidRPr="002457CC">
              <w:rPr>
                <w:rStyle w:val="Hipercze"/>
              </w:rPr>
              <w:t xml:space="preserve"> kwartale </w:t>
            </w:r>
            <w:r>
              <w:rPr>
                <w:rStyle w:val="Hipercze"/>
              </w:rPr>
              <w:t>202</w:t>
            </w:r>
            <w:r w:rsidR="0004499E">
              <w:rPr>
                <w:rStyle w:val="Hipercze"/>
              </w:rPr>
              <w:t>3</w:t>
            </w:r>
            <w:r w:rsidRPr="002457CC">
              <w:rPr>
                <w:rStyle w:val="Hipercze"/>
              </w:rPr>
              <w:t xml:space="preserve"> r.</w:t>
            </w:r>
            <w:r>
              <w:rPr>
                <w:rStyle w:val="Hipercze"/>
              </w:rPr>
              <w:t xml:space="preserve"> — opracowanie sygnalne</w:t>
            </w:r>
          </w:p>
          <w:p w14:paraId="0009E61D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  <w:bCs w:val="0"/>
              </w:rPr>
              <w:fldChar w:fldCharType="end"/>
            </w:r>
            <w:hyperlink r:id="rId23" w:tooltip="Link do opracowania Wpływ epidemii COVID-19 na wybrane elementy rynku pracy w Polsce w trzecim kwartale 2022 r. Opracowanie sygnalne" w:history="1"/>
            <w:hyperlink r:id="rId24" w:tooltip="Link do innych opracowań zawierających wyniki tych badań" w:history="1">
              <w:r w:rsidRPr="002457CC">
                <w:rPr>
                  <w:rStyle w:val="Hipercze"/>
                </w:rPr>
                <w:t>Inne opracowania zawierające wyniki tych badań: stat.gov.pl → Obszary tematyczne → Rynek pracy</w:t>
              </w:r>
            </w:hyperlink>
            <w:r w:rsidRPr="002457CC">
              <w:rPr>
                <w:rStyle w:val="Hipercze"/>
              </w:rPr>
              <w:t xml:space="preserve"> </w:t>
            </w:r>
          </w:p>
          <w:p w14:paraId="16CDA1E2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Zeszyt metodologiczny. Popyt na pracę</w:t>
            </w:r>
          </w:p>
          <w:p w14:paraId="69C8092E" w14:textId="77777777"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A152C68" w14:textId="77777777" w:rsidR="00065890" w:rsidRPr="001A7684" w:rsidRDefault="00065890" w:rsidP="00065890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instrText>HYPERLINK "https://dbw.stat.gov.pl/baza-danych" \o "Dziedzinowa Baza Wiedzy. Obszar tematyczny Rynek pracy"</w:instrText>
            </w: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>
              <w:rPr>
                <w:rStyle w:val="Hipercze"/>
              </w:rPr>
              <w:t>Dziedzinowe Bazy Wiedzy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→ </w:t>
            </w:r>
            <w:r>
              <w:rPr>
                <w:rStyle w:val="Hipercze"/>
                <w:rFonts w:cs="Arial"/>
                <w:sz w:val="18"/>
                <w:szCs w:val="30"/>
              </w:rPr>
              <w:t>Dane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→ </w:t>
            </w:r>
            <w:r>
              <w:rPr>
                <w:rStyle w:val="Hipercze"/>
                <w:rFonts w:cs="Arial"/>
                <w:sz w:val="18"/>
                <w:szCs w:val="30"/>
              </w:rPr>
              <w:t>Społeczeństwo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>→ Rynek pracy</w:t>
            </w:r>
          </w:p>
          <w:p w14:paraId="59555B5C" w14:textId="77777777" w:rsidR="00720CDD" w:rsidRPr="001A7684" w:rsidRDefault="00065890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 w:rsidR="00720CDD" w:rsidRPr="001A7684">
              <w:rPr>
                <w:rFonts w:cs="Arial"/>
                <w:color w:val="0000FF"/>
                <w:sz w:val="18"/>
                <w:szCs w:val="30"/>
                <w:shd w:val="clear" w:color="auto" w:fill="F0F0F0"/>
              </w:rPr>
              <w:instrText>HYPERLINK "http://strateg.stat.gov.pl/" \o "Baza danych Strateg. Obszar tematyczny Rynek pracy"</w:instrText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 w:rsidR="00720CDD" w:rsidRPr="001A7684">
              <w:rPr>
                <w:rStyle w:val="Hipercze"/>
                <w:rFonts w:cs="Arial"/>
                <w:sz w:val="18"/>
                <w:szCs w:val="30"/>
              </w:rPr>
              <w:t>Strateg → Obszary tematyczne → Rynek pracy</w:t>
            </w:r>
          </w:p>
          <w:p w14:paraId="3A9EC07F" w14:textId="77777777"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 xml:space="preserve"> HYPERLINK "https://bdl.stat.gov.pl/BDL/dane/podgrup/temat" \o "Link do Banku Danych Lokalnych. Obszar Rynek pracy" 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Bank Danych Lokalnych → Rynek pracy</w:t>
            </w:r>
          </w:p>
          <w:p w14:paraId="774BAD70" w14:textId="77777777" w:rsidR="00720CDD" w:rsidRPr="00DD6AA9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end"/>
            </w:r>
            <w:hyperlink r:id="rId25" w:tooltip="Link do Oficjalnych statystyk SDG. Wskaźniki dla celów globalnych" w:history="1">
              <w:r w:rsidRPr="00DD6AA9">
                <w:rPr>
                  <w:rStyle w:val="Hipercze"/>
                </w:rPr>
                <w:t>Oficjalne statystyki SDG – wskaźniki dla celów globalnych</w:t>
              </w:r>
            </w:hyperlink>
          </w:p>
          <w:p w14:paraId="2D4991B5" w14:textId="77777777"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A679582" w14:textId="77777777" w:rsidR="00720CDD" w:rsidRPr="001A7684" w:rsidRDefault="00DA17D3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6" w:tooltip="Link do pojęcia popyt na pracę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Popyt na pracę</w:t>
              </w:r>
            </w:hyperlink>
            <w:r w:rsidR="00720CDD" w:rsidRPr="001A7684"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  <w:t xml:space="preserve"> </w:t>
            </w:r>
          </w:p>
          <w:p w14:paraId="72DF8460" w14:textId="77777777" w:rsidR="00720CDD" w:rsidRPr="001A7684" w:rsidRDefault="00DA17D3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7" w:tooltip="Link do pojęcia Wolne miejsca pracy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Wolne miejsca pracy</w:t>
              </w:r>
            </w:hyperlink>
          </w:p>
          <w:p w14:paraId="03E6434D" w14:textId="77777777" w:rsidR="00720CDD" w:rsidRPr="00876479" w:rsidRDefault="00720CDD" w:rsidP="00065890">
            <w:pPr>
              <w:pStyle w:val="tekstzboku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74A5C51" w14:textId="77777777" w:rsidR="00382B0D" w:rsidRDefault="00382B0D" w:rsidP="00184B74"/>
    <w:sectPr w:rsidR="00382B0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25FB" w14:textId="77777777" w:rsidR="00DA17D3" w:rsidRDefault="00DA17D3" w:rsidP="00720CDD">
      <w:pPr>
        <w:spacing w:before="0" w:after="0" w:line="240" w:lineRule="auto"/>
      </w:pPr>
      <w:r>
        <w:separator/>
      </w:r>
    </w:p>
  </w:endnote>
  <w:endnote w:type="continuationSeparator" w:id="0">
    <w:p w14:paraId="28F0C8CB" w14:textId="77777777" w:rsidR="00DA17D3" w:rsidRDefault="00DA17D3" w:rsidP="00720C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575277"/>
      <w:docPartObj>
        <w:docPartGallery w:val="Page Numbers (Bottom of Page)"/>
        <w:docPartUnique/>
      </w:docPartObj>
    </w:sdtPr>
    <w:sdtEndPr/>
    <w:sdtContent>
      <w:p w14:paraId="5F0E5621" w14:textId="0E513D86"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9B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836088"/>
      <w:docPartObj>
        <w:docPartGallery w:val="Page Numbers (Bottom of Page)"/>
        <w:docPartUnique/>
      </w:docPartObj>
    </w:sdtPr>
    <w:sdtEndPr/>
    <w:sdtContent>
      <w:p w14:paraId="32068F19" w14:textId="6FED5285"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D1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7A8D037D" w14:textId="0C5828E0" w:rsidR="008025B1" w:rsidRDefault="00BC15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D1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D082E" w14:textId="77777777" w:rsidR="00DA17D3" w:rsidRDefault="00DA17D3" w:rsidP="00720CDD">
      <w:pPr>
        <w:spacing w:before="0" w:after="0" w:line="240" w:lineRule="auto"/>
      </w:pPr>
      <w:r>
        <w:separator/>
      </w:r>
    </w:p>
  </w:footnote>
  <w:footnote w:type="continuationSeparator" w:id="0">
    <w:p w14:paraId="324C3FDC" w14:textId="77777777" w:rsidR="00DA17D3" w:rsidRDefault="00DA17D3" w:rsidP="00720C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BFACC" w14:textId="77777777" w:rsidR="00720CDD" w:rsidRDefault="00720C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0929C9" wp14:editId="2594CA1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71B6E2" id="Prostokąt 12" o:spid="_x0000_s1026" style="position:absolute;margin-left:411.2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4B141D9" w14:textId="77777777" w:rsidR="00720CDD" w:rsidRDefault="00720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3ED54" w14:textId="77777777" w:rsidR="00720CDD" w:rsidRDefault="00720CD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81934BC" wp14:editId="5A08F779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ABB5E" wp14:editId="27C2D9E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F7B715" w14:textId="77777777" w:rsidR="00720CDD" w:rsidRPr="003C6C8D" w:rsidRDefault="00720CDD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0ABB5E" id="Schemat blokowy: opóźnienie 6" o:spid="_x0000_s1029" alt="Tytuł: nazwa serii wydawniczej — opis: Napis &quot;Informacje sygnalne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AHdeu7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1F7B715" w14:textId="77777777" w:rsidR="00720CDD" w:rsidRPr="003C6C8D" w:rsidRDefault="00720CDD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2DEA5F" wp14:editId="718549F3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B337670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3274B231" w14:textId="77777777" w:rsidR="00720CDD" w:rsidRDefault="00720CDD">
    <w:pPr>
      <w:pStyle w:val="Nagwek"/>
      <w:rPr>
        <w:noProof/>
        <w:lang w:eastAsia="pl-PL"/>
      </w:rPr>
    </w:pPr>
  </w:p>
  <w:p w14:paraId="41E4D33F" w14:textId="77777777" w:rsidR="00720CDD" w:rsidRDefault="00720CDD">
    <w:pPr>
      <w:pStyle w:val="Nagwek"/>
      <w:rPr>
        <w:noProof/>
        <w:lang w:eastAsia="pl-PL"/>
      </w:rPr>
    </w:pPr>
  </w:p>
  <w:p w14:paraId="028902BD" w14:textId="77777777" w:rsidR="00720CDD" w:rsidRDefault="00720CD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2F0D5" wp14:editId="494AADE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11 czerwiec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BCE57" w14:textId="4D0B92DE" w:rsidR="00720CDD" w:rsidRPr="00A01B40" w:rsidRDefault="005D0822" w:rsidP="00F049AB">
                          <w:pPr>
                            <w:pStyle w:val="Datainformacjisygnalnej"/>
                          </w:pPr>
                          <w:r>
                            <w:t>11.0</w:t>
                          </w:r>
                          <w:r w:rsidR="00142718">
                            <w:t>6</w:t>
                          </w:r>
                          <w:r w:rsidR="00BC04EC">
                            <w:t>.2024</w:t>
                          </w:r>
                          <w:r w:rsidR="00720CDD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2F0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&#10;11 czerwiec 2024 r.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8sUlqEECAABD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14:paraId="524BCE57" w14:textId="4D0B92DE" w:rsidR="00720CDD" w:rsidRPr="00A01B40" w:rsidRDefault="005D0822" w:rsidP="00F049AB">
                    <w:pPr>
                      <w:pStyle w:val="Datainformacjisygnalnej"/>
                    </w:pPr>
                    <w:r>
                      <w:t>11.0</w:t>
                    </w:r>
                    <w:r w:rsidR="00142718">
                      <w:t>6</w:t>
                    </w:r>
                    <w:r w:rsidR="00BC04EC">
                      <w:t>.2024</w:t>
                    </w:r>
                    <w:r w:rsidR="00720CDD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EE9C" w14:textId="77777777" w:rsidR="008025B1" w:rsidRDefault="00DA17D3">
    <w:pPr>
      <w:pStyle w:val="Nagwek"/>
    </w:pPr>
  </w:p>
  <w:p w14:paraId="3F32A665" w14:textId="77777777" w:rsidR="008025B1" w:rsidRDefault="00DA17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DD"/>
    <w:rsid w:val="000120DF"/>
    <w:rsid w:val="0002067E"/>
    <w:rsid w:val="00022D7E"/>
    <w:rsid w:val="00024EB0"/>
    <w:rsid w:val="00040C0C"/>
    <w:rsid w:val="00041C5C"/>
    <w:rsid w:val="00042632"/>
    <w:rsid w:val="0004285B"/>
    <w:rsid w:val="0004499E"/>
    <w:rsid w:val="00045A03"/>
    <w:rsid w:val="000516A0"/>
    <w:rsid w:val="000565D6"/>
    <w:rsid w:val="00065890"/>
    <w:rsid w:val="00072122"/>
    <w:rsid w:val="00072C8B"/>
    <w:rsid w:val="0008114C"/>
    <w:rsid w:val="00082704"/>
    <w:rsid w:val="00091D6C"/>
    <w:rsid w:val="0009246D"/>
    <w:rsid w:val="000937B1"/>
    <w:rsid w:val="000A09F6"/>
    <w:rsid w:val="000A1C48"/>
    <w:rsid w:val="000A5F76"/>
    <w:rsid w:val="000A743B"/>
    <w:rsid w:val="000C4D6F"/>
    <w:rsid w:val="000C6C48"/>
    <w:rsid w:val="000C6FDF"/>
    <w:rsid w:val="000D2297"/>
    <w:rsid w:val="000D298A"/>
    <w:rsid w:val="000E39EB"/>
    <w:rsid w:val="000F2415"/>
    <w:rsid w:val="000F361D"/>
    <w:rsid w:val="000F3DBF"/>
    <w:rsid w:val="000F5186"/>
    <w:rsid w:val="00104818"/>
    <w:rsid w:val="00107250"/>
    <w:rsid w:val="00115642"/>
    <w:rsid w:val="00117C1A"/>
    <w:rsid w:val="0012374D"/>
    <w:rsid w:val="001273A5"/>
    <w:rsid w:val="00130C2C"/>
    <w:rsid w:val="00131CCD"/>
    <w:rsid w:val="00135F14"/>
    <w:rsid w:val="00136E1A"/>
    <w:rsid w:val="00142718"/>
    <w:rsid w:val="001514F6"/>
    <w:rsid w:val="001603D9"/>
    <w:rsid w:val="00170F2D"/>
    <w:rsid w:val="00171077"/>
    <w:rsid w:val="00172FB2"/>
    <w:rsid w:val="00175BD8"/>
    <w:rsid w:val="00184837"/>
    <w:rsid w:val="00184B74"/>
    <w:rsid w:val="00190377"/>
    <w:rsid w:val="001924CA"/>
    <w:rsid w:val="00196FF0"/>
    <w:rsid w:val="00197C54"/>
    <w:rsid w:val="001A0361"/>
    <w:rsid w:val="001A2B1A"/>
    <w:rsid w:val="001A3E80"/>
    <w:rsid w:val="001A7684"/>
    <w:rsid w:val="001B0215"/>
    <w:rsid w:val="001B139D"/>
    <w:rsid w:val="001B6EE3"/>
    <w:rsid w:val="001C56FA"/>
    <w:rsid w:val="001D1698"/>
    <w:rsid w:val="001D3B49"/>
    <w:rsid w:val="001D3CD1"/>
    <w:rsid w:val="001E3D3C"/>
    <w:rsid w:val="001E7928"/>
    <w:rsid w:val="001F1A8B"/>
    <w:rsid w:val="002006B5"/>
    <w:rsid w:val="00200CEA"/>
    <w:rsid w:val="00206A8A"/>
    <w:rsid w:val="002155E9"/>
    <w:rsid w:val="002263EB"/>
    <w:rsid w:val="00227488"/>
    <w:rsid w:val="00230EFF"/>
    <w:rsid w:val="00231B3B"/>
    <w:rsid w:val="00246E68"/>
    <w:rsid w:val="00251F2F"/>
    <w:rsid w:val="00256092"/>
    <w:rsid w:val="00261432"/>
    <w:rsid w:val="0026533D"/>
    <w:rsid w:val="00267AF8"/>
    <w:rsid w:val="00267BC6"/>
    <w:rsid w:val="00271647"/>
    <w:rsid w:val="00273D1A"/>
    <w:rsid w:val="00283E0B"/>
    <w:rsid w:val="002852E1"/>
    <w:rsid w:val="00286641"/>
    <w:rsid w:val="00287CD7"/>
    <w:rsid w:val="00291155"/>
    <w:rsid w:val="002916F5"/>
    <w:rsid w:val="00294855"/>
    <w:rsid w:val="0029572F"/>
    <w:rsid w:val="002A09E7"/>
    <w:rsid w:val="002A17F3"/>
    <w:rsid w:val="002A18C5"/>
    <w:rsid w:val="002B5D32"/>
    <w:rsid w:val="002C5325"/>
    <w:rsid w:val="002C7305"/>
    <w:rsid w:val="002C7C4C"/>
    <w:rsid w:val="002D03F5"/>
    <w:rsid w:val="002D0409"/>
    <w:rsid w:val="002D17C1"/>
    <w:rsid w:val="002D252A"/>
    <w:rsid w:val="002D6D9A"/>
    <w:rsid w:val="002E42FB"/>
    <w:rsid w:val="002E645F"/>
    <w:rsid w:val="002F2DEA"/>
    <w:rsid w:val="002F5D89"/>
    <w:rsid w:val="00300027"/>
    <w:rsid w:val="00304E4C"/>
    <w:rsid w:val="003105CA"/>
    <w:rsid w:val="00311291"/>
    <w:rsid w:val="00316870"/>
    <w:rsid w:val="00330846"/>
    <w:rsid w:val="00334749"/>
    <w:rsid w:val="00335E09"/>
    <w:rsid w:val="0033794F"/>
    <w:rsid w:val="00340AA7"/>
    <w:rsid w:val="00347FDF"/>
    <w:rsid w:val="003518EC"/>
    <w:rsid w:val="0035668D"/>
    <w:rsid w:val="00370BB7"/>
    <w:rsid w:val="0037174E"/>
    <w:rsid w:val="00372E2E"/>
    <w:rsid w:val="00382B0D"/>
    <w:rsid w:val="00383670"/>
    <w:rsid w:val="00396508"/>
    <w:rsid w:val="00396DCF"/>
    <w:rsid w:val="003A026F"/>
    <w:rsid w:val="003A3428"/>
    <w:rsid w:val="003B0CB8"/>
    <w:rsid w:val="003B187C"/>
    <w:rsid w:val="003B3112"/>
    <w:rsid w:val="003B3827"/>
    <w:rsid w:val="003C0189"/>
    <w:rsid w:val="003C0B54"/>
    <w:rsid w:val="003C0C89"/>
    <w:rsid w:val="003C1471"/>
    <w:rsid w:val="003C5037"/>
    <w:rsid w:val="003C579D"/>
    <w:rsid w:val="003C6F05"/>
    <w:rsid w:val="003C70EE"/>
    <w:rsid w:val="003D2384"/>
    <w:rsid w:val="003D69BE"/>
    <w:rsid w:val="003D6F79"/>
    <w:rsid w:val="003E5EB1"/>
    <w:rsid w:val="003E77A7"/>
    <w:rsid w:val="003F37B6"/>
    <w:rsid w:val="003F6796"/>
    <w:rsid w:val="00402693"/>
    <w:rsid w:val="004047A1"/>
    <w:rsid w:val="0040692B"/>
    <w:rsid w:val="00412AC0"/>
    <w:rsid w:val="004134BD"/>
    <w:rsid w:val="0042049A"/>
    <w:rsid w:val="00426280"/>
    <w:rsid w:val="00431C6C"/>
    <w:rsid w:val="004405AD"/>
    <w:rsid w:val="00441D2C"/>
    <w:rsid w:val="004441CB"/>
    <w:rsid w:val="00451B20"/>
    <w:rsid w:val="00463376"/>
    <w:rsid w:val="00467CE2"/>
    <w:rsid w:val="00474B43"/>
    <w:rsid w:val="0048215D"/>
    <w:rsid w:val="00483460"/>
    <w:rsid w:val="0048457B"/>
    <w:rsid w:val="00492DDE"/>
    <w:rsid w:val="00495BD4"/>
    <w:rsid w:val="00496AD0"/>
    <w:rsid w:val="004A4AD2"/>
    <w:rsid w:val="004A7824"/>
    <w:rsid w:val="004B4B29"/>
    <w:rsid w:val="004B6255"/>
    <w:rsid w:val="004C0C6F"/>
    <w:rsid w:val="004C1642"/>
    <w:rsid w:val="004C6F80"/>
    <w:rsid w:val="004C6FA6"/>
    <w:rsid w:val="004D2E6C"/>
    <w:rsid w:val="004D781D"/>
    <w:rsid w:val="004E12FF"/>
    <w:rsid w:val="004E4592"/>
    <w:rsid w:val="004E5D51"/>
    <w:rsid w:val="004F2A37"/>
    <w:rsid w:val="004F3077"/>
    <w:rsid w:val="004F6E86"/>
    <w:rsid w:val="004F6EEE"/>
    <w:rsid w:val="005012C8"/>
    <w:rsid w:val="0051121C"/>
    <w:rsid w:val="0051542D"/>
    <w:rsid w:val="00515F59"/>
    <w:rsid w:val="00520188"/>
    <w:rsid w:val="005243C3"/>
    <w:rsid w:val="00530E40"/>
    <w:rsid w:val="005334CE"/>
    <w:rsid w:val="00543C64"/>
    <w:rsid w:val="00545027"/>
    <w:rsid w:val="00545E6B"/>
    <w:rsid w:val="005529EE"/>
    <w:rsid w:val="00556172"/>
    <w:rsid w:val="00561D40"/>
    <w:rsid w:val="00563CBF"/>
    <w:rsid w:val="00564F68"/>
    <w:rsid w:val="00566D71"/>
    <w:rsid w:val="00567629"/>
    <w:rsid w:val="00572592"/>
    <w:rsid w:val="00584D4D"/>
    <w:rsid w:val="00591CFF"/>
    <w:rsid w:val="00593514"/>
    <w:rsid w:val="005961EF"/>
    <w:rsid w:val="00596530"/>
    <w:rsid w:val="00597408"/>
    <w:rsid w:val="005974E2"/>
    <w:rsid w:val="005A2DB6"/>
    <w:rsid w:val="005A4A62"/>
    <w:rsid w:val="005A7633"/>
    <w:rsid w:val="005B0CCC"/>
    <w:rsid w:val="005B27A8"/>
    <w:rsid w:val="005C7C94"/>
    <w:rsid w:val="005D0822"/>
    <w:rsid w:val="005D0F1D"/>
    <w:rsid w:val="005D204F"/>
    <w:rsid w:val="005E0A1E"/>
    <w:rsid w:val="005E62EC"/>
    <w:rsid w:val="005F1C21"/>
    <w:rsid w:val="005F54EC"/>
    <w:rsid w:val="00600CFF"/>
    <w:rsid w:val="0060349E"/>
    <w:rsid w:val="00611AA5"/>
    <w:rsid w:val="00611CC2"/>
    <w:rsid w:val="00611FF9"/>
    <w:rsid w:val="006146D5"/>
    <w:rsid w:val="00614B09"/>
    <w:rsid w:val="00620850"/>
    <w:rsid w:val="00633A5C"/>
    <w:rsid w:val="00635381"/>
    <w:rsid w:val="00644277"/>
    <w:rsid w:val="00653495"/>
    <w:rsid w:val="00654395"/>
    <w:rsid w:val="00654EE9"/>
    <w:rsid w:val="00655786"/>
    <w:rsid w:val="0065636B"/>
    <w:rsid w:val="00660FA0"/>
    <w:rsid w:val="006754F2"/>
    <w:rsid w:val="00675DD7"/>
    <w:rsid w:val="00684F1B"/>
    <w:rsid w:val="00692DC7"/>
    <w:rsid w:val="00694C3F"/>
    <w:rsid w:val="00696327"/>
    <w:rsid w:val="006A2260"/>
    <w:rsid w:val="006A2AE7"/>
    <w:rsid w:val="006A3AA0"/>
    <w:rsid w:val="006A4236"/>
    <w:rsid w:val="006A7239"/>
    <w:rsid w:val="006B1975"/>
    <w:rsid w:val="006B5046"/>
    <w:rsid w:val="006B6701"/>
    <w:rsid w:val="006B71DC"/>
    <w:rsid w:val="006C3758"/>
    <w:rsid w:val="006C4D38"/>
    <w:rsid w:val="006C7A0D"/>
    <w:rsid w:val="006D25D3"/>
    <w:rsid w:val="006D4CC2"/>
    <w:rsid w:val="006E353A"/>
    <w:rsid w:val="006F1184"/>
    <w:rsid w:val="006F44F4"/>
    <w:rsid w:val="006F48F7"/>
    <w:rsid w:val="00700289"/>
    <w:rsid w:val="00701F23"/>
    <w:rsid w:val="00705B53"/>
    <w:rsid w:val="0071478F"/>
    <w:rsid w:val="00720CDD"/>
    <w:rsid w:val="0072155F"/>
    <w:rsid w:val="0072667A"/>
    <w:rsid w:val="00730D3F"/>
    <w:rsid w:val="0073793F"/>
    <w:rsid w:val="007507D1"/>
    <w:rsid w:val="00751870"/>
    <w:rsid w:val="0075269B"/>
    <w:rsid w:val="00753196"/>
    <w:rsid w:val="00760275"/>
    <w:rsid w:val="0076168B"/>
    <w:rsid w:val="00761A7B"/>
    <w:rsid w:val="00762B43"/>
    <w:rsid w:val="00764732"/>
    <w:rsid w:val="00764DF4"/>
    <w:rsid w:val="007667F3"/>
    <w:rsid w:val="00766B4E"/>
    <w:rsid w:val="007734CA"/>
    <w:rsid w:val="00780998"/>
    <w:rsid w:val="00783B49"/>
    <w:rsid w:val="00783B91"/>
    <w:rsid w:val="00786534"/>
    <w:rsid w:val="007A1680"/>
    <w:rsid w:val="007A2D2D"/>
    <w:rsid w:val="007B0380"/>
    <w:rsid w:val="007B5227"/>
    <w:rsid w:val="007B5580"/>
    <w:rsid w:val="007B5D11"/>
    <w:rsid w:val="007B7F99"/>
    <w:rsid w:val="007C37F4"/>
    <w:rsid w:val="007D0930"/>
    <w:rsid w:val="007D73CA"/>
    <w:rsid w:val="007E26A5"/>
    <w:rsid w:val="007E2F16"/>
    <w:rsid w:val="007E35DC"/>
    <w:rsid w:val="007E45D3"/>
    <w:rsid w:val="007F6993"/>
    <w:rsid w:val="00811FFA"/>
    <w:rsid w:val="00813A57"/>
    <w:rsid w:val="00820F2A"/>
    <w:rsid w:val="008233C7"/>
    <w:rsid w:val="008278B4"/>
    <w:rsid w:val="008317CE"/>
    <w:rsid w:val="008343CB"/>
    <w:rsid w:val="0083573B"/>
    <w:rsid w:val="00837BBB"/>
    <w:rsid w:val="008418C7"/>
    <w:rsid w:val="00841CB2"/>
    <w:rsid w:val="008421E4"/>
    <w:rsid w:val="00843A4F"/>
    <w:rsid w:val="00845E8F"/>
    <w:rsid w:val="008505E8"/>
    <w:rsid w:val="00852C76"/>
    <w:rsid w:val="00852F54"/>
    <w:rsid w:val="008535CC"/>
    <w:rsid w:val="0085605A"/>
    <w:rsid w:val="00861D9E"/>
    <w:rsid w:val="00863A59"/>
    <w:rsid w:val="00867FE5"/>
    <w:rsid w:val="008706FC"/>
    <w:rsid w:val="00871022"/>
    <w:rsid w:val="008835FD"/>
    <w:rsid w:val="0089326D"/>
    <w:rsid w:val="008A2A1F"/>
    <w:rsid w:val="008B077A"/>
    <w:rsid w:val="008B10FB"/>
    <w:rsid w:val="008B1E47"/>
    <w:rsid w:val="008B79C3"/>
    <w:rsid w:val="008B7E2B"/>
    <w:rsid w:val="008C6733"/>
    <w:rsid w:val="008D4659"/>
    <w:rsid w:val="008E1694"/>
    <w:rsid w:val="008E6188"/>
    <w:rsid w:val="008F5705"/>
    <w:rsid w:val="008F6FCE"/>
    <w:rsid w:val="009019C4"/>
    <w:rsid w:val="009065DD"/>
    <w:rsid w:val="009114AB"/>
    <w:rsid w:val="00912DF3"/>
    <w:rsid w:val="009156DA"/>
    <w:rsid w:val="0091637C"/>
    <w:rsid w:val="0092123A"/>
    <w:rsid w:val="00925722"/>
    <w:rsid w:val="00925B60"/>
    <w:rsid w:val="0093090E"/>
    <w:rsid w:val="00934872"/>
    <w:rsid w:val="0095553B"/>
    <w:rsid w:val="00957804"/>
    <w:rsid w:val="0096043A"/>
    <w:rsid w:val="009611F2"/>
    <w:rsid w:val="00972E7B"/>
    <w:rsid w:val="00982F8C"/>
    <w:rsid w:val="0099173A"/>
    <w:rsid w:val="0099237C"/>
    <w:rsid w:val="00993D79"/>
    <w:rsid w:val="009B2B20"/>
    <w:rsid w:val="009B756B"/>
    <w:rsid w:val="009C0546"/>
    <w:rsid w:val="009C1541"/>
    <w:rsid w:val="009C2EAE"/>
    <w:rsid w:val="009D206C"/>
    <w:rsid w:val="009D5592"/>
    <w:rsid w:val="009D6229"/>
    <w:rsid w:val="009E6832"/>
    <w:rsid w:val="009F1D6E"/>
    <w:rsid w:val="009F312B"/>
    <w:rsid w:val="009F6602"/>
    <w:rsid w:val="00A00B63"/>
    <w:rsid w:val="00A017DC"/>
    <w:rsid w:val="00A03A95"/>
    <w:rsid w:val="00A049FC"/>
    <w:rsid w:val="00A10439"/>
    <w:rsid w:val="00A225E5"/>
    <w:rsid w:val="00A25B9F"/>
    <w:rsid w:val="00A2691B"/>
    <w:rsid w:val="00A3041F"/>
    <w:rsid w:val="00A3662F"/>
    <w:rsid w:val="00A4770C"/>
    <w:rsid w:val="00A503D8"/>
    <w:rsid w:val="00A54564"/>
    <w:rsid w:val="00A56DB2"/>
    <w:rsid w:val="00A57C36"/>
    <w:rsid w:val="00A6527F"/>
    <w:rsid w:val="00A65D17"/>
    <w:rsid w:val="00A72B20"/>
    <w:rsid w:val="00A72F3C"/>
    <w:rsid w:val="00A75D34"/>
    <w:rsid w:val="00A76CCB"/>
    <w:rsid w:val="00A8024C"/>
    <w:rsid w:val="00A81B50"/>
    <w:rsid w:val="00A836DA"/>
    <w:rsid w:val="00A9245C"/>
    <w:rsid w:val="00A92D8A"/>
    <w:rsid w:val="00A96725"/>
    <w:rsid w:val="00AA19F2"/>
    <w:rsid w:val="00AB77CB"/>
    <w:rsid w:val="00AC2999"/>
    <w:rsid w:val="00AC6398"/>
    <w:rsid w:val="00AD44DB"/>
    <w:rsid w:val="00AD68C5"/>
    <w:rsid w:val="00AF535F"/>
    <w:rsid w:val="00B11B7F"/>
    <w:rsid w:val="00B15918"/>
    <w:rsid w:val="00B20956"/>
    <w:rsid w:val="00B24F40"/>
    <w:rsid w:val="00B251F7"/>
    <w:rsid w:val="00B25E44"/>
    <w:rsid w:val="00B26837"/>
    <w:rsid w:val="00B3073E"/>
    <w:rsid w:val="00B30C53"/>
    <w:rsid w:val="00B35052"/>
    <w:rsid w:val="00B35B1D"/>
    <w:rsid w:val="00B40E61"/>
    <w:rsid w:val="00B62898"/>
    <w:rsid w:val="00B71AF3"/>
    <w:rsid w:val="00B766EC"/>
    <w:rsid w:val="00B829BF"/>
    <w:rsid w:val="00B91AEF"/>
    <w:rsid w:val="00B9249F"/>
    <w:rsid w:val="00BA1134"/>
    <w:rsid w:val="00BA3544"/>
    <w:rsid w:val="00BB03D2"/>
    <w:rsid w:val="00BB4253"/>
    <w:rsid w:val="00BC04EC"/>
    <w:rsid w:val="00BC1501"/>
    <w:rsid w:val="00BC18F0"/>
    <w:rsid w:val="00BC6F83"/>
    <w:rsid w:val="00BC71BC"/>
    <w:rsid w:val="00BC763E"/>
    <w:rsid w:val="00BD24E2"/>
    <w:rsid w:val="00BD28A5"/>
    <w:rsid w:val="00BD7A8F"/>
    <w:rsid w:val="00BE0067"/>
    <w:rsid w:val="00BE3DA0"/>
    <w:rsid w:val="00BF2B67"/>
    <w:rsid w:val="00BF7F91"/>
    <w:rsid w:val="00C1006E"/>
    <w:rsid w:val="00C16C2D"/>
    <w:rsid w:val="00C226B1"/>
    <w:rsid w:val="00C249EE"/>
    <w:rsid w:val="00C25884"/>
    <w:rsid w:val="00C263C8"/>
    <w:rsid w:val="00C30007"/>
    <w:rsid w:val="00C32DF8"/>
    <w:rsid w:val="00C4213C"/>
    <w:rsid w:val="00C43AF2"/>
    <w:rsid w:val="00C4433F"/>
    <w:rsid w:val="00C44E53"/>
    <w:rsid w:val="00C45334"/>
    <w:rsid w:val="00C477D8"/>
    <w:rsid w:val="00C5725B"/>
    <w:rsid w:val="00C57826"/>
    <w:rsid w:val="00C64104"/>
    <w:rsid w:val="00C73C85"/>
    <w:rsid w:val="00C73DCE"/>
    <w:rsid w:val="00C7438E"/>
    <w:rsid w:val="00C77207"/>
    <w:rsid w:val="00C853EA"/>
    <w:rsid w:val="00C86FFD"/>
    <w:rsid w:val="00C9016D"/>
    <w:rsid w:val="00C938C7"/>
    <w:rsid w:val="00C948A7"/>
    <w:rsid w:val="00CA30B6"/>
    <w:rsid w:val="00CA7A36"/>
    <w:rsid w:val="00CB4BAC"/>
    <w:rsid w:val="00CC23ED"/>
    <w:rsid w:val="00CC654E"/>
    <w:rsid w:val="00CC6CEB"/>
    <w:rsid w:val="00CC6F60"/>
    <w:rsid w:val="00CD0CED"/>
    <w:rsid w:val="00CF0F2C"/>
    <w:rsid w:val="00CF1324"/>
    <w:rsid w:val="00CF3E49"/>
    <w:rsid w:val="00CF5E4E"/>
    <w:rsid w:val="00CF5EFC"/>
    <w:rsid w:val="00CF6104"/>
    <w:rsid w:val="00CF6611"/>
    <w:rsid w:val="00CF750D"/>
    <w:rsid w:val="00D079F7"/>
    <w:rsid w:val="00D10B58"/>
    <w:rsid w:val="00D12158"/>
    <w:rsid w:val="00D133A4"/>
    <w:rsid w:val="00D43584"/>
    <w:rsid w:val="00D4361E"/>
    <w:rsid w:val="00D55051"/>
    <w:rsid w:val="00D56785"/>
    <w:rsid w:val="00D567C1"/>
    <w:rsid w:val="00D652C0"/>
    <w:rsid w:val="00D70E4D"/>
    <w:rsid w:val="00D71C8E"/>
    <w:rsid w:val="00D72655"/>
    <w:rsid w:val="00D74F74"/>
    <w:rsid w:val="00D93666"/>
    <w:rsid w:val="00D95CDF"/>
    <w:rsid w:val="00DA03D0"/>
    <w:rsid w:val="00DA17D3"/>
    <w:rsid w:val="00DA3FF0"/>
    <w:rsid w:val="00DA4AFB"/>
    <w:rsid w:val="00DB4228"/>
    <w:rsid w:val="00DB76C6"/>
    <w:rsid w:val="00DC7750"/>
    <w:rsid w:val="00DD1AE9"/>
    <w:rsid w:val="00DD3D0A"/>
    <w:rsid w:val="00DE0D3C"/>
    <w:rsid w:val="00E02BC5"/>
    <w:rsid w:val="00E05C9A"/>
    <w:rsid w:val="00E07F36"/>
    <w:rsid w:val="00E1512B"/>
    <w:rsid w:val="00E164DD"/>
    <w:rsid w:val="00E21B36"/>
    <w:rsid w:val="00E271C9"/>
    <w:rsid w:val="00E35C34"/>
    <w:rsid w:val="00E43737"/>
    <w:rsid w:val="00E518ED"/>
    <w:rsid w:val="00E54D40"/>
    <w:rsid w:val="00E55645"/>
    <w:rsid w:val="00E561B1"/>
    <w:rsid w:val="00E57EFE"/>
    <w:rsid w:val="00E64249"/>
    <w:rsid w:val="00E66EEA"/>
    <w:rsid w:val="00E71CC7"/>
    <w:rsid w:val="00E76EE8"/>
    <w:rsid w:val="00E85A4E"/>
    <w:rsid w:val="00E86B44"/>
    <w:rsid w:val="00EA22C9"/>
    <w:rsid w:val="00EA282E"/>
    <w:rsid w:val="00EB5F18"/>
    <w:rsid w:val="00EC1BC1"/>
    <w:rsid w:val="00EC6A59"/>
    <w:rsid w:val="00ED09B4"/>
    <w:rsid w:val="00ED473F"/>
    <w:rsid w:val="00ED5017"/>
    <w:rsid w:val="00EE5809"/>
    <w:rsid w:val="00EE741F"/>
    <w:rsid w:val="00EF0641"/>
    <w:rsid w:val="00EF598E"/>
    <w:rsid w:val="00F05723"/>
    <w:rsid w:val="00F15C18"/>
    <w:rsid w:val="00F17471"/>
    <w:rsid w:val="00F20E77"/>
    <w:rsid w:val="00F25093"/>
    <w:rsid w:val="00F31971"/>
    <w:rsid w:val="00F31C12"/>
    <w:rsid w:val="00F36675"/>
    <w:rsid w:val="00F463A0"/>
    <w:rsid w:val="00F5021F"/>
    <w:rsid w:val="00F53587"/>
    <w:rsid w:val="00F54BD1"/>
    <w:rsid w:val="00F55AFE"/>
    <w:rsid w:val="00F56DA1"/>
    <w:rsid w:val="00F57EAC"/>
    <w:rsid w:val="00F62D93"/>
    <w:rsid w:val="00F64C6A"/>
    <w:rsid w:val="00F65967"/>
    <w:rsid w:val="00F65B81"/>
    <w:rsid w:val="00F729BF"/>
    <w:rsid w:val="00F73F25"/>
    <w:rsid w:val="00F75A33"/>
    <w:rsid w:val="00F7621C"/>
    <w:rsid w:val="00F8074C"/>
    <w:rsid w:val="00F82776"/>
    <w:rsid w:val="00F86926"/>
    <w:rsid w:val="00F92148"/>
    <w:rsid w:val="00FA0528"/>
    <w:rsid w:val="00FA069A"/>
    <w:rsid w:val="00FA30A3"/>
    <w:rsid w:val="00FB3352"/>
    <w:rsid w:val="00FB6942"/>
    <w:rsid w:val="00FD0346"/>
    <w:rsid w:val="00FD3FA5"/>
    <w:rsid w:val="00FE0DE3"/>
    <w:rsid w:val="00FE5899"/>
    <w:rsid w:val="00FE5CB2"/>
    <w:rsid w:val="00FF4AF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5427"/>
  <w15:chartTrackingRefBased/>
  <w15:docId w15:val="{5F2BA7B0-BDFD-49C3-99CC-C0A899A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20C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20CDD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2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20CD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D">
    <w:name w:val="LID"/>
    <w:basedOn w:val="Normalny"/>
    <w:link w:val="LIDZnak"/>
    <w:qFormat/>
    <w:rsid w:val="00720CDD"/>
    <w:rPr>
      <w:b/>
      <w:noProof/>
      <w:szCs w:val="19"/>
      <w:lang w:eastAsia="pl-PL"/>
    </w:rPr>
  </w:style>
  <w:style w:type="character" w:styleId="Hipercze">
    <w:name w:val="Hyperlink"/>
    <w:semiHidden/>
    <w:rsid w:val="00720CD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D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DD"/>
    <w:rPr>
      <w:rFonts w:ascii="Fira Sans" w:hAnsi="Fira Sans"/>
      <w:sz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D"/>
    <w:rPr>
      <w:vertAlign w:val="superscript"/>
    </w:rPr>
  </w:style>
  <w:style w:type="paragraph" w:customStyle="1" w:styleId="tekstzboku">
    <w:name w:val="tekst z boku"/>
    <w:basedOn w:val="Normalny"/>
    <w:qFormat/>
    <w:rsid w:val="00720CD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20CDD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720CD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20CD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0CD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0CD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0CD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20CDD"/>
    <w:pPr>
      <w:spacing w:before="360"/>
    </w:pPr>
  </w:style>
  <w:style w:type="character" w:customStyle="1" w:styleId="OpiswskanikaZnak">
    <w:name w:val="Opis wskaźnika Znak"/>
    <w:basedOn w:val="Domylnaczcionkaakapitu"/>
    <w:link w:val="Opiswskanika"/>
    <w:rsid w:val="00720CD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20CD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20CDD"/>
    <w:rPr>
      <w:rFonts w:ascii="Fira Sans SemiBold" w:hAnsi="Fira Sans SemiBold"/>
      <w:color w:val="001D77"/>
      <w:sz w:val="20"/>
      <w:szCs w:val="20"/>
    </w:rPr>
  </w:style>
  <w:style w:type="table" w:customStyle="1" w:styleId="Firasans">
    <w:name w:val="Fira sans"/>
    <w:basedOn w:val="Standardowy"/>
    <w:uiPriority w:val="99"/>
    <w:rsid w:val="00720CDD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7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B5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B54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B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5809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73F2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A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6B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6B1"/>
    <w:rPr>
      <w:rFonts w:ascii="Fira Sans" w:hAnsi="Fira Sans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011,pojecie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dg.gov.pl/" TargetMode="External"/><Relationship Id="rId2" Type="http://schemas.openxmlformats.org/officeDocument/2006/relationships/styles" Target="styles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Klasyfikacje/" TargetMode="External"/><Relationship Id="rId24" Type="http://schemas.openxmlformats.org/officeDocument/2006/relationships/hyperlink" Target="http://stat.gov.pl/obszary-tematyczne/rynek-prac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popyt-na-prace/wplyw-epidemii-covid-19-na-wybrane-elementy-rynku-pracy-w-polsce-w-trzecim-kwartale-2022-roku,4,11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3012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7254-40C3-4183-A0B5-9D41BF72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5384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Popyt na pracę w pierwszym kwartale 2024 r.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2023-11-16T13:25:00Z</cp:lastPrinted>
  <dcterms:created xsi:type="dcterms:W3CDTF">2024-05-28T11:32:00Z</dcterms:created>
  <dcterms:modified xsi:type="dcterms:W3CDTF">2024-05-28T11:32:00Z</dcterms:modified>
</cp:coreProperties>
</file>