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56AD8" w14:textId="77777777" w:rsidR="00A00D1C" w:rsidRDefault="009C0FB5" w:rsidP="00A00D1C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</w:rPr>
      </w:pPr>
      <w:r w:rsidRPr="009C0FB5">
        <w:rPr>
          <w:rFonts w:ascii="Fira Sans Extra Condensed SemiB" w:hAnsi="Fira Sans Extra Condensed SemiB"/>
          <w:color w:val="000000" w:themeColor="text1"/>
          <w:sz w:val="40"/>
          <w:szCs w:val="26"/>
        </w:rPr>
        <w:t xml:space="preserve">Koniunktura </w:t>
      </w:r>
      <w:r w:rsidR="00A00D1C">
        <w:rPr>
          <w:rFonts w:ascii="Fira Sans Extra Condensed SemiB" w:hAnsi="Fira Sans Extra Condensed SemiB"/>
          <w:color w:val="000000" w:themeColor="text1"/>
          <w:sz w:val="40"/>
          <w:szCs w:val="26"/>
        </w:rPr>
        <w:t xml:space="preserve">w gospodarstwach rolnych </w:t>
      </w:r>
    </w:p>
    <w:p w14:paraId="1740D463" w14:textId="059B6AAD" w:rsidR="000F4581" w:rsidRDefault="0032208A" w:rsidP="00A00D1C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</w:rPr>
      </w:pPr>
      <w:r>
        <w:rPr>
          <w:rFonts w:ascii="Fira Sans Extra Condensed SemiB" w:hAnsi="Fira Sans Extra Condensed SemiB"/>
          <w:color w:val="000000" w:themeColor="text1"/>
          <w:sz w:val="40"/>
          <w:szCs w:val="26"/>
        </w:rPr>
        <w:t>w I półroczu 202</w:t>
      </w:r>
      <w:r w:rsidR="00130C99">
        <w:rPr>
          <w:rFonts w:ascii="Fira Sans Extra Condensed SemiB" w:hAnsi="Fira Sans Extra Condensed SemiB"/>
          <w:color w:val="000000" w:themeColor="text1"/>
          <w:sz w:val="40"/>
          <w:szCs w:val="26"/>
        </w:rPr>
        <w:t>4</w:t>
      </w:r>
      <w:r w:rsidR="00A00D1C">
        <w:rPr>
          <w:rFonts w:ascii="Fira Sans Extra Condensed SemiB" w:hAnsi="Fira Sans Extra Condensed SemiB"/>
          <w:color w:val="000000" w:themeColor="text1"/>
          <w:sz w:val="40"/>
          <w:szCs w:val="26"/>
        </w:rPr>
        <w:t xml:space="preserve"> r.</w:t>
      </w:r>
    </w:p>
    <w:p w14:paraId="2D208D5E" w14:textId="77777777" w:rsidR="000C2B9D" w:rsidRPr="0014307A" w:rsidRDefault="000C2B9D" w:rsidP="00A00D1C">
      <w:pPr>
        <w:spacing w:after="0" w:line="240" w:lineRule="auto"/>
        <w:rPr>
          <w:rFonts w:ascii="Fira Sans Extra Condensed SemiB" w:hAnsi="Fira Sans Extra Condensed SemiB"/>
          <w:sz w:val="32"/>
          <w:szCs w:val="24"/>
        </w:rPr>
      </w:pPr>
    </w:p>
    <w:p w14:paraId="7834A87D" w14:textId="2C8CBEA8" w:rsidR="00222797" w:rsidRDefault="000A5463" w:rsidP="00222797">
      <w:pPr>
        <w:spacing w:before="120" w:after="240"/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</w:pPr>
      <w:r w:rsidRPr="006E03D7">
        <w:rPr>
          <w:rFonts w:ascii="Fira Sans" w:hAnsi="Fira Sans"/>
          <w:b/>
          <w:noProof/>
          <w:color w:val="000000" w:themeColor="text1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2947456" behindDoc="0" locked="0" layoutInCell="1" allowOverlap="1" wp14:anchorId="01F5012B" wp14:editId="39DDF025">
                <wp:simplePos x="0" y="0"/>
                <wp:positionH relativeFrom="margin">
                  <wp:posOffset>-152400</wp:posOffset>
                </wp:positionH>
                <wp:positionV relativeFrom="paragraph">
                  <wp:posOffset>87630</wp:posOffset>
                </wp:positionV>
                <wp:extent cx="2204085" cy="1552575"/>
                <wp:effectExtent l="0" t="0" r="5715" b="9525"/>
                <wp:wrapSquare wrapText="bothSides"/>
                <wp:docPr id="6" name="Pole tekstowe 2" descr="43,6&#10;Odsetek gospodarstw rolnych, w których ogólna sytuacja pogorszyła się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552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5F589" w14:textId="23D654C3" w:rsidR="00F02FC9" w:rsidRPr="00097D87" w:rsidRDefault="00E14EFF" w:rsidP="008A264B">
                            <w:pPr>
                              <w:autoSpaceDE w:val="0"/>
                              <w:autoSpaceDN w:val="0"/>
                              <w:adjustRightInd w:val="0"/>
                              <w:spacing w:before="360" w:after="100" w:afterAutospacing="1" w:line="240" w:lineRule="auto"/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60"/>
                              </w:rPr>
                              <w:t xml:space="preserve"> </w:t>
                            </w:r>
                            <w:r w:rsidRPr="006B6060">
                              <w:rPr>
                                <w:rFonts w:ascii="Fira Sans SemiBold" w:eastAsiaTheme="minorEastAsia" w:hAnsi="Fira Sans SemiBold" w:cs="Fira Sans SemiBold"/>
                                <w:color w:val="FFFFFF"/>
                                <w:sz w:val="48"/>
                                <w:szCs w:val="48"/>
                                <w:lang w:eastAsia="pl-PL"/>
                              </w:rPr>
                              <w:t>-35,</w:t>
                            </w:r>
                            <w:r w:rsidR="00124C9D" w:rsidRPr="006B6060">
                              <w:rPr>
                                <w:rFonts w:ascii="Fira Sans SemiBold" w:eastAsiaTheme="minorEastAsia" w:hAnsi="Fira Sans SemiBold" w:cs="Fira Sans SemiBold"/>
                                <w:color w:val="FFFFFF"/>
                                <w:sz w:val="48"/>
                                <w:szCs w:val="48"/>
                                <w:lang w:eastAsia="pl-PL"/>
                              </w:rPr>
                              <w:t>5</w:t>
                            </w:r>
                          </w:p>
                          <w:p w14:paraId="6B47A285" w14:textId="21662B7D" w:rsidR="00E14EFF" w:rsidRPr="007D605C" w:rsidRDefault="00E14EFF" w:rsidP="00097D87">
                            <w:pPr>
                              <w:suppressAutoHyphens/>
                              <w:spacing w:before="100" w:beforeAutospacing="1" w:after="100" w:afterAutospacing="1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Wskaźnik zmiany sytuacji ogólnej gospodarstw roln</w:t>
                            </w:r>
                            <w:r w:rsidR="00495F83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5012B" id="Pole tekstowe 2" o:spid="_x0000_s1026" alt="43,6&#10;Odsetek gospodarstw rolnych, w których ogólna sytuacja pogorszyła się." style="position:absolute;margin-left:-12pt;margin-top:6.9pt;width:173.55pt;height:122.25pt;z-index:25294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" fillcolor="#001d77" stroked="f">
                <v:stroke joinstyle="miter"/>
                <v:textbox>
                  <w:txbxContent>
                    <w:p w14:paraId="78F5F589" w14:textId="23D654C3" w:rsidR="00F02FC9" w:rsidRPr="00097D87" w:rsidRDefault="00E14EFF" w:rsidP="008A264B">
                      <w:pPr>
                        <w:autoSpaceDE w:val="0"/>
                        <w:autoSpaceDN w:val="0"/>
                        <w:adjustRightInd w:val="0"/>
                        <w:spacing w:before="360" w:after="100" w:afterAutospacing="1" w:line="240" w:lineRule="auto"/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60"/>
                        </w:rPr>
                        <w:t xml:space="preserve"> </w:t>
                      </w:r>
                      <w:r w:rsidRPr="006B6060">
                        <w:rPr>
                          <w:rFonts w:ascii="Fira Sans SemiBold" w:eastAsiaTheme="minorEastAsia" w:hAnsi="Fira Sans SemiBold" w:cs="Fira Sans SemiBold"/>
                          <w:color w:val="FFFFFF"/>
                          <w:sz w:val="48"/>
                          <w:szCs w:val="48"/>
                          <w:lang w:eastAsia="pl-PL"/>
                        </w:rPr>
                        <w:t>-35,</w:t>
                      </w:r>
                      <w:r w:rsidR="00124C9D" w:rsidRPr="006B6060">
                        <w:rPr>
                          <w:rFonts w:ascii="Fira Sans SemiBold" w:eastAsiaTheme="minorEastAsia" w:hAnsi="Fira Sans SemiBold" w:cs="Fira Sans SemiBold"/>
                          <w:color w:val="FFFFFF"/>
                          <w:sz w:val="48"/>
                          <w:szCs w:val="48"/>
                          <w:lang w:eastAsia="pl-PL"/>
                        </w:rPr>
                        <w:t>5</w:t>
                      </w:r>
                    </w:p>
                    <w:p w14:paraId="6B47A285" w14:textId="21662B7D" w:rsidR="00E14EFF" w:rsidRPr="007D605C" w:rsidRDefault="00E14EFF" w:rsidP="00097D87">
                      <w:pPr>
                        <w:suppressAutoHyphens/>
                        <w:spacing w:before="100" w:beforeAutospacing="1" w:after="100" w:afterAutospacing="1" w:line="240" w:lineRule="auto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Wskaźnik zmiany sytuacji ogólnej gospodarstw roln</w:t>
                      </w:r>
                      <w:r w:rsidR="00495F83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22797" w:rsidRPr="00222797">
        <w:rPr>
          <w:rFonts w:ascii="Fira Sans" w:hAnsi="Fira Sans"/>
          <w:b/>
          <w:noProof/>
          <w:color w:val="000000" w:themeColor="text1"/>
          <w:sz w:val="19"/>
          <w:szCs w:val="19"/>
          <w:lang w:eastAsia="pl-PL"/>
        </w:rPr>
        <w:t>Bieżącą (czerwiec 2024 r.) sytuację ogólną gospodarstw rolnych kierujący ocenili podobnie jak w</w:t>
      </w:r>
      <w:r w:rsidR="00222797">
        <w:rPr>
          <w:rFonts w:ascii="Fira Sans" w:hAnsi="Fira Sans"/>
          <w:b/>
          <w:noProof/>
          <w:color w:val="000000" w:themeColor="text1"/>
          <w:sz w:val="19"/>
          <w:szCs w:val="19"/>
          <w:lang w:eastAsia="pl-PL"/>
        </w:rPr>
        <w:t> </w:t>
      </w:r>
      <w:r w:rsidR="00222797" w:rsidRPr="00222797">
        <w:rPr>
          <w:rFonts w:ascii="Fira Sans" w:hAnsi="Fira Sans"/>
          <w:b/>
          <w:noProof/>
          <w:color w:val="000000" w:themeColor="text1"/>
          <w:sz w:val="19"/>
          <w:szCs w:val="19"/>
          <w:lang w:eastAsia="pl-PL"/>
        </w:rPr>
        <w:t>grudniu 2023 r</w:t>
      </w:r>
      <w:r w:rsidR="00222797">
        <w:rPr>
          <w:rFonts w:ascii="Fira Sans" w:hAnsi="Fira Sans"/>
          <w:b/>
          <w:noProof/>
          <w:color w:val="000000" w:themeColor="text1"/>
          <w:sz w:val="19"/>
          <w:szCs w:val="19"/>
          <w:lang w:eastAsia="pl-PL"/>
        </w:rPr>
        <w:t xml:space="preserve">. </w:t>
      </w:r>
      <w:r w:rsidR="00222797" w:rsidRPr="0022279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Prognozy</w:t>
      </w:r>
      <w:r w:rsidR="00C942D0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 rolników</w:t>
      </w:r>
      <w:r w:rsidR="00222797" w:rsidRPr="0022279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 </w:t>
      </w:r>
      <w:r w:rsidR="006F7753" w:rsidRPr="00117F9F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dotyczące sytuacji ich gospodarstw rolnych w II</w:t>
      </w:r>
      <w:r w:rsidR="00222797" w:rsidRPr="0022279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 półrocz</w:t>
      </w:r>
      <w:r w:rsidR="00C248C1" w:rsidRPr="00117F9F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u</w:t>
      </w:r>
      <w:r w:rsidR="00222797" w:rsidRPr="0022279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 </w:t>
      </w:r>
      <w:r w:rsidR="00664714" w:rsidRPr="00117F9F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b</w:t>
      </w:r>
      <w:r w:rsidR="00222797" w:rsidRPr="0022279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r. są bardziej pesymistyczne w porównaniu z prognozami na I półrocze</w:t>
      </w:r>
      <w:r w:rsidR="00117F9F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 </w:t>
      </w:r>
      <w:r w:rsidR="00664714" w:rsidRPr="00117F9F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b</w:t>
      </w:r>
      <w:r w:rsidR="00222797" w:rsidRPr="0022279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r.</w:t>
      </w:r>
      <w:r w:rsidR="0022279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 </w:t>
      </w:r>
      <w:r w:rsidR="00C942D0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Z</w:t>
      </w:r>
      <w:r w:rsidR="006E03D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miany </w:t>
      </w:r>
      <w:r w:rsidR="00EB1219" w:rsidRPr="00EB1219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jakie </w:t>
      </w:r>
      <w:r w:rsidR="007E431E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zaszły </w:t>
      </w:r>
      <w:r w:rsidR="00EB1219" w:rsidRPr="00EB1219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w I półroczu</w:t>
      </w:r>
      <w:r w:rsidR="00117F9F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 </w:t>
      </w:r>
      <w:r w:rsidR="00664714" w:rsidRPr="00117F9F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b</w:t>
      </w:r>
      <w:r w:rsidR="00EB1219" w:rsidRPr="00EB1219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r. </w:t>
      </w:r>
      <w:r w:rsidR="007E431E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oceniono niekorzystnie, ale </w:t>
      </w:r>
      <w:r w:rsidR="00664714" w:rsidRPr="00117F9F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 xml:space="preserve">mniej pesymistycznie </w:t>
      </w:r>
      <w:r w:rsidR="007E431E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niż w </w:t>
      </w:r>
      <w:r w:rsidR="00A917F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II półroczu ub. r</w:t>
      </w:r>
      <w:r w:rsidR="00664714" w:rsidRPr="00117F9F">
        <w:rPr>
          <w:rFonts w:ascii="Fira Sans" w:eastAsia="Times New Roman" w:hAnsi="Fira Sans" w:cs="Calibri"/>
          <w:b/>
          <w:bCs/>
          <w:noProof/>
          <w:sz w:val="19"/>
          <w:szCs w:val="19"/>
          <w:lang w:eastAsia="pl-PL"/>
        </w:rPr>
        <w:t>oku</w:t>
      </w:r>
      <w:r w:rsidR="00A917F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.</w:t>
      </w:r>
      <w:r w:rsidR="001D4C50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 </w:t>
      </w:r>
      <w:r w:rsidR="009342BE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Wartość </w:t>
      </w:r>
      <w:r w:rsidR="00FD6E64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wskaźnika zmiany sytuacji ogólnej gospodarstw roln</w:t>
      </w:r>
      <w:r w:rsidR="00495F83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ych</w:t>
      </w:r>
      <w:r w:rsidR="009342BE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 wskazuje </w:t>
      </w:r>
      <w:r w:rsidR="00664714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 xml:space="preserve">nadal </w:t>
      </w:r>
      <w:r w:rsidR="009342BE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na złą koniunkturę</w:t>
      </w:r>
      <w:r w:rsidR="00222797"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  <w:t>.</w:t>
      </w:r>
    </w:p>
    <w:p w14:paraId="1AD89DB5" w14:textId="32C79F93" w:rsidR="00273F7D" w:rsidRPr="00222797" w:rsidRDefault="00C942D0" w:rsidP="003E402D">
      <w:pPr>
        <w:spacing w:before="360" w:after="240"/>
        <w:rPr>
          <w:rFonts w:ascii="Fira Sans" w:eastAsia="Times New Roman" w:hAnsi="Fira Sans" w:cs="Calibri"/>
          <w:b/>
          <w:bCs/>
          <w:noProof/>
          <w:color w:val="000000" w:themeColor="text1"/>
          <w:sz w:val="19"/>
          <w:szCs w:val="19"/>
          <w:lang w:eastAsia="pl-PL"/>
        </w:rPr>
      </w:pPr>
      <w:r w:rsidRPr="007F35BF">
        <w:rPr>
          <w:noProof/>
          <w:color w:val="000000" w:themeColor="text1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2948480" behindDoc="1" locked="0" layoutInCell="1" allowOverlap="1" wp14:anchorId="738F3FE4" wp14:editId="7986F41C">
                <wp:simplePos x="0" y="0"/>
                <wp:positionH relativeFrom="column">
                  <wp:posOffset>5263515</wp:posOffset>
                </wp:positionH>
                <wp:positionV relativeFrom="paragraph">
                  <wp:posOffset>450622</wp:posOffset>
                </wp:positionV>
                <wp:extent cx="1724025" cy="3046730"/>
                <wp:effectExtent l="0" t="0" r="0" b="1270"/>
                <wp:wrapTight wrapText="bothSides">
                  <wp:wrapPolygon edited="0">
                    <wp:start x="716" y="0"/>
                    <wp:lineTo x="716" y="21474"/>
                    <wp:lineTo x="20765" y="21474"/>
                    <wp:lineTo x="20765" y="0"/>
                    <wp:lineTo x="71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04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11F7" w14:textId="77777777" w:rsidR="00E14EFF" w:rsidRPr="00081471" w:rsidRDefault="00E14EFF" w:rsidP="00AE0502">
                            <w:pPr>
                              <w:pStyle w:val="Tekstkomentarza"/>
                              <w:rPr>
                                <w:rFonts w:ascii="Fira Sans" w:hAnsi="Fira Sans"/>
                                <w:color w:val="002060"/>
                                <w:sz w:val="18"/>
                                <w:szCs w:val="16"/>
                              </w:rPr>
                            </w:pPr>
                            <w:r w:rsidRPr="00081471">
                              <w:rPr>
                                <w:rFonts w:ascii="Fira Sans" w:hAnsi="Fira Sans"/>
                                <w:color w:val="002060"/>
                                <w:sz w:val="18"/>
                                <w:szCs w:val="16"/>
                              </w:rPr>
                              <w:t>Wskaźnik zmiany sytuacji ogólnej gospodarstwa rolnego jest wskaźnikiem złożonym. Obliczany jest jako średnia arytmetyczna sald odpowiedzi na pytania dotyczące zmiany i przewidywanej sytuacji gospodarstwa rolnego. Przyjmuje wartości od -100 do +100, przy czym wartości poniżej zera są oceniane jako negatywne (wskazujące na gorszą koniunkturę), a powyżej zera – jako pozytywne (wskazujące na dobrą koniunkturę). Wskaźnik przyjmujący wartość równą zero oznacza sytuację, gdy koniunktura nie zmienia się.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F3FE4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7" type="#_x0000_t202" style="position:absolute;margin-left:414.45pt;margin-top:35.5pt;width:135.75pt;height:239.9pt;z-index:-2503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" filled="f" stroked="f">
                <v:textbox>
                  <w:txbxContent>
                    <w:p w14:paraId="51A011F7" w14:textId="77777777" w:rsidR="00E14EFF" w:rsidRPr="00081471" w:rsidRDefault="00E14EFF" w:rsidP="00AE0502">
                      <w:pPr>
                        <w:pStyle w:val="Tekstkomentarza"/>
                        <w:rPr>
                          <w:rFonts w:ascii="Fira Sans" w:hAnsi="Fira Sans"/>
                          <w:color w:val="002060"/>
                          <w:sz w:val="18"/>
                          <w:szCs w:val="16"/>
                        </w:rPr>
                      </w:pPr>
                      <w:r w:rsidRPr="00081471">
                        <w:rPr>
                          <w:rFonts w:ascii="Fira Sans" w:hAnsi="Fira Sans"/>
                          <w:color w:val="002060"/>
                          <w:sz w:val="18"/>
                          <w:szCs w:val="16"/>
                        </w:rPr>
                        <w:t>Wskaźnik zmiany sytuacji ogólnej gospodarstwa rolnego jest wskaźnikiem złożonym. Obliczany jest jako średnia arytmetyczna sald odpowiedzi na pytania dotyczące zmiany i przewidywanej sytuacji gospodarstwa rolnego. Przyjmuje wartości od -100 do +100, przy czym wartości poniżej zera są oceniane jako negatywne (wskazujące na gorszą koniunkturę), a powyżej zera – jako pozytywne (wskazujące na dobrą koniunkturę). Wskaźnik przyjmujący wartość równą zero oznacza sytuację, gdy koniunktura nie zmienia się.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22797" w:rsidRPr="00222797">
        <w:rPr>
          <w:rFonts w:ascii="Fira Sans" w:hAnsi="Fira Sans"/>
          <w:color w:val="000000" w:themeColor="text1"/>
          <w:sz w:val="19"/>
          <w:szCs w:val="19"/>
        </w:rPr>
        <w:t>Oceny</w:t>
      </w:r>
      <w:r>
        <w:rPr>
          <w:rFonts w:ascii="Fira Sans" w:hAnsi="Fira Sans"/>
          <w:color w:val="000000" w:themeColor="text1"/>
          <w:sz w:val="19"/>
          <w:szCs w:val="19"/>
        </w:rPr>
        <w:t xml:space="preserve"> dotyczące</w:t>
      </w:r>
      <w:r w:rsidR="00222797" w:rsidRPr="00222797">
        <w:rPr>
          <w:rFonts w:ascii="Fira Sans" w:hAnsi="Fira Sans"/>
          <w:color w:val="000000" w:themeColor="text1"/>
          <w:sz w:val="19"/>
          <w:szCs w:val="19"/>
        </w:rPr>
        <w:t xml:space="preserve"> sytuacji gospodarstw rolnych mogły się różnić w zależności od kilku czynników, takich jak:</w:t>
      </w:r>
      <w:r w:rsidR="00273F7D" w:rsidRPr="006756BC">
        <w:rPr>
          <w:rFonts w:ascii="Fira Sans" w:hAnsi="Fira Sans"/>
          <w:color w:val="000000" w:themeColor="text1"/>
          <w:sz w:val="19"/>
          <w:szCs w:val="19"/>
        </w:rPr>
        <w:t xml:space="preserve"> form</w:t>
      </w:r>
      <w:r w:rsidR="00117F9F">
        <w:rPr>
          <w:rFonts w:ascii="Fira Sans" w:hAnsi="Fira Sans"/>
          <w:color w:val="000000" w:themeColor="text1"/>
          <w:sz w:val="19"/>
          <w:szCs w:val="19"/>
        </w:rPr>
        <w:t>a</w:t>
      </w:r>
      <w:r w:rsidR="00273F7D" w:rsidRPr="006756BC">
        <w:rPr>
          <w:rFonts w:ascii="Fira Sans" w:hAnsi="Fira Sans"/>
          <w:color w:val="000000" w:themeColor="text1"/>
          <w:sz w:val="19"/>
          <w:szCs w:val="19"/>
        </w:rPr>
        <w:t xml:space="preserve"> prawn</w:t>
      </w:r>
      <w:r w:rsidR="00117F9F">
        <w:rPr>
          <w:rFonts w:ascii="Fira Sans" w:hAnsi="Fira Sans"/>
          <w:color w:val="000000" w:themeColor="text1"/>
          <w:sz w:val="19"/>
          <w:szCs w:val="19"/>
        </w:rPr>
        <w:t>a</w:t>
      </w:r>
      <w:r w:rsidR="00273F7D" w:rsidRPr="006756BC">
        <w:rPr>
          <w:rFonts w:ascii="Fira Sans" w:hAnsi="Fira Sans"/>
          <w:color w:val="000000" w:themeColor="text1"/>
          <w:sz w:val="19"/>
          <w:szCs w:val="19"/>
        </w:rPr>
        <w:t xml:space="preserve"> gospodarstwa rolnego, powierzchni</w:t>
      </w:r>
      <w:r w:rsidR="00117F9F">
        <w:rPr>
          <w:rFonts w:ascii="Fira Sans" w:hAnsi="Fira Sans"/>
          <w:color w:val="000000" w:themeColor="text1"/>
          <w:sz w:val="19"/>
          <w:szCs w:val="19"/>
        </w:rPr>
        <w:t>a</w:t>
      </w:r>
      <w:r w:rsidR="00273F7D" w:rsidRPr="006756BC">
        <w:rPr>
          <w:rFonts w:ascii="Fira Sans" w:hAnsi="Fira Sans"/>
          <w:color w:val="000000" w:themeColor="text1"/>
          <w:sz w:val="19"/>
          <w:szCs w:val="19"/>
        </w:rPr>
        <w:t xml:space="preserve"> użytków rolnych, ukierunkowani</w:t>
      </w:r>
      <w:r w:rsidR="00117F9F">
        <w:rPr>
          <w:rFonts w:ascii="Fira Sans" w:hAnsi="Fira Sans"/>
          <w:color w:val="000000" w:themeColor="text1"/>
          <w:sz w:val="19"/>
          <w:szCs w:val="19"/>
        </w:rPr>
        <w:t>e</w:t>
      </w:r>
      <w:r w:rsidR="00273F7D" w:rsidRPr="006756BC">
        <w:rPr>
          <w:rFonts w:ascii="Fira Sans" w:hAnsi="Fira Sans"/>
          <w:color w:val="000000" w:themeColor="text1"/>
          <w:sz w:val="19"/>
          <w:szCs w:val="19"/>
        </w:rPr>
        <w:t xml:space="preserve"> produkcyjne gospodarstw rolny</w:t>
      </w:r>
      <w:r w:rsidR="00C040ED" w:rsidRPr="006756BC">
        <w:rPr>
          <w:rFonts w:ascii="Fira Sans" w:hAnsi="Fira Sans"/>
          <w:color w:val="000000" w:themeColor="text1"/>
          <w:sz w:val="19"/>
          <w:szCs w:val="19"/>
        </w:rPr>
        <w:t>ch, rodzaj prowadzonych upraw i </w:t>
      </w:r>
      <w:r w:rsidR="00273F7D" w:rsidRPr="006756BC">
        <w:rPr>
          <w:rFonts w:ascii="Fira Sans" w:hAnsi="Fira Sans"/>
          <w:color w:val="000000" w:themeColor="text1"/>
          <w:sz w:val="19"/>
          <w:szCs w:val="19"/>
        </w:rPr>
        <w:t>gatunków/grup użytkowych utrzymywanych zwierząt go</w:t>
      </w:r>
      <w:r w:rsidR="00C040ED" w:rsidRPr="006756BC">
        <w:rPr>
          <w:rFonts w:ascii="Fira Sans" w:hAnsi="Fira Sans"/>
          <w:color w:val="000000" w:themeColor="text1"/>
          <w:sz w:val="19"/>
          <w:szCs w:val="19"/>
        </w:rPr>
        <w:t>spodarskich, a także wiek i </w:t>
      </w:r>
      <w:r w:rsidR="00273F7D" w:rsidRPr="006756BC">
        <w:rPr>
          <w:rFonts w:ascii="Fira Sans" w:hAnsi="Fira Sans"/>
          <w:color w:val="000000" w:themeColor="text1"/>
          <w:sz w:val="19"/>
          <w:szCs w:val="19"/>
        </w:rPr>
        <w:t>wykształceni</w:t>
      </w:r>
      <w:r w:rsidR="00117F9F">
        <w:rPr>
          <w:rFonts w:ascii="Fira Sans" w:hAnsi="Fira Sans"/>
          <w:color w:val="000000" w:themeColor="text1"/>
          <w:sz w:val="19"/>
          <w:szCs w:val="19"/>
        </w:rPr>
        <w:t>e</w:t>
      </w:r>
      <w:r w:rsidR="00273F7D" w:rsidRPr="006756BC">
        <w:rPr>
          <w:rFonts w:ascii="Fira Sans" w:hAnsi="Fira Sans"/>
          <w:color w:val="000000" w:themeColor="text1"/>
          <w:sz w:val="19"/>
          <w:szCs w:val="19"/>
        </w:rPr>
        <w:t xml:space="preserve"> osoby kierującej gospodarstwem rolnym.</w:t>
      </w:r>
    </w:p>
    <w:p w14:paraId="0326F69C" w14:textId="3FA2085F" w:rsidR="00273F7D" w:rsidRPr="006756BC" w:rsidRDefault="00273F7D" w:rsidP="00273F7D">
      <w:pPr>
        <w:rPr>
          <w:rFonts w:ascii="Fira Sans" w:hAnsi="Fira Sans"/>
          <w:color w:val="000000" w:themeColor="text1"/>
          <w:sz w:val="19"/>
          <w:szCs w:val="19"/>
        </w:rPr>
      </w:pPr>
      <w:r w:rsidRPr="006756BC">
        <w:rPr>
          <w:rFonts w:ascii="Fira Sans" w:hAnsi="Fira Sans"/>
          <w:color w:val="000000" w:themeColor="text1"/>
          <w:sz w:val="19"/>
          <w:szCs w:val="19"/>
        </w:rPr>
        <w:t>Analiza sald odpowiedzi</w:t>
      </w:r>
      <w:r w:rsidR="007A02A0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7A02A0" w:rsidRPr="00947AED">
        <w:rPr>
          <w:rFonts w:ascii="Fira Sans" w:hAnsi="Fira Sans"/>
          <w:color w:val="000000" w:themeColor="text1"/>
          <w:sz w:val="19"/>
          <w:szCs w:val="19"/>
        </w:rPr>
        <w:t>na pytania dotyczące ogólnej sytuacji</w:t>
      </w:r>
      <w:r w:rsidR="007A02A0">
        <w:rPr>
          <w:rFonts w:ascii="Fira Sans" w:hAnsi="Fira Sans"/>
          <w:color w:val="000000" w:themeColor="text1"/>
          <w:sz w:val="19"/>
          <w:szCs w:val="19"/>
        </w:rPr>
        <w:t xml:space="preserve"> gospodarstw</w:t>
      </w:r>
      <w:r w:rsidR="000C596E">
        <w:rPr>
          <w:rFonts w:ascii="Fira Sans" w:hAnsi="Fira Sans"/>
          <w:color w:val="000000" w:themeColor="text1"/>
          <w:sz w:val="19"/>
          <w:szCs w:val="19"/>
        </w:rPr>
        <w:t xml:space="preserve"> wykazała m. in., </w:t>
      </w:r>
      <w:r w:rsidRPr="006756BC">
        <w:rPr>
          <w:rFonts w:ascii="Fira Sans" w:hAnsi="Fira Sans"/>
          <w:color w:val="000000" w:themeColor="text1"/>
          <w:sz w:val="19"/>
          <w:szCs w:val="19"/>
        </w:rPr>
        <w:t xml:space="preserve">że: </w:t>
      </w:r>
    </w:p>
    <w:p w14:paraId="08CF6796" w14:textId="0E5F9950" w:rsidR="00273F7D" w:rsidRPr="006756BC" w:rsidRDefault="00273F7D" w:rsidP="00273F7D">
      <w:pPr>
        <w:numPr>
          <w:ilvl w:val="0"/>
          <w:numId w:val="3"/>
        </w:numPr>
        <w:rPr>
          <w:rFonts w:ascii="Fira Sans" w:hAnsi="Fira Sans"/>
          <w:color w:val="000000" w:themeColor="text1"/>
          <w:sz w:val="19"/>
          <w:szCs w:val="19"/>
        </w:rPr>
      </w:pPr>
      <w:r w:rsidRPr="006756BC">
        <w:rPr>
          <w:rFonts w:ascii="Fira Sans" w:hAnsi="Fira Sans"/>
          <w:color w:val="000000" w:themeColor="text1"/>
          <w:sz w:val="19"/>
          <w:szCs w:val="19"/>
        </w:rPr>
        <w:t>osoby kierujące gospodarstwami indywidualnymi wyraziły bardziej pesymistyczne opi</w:t>
      </w:r>
      <w:r w:rsidR="006756BC" w:rsidRPr="006756BC">
        <w:rPr>
          <w:rFonts w:ascii="Fira Sans" w:hAnsi="Fira Sans"/>
          <w:color w:val="000000" w:themeColor="text1"/>
          <w:sz w:val="19"/>
          <w:szCs w:val="19"/>
        </w:rPr>
        <w:t xml:space="preserve">nie o </w:t>
      </w:r>
      <w:r w:rsidR="00C617A6" w:rsidRPr="006756BC">
        <w:rPr>
          <w:rFonts w:ascii="Fira Sans" w:hAnsi="Fira Sans"/>
          <w:color w:val="000000" w:themeColor="text1"/>
          <w:sz w:val="19"/>
          <w:szCs w:val="19"/>
        </w:rPr>
        <w:t>sytuacji bieżącej (</w:t>
      </w:r>
      <w:r w:rsidR="00664714" w:rsidRPr="00117F9F">
        <w:rPr>
          <w:rFonts w:ascii="Fira Sans" w:hAnsi="Fira Sans"/>
          <w:sz w:val="19"/>
          <w:szCs w:val="19"/>
        </w:rPr>
        <w:t>w</w:t>
      </w:r>
      <w:r w:rsidR="00664714">
        <w:rPr>
          <w:rFonts w:ascii="Fira Sans" w:hAnsi="Fira Sans"/>
          <w:color w:val="FF0000"/>
          <w:sz w:val="19"/>
          <w:szCs w:val="19"/>
        </w:rPr>
        <w:t xml:space="preserve"> </w:t>
      </w:r>
      <w:r w:rsidR="00C617A6" w:rsidRPr="006756BC">
        <w:rPr>
          <w:rFonts w:ascii="Fira Sans" w:hAnsi="Fira Sans"/>
          <w:color w:val="000000" w:themeColor="text1"/>
          <w:sz w:val="19"/>
          <w:szCs w:val="19"/>
        </w:rPr>
        <w:t>czerw</w:t>
      </w:r>
      <w:r w:rsidR="00664714" w:rsidRPr="00117F9F">
        <w:rPr>
          <w:rFonts w:ascii="Fira Sans" w:hAnsi="Fira Sans"/>
          <w:sz w:val="19"/>
          <w:szCs w:val="19"/>
        </w:rPr>
        <w:t>cu</w:t>
      </w:r>
      <w:r w:rsidR="00117F9F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664714" w:rsidRPr="00117F9F">
        <w:rPr>
          <w:rFonts w:ascii="Fira Sans" w:hAnsi="Fira Sans"/>
          <w:sz w:val="19"/>
          <w:szCs w:val="19"/>
        </w:rPr>
        <w:t>b</w:t>
      </w:r>
      <w:r w:rsidR="00C617A6" w:rsidRPr="006756BC">
        <w:rPr>
          <w:rFonts w:ascii="Fira Sans" w:hAnsi="Fira Sans"/>
          <w:color w:val="000000" w:themeColor="text1"/>
          <w:sz w:val="19"/>
          <w:szCs w:val="19"/>
        </w:rPr>
        <w:t>r.)</w:t>
      </w:r>
      <w:r w:rsidRPr="006756BC">
        <w:rPr>
          <w:rFonts w:ascii="Fira Sans" w:hAnsi="Fira Sans"/>
          <w:color w:val="000000" w:themeColor="text1"/>
          <w:sz w:val="19"/>
          <w:szCs w:val="19"/>
        </w:rPr>
        <w:t>, a tak</w:t>
      </w:r>
      <w:r w:rsidR="006756BC" w:rsidRPr="006756BC">
        <w:rPr>
          <w:rFonts w:ascii="Fira Sans" w:hAnsi="Fira Sans"/>
          <w:color w:val="000000" w:themeColor="text1"/>
          <w:sz w:val="19"/>
          <w:szCs w:val="19"/>
        </w:rPr>
        <w:t>że</w:t>
      </w:r>
      <w:r w:rsidR="00C617A6">
        <w:rPr>
          <w:rFonts w:ascii="Fira Sans" w:hAnsi="Fira Sans"/>
          <w:color w:val="000000" w:themeColor="text1"/>
          <w:sz w:val="19"/>
          <w:szCs w:val="19"/>
        </w:rPr>
        <w:t xml:space="preserve"> o </w:t>
      </w:r>
      <w:r w:rsidR="00C617A6" w:rsidRPr="006756BC">
        <w:rPr>
          <w:rFonts w:ascii="Fira Sans" w:hAnsi="Fira Sans"/>
          <w:color w:val="000000" w:themeColor="text1"/>
          <w:sz w:val="19"/>
          <w:szCs w:val="19"/>
        </w:rPr>
        <w:t xml:space="preserve">zmianach jakie zaszły w I półroczu </w:t>
      </w:r>
      <w:r w:rsidR="00556020" w:rsidRPr="00117F9F">
        <w:rPr>
          <w:rFonts w:ascii="Fira Sans" w:hAnsi="Fira Sans"/>
          <w:sz w:val="19"/>
          <w:szCs w:val="19"/>
        </w:rPr>
        <w:t>b</w:t>
      </w:r>
      <w:r w:rsidR="00C617A6" w:rsidRPr="006756BC">
        <w:rPr>
          <w:rFonts w:ascii="Fira Sans" w:hAnsi="Fira Sans"/>
          <w:color w:val="000000" w:themeColor="text1"/>
          <w:sz w:val="19"/>
          <w:szCs w:val="19"/>
        </w:rPr>
        <w:t>r.</w:t>
      </w:r>
      <w:r w:rsidRPr="006756BC">
        <w:rPr>
          <w:rFonts w:ascii="Fira Sans" w:hAnsi="Fira Sans"/>
          <w:color w:val="000000" w:themeColor="text1"/>
          <w:sz w:val="19"/>
          <w:szCs w:val="19"/>
        </w:rPr>
        <w:t>, niż użytkownicy gospodarstw osób prawnych i niemających osobowości prawnej,</w:t>
      </w:r>
      <w:r w:rsidR="00F24FFC">
        <w:rPr>
          <w:rFonts w:ascii="Fira Sans" w:hAnsi="Fira Sans"/>
          <w:color w:val="000000" w:themeColor="text1"/>
          <w:sz w:val="19"/>
          <w:szCs w:val="19"/>
        </w:rPr>
        <w:t xml:space="preserve"> </w:t>
      </w:r>
    </w:p>
    <w:p w14:paraId="17C59FB7" w14:textId="57634A10" w:rsidR="00273F7D" w:rsidRPr="00DE5DF8" w:rsidRDefault="00556020" w:rsidP="00273F7D">
      <w:pPr>
        <w:numPr>
          <w:ilvl w:val="0"/>
          <w:numId w:val="3"/>
        </w:numPr>
        <w:rPr>
          <w:rFonts w:ascii="Fira Sans" w:hAnsi="Fira Sans"/>
          <w:color w:val="FF0000"/>
          <w:sz w:val="19"/>
          <w:szCs w:val="19"/>
        </w:rPr>
      </w:pPr>
      <w:r w:rsidRPr="00241D11">
        <w:rPr>
          <w:rFonts w:ascii="Fira Sans" w:hAnsi="Fira Sans"/>
          <w:sz w:val="19"/>
          <w:szCs w:val="19"/>
        </w:rPr>
        <w:t>ogólna sytuacja gospodarstw roln</w:t>
      </w:r>
      <w:r w:rsidR="00495F83">
        <w:rPr>
          <w:rFonts w:ascii="Fira Sans" w:hAnsi="Fira Sans"/>
          <w:sz w:val="19"/>
          <w:szCs w:val="19"/>
        </w:rPr>
        <w:t>ych</w:t>
      </w:r>
      <w:r w:rsidRPr="00241D11">
        <w:rPr>
          <w:rFonts w:ascii="Fira Sans" w:hAnsi="Fira Sans"/>
          <w:sz w:val="19"/>
          <w:szCs w:val="19"/>
        </w:rPr>
        <w:t xml:space="preserve"> w czerwcu br. była oceniona bardziej negatywnie przez kierujących</w:t>
      </w:r>
      <w:r w:rsidRPr="00556020">
        <w:rPr>
          <w:rFonts w:ascii="Fira Sans" w:hAnsi="Fira Sans"/>
          <w:color w:val="FF0000"/>
          <w:sz w:val="19"/>
          <w:szCs w:val="19"/>
        </w:rPr>
        <w:t xml:space="preserve"> </w:t>
      </w:r>
      <w:r w:rsidR="00273F7D" w:rsidRPr="007F35BF">
        <w:rPr>
          <w:rFonts w:ascii="Fira Sans" w:hAnsi="Fira Sans"/>
          <w:color w:val="000000" w:themeColor="text1"/>
          <w:sz w:val="19"/>
          <w:szCs w:val="19"/>
        </w:rPr>
        <w:t xml:space="preserve">gospodarstwami </w:t>
      </w:r>
      <w:r w:rsidR="00C617A6" w:rsidRPr="007F35BF">
        <w:rPr>
          <w:rFonts w:ascii="Fira Sans" w:hAnsi="Fira Sans"/>
          <w:color w:val="000000" w:themeColor="text1"/>
          <w:sz w:val="19"/>
          <w:szCs w:val="19"/>
        </w:rPr>
        <w:t xml:space="preserve">ukierunkowanymi na </w:t>
      </w:r>
      <w:r w:rsidR="00273F7D" w:rsidRPr="007F35BF">
        <w:rPr>
          <w:rFonts w:ascii="Fira Sans" w:hAnsi="Fira Sans"/>
          <w:color w:val="000000" w:themeColor="text1"/>
          <w:sz w:val="19"/>
          <w:szCs w:val="19"/>
        </w:rPr>
        <w:t xml:space="preserve">produkcję roślinną </w:t>
      </w:r>
      <w:r w:rsidR="00E5342D" w:rsidRPr="00556020">
        <w:rPr>
          <w:rFonts w:ascii="Fira Sans" w:hAnsi="Fira Sans"/>
          <w:color w:val="000000" w:themeColor="text1"/>
          <w:sz w:val="19"/>
          <w:szCs w:val="19"/>
        </w:rPr>
        <w:t xml:space="preserve">niż </w:t>
      </w:r>
      <w:r w:rsidR="007F35BF" w:rsidRPr="007F35BF">
        <w:rPr>
          <w:rFonts w:ascii="Fira Sans" w:hAnsi="Fira Sans"/>
          <w:color w:val="000000" w:themeColor="text1"/>
          <w:sz w:val="19"/>
          <w:szCs w:val="19"/>
        </w:rPr>
        <w:t xml:space="preserve">na </w:t>
      </w:r>
      <w:r w:rsidR="00E5342D" w:rsidRPr="007F35BF">
        <w:rPr>
          <w:rFonts w:ascii="Fira Sans" w:hAnsi="Fira Sans"/>
          <w:color w:val="000000" w:themeColor="text1"/>
          <w:sz w:val="19"/>
          <w:szCs w:val="19"/>
        </w:rPr>
        <w:t>produkcję zwierzęcą. Jednocześnie</w:t>
      </w:r>
      <w:r w:rsidR="006062E1">
        <w:rPr>
          <w:rFonts w:ascii="Fira Sans" w:hAnsi="Fira Sans"/>
          <w:color w:val="000000" w:themeColor="text1"/>
          <w:sz w:val="19"/>
          <w:szCs w:val="19"/>
        </w:rPr>
        <w:t xml:space="preserve"> rolnicy</w:t>
      </w:r>
      <w:r w:rsidR="00E5342D" w:rsidRPr="007F35BF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273F7D" w:rsidRPr="007F35BF">
        <w:rPr>
          <w:rFonts w:ascii="Fira Sans" w:hAnsi="Fira Sans"/>
          <w:color w:val="000000" w:themeColor="text1"/>
          <w:sz w:val="19"/>
          <w:szCs w:val="19"/>
        </w:rPr>
        <w:t xml:space="preserve">wyrazili </w:t>
      </w:r>
      <w:r w:rsidR="007F35BF" w:rsidRPr="007F35BF">
        <w:rPr>
          <w:rFonts w:ascii="Fira Sans" w:hAnsi="Fira Sans"/>
          <w:color w:val="000000" w:themeColor="text1"/>
          <w:sz w:val="19"/>
          <w:szCs w:val="19"/>
        </w:rPr>
        <w:t>mniej</w:t>
      </w:r>
      <w:r w:rsidR="00273F7D" w:rsidRPr="007F35BF">
        <w:rPr>
          <w:rFonts w:ascii="Fira Sans" w:hAnsi="Fira Sans"/>
          <w:color w:val="000000" w:themeColor="text1"/>
          <w:sz w:val="19"/>
          <w:szCs w:val="19"/>
        </w:rPr>
        <w:t xml:space="preserve"> negatywnych opinii na temat </w:t>
      </w:r>
      <w:r w:rsidRPr="00241D11">
        <w:rPr>
          <w:rFonts w:ascii="Fira Sans" w:hAnsi="Fira Sans"/>
          <w:sz w:val="19"/>
          <w:szCs w:val="19"/>
        </w:rPr>
        <w:t xml:space="preserve">przewidywanego </w:t>
      </w:r>
      <w:r w:rsidR="00C417B2">
        <w:rPr>
          <w:rFonts w:ascii="Fira Sans" w:hAnsi="Fira Sans"/>
          <w:color w:val="000000" w:themeColor="text1"/>
          <w:sz w:val="19"/>
          <w:szCs w:val="19"/>
        </w:rPr>
        <w:t xml:space="preserve">kształtowania się </w:t>
      </w:r>
      <w:r w:rsidR="00273F7D" w:rsidRPr="007F35BF">
        <w:rPr>
          <w:rFonts w:ascii="Fira Sans" w:hAnsi="Fira Sans"/>
          <w:color w:val="000000" w:themeColor="text1"/>
          <w:sz w:val="19"/>
          <w:szCs w:val="19"/>
        </w:rPr>
        <w:t>ogólnej sytuacji</w:t>
      </w:r>
      <w:r w:rsidR="00E5342D" w:rsidRPr="007F35BF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6450E9" w:rsidRPr="007F35BF">
        <w:rPr>
          <w:rFonts w:ascii="Fira Sans" w:hAnsi="Fira Sans"/>
          <w:color w:val="000000" w:themeColor="text1"/>
          <w:sz w:val="19"/>
          <w:szCs w:val="19"/>
        </w:rPr>
        <w:t>gospodarstw</w:t>
      </w:r>
      <w:r w:rsidR="008A6D84" w:rsidRPr="007F35BF">
        <w:rPr>
          <w:rFonts w:ascii="Fira Sans" w:hAnsi="Fira Sans"/>
          <w:color w:val="000000" w:themeColor="text1"/>
          <w:sz w:val="19"/>
          <w:szCs w:val="19"/>
        </w:rPr>
        <w:t xml:space="preserve"> rolnych</w:t>
      </w:r>
      <w:r w:rsidR="00C417B2">
        <w:rPr>
          <w:rFonts w:ascii="Fira Sans" w:hAnsi="Fira Sans"/>
          <w:color w:val="000000" w:themeColor="text1"/>
          <w:sz w:val="19"/>
          <w:szCs w:val="19"/>
        </w:rPr>
        <w:t xml:space="preserve"> w II półroczu </w:t>
      </w:r>
      <w:r w:rsidR="00B261B5">
        <w:rPr>
          <w:rFonts w:ascii="Fira Sans" w:hAnsi="Fira Sans"/>
          <w:strike/>
          <w:color w:val="000000" w:themeColor="text1"/>
          <w:sz w:val="19"/>
          <w:szCs w:val="19"/>
        </w:rPr>
        <w:t xml:space="preserve"> </w:t>
      </w:r>
      <w:r w:rsidRPr="00241D11">
        <w:rPr>
          <w:rFonts w:ascii="Fira Sans" w:hAnsi="Fira Sans"/>
          <w:sz w:val="19"/>
          <w:szCs w:val="19"/>
        </w:rPr>
        <w:t>b</w:t>
      </w:r>
      <w:r w:rsidR="007C5121">
        <w:rPr>
          <w:rFonts w:ascii="Fira Sans" w:hAnsi="Fira Sans"/>
          <w:color w:val="000000" w:themeColor="text1"/>
          <w:sz w:val="19"/>
          <w:szCs w:val="19"/>
        </w:rPr>
        <w:t>r.</w:t>
      </w:r>
      <w:r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Pr="00531767">
        <w:rPr>
          <w:rFonts w:ascii="Fira Sans" w:hAnsi="Fira Sans"/>
          <w:sz w:val="19"/>
          <w:szCs w:val="19"/>
        </w:rPr>
        <w:t>niż przed rokiem</w:t>
      </w:r>
      <w:r w:rsidR="00B261B5">
        <w:rPr>
          <w:rFonts w:ascii="Fira Sans" w:hAnsi="Fira Sans"/>
          <w:sz w:val="19"/>
          <w:szCs w:val="19"/>
        </w:rPr>
        <w:t>,</w:t>
      </w:r>
    </w:p>
    <w:p w14:paraId="138CFF1F" w14:textId="2DC9F8D1" w:rsidR="003C5758" w:rsidRPr="00947AED" w:rsidRDefault="007A02A0" w:rsidP="00273F7D">
      <w:pPr>
        <w:numPr>
          <w:ilvl w:val="0"/>
          <w:numId w:val="3"/>
        </w:numPr>
        <w:rPr>
          <w:rFonts w:ascii="Fira Sans" w:hAnsi="Fira Sans"/>
          <w:color w:val="000000" w:themeColor="text1"/>
          <w:sz w:val="19"/>
          <w:szCs w:val="19"/>
        </w:rPr>
      </w:pPr>
      <w:r>
        <w:rPr>
          <w:rFonts w:ascii="Fira Sans" w:hAnsi="Fira Sans"/>
          <w:color w:val="000000" w:themeColor="text1"/>
          <w:sz w:val="19"/>
          <w:szCs w:val="19"/>
        </w:rPr>
        <w:t>n</w:t>
      </w:r>
      <w:r w:rsidR="00030EB1" w:rsidRPr="00947AED">
        <w:rPr>
          <w:rFonts w:ascii="Fira Sans" w:hAnsi="Fira Sans"/>
          <w:color w:val="000000" w:themeColor="text1"/>
          <w:sz w:val="19"/>
          <w:szCs w:val="19"/>
        </w:rPr>
        <w:t xml:space="preserve">ajbardziej </w:t>
      </w:r>
      <w:r w:rsidR="00273F7D" w:rsidRPr="00947AED">
        <w:rPr>
          <w:rFonts w:ascii="Fira Sans" w:hAnsi="Fira Sans"/>
          <w:color w:val="000000" w:themeColor="text1"/>
          <w:sz w:val="19"/>
          <w:szCs w:val="19"/>
        </w:rPr>
        <w:t xml:space="preserve">pesymistyczne oceny </w:t>
      </w:r>
      <w:r w:rsidR="00947AED" w:rsidRPr="00947AED">
        <w:rPr>
          <w:rFonts w:ascii="Fira Sans" w:hAnsi="Fira Sans"/>
          <w:color w:val="000000" w:themeColor="text1"/>
          <w:sz w:val="19"/>
          <w:szCs w:val="19"/>
        </w:rPr>
        <w:t xml:space="preserve">koniunktury </w:t>
      </w:r>
      <w:r w:rsidR="00273F7D" w:rsidRPr="00947AED">
        <w:rPr>
          <w:rFonts w:ascii="Fira Sans" w:hAnsi="Fira Sans"/>
          <w:color w:val="000000" w:themeColor="text1"/>
          <w:sz w:val="19"/>
          <w:szCs w:val="19"/>
        </w:rPr>
        <w:t>wyrażali</w:t>
      </w:r>
      <w:r w:rsidR="002E2458" w:rsidRPr="00947AED">
        <w:rPr>
          <w:rFonts w:ascii="Fira Sans" w:hAnsi="Fira Sans"/>
          <w:color w:val="000000" w:themeColor="text1"/>
          <w:sz w:val="19"/>
          <w:szCs w:val="19"/>
        </w:rPr>
        <w:t xml:space="preserve"> respondenci prowadzący gospodarstwa rolne ponad 20 lat</w:t>
      </w:r>
      <w:r w:rsidR="00C942D0">
        <w:rPr>
          <w:rFonts w:ascii="Fira Sans" w:hAnsi="Fira Sans"/>
          <w:color w:val="000000" w:themeColor="text1"/>
          <w:sz w:val="19"/>
          <w:szCs w:val="19"/>
        </w:rPr>
        <w:t>.</w:t>
      </w:r>
    </w:p>
    <w:p w14:paraId="771C83C6" w14:textId="11912C74" w:rsidR="00682B9F" w:rsidRDefault="007C4A0E" w:rsidP="007C4A0E">
      <w:pPr>
        <w:spacing w:before="360" w:after="120"/>
        <w:rPr>
          <w:rFonts w:ascii="Fira Sans" w:hAnsi="Fira Sans"/>
          <w:b/>
          <w:spacing w:val="-2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008896" behindDoc="0" locked="0" layoutInCell="1" allowOverlap="1" wp14:anchorId="5B10A6A5" wp14:editId="28E04C4F">
            <wp:simplePos x="0" y="0"/>
            <wp:positionH relativeFrom="margin">
              <wp:align>right</wp:align>
            </wp:positionH>
            <wp:positionV relativeFrom="paragraph">
              <wp:posOffset>320560</wp:posOffset>
            </wp:positionV>
            <wp:extent cx="5122545" cy="2449195"/>
            <wp:effectExtent l="0" t="0" r="1905" b="8255"/>
            <wp:wrapTopAndBottom/>
            <wp:docPr id="16332429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A00B80" w:rsidRPr="003F102C">
        <w:rPr>
          <w:rFonts w:ascii="Fira Sans" w:hAnsi="Fira Sans"/>
          <w:b/>
          <w:spacing w:val="-2"/>
          <w:sz w:val="19"/>
          <w:szCs w:val="19"/>
        </w:rPr>
        <w:t>Wykre</w:t>
      </w:r>
      <w:r w:rsidR="00A00B80">
        <w:rPr>
          <w:rFonts w:ascii="Fira Sans" w:hAnsi="Fira Sans"/>
          <w:b/>
          <w:spacing w:val="-2"/>
          <w:sz w:val="19"/>
          <w:szCs w:val="19"/>
        </w:rPr>
        <w:t>s 1.</w:t>
      </w:r>
      <w:r w:rsidR="00BB6EB5">
        <w:rPr>
          <w:rFonts w:ascii="Fira Sans" w:hAnsi="Fira Sans"/>
          <w:b/>
          <w:spacing w:val="-2"/>
          <w:sz w:val="19"/>
          <w:szCs w:val="19"/>
        </w:rPr>
        <w:t xml:space="preserve"> </w:t>
      </w:r>
      <w:r w:rsidR="00A00B80">
        <w:rPr>
          <w:rFonts w:ascii="Fira Sans" w:hAnsi="Fira Sans"/>
          <w:b/>
          <w:spacing w:val="-2"/>
          <w:sz w:val="19"/>
          <w:szCs w:val="19"/>
        </w:rPr>
        <w:t>Wskaźnik zmiany sytuacji ogólnej gospodarstwa rolnego</w:t>
      </w:r>
    </w:p>
    <w:p w14:paraId="6AA121D6" w14:textId="439A5A47" w:rsidR="004E2A40" w:rsidRPr="006B6060" w:rsidRDefault="004E2A40" w:rsidP="007734E8">
      <w:pPr>
        <w:spacing w:before="120" w:after="360"/>
        <w:rPr>
          <w:rFonts w:ascii="Fira Sans" w:hAnsi="Fira Sans"/>
          <w:b/>
          <w:color w:val="002060"/>
          <w:spacing w:val="-2"/>
          <w:sz w:val="19"/>
          <w:szCs w:val="19"/>
        </w:rPr>
      </w:pPr>
      <w:r w:rsidRPr="006B6060">
        <w:rPr>
          <w:rFonts w:ascii="Fira Sans" w:hAnsi="Fira Sans"/>
          <w:b/>
          <w:color w:val="002060"/>
          <w:spacing w:val="-2"/>
          <w:sz w:val="19"/>
          <w:szCs w:val="19"/>
        </w:rPr>
        <w:lastRenderedPageBreak/>
        <w:t>Zmiana w</w:t>
      </w:r>
      <w:r w:rsidR="00BC6C00" w:rsidRPr="006B6060">
        <w:rPr>
          <w:rFonts w:ascii="Fira Sans" w:hAnsi="Fira Sans"/>
          <w:b/>
          <w:color w:val="002060"/>
          <w:spacing w:val="-2"/>
          <w:sz w:val="19"/>
          <w:szCs w:val="19"/>
        </w:rPr>
        <w:t xml:space="preserve"> koniunkturze w I półroczu 202</w:t>
      </w:r>
      <w:r w:rsidR="00124C9D" w:rsidRPr="006B6060">
        <w:rPr>
          <w:rFonts w:ascii="Fira Sans" w:hAnsi="Fira Sans"/>
          <w:b/>
          <w:color w:val="002060"/>
          <w:spacing w:val="-2"/>
          <w:sz w:val="19"/>
          <w:szCs w:val="19"/>
        </w:rPr>
        <w:t>4</w:t>
      </w:r>
      <w:r w:rsidRPr="006B6060">
        <w:rPr>
          <w:rFonts w:ascii="Fira Sans" w:hAnsi="Fira Sans"/>
          <w:b/>
          <w:color w:val="002060"/>
          <w:spacing w:val="-2"/>
          <w:sz w:val="19"/>
          <w:szCs w:val="19"/>
        </w:rPr>
        <w:t xml:space="preserve"> r.</w:t>
      </w:r>
    </w:p>
    <w:p w14:paraId="7D44C12F" w14:textId="7EC4FA95" w:rsidR="00B60BE8" w:rsidRDefault="00B60BE8" w:rsidP="007734E8">
      <w:pPr>
        <w:spacing w:before="120" w:after="120"/>
        <w:rPr>
          <w:rFonts w:ascii="Fira Sans" w:hAnsi="Fira Sans"/>
          <w:spacing w:val="-2"/>
          <w:sz w:val="19"/>
          <w:szCs w:val="19"/>
        </w:rPr>
      </w:pPr>
      <w:r w:rsidRPr="00B60BE8">
        <w:rPr>
          <w:rFonts w:ascii="Fira Sans" w:hAnsi="Fira Sans"/>
          <w:spacing w:val="-2"/>
          <w:sz w:val="19"/>
          <w:szCs w:val="19"/>
        </w:rPr>
        <w:t xml:space="preserve">W I półroczu </w:t>
      </w:r>
      <w:r w:rsidR="00DE5DF8" w:rsidRPr="00A26D58">
        <w:rPr>
          <w:rFonts w:ascii="Fira Sans" w:hAnsi="Fira Sans"/>
          <w:spacing w:val="-2"/>
          <w:sz w:val="19"/>
          <w:szCs w:val="19"/>
        </w:rPr>
        <w:t>b</w:t>
      </w:r>
      <w:r w:rsidRPr="00B60BE8">
        <w:rPr>
          <w:rFonts w:ascii="Fira Sans" w:hAnsi="Fira Sans"/>
          <w:spacing w:val="-2"/>
          <w:sz w:val="19"/>
          <w:szCs w:val="19"/>
        </w:rPr>
        <w:t xml:space="preserve">r. wartości sald </w:t>
      </w:r>
      <w:r w:rsidR="00DE5DF8" w:rsidRPr="00A26D58">
        <w:rPr>
          <w:rFonts w:ascii="Fira Sans" w:hAnsi="Fira Sans"/>
          <w:spacing w:val="-2"/>
          <w:sz w:val="19"/>
          <w:szCs w:val="19"/>
        </w:rPr>
        <w:t>odpowiedzi</w:t>
      </w:r>
      <w:r w:rsidR="00DE5DF8">
        <w:rPr>
          <w:rFonts w:ascii="Fira Sans" w:hAnsi="Fira Sans"/>
          <w:spacing w:val="-2"/>
          <w:sz w:val="19"/>
          <w:szCs w:val="19"/>
        </w:rPr>
        <w:t xml:space="preserve"> </w:t>
      </w:r>
      <w:r w:rsidRPr="00B60BE8">
        <w:rPr>
          <w:rFonts w:ascii="Fira Sans" w:hAnsi="Fira Sans"/>
          <w:spacing w:val="-2"/>
          <w:sz w:val="19"/>
          <w:szCs w:val="19"/>
        </w:rPr>
        <w:t>na pytania dot</w:t>
      </w:r>
      <w:r w:rsidR="00DE5DF8" w:rsidRPr="00A26D58">
        <w:rPr>
          <w:rFonts w:ascii="Fira Sans" w:hAnsi="Fira Sans"/>
          <w:spacing w:val="-2"/>
          <w:sz w:val="19"/>
          <w:szCs w:val="19"/>
        </w:rPr>
        <w:t>yczące</w:t>
      </w:r>
      <w:r w:rsidRPr="00B60BE8">
        <w:rPr>
          <w:rFonts w:ascii="Fira Sans" w:hAnsi="Fira Sans"/>
          <w:spacing w:val="-2"/>
          <w:sz w:val="19"/>
          <w:szCs w:val="19"/>
        </w:rPr>
        <w:t xml:space="preserve"> zmiany: ogólnej sytuacji gospodarstw rolnych, popytu na wytwarzane produkty rolne oraz opłacalności produkcji rolniczej były ujemne.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B60BE8">
        <w:rPr>
          <w:rFonts w:ascii="Fira Sans" w:hAnsi="Fira Sans"/>
          <w:spacing w:val="-2"/>
          <w:sz w:val="19"/>
          <w:szCs w:val="19"/>
        </w:rPr>
        <w:t>Odnotowano wzrost wartości tych sald</w:t>
      </w:r>
      <w:r w:rsidR="0007385C">
        <w:rPr>
          <w:rFonts w:ascii="Fira Sans" w:hAnsi="Fira Sans"/>
          <w:spacing w:val="-2"/>
          <w:sz w:val="19"/>
          <w:szCs w:val="19"/>
        </w:rPr>
        <w:t xml:space="preserve"> </w:t>
      </w:r>
      <w:r w:rsidRPr="00B60BE8">
        <w:rPr>
          <w:rFonts w:ascii="Fira Sans" w:hAnsi="Fira Sans"/>
          <w:spacing w:val="-2"/>
          <w:sz w:val="19"/>
          <w:szCs w:val="19"/>
        </w:rPr>
        <w:t>w porównaniu z II półroczem 2023</w:t>
      </w:r>
      <w:r w:rsidR="00DE5DF8">
        <w:rPr>
          <w:rFonts w:ascii="Fira Sans" w:hAnsi="Fira Sans"/>
          <w:spacing w:val="-2"/>
          <w:sz w:val="19"/>
          <w:szCs w:val="19"/>
        </w:rPr>
        <w:t> </w:t>
      </w:r>
      <w:r w:rsidRPr="00B60BE8">
        <w:rPr>
          <w:rFonts w:ascii="Fira Sans" w:hAnsi="Fira Sans"/>
          <w:spacing w:val="-2"/>
          <w:sz w:val="19"/>
          <w:szCs w:val="19"/>
        </w:rPr>
        <w:t>r.</w:t>
      </w:r>
      <w:r w:rsidR="00FA58B6">
        <w:rPr>
          <w:rFonts w:ascii="Fira Sans" w:hAnsi="Fira Sans"/>
          <w:spacing w:val="-2"/>
          <w:sz w:val="19"/>
          <w:szCs w:val="19"/>
        </w:rPr>
        <w:t>, a</w:t>
      </w:r>
      <w:r w:rsidR="00432D54">
        <w:rPr>
          <w:rFonts w:ascii="Fira Sans" w:hAnsi="Fira Sans"/>
          <w:spacing w:val="-2"/>
          <w:sz w:val="19"/>
          <w:szCs w:val="19"/>
        </w:rPr>
        <w:t xml:space="preserve"> </w:t>
      </w:r>
      <w:r w:rsidRPr="00B60BE8">
        <w:rPr>
          <w:rFonts w:ascii="Fira Sans" w:hAnsi="Fira Sans"/>
          <w:spacing w:val="-2"/>
          <w:sz w:val="19"/>
          <w:szCs w:val="19"/>
        </w:rPr>
        <w:t xml:space="preserve">także w ujęciu rocznym. </w:t>
      </w:r>
    </w:p>
    <w:p w14:paraId="33404A9F" w14:textId="6AB6CE8E" w:rsidR="00B60BE8" w:rsidRDefault="00B60BE8" w:rsidP="007734E8">
      <w:pPr>
        <w:spacing w:before="120" w:after="120"/>
        <w:rPr>
          <w:rFonts w:ascii="Fira Sans" w:hAnsi="Fira Sans"/>
          <w:spacing w:val="-2"/>
          <w:sz w:val="19"/>
          <w:szCs w:val="19"/>
        </w:rPr>
      </w:pPr>
      <w:r w:rsidRPr="00B60BE8">
        <w:rPr>
          <w:rFonts w:ascii="Fira Sans" w:hAnsi="Fira Sans"/>
          <w:spacing w:val="-2"/>
          <w:sz w:val="19"/>
          <w:szCs w:val="19"/>
        </w:rPr>
        <w:t>W porównaniu z dw</w:t>
      </w:r>
      <w:r w:rsidR="00965325">
        <w:rPr>
          <w:rFonts w:ascii="Fira Sans" w:hAnsi="Fira Sans"/>
          <w:spacing w:val="-2"/>
          <w:sz w:val="19"/>
          <w:szCs w:val="19"/>
        </w:rPr>
        <w:t>ie</w:t>
      </w:r>
      <w:r w:rsidRPr="00B60BE8">
        <w:rPr>
          <w:rFonts w:ascii="Fira Sans" w:hAnsi="Fira Sans"/>
          <w:spacing w:val="-2"/>
          <w:sz w:val="19"/>
          <w:szCs w:val="19"/>
        </w:rPr>
        <w:t>ma poprzednimi edycjami badania największy wzrost wartości salda (odpowiednio o 8,0 p. proc.</w:t>
      </w:r>
      <w:r w:rsidR="00432D54">
        <w:rPr>
          <w:rFonts w:ascii="Fira Sans" w:hAnsi="Fira Sans"/>
          <w:spacing w:val="-2"/>
          <w:sz w:val="19"/>
          <w:szCs w:val="19"/>
        </w:rPr>
        <w:t xml:space="preserve"> i</w:t>
      </w:r>
      <w:r w:rsidRPr="00B60BE8">
        <w:rPr>
          <w:rFonts w:ascii="Fira Sans" w:hAnsi="Fira Sans"/>
          <w:spacing w:val="-2"/>
          <w:sz w:val="19"/>
          <w:szCs w:val="19"/>
        </w:rPr>
        <w:t xml:space="preserve"> 4,9 p. proc.) odnotowano dla pytania o zmianę popytu na wytwarzane produkty rolne</w:t>
      </w:r>
      <w:r>
        <w:rPr>
          <w:rFonts w:ascii="Fira Sans" w:hAnsi="Fira Sans"/>
          <w:spacing w:val="-2"/>
          <w:sz w:val="19"/>
          <w:szCs w:val="19"/>
        </w:rPr>
        <w:t>.</w:t>
      </w:r>
    </w:p>
    <w:p w14:paraId="5094B765" w14:textId="2FAF357A" w:rsidR="00B60BE8" w:rsidRDefault="00B60BE8" w:rsidP="007734E8">
      <w:pPr>
        <w:spacing w:before="120" w:after="360"/>
        <w:rPr>
          <w:rFonts w:ascii="Fira Sans" w:hAnsi="Fira Sans"/>
          <w:spacing w:val="-2"/>
          <w:sz w:val="19"/>
          <w:szCs w:val="19"/>
        </w:rPr>
      </w:pPr>
      <w:r w:rsidRPr="00B60BE8">
        <w:rPr>
          <w:rFonts w:ascii="Fira Sans" w:hAnsi="Fira Sans"/>
          <w:spacing w:val="-2"/>
          <w:sz w:val="19"/>
          <w:szCs w:val="19"/>
        </w:rPr>
        <w:t>W I półroczu</w:t>
      </w:r>
      <w:r w:rsidR="00A26D58">
        <w:rPr>
          <w:rFonts w:ascii="Fira Sans" w:hAnsi="Fira Sans"/>
          <w:spacing w:val="-2"/>
          <w:sz w:val="19"/>
          <w:szCs w:val="19"/>
        </w:rPr>
        <w:t xml:space="preserve"> </w:t>
      </w:r>
      <w:r w:rsidR="00DE5DF8" w:rsidRPr="00A26D58">
        <w:rPr>
          <w:rFonts w:ascii="Fira Sans" w:hAnsi="Fira Sans"/>
          <w:spacing w:val="-2"/>
          <w:sz w:val="19"/>
          <w:szCs w:val="19"/>
        </w:rPr>
        <w:t>b</w:t>
      </w:r>
      <w:r w:rsidRPr="00B60BE8">
        <w:rPr>
          <w:rFonts w:ascii="Fira Sans" w:hAnsi="Fira Sans"/>
          <w:spacing w:val="-2"/>
          <w:sz w:val="19"/>
          <w:szCs w:val="19"/>
        </w:rPr>
        <w:t>r. kierujący gospodarstwami rolnymi najmniej pesymistycznie</w:t>
      </w:r>
      <w:r w:rsidR="00A5161A" w:rsidRPr="00A5161A">
        <w:rPr>
          <w:rFonts w:ascii="Fira Sans" w:hAnsi="Fira Sans"/>
          <w:spacing w:val="-2"/>
          <w:sz w:val="19"/>
          <w:szCs w:val="19"/>
        </w:rPr>
        <w:t xml:space="preserve"> </w:t>
      </w:r>
      <w:r w:rsidR="00A5161A" w:rsidRPr="00B60BE8">
        <w:rPr>
          <w:rFonts w:ascii="Fira Sans" w:hAnsi="Fira Sans"/>
          <w:spacing w:val="-2"/>
          <w:sz w:val="19"/>
          <w:szCs w:val="19"/>
        </w:rPr>
        <w:t>ocenili zmianę popytu</w:t>
      </w:r>
      <w:r w:rsidRPr="00B60BE8">
        <w:rPr>
          <w:rFonts w:ascii="Fira Sans" w:hAnsi="Fira Sans"/>
          <w:spacing w:val="-2"/>
          <w:sz w:val="19"/>
          <w:szCs w:val="19"/>
        </w:rPr>
        <w:t>, natomiast</w:t>
      </w:r>
      <w:r w:rsidR="0007385C">
        <w:rPr>
          <w:rFonts w:ascii="Fira Sans" w:hAnsi="Fira Sans"/>
          <w:spacing w:val="-2"/>
          <w:sz w:val="19"/>
          <w:szCs w:val="19"/>
        </w:rPr>
        <w:t xml:space="preserve"> </w:t>
      </w:r>
      <w:r w:rsidRPr="00B60BE8">
        <w:rPr>
          <w:rFonts w:ascii="Fira Sans" w:hAnsi="Fira Sans"/>
          <w:spacing w:val="-2"/>
          <w:sz w:val="19"/>
          <w:szCs w:val="19"/>
        </w:rPr>
        <w:t>najbardziej negatywnie oceniona została opłacalność produkcji rolniczej.</w:t>
      </w:r>
    </w:p>
    <w:p w14:paraId="4B32EDEB" w14:textId="447B7DC5" w:rsidR="00E46438" w:rsidRPr="00B60BE8" w:rsidRDefault="00682B9F" w:rsidP="00B60BE8">
      <w:pPr>
        <w:spacing w:before="120" w:after="120"/>
        <w:rPr>
          <w:rFonts w:ascii="Fira Sans" w:hAnsi="Fira Sans"/>
          <w:spacing w:val="-2"/>
          <w:sz w:val="19"/>
          <w:szCs w:val="19"/>
        </w:rPr>
      </w:pPr>
      <w:r w:rsidRPr="00036D9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2986368" behindDoc="1" locked="0" layoutInCell="1" allowOverlap="1" wp14:anchorId="0A20E4B1" wp14:editId="1D936EE3">
                <wp:simplePos x="0" y="0"/>
                <wp:positionH relativeFrom="page">
                  <wp:align>right</wp:align>
                </wp:positionH>
                <wp:positionV relativeFrom="paragraph">
                  <wp:posOffset>269562</wp:posOffset>
                </wp:positionV>
                <wp:extent cx="1715770" cy="1737995"/>
                <wp:effectExtent l="0" t="0" r="0" b="0"/>
                <wp:wrapTight wrapText="bothSides">
                  <wp:wrapPolygon edited="0">
                    <wp:start x="719" y="0"/>
                    <wp:lineTo x="719" y="21308"/>
                    <wp:lineTo x="20865" y="21308"/>
                    <wp:lineTo x="20865" y="0"/>
                    <wp:lineTo x="719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5770" cy="173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2F664" w14:textId="38E81987" w:rsidR="00E14EFF" w:rsidRPr="00081471" w:rsidRDefault="00BE6264" w:rsidP="00036D9A">
                            <w:pPr>
                              <w:spacing w:before="120" w:after="120"/>
                              <w:rPr>
                                <w:rFonts w:ascii="Fira Sans" w:hAnsi="Fira Sans"/>
                                <w:color w:val="00206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81471">
                              <w:rPr>
                                <w:rFonts w:ascii="Fira Sans" w:eastAsia="Calibri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W I półroczu 2024 r. 62,7</w:t>
                            </w:r>
                            <w:r w:rsidR="00E14EFF" w:rsidRPr="00081471">
                              <w:rPr>
                                <w:rFonts w:ascii="Fira Sans" w:eastAsia="Calibri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% kierujących gospodarstwami rolnymi zasygnalizowało pogorszenie opłacalności produkcj</w:t>
                            </w:r>
                            <w:r w:rsidRPr="00081471">
                              <w:rPr>
                                <w:rFonts w:ascii="Fira Sans" w:eastAsia="Calibri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i rolniczej, a poprawę około 2,5</w:t>
                            </w:r>
                            <w:r w:rsidR="00E14EFF" w:rsidRPr="00081471">
                              <w:rPr>
                                <w:rFonts w:ascii="Fira Sans" w:eastAsia="Calibri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%. Pozostali uznali, że opłacalność nie ulegnie zmianie.</w:t>
                            </w:r>
                          </w:p>
                          <w:p w14:paraId="395342EE" w14:textId="77777777" w:rsidR="00E14EFF" w:rsidRPr="005429D3" w:rsidRDefault="00E14EFF" w:rsidP="00036D9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E4B1" id="Pole tekstowe 25" o:spid="_x0000_s1028" type="#_x0000_t202" style="position:absolute;margin-left:83.9pt;margin-top:21.25pt;width:135.1pt;height:136.85pt;flip:x;z-index:-2503301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" filled="f" stroked="f">
                <v:textbox>
                  <w:txbxContent>
                    <w:p w14:paraId="5522F664" w14:textId="38E81987" w:rsidR="00E14EFF" w:rsidRPr="00081471" w:rsidRDefault="00BE6264" w:rsidP="00036D9A">
                      <w:pPr>
                        <w:spacing w:before="120" w:after="120"/>
                        <w:rPr>
                          <w:rFonts w:ascii="Fira Sans" w:hAnsi="Fira Sans"/>
                          <w:color w:val="002060"/>
                          <w:spacing w:val="-2"/>
                          <w:sz w:val="18"/>
                          <w:szCs w:val="18"/>
                        </w:rPr>
                      </w:pPr>
                      <w:r w:rsidRPr="00081471">
                        <w:rPr>
                          <w:rFonts w:ascii="Fira Sans" w:eastAsia="Calibri" w:hAnsi="Fira Sans" w:cs="Times New Roman"/>
                          <w:bCs/>
                          <w:color w:val="002060"/>
                          <w:sz w:val="18"/>
                          <w:szCs w:val="18"/>
                        </w:rPr>
                        <w:t>W I półroczu 2024 r. 62,7</w:t>
                      </w:r>
                      <w:r w:rsidR="00E14EFF" w:rsidRPr="00081471">
                        <w:rPr>
                          <w:rFonts w:ascii="Fira Sans" w:eastAsia="Calibri" w:hAnsi="Fira Sans" w:cs="Times New Roman"/>
                          <w:bCs/>
                          <w:color w:val="002060"/>
                          <w:sz w:val="18"/>
                          <w:szCs w:val="18"/>
                        </w:rPr>
                        <w:t>% kierujących gospodarstwami rolnymi zasygnalizowało pogorszenie opłacalności produkcj</w:t>
                      </w:r>
                      <w:r w:rsidRPr="00081471">
                        <w:rPr>
                          <w:rFonts w:ascii="Fira Sans" w:eastAsia="Calibri" w:hAnsi="Fira Sans" w:cs="Times New Roman"/>
                          <w:bCs/>
                          <w:color w:val="002060"/>
                          <w:sz w:val="18"/>
                          <w:szCs w:val="18"/>
                        </w:rPr>
                        <w:t>i rolniczej, a poprawę około 2,5</w:t>
                      </w:r>
                      <w:r w:rsidR="00E14EFF" w:rsidRPr="00081471">
                        <w:rPr>
                          <w:rFonts w:ascii="Fira Sans" w:eastAsia="Calibri" w:hAnsi="Fira Sans" w:cs="Times New Roman"/>
                          <w:bCs/>
                          <w:color w:val="002060"/>
                          <w:sz w:val="18"/>
                          <w:szCs w:val="18"/>
                        </w:rPr>
                        <w:t>%. Pozostali uznali, że opłacalność nie ulegnie zmianie.</w:t>
                      </w:r>
                    </w:p>
                    <w:p w14:paraId="395342EE" w14:textId="77777777" w:rsidR="00E14EFF" w:rsidRPr="005429D3" w:rsidRDefault="00E14EFF" w:rsidP="00036D9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6438">
        <w:rPr>
          <w:noProof/>
          <w:lang w:eastAsia="pl-PL"/>
        </w:rPr>
        <w:drawing>
          <wp:anchor distT="0" distB="0" distL="114300" distR="114300" simplePos="0" relativeHeight="253018112" behindDoc="0" locked="0" layoutInCell="1" allowOverlap="1" wp14:anchorId="111854E5" wp14:editId="71CB393B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5122545" cy="2660015"/>
            <wp:effectExtent l="0" t="0" r="1905" b="6985"/>
            <wp:wrapTopAndBottom/>
            <wp:docPr id="110208778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E41760" w:rsidRPr="00B60CAC">
        <w:rPr>
          <w:rFonts w:ascii="Fira Sans" w:hAnsi="Fira Sans"/>
          <w:b/>
          <w:spacing w:val="-2"/>
          <w:sz w:val="19"/>
          <w:szCs w:val="19"/>
        </w:rPr>
        <w:t>Wykres 2</w:t>
      </w:r>
      <w:r w:rsidR="0053606D">
        <w:rPr>
          <w:rFonts w:ascii="Fira Sans" w:hAnsi="Fira Sans"/>
          <w:b/>
          <w:spacing w:val="-2"/>
          <w:sz w:val="19"/>
          <w:szCs w:val="19"/>
        </w:rPr>
        <w:t>. Salda odpowiedzi dotyczące</w:t>
      </w:r>
      <w:r w:rsidR="00EB7AB1" w:rsidRPr="00B60CAC">
        <w:rPr>
          <w:rFonts w:ascii="Fira Sans" w:hAnsi="Fira Sans"/>
          <w:b/>
          <w:spacing w:val="-2"/>
          <w:sz w:val="19"/>
          <w:szCs w:val="19"/>
        </w:rPr>
        <w:t xml:space="preserve"> zmian sytuacji ogólnej gospodarstw rolnych, opłacalności produkcji rolniczej i popyty na produkty rolne</w:t>
      </w:r>
    </w:p>
    <w:p w14:paraId="45A23EA7" w14:textId="2C376F14" w:rsidR="00682B9F" w:rsidRPr="00C07F0B" w:rsidRDefault="00C07F0B" w:rsidP="00C07F0B">
      <w:pPr>
        <w:pStyle w:val="LID"/>
        <w:spacing w:before="360" w:after="120"/>
        <w:rPr>
          <w:rFonts w:eastAsia="Times New Roman" w:cs="Calibri"/>
          <w:b w:val="0"/>
          <w:color w:val="000000"/>
        </w:rPr>
      </w:pPr>
      <w:r w:rsidRPr="00C07F0B">
        <w:rPr>
          <w:rFonts w:eastAsia="Times New Roman" w:cs="Calibri"/>
          <w:b w:val="0"/>
          <w:color w:val="000000"/>
        </w:rPr>
        <w:t>W bieżącej edycji badania najbardziej pesymistycznie zmianę ogólnej sytuacji gospodarstw roln</w:t>
      </w:r>
      <w:r w:rsidR="00495F83">
        <w:rPr>
          <w:rFonts w:eastAsia="Times New Roman" w:cs="Calibri"/>
          <w:b w:val="0"/>
          <w:color w:val="000000"/>
        </w:rPr>
        <w:t>ych</w:t>
      </w:r>
      <w:r w:rsidRPr="00C07F0B">
        <w:rPr>
          <w:rFonts w:eastAsia="Times New Roman" w:cs="Calibri"/>
          <w:b w:val="0"/>
          <w:color w:val="000000"/>
        </w:rPr>
        <w:t xml:space="preserve"> ocenili kierujący gospodarstwami wielokierunkowymi (saldo minus 45,2 p. proc.). Natomiast najmniej pesymistyczn</w:t>
      </w:r>
      <w:r w:rsidR="00A5161A" w:rsidRPr="00E9175F">
        <w:rPr>
          <w:rFonts w:eastAsia="Times New Roman" w:cs="Calibri"/>
          <w:b w:val="0"/>
        </w:rPr>
        <w:t>e</w:t>
      </w:r>
      <w:r w:rsidRPr="00C07F0B">
        <w:rPr>
          <w:rFonts w:eastAsia="Times New Roman" w:cs="Calibri"/>
          <w:b w:val="0"/>
          <w:color w:val="000000"/>
        </w:rPr>
        <w:t xml:space="preserve"> ocen</w:t>
      </w:r>
      <w:r w:rsidR="00A5161A" w:rsidRPr="00E9175F">
        <w:rPr>
          <w:rFonts w:eastAsia="Times New Roman" w:cs="Calibri"/>
          <w:b w:val="0"/>
        </w:rPr>
        <w:t>y</w:t>
      </w:r>
      <w:r w:rsidR="00A5161A" w:rsidRPr="00EC48CD">
        <w:rPr>
          <w:rFonts w:eastAsia="Times New Roman" w:cs="Calibri"/>
          <w:b w:val="0"/>
        </w:rPr>
        <w:t xml:space="preserve"> </w:t>
      </w:r>
      <w:r w:rsidR="00A5161A" w:rsidRPr="00E9175F">
        <w:rPr>
          <w:rFonts w:eastAsia="Times New Roman" w:cs="Calibri"/>
          <w:b w:val="0"/>
        </w:rPr>
        <w:t>w tym zakresie wyrazili</w:t>
      </w:r>
      <w:r w:rsidR="00965325" w:rsidRPr="00E9175F">
        <w:rPr>
          <w:rFonts w:eastAsia="Times New Roman" w:cs="Calibri"/>
          <w:b w:val="0"/>
        </w:rPr>
        <w:t xml:space="preserve"> </w:t>
      </w:r>
      <w:r w:rsidRPr="00C07F0B">
        <w:rPr>
          <w:rFonts w:eastAsia="Times New Roman" w:cs="Calibri"/>
          <w:b w:val="0"/>
          <w:color w:val="000000"/>
        </w:rPr>
        <w:t>prowadzący</w:t>
      </w:r>
      <w:r w:rsidR="00E9175F">
        <w:rPr>
          <w:rFonts w:eastAsia="Times New Roman" w:cs="Calibri"/>
          <w:b w:val="0"/>
          <w:color w:val="000000"/>
        </w:rPr>
        <w:t xml:space="preserve"> </w:t>
      </w:r>
      <w:r w:rsidRPr="00C07F0B">
        <w:rPr>
          <w:rFonts w:eastAsia="Times New Roman" w:cs="Calibri"/>
          <w:b w:val="0"/>
          <w:color w:val="000000"/>
        </w:rPr>
        <w:t>gospodarstwa ukierunkowane na produkcję zwierzęcą (saldo minus 37,3 p. proc.)</w:t>
      </w:r>
      <w:r>
        <w:rPr>
          <w:rFonts w:eastAsia="Times New Roman" w:cs="Calibri"/>
          <w:b w:val="0"/>
          <w:color w:val="000000"/>
        </w:rPr>
        <w:t>.</w:t>
      </w:r>
    </w:p>
    <w:p w14:paraId="1891DFAD" w14:textId="7FE78C79" w:rsidR="00682B9F" w:rsidRPr="00C07F0B" w:rsidRDefault="00A5161A" w:rsidP="00C07F0B">
      <w:pPr>
        <w:pStyle w:val="LID"/>
        <w:spacing w:before="240" w:after="120"/>
        <w:rPr>
          <w:rFonts w:eastAsia="Times New Roman" w:cs="Calibri"/>
          <w:b w:val="0"/>
          <w:color w:val="000000"/>
        </w:rPr>
      </w:pPr>
      <w:r w:rsidRPr="00E9175F">
        <w:rPr>
          <w:rFonts w:eastAsia="Times New Roman" w:cs="Calibri"/>
          <w:b w:val="0"/>
        </w:rPr>
        <w:t>W porównaniu z drugą połową ub</w:t>
      </w:r>
      <w:r w:rsidR="00495F83">
        <w:rPr>
          <w:rFonts w:eastAsia="Times New Roman" w:cs="Calibri"/>
          <w:b w:val="0"/>
        </w:rPr>
        <w:t xml:space="preserve">. </w:t>
      </w:r>
      <w:r w:rsidRPr="00E9175F">
        <w:rPr>
          <w:rFonts w:eastAsia="Times New Roman" w:cs="Calibri"/>
          <w:b w:val="0"/>
        </w:rPr>
        <w:t>roku, o</w:t>
      </w:r>
      <w:r w:rsidR="00C07F0B" w:rsidRPr="00E9175F">
        <w:rPr>
          <w:rFonts w:eastAsia="Times New Roman" w:cs="Calibri"/>
          <w:b w:val="0"/>
        </w:rPr>
        <w:t xml:space="preserve">dnotowano </w:t>
      </w:r>
      <w:r w:rsidR="00C07F0B" w:rsidRPr="00C07F0B">
        <w:rPr>
          <w:rFonts w:eastAsia="Times New Roman" w:cs="Calibri"/>
          <w:b w:val="0"/>
          <w:color w:val="000000"/>
        </w:rPr>
        <w:t>nieznaczny spadek wartości salda dla gospodarstw wielokierunkowych</w:t>
      </w:r>
      <w:r>
        <w:rPr>
          <w:rFonts w:eastAsia="Times New Roman" w:cs="Calibri"/>
          <w:b w:val="0"/>
          <w:color w:val="000000"/>
        </w:rPr>
        <w:t xml:space="preserve"> </w:t>
      </w:r>
      <w:r w:rsidRPr="00E9175F">
        <w:rPr>
          <w:rFonts w:eastAsia="Times New Roman" w:cs="Calibri"/>
          <w:b w:val="0"/>
        </w:rPr>
        <w:t xml:space="preserve">(o 1,7 p. proc.) </w:t>
      </w:r>
      <w:r w:rsidR="00C07F0B" w:rsidRPr="00C07F0B">
        <w:rPr>
          <w:rFonts w:eastAsia="Times New Roman" w:cs="Calibri"/>
          <w:b w:val="0"/>
          <w:color w:val="000000"/>
        </w:rPr>
        <w:t>i dla gospodarstw ukierunkowanych na produkcję zwierzęcą</w:t>
      </w:r>
      <w:r>
        <w:rPr>
          <w:rFonts w:eastAsia="Times New Roman" w:cs="Calibri"/>
          <w:b w:val="0"/>
          <w:color w:val="000000"/>
        </w:rPr>
        <w:t xml:space="preserve"> </w:t>
      </w:r>
      <w:r w:rsidRPr="00E9175F">
        <w:rPr>
          <w:rFonts w:eastAsia="Times New Roman" w:cs="Calibri"/>
          <w:b w:val="0"/>
        </w:rPr>
        <w:t>(o 0,2 p. proc.)</w:t>
      </w:r>
      <w:r w:rsidR="00C07F0B" w:rsidRPr="00C07F0B">
        <w:rPr>
          <w:rFonts w:eastAsia="Times New Roman" w:cs="Calibri"/>
          <w:b w:val="0"/>
          <w:color w:val="000000"/>
        </w:rPr>
        <w:t>. W stosunku do I półrocza 2023 r</w:t>
      </w:r>
      <w:r>
        <w:rPr>
          <w:rFonts w:eastAsia="Times New Roman" w:cs="Calibri"/>
          <w:b w:val="0"/>
          <w:color w:val="000000"/>
        </w:rPr>
        <w:t>.</w:t>
      </w:r>
      <w:r w:rsidR="00C07F0B" w:rsidRPr="00C07F0B">
        <w:rPr>
          <w:rFonts w:eastAsia="Times New Roman" w:cs="Calibri"/>
          <w:b w:val="0"/>
          <w:color w:val="000000"/>
        </w:rPr>
        <w:t xml:space="preserve"> zaobserwowano wzrost odpowiednio o 3,4 p. proc. i o 4,6 p. proc.</w:t>
      </w:r>
    </w:p>
    <w:p w14:paraId="110C78D4" w14:textId="12118C16" w:rsidR="00682B9F" w:rsidRPr="00C07F0B" w:rsidRDefault="00C07F0B" w:rsidP="00C07F0B">
      <w:pPr>
        <w:pStyle w:val="LID"/>
        <w:spacing w:before="240" w:after="240"/>
        <w:rPr>
          <w:rFonts w:eastAsia="Times New Roman" w:cs="Calibri"/>
          <w:b w:val="0"/>
          <w:color w:val="000000"/>
        </w:rPr>
      </w:pPr>
      <w:r w:rsidRPr="00C07F0B">
        <w:rPr>
          <w:rFonts w:eastAsia="Times New Roman" w:cs="Calibri"/>
          <w:b w:val="0"/>
          <w:color w:val="000000"/>
        </w:rPr>
        <w:t>Mimo utrzymanych negatywnych ocen</w:t>
      </w:r>
      <w:r w:rsidR="00AE0403">
        <w:rPr>
          <w:rFonts w:eastAsia="Times New Roman" w:cs="Calibri"/>
          <w:b w:val="0"/>
          <w:color w:val="000000"/>
        </w:rPr>
        <w:t>,</w:t>
      </w:r>
      <w:r w:rsidRPr="00C07F0B">
        <w:rPr>
          <w:rFonts w:eastAsia="Times New Roman" w:cs="Calibri"/>
          <w:b w:val="0"/>
          <w:color w:val="000000"/>
        </w:rPr>
        <w:t xml:space="preserve"> poprawę opinii </w:t>
      </w:r>
      <w:r w:rsidR="00A5161A" w:rsidRPr="00E9175F">
        <w:rPr>
          <w:rFonts w:eastAsia="Times New Roman" w:cs="Calibri"/>
          <w:b w:val="0"/>
        </w:rPr>
        <w:t xml:space="preserve">w porównaniu z dwoma </w:t>
      </w:r>
      <w:r w:rsidRPr="00C07F0B">
        <w:rPr>
          <w:rFonts w:eastAsia="Times New Roman" w:cs="Calibri"/>
          <w:b w:val="0"/>
          <w:color w:val="000000"/>
        </w:rPr>
        <w:t>poprzedni</w:t>
      </w:r>
      <w:r w:rsidR="00A5161A" w:rsidRPr="00E9175F">
        <w:rPr>
          <w:rFonts w:eastAsia="Times New Roman" w:cs="Calibri"/>
          <w:b w:val="0"/>
        </w:rPr>
        <w:t>mi</w:t>
      </w:r>
      <w:r w:rsidRPr="00E9175F">
        <w:rPr>
          <w:rFonts w:eastAsia="Times New Roman" w:cs="Calibri"/>
          <w:b w:val="0"/>
        </w:rPr>
        <w:t xml:space="preserve"> </w:t>
      </w:r>
      <w:r w:rsidRPr="00C07F0B">
        <w:rPr>
          <w:rFonts w:eastAsia="Times New Roman" w:cs="Calibri"/>
          <w:b w:val="0"/>
          <w:color w:val="000000"/>
        </w:rPr>
        <w:t>edycj</w:t>
      </w:r>
      <w:r w:rsidR="00A5161A" w:rsidRPr="00E9175F">
        <w:rPr>
          <w:rFonts w:eastAsia="Times New Roman" w:cs="Calibri"/>
          <w:b w:val="0"/>
        </w:rPr>
        <w:t>ami</w:t>
      </w:r>
      <w:r w:rsidRPr="00C07F0B">
        <w:rPr>
          <w:rFonts w:eastAsia="Times New Roman" w:cs="Calibri"/>
          <w:b w:val="0"/>
          <w:color w:val="000000"/>
        </w:rPr>
        <w:t xml:space="preserve"> badania odnotowano </w:t>
      </w:r>
      <w:r w:rsidR="00432D54">
        <w:rPr>
          <w:rFonts w:eastAsia="Times New Roman" w:cs="Calibri"/>
          <w:b w:val="0"/>
          <w:color w:val="000000"/>
        </w:rPr>
        <w:t>jedynie</w:t>
      </w:r>
      <w:r w:rsidRPr="00C07F0B">
        <w:rPr>
          <w:rFonts w:eastAsia="Times New Roman" w:cs="Calibri"/>
          <w:b w:val="0"/>
          <w:color w:val="000000"/>
        </w:rPr>
        <w:t xml:space="preserve"> wśród kierujących gospodarstwami nastawionymi na produkcję roślinną – wzrost wartości salda o 5,0 p. proc. w porównaniu z II półroczem 2023 r. oraz </w:t>
      </w:r>
      <w:r w:rsidR="00AE0403">
        <w:rPr>
          <w:rFonts w:eastAsia="Times New Roman" w:cs="Calibri"/>
          <w:b w:val="0"/>
          <w:color w:val="000000"/>
        </w:rPr>
        <w:t xml:space="preserve">o </w:t>
      </w:r>
      <w:r w:rsidRPr="00C07F0B">
        <w:rPr>
          <w:rFonts w:eastAsia="Times New Roman" w:cs="Calibri"/>
          <w:b w:val="0"/>
          <w:color w:val="000000"/>
        </w:rPr>
        <w:t>7,1</w:t>
      </w:r>
      <w:r w:rsidR="0036425F">
        <w:rPr>
          <w:rFonts w:eastAsia="Times New Roman" w:cs="Calibri"/>
          <w:b w:val="0"/>
          <w:color w:val="000000"/>
        </w:rPr>
        <w:t> </w:t>
      </w:r>
      <w:r w:rsidRPr="00C07F0B">
        <w:rPr>
          <w:rFonts w:eastAsia="Times New Roman" w:cs="Calibri"/>
          <w:b w:val="0"/>
          <w:color w:val="000000"/>
        </w:rPr>
        <w:t>p.</w:t>
      </w:r>
      <w:r w:rsidR="0036425F">
        <w:rPr>
          <w:rFonts w:eastAsia="Times New Roman" w:cs="Calibri"/>
          <w:b w:val="0"/>
          <w:color w:val="000000"/>
        </w:rPr>
        <w:t> </w:t>
      </w:r>
      <w:r w:rsidRPr="00C07F0B">
        <w:rPr>
          <w:rFonts w:eastAsia="Times New Roman" w:cs="Calibri"/>
          <w:b w:val="0"/>
          <w:color w:val="000000"/>
        </w:rPr>
        <w:t>proc. w skali roku.</w:t>
      </w:r>
    </w:p>
    <w:p w14:paraId="33684439" w14:textId="2CCCDFF3" w:rsidR="00682B9F" w:rsidRPr="00C07F0B" w:rsidRDefault="00C07F0B" w:rsidP="00C07F0B">
      <w:pPr>
        <w:pStyle w:val="LID"/>
        <w:spacing w:before="240" w:after="240"/>
        <w:rPr>
          <w:rFonts w:eastAsia="Times New Roman" w:cs="Calibri"/>
          <w:b w:val="0"/>
          <w:color w:val="000000"/>
        </w:rPr>
      </w:pPr>
      <w:r w:rsidRPr="00C07F0B">
        <w:rPr>
          <w:rFonts w:eastAsia="Times New Roman" w:cs="Calibri"/>
          <w:b w:val="0"/>
          <w:color w:val="000000"/>
        </w:rPr>
        <w:t>Kierujący gospodarstwami rolnymi, bez względu na dominujący typ produkcji rolniczej, wyrazili negatywne oceny odnośnie zmiany opłacalności produkcji. W bieżącej edycji badania najbardziej pesymistyczni w swoich ocenach byli kierujący gospodarstwami wielokierunkowymi</w:t>
      </w:r>
      <w:r w:rsidR="00597CA5">
        <w:rPr>
          <w:rFonts w:eastAsia="Times New Roman" w:cs="Calibri"/>
          <w:b w:val="0"/>
          <w:color w:val="000000"/>
        </w:rPr>
        <w:t>.</w:t>
      </w:r>
    </w:p>
    <w:p w14:paraId="098CE18A" w14:textId="56C0F6D3" w:rsidR="00681A0F" w:rsidRDefault="00682B9F" w:rsidP="005612BD">
      <w:pPr>
        <w:pStyle w:val="LID"/>
        <w:spacing w:before="480" w:after="240"/>
        <w:rPr>
          <w:rFonts w:eastAsia="Times New Roman" w:cs="Calibri"/>
          <w:bCs/>
          <w:color w:val="000000"/>
        </w:rPr>
      </w:pPr>
      <w:r w:rsidRPr="00D33600">
        <w:rPr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2964864" behindDoc="1" locked="0" layoutInCell="1" allowOverlap="1" wp14:anchorId="0AEED8F4" wp14:editId="6F0A92A3">
                <wp:simplePos x="0" y="0"/>
                <wp:positionH relativeFrom="page">
                  <wp:align>right</wp:align>
                </wp:positionH>
                <wp:positionV relativeFrom="paragraph">
                  <wp:posOffset>125301</wp:posOffset>
                </wp:positionV>
                <wp:extent cx="1784350" cy="1473200"/>
                <wp:effectExtent l="0" t="0" r="0" b="0"/>
                <wp:wrapTight wrapText="bothSides">
                  <wp:wrapPolygon edited="0">
                    <wp:start x="692" y="0"/>
                    <wp:lineTo x="692" y="21228"/>
                    <wp:lineTo x="20754" y="21228"/>
                    <wp:lineTo x="20754" y="0"/>
                    <wp:lineTo x="692" y="0"/>
                  </wp:wrapPolygon>
                </wp:wrapTight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47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0BE18" w14:textId="74EF76E7" w:rsidR="00E14EFF" w:rsidRPr="00081471" w:rsidRDefault="00E14EFF" w:rsidP="00C36EA1">
                            <w:pPr>
                              <w:pStyle w:val="tekstzboku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081471">
                              <w:rPr>
                                <w:color w:val="002060"/>
                                <w:szCs w:val="16"/>
                              </w:rPr>
                              <w:t>Saldo jest różnicą między procentowym udziałem odpowiedzi pozytywnych oraz procentowym udziałem odpowiedzi negatywnych. Saldo odpowiedzi (w p. proc.) nie uwzględnia wariantu neutralnego</w:t>
                            </w:r>
                            <w:r w:rsidRPr="00081471">
                              <w:rPr>
                                <w:color w:val="00206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D8F4" id="Pole tekstowe 10" o:spid="_x0000_s1029" type="#_x0000_t202" style="position:absolute;margin-left:89.3pt;margin-top:9.85pt;width:140.5pt;height:116pt;z-index:-2503516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" filled="f" stroked="f">
                <v:textbox>
                  <w:txbxContent>
                    <w:p w14:paraId="64F0BE18" w14:textId="74EF76E7" w:rsidR="00E14EFF" w:rsidRPr="00081471" w:rsidRDefault="00E14EFF" w:rsidP="00C36EA1">
                      <w:pPr>
                        <w:pStyle w:val="tekstzboku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081471">
                        <w:rPr>
                          <w:color w:val="002060"/>
                          <w:szCs w:val="16"/>
                        </w:rPr>
                        <w:t>Saldo jest różnicą między procentowym udziałem odpowiedzi pozytywnych oraz procentowym udziałem odpowiedzi negatywnych. Saldo odpowiedzi (w p. proc.) nie uwzględnia wariantu neutralnego</w:t>
                      </w:r>
                      <w:r w:rsidRPr="00081471">
                        <w:rPr>
                          <w:color w:val="00206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81A0F" w:rsidRPr="00AE110F">
        <w:rPr>
          <w:rFonts w:eastAsia="Times New Roman" w:cs="Calibri"/>
          <w:bCs/>
          <w:color w:val="000000"/>
        </w:rPr>
        <w:t>Tablica 1. Salda odpowiedzi dotyczące ocen</w:t>
      </w:r>
      <w:r w:rsidR="00681A0F">
        <w:rPr>
          <w:rFonts w:eastAsia="Times New Roman" w:cs="Calibri"/>
          <w:bCs/>
          <w:color w:val="000000"/>
        </w:rPr>
        <w:t xml:space="preserve"> zmian</w:t>
      </w:r>
      <w:r w:rsidR="00681A0F" w:rsidRPr="00AE110F">
        <w:rPr>
          <w:rFonts w:eastAsia="Times New Roman" w:cs="Calibri"/>
          <w:bCs/>
          <w:color w:val="000000"/>
        </w:rPr>
        <w:t>: sytuacji ogólnej gospodarstw roln</w:t>
      </w:r>
      <w:r w:rsidR="00495F83">
        <w:rPr>
          <w:rFonts w:eastAsia="Times New Roman" w:cs="Calibri"/>
          <w:bCs/>
          <w:color w:val="000000"/>
        </w:rPr>
        <w:t>ych</w:t>
      </w:r>
      <w:r w:rsidR="00681A0F" w:rsidRPr="00AE110F">
        <w:rPr>
          <w:rFonts w:eastAsia="Times New Roman" w:cs="Calibri"/>
          <w:bCs/>
          <w:color w:val="000000"/>
        </w:rPr>
        <w:t>, popytu na produkty rolne</w:t>
      </w:r>
      <w:r w:rsidR="008E3BC3">
        <w:rPr>
          <w:rFonts w:eastAsia="Times New Roman" w:cs="Calibri"/>
          <w:bCs/>
          <w:color w:val="000000"/>
        </w:rPr>
        <w:t xml:space="preserve"> oraz</w:t>
      </w:r>
      <w:r w:rsidR="00623A30">
        <w:rPr>
          <w:rFonts w:eastAsia="Times New Roman" w:cs="Calibri"/>
          <w:bCs/>
          <w:color w:val="000000"/>
        </w:rPr>
        <w:t xml:space="preserve"> </w:t>
      </w:r>
      <w:r w:rsidR="00623A30" w:rsidRPr="00AE110F">
        <w:rPr>
          <w:rFonts w:eastAsia="Times New Roman" w:cs="Calibri"/>
          <w:bCs/>
          <w:color w:val="000000"/>
        </w:rPr>
        <w:t>opłacalności produkcji rolniczej</w:t>
      </w:r>
      <w:r w:rsidR="00623A30">
        <w:rPr>
          <w:rFonts w:eastAsia="Times New Roman" w:cs="Calibri"/>
          <w:bCs/>
          <w:color w:val="000000"/>
        </w:rPr>
        <w:t xml:space="preserve"> </w:t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6"/>
        <w:gridCol w:w="1991"/>
        <w:gridCol w:w="1831"/>
        <w:gridCol w:w="1986"/>
        <w:gridCol w:w="146"/>
      </w:tblGrid>
      <w:tr w:rsidR="00350520" w:rsidRPr="00350520" w14:paraId="13A3F4AD" w14:textId="77777777" w:rsidTr="00350520">
        <w:trPr>
          <w:gridAfter w:val="1"/>
          <w:wAfter w:w="36" w:type="dxa"/>
          <w:trHeight w:val="855"/>
        </w:trPr>
        <w:tc>
          <w:tcPr>
            <w:tcW w:w="1777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CEA54B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 xml:space="preserve">Wyszczególnienie </w:t>
            </w:r>
          </w:p>
        </w:tc>
        <w:tc>
          <w:tcPr>
            <w:tcW w:w="1991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BFC832" w14:textId="5297DB23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Zmiana sytuacji ogólnej gospodarstw roln</w:t>
            </w:r>
            <w:r w:rsidR="00495F83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ych</w:t>
            </w: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 xml:space="preserve"> w ostatnim półroczu</w:t>
            </w:r>
          </w:p>
        </w:tc>
        <w:tc>
          <w:tcPr>
            <w:tcW w:w="1831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6FDAFE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Zmiana opłacalności produkcji rolniczej w ostatnim półroczu</w:t>
            </w:r>
          </w:p>
        </w:tc>
        <w:tc>
          <w:tcPr>
            <w:tcW w:w="2085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0A30F7ED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Zmiana popytu na produkty rolne w ostatnim półroczu</w:t>
            </w:r>
          </w:p>
        </w:tc>
      </w:tr>
      <w:tr w:rsidR="00350520" w:rsidRPr="00350520" w14:paraId="6C940CCB" w14:textId="77777777" w:rsidTr="00350520">
        <w:trPr>
          <w:trHeight w:val="300"/>
        </w:trPr>
        <w:tc>
          <w:tcPr>
            <w:tcW w:w="1777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3EE3F75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1991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6051E3B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D659625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2085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D3E0C0B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CC8E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</w:tr>
      <w:tr w:rsidR="00350520" w:rsidRPr="00350520" w14:paraId="7CDC4B03" w14:textId="77777777" w:rsidTr="00350520">
        <w:trPr>
          <w:trHeight w:val="300"/>
        </w:trPr>
        <w:tc>
          <w:tcPr>
            <w:tcW w:w="1777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6BBC435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1991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C62CD7D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1831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5722302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2085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26B5BB1A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90D7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36A7345B" w14:textId="77777777" w:rsidTr="00350520">
        <w:trPr>
          <w:trHeight w:val="315"/>
        </w:trPr>
        <w:tc>
          <w:tcPr>
            <w:tcW w:w="1777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2A36BA29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5907" w:type="dxa"/>
            <w:gridSpan w:val="3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10908B58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i/>
                <w:iCs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i/>
                <w:iCs/>
                <w:color w:val="000000"/>
                <w:sz w:val="19"/>
                <w:szCs w:val="19"/>
                <w:lang w:eastAsia="pl-PL"/>
              </w:rPr>
              <w:t>saldo odpowiedzi w p. proc.</w:t>
            </w:r>
          </w:p>
        </w:tc>
        <w:tc>
          <w:tcPr>
            <w:tcW w:w="36" w:type="dxa"/>
            <w:vAlign w:val="center"/>
            <w:hideMark/>
          </w:tcPr>
          <w:p w14:paraId="143E5748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0E4FC938" w14:textId="77777777" w:rsidTr="00350520">
        <w:trPr>
          <w:trHeight w:val="300"/>
        </w:trPr>
        <w:tc>
          <w:tcPr>
            <w:tcW w:w="17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9060AC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2019 r.</w:t>
            </w:r>
          </w:p>
        </w:tc>
        <w:tc>
          <w:tcPr>
            <w:tcW w:w="199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D9899E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-25,5</w:t>
            </w:r>
          </w:p>
        </w:tc>
        <w:tc>
          <w:tcPr>
            <w:tcW w:w="183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8131CA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-34,3</w:t>
            </w:r>
          </w:p>
        </w:tc>
        <w:tc>
          <w:tcPr>
            <w:tcW w:w="208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35FDF7C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-9,4</w:t>
            </w:r>
          </w:p>
        </w:tc>
        <w:tc>
          <w:tcPr>
            <w:tcW w:w="36" w:type="dxa"/>
            <w:vAlign w:val="center"/>
            <w:hideMark/>
          </w:tcPr>
          <w:p w14:paraId="300D6E5E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75CEE9B7" w14:textId="77777777" w:rsidTr="00350520">
        <w:trPr>
          <w:trHeight w:val="300"/>
        </w:trPr>
        <w:tc>
          <w:tcPr>
            <w:tcW w:w="177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5E71E3F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2020 r.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80138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-23,8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7913AF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-36,5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79F4CF8D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-16,1</w:t>
            </w:r>
          </w:p>
        </w:tc>
        <w:tc>
          <w:tcPr>
            <w:tcW w:w="36" w:type="dxa"/>
            <w:vAlign w:val="center"/>
            <w:hideMark/>
          </w:tcPr>
          <w:p w14:paraId="3FCB5028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5EA84C2C" w14:textId="77777777" w:rsidTr="00350520">
        <w:trPr>
          <w:trHeight w:val="300"/>
        </w:trPr>
        <w:tc>
          <w:tcPr>
            <w:tcW w:w="177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E913DC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2020 r.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1AB948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-25,9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6CA11A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-35,1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86D61E6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-15,7</w:t>
            </w:r>
          </w:p>
        </w:tc>
        <w:tc>
          <w:tcPr>
            <w:tcW w:w="36" w:type="dxa"/>
            <w:vAlign w:val="center"/>
            <w:hideMark/>
          </w:tcPr>
          <w:p w14:paraId="07518D59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69CF322C" w14:textId="77777777" w:rsidTr="00350520">
        <w:trPr>
          <w:trHeight w:val="300"/>
        </w:trPr>
        <w:tc>
          <w:tcPr>
            <w:tcW w:w="177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7F20B4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2021 r.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1688BD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-25,2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886B25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-38,6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00830B9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-7,4</w:t>
            </w:r>
          </w:p>
        </w:tc>
        <w:tc>
          <w:tcPr>
            <w:tcW w:w="36" w:type="dxa"/>
            <w:vAlign w:val="center"/>
            <w:hideMark/>
          </w:tcPr>
          <w:p w14:paraId="3E5F51BA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31A7ED70" w14:textId="77777777" w:rsidTr="00350520">
        <w:trPr>
          <w:trHeight w:val="300"/>
        </w:trPr>
        <w:tc>
          <w:tcPr>
            <w:tcW w:w="177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CC4B2FA" w14:textId="4489B8F1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</w:t>
            </w:r>
            <w:r w:rsidR="0007385C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 xml:space="preserve"> </w:t>
            </w: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2021 r.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112F75D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-37,3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FA87CC2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-47,0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DC6ED6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-6,0</w:t>
            </w:r>
          </w:p>
        </w:tc>
        <w:tc>
          <w:tcPr>
            <w:tcW w:w="36" w:type="dxa"/>
            <w:vAlign w:val="center"/>
            <w:hideMark/>
          </w:tcPr>
          <w:p w14:paraId="138D5FFB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67DF38E1" w14:textId="77777777" w:rsidTr="00350520">
        <w:trPr>
          <w:trHeight w:val="300"/>
        </w:trPr>
        <w:tc>
          <w:tcPr>
            <w:tcW w:w="177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24C9F95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2022 r.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92CBF5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-46,2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A72BA7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-54,4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A42819B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-9,5</w:t>
            </w:r>
          </w:p>
        </w:tc>
        <w:tc>
          <w:tcPr>
            <w:tcW w:w="36" w:type="dxa"/>
            <w:vAlign w:val="center"/>
            <w:hideMark/>
          </w:tcPr>
          <w:p w14:paraId="2472EC47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6D1A17B9" w14:textId="77777777" w:rsidTr="00350520">
        <w:trPr>
          <w:trHeight w:val="300"/>
        </w:trPr>
        <w:tc>
          <w:tcPr>
            <w:tcW w:w="177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960ED0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2022 r.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CC3442A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-37,7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1AC9D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-51,3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0BD0023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-23,3</w:t>
            </w:r>
          </w:p>
        </w:tc>
        <w:tc>
          <w:tcPr>
            <w:tcW w:w="36" w:type="dxa"/>
            <w:vAlign w:val="center"/>
            <w:hideMark/>
          </w:tcPr>
          <w:p w14:paraId="5DBB14CE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296E1445" w14:textId="77777777" w:rsidTr="00350520">
        <w:trPr>
          <w:trHeight w:val="300"/>
        </w:trPr>
        <w:tc>
          <w:tcPr>
            <w:tcW w:w="177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0CFBD6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2023 r.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625FC5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-48,9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4D4C0C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-66,6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26B510A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-33,4</w:t>
            </w:r>
          </w:p>
        </w:tc>
        <w:tc>
          <w:tcPr>
            <w:tcW w:w="36" w:type="dxa"/>
            <w:vAlign w:val="center"/>
            <w:hideMark/>
          </w:tcPr>
          <w:p w14:paraId="3A109698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0F3B7AAD" w14:textId="77777777" w:rsidTr="00350520">
        <w:trPr>
          <w:trHeight w:val="300"/>
        </w:trPr>
        <w:tc>
          <w:tcPr>
            <w:tcW w:w="1777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F0C66BE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2023 r.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9CE7266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-45,5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00771C6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-61,0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46DAE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-30,3</w:t>
            </w:r>
          </w:p>
        </w:tc>
        <w:tc>
          <w:tcPr>
            <w:tcW w:w="36" w:type="dxa"/>
            <w:vAlign w:val="center"/>
            <w:hideMark/>
          </w:tcPr>
          <w:p w14:paraId="37108141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4F3DF465" w14:textId="77777777" w:rsidTr="00350520">
        <w:trPr>
          <w:trHeight w:val="300"/>
        </w:trPr>
        <w:tc>
          <w:tcPr>
            <w:tcW w:w="17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7DDED13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2024 r.</w:t>
            </w:r>
          </w:p>
        </w:tc>
        <w:tc>
          <w:tcPr>
            <w:tcW w:w="1991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7DCF4E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-43,2</w:t>
            </w:r>
          </w:p>
        </w:tc>
        <w:tc>
          <w:tcPr>
            <w:tcW w:w="1831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2AB22B3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-60,2</w:t>
            </w:r>
          </w:p>
        </w:tc>
        <w:tc>
          <w:tcPr>
            <w:tcW w:w="2085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EE107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-25,4</w:t>
            </w:r>
          </w:p>
        </w:tc>
        <w:tc>
          <w:tcPr>
            <w:tcW w:w="36" w:type="dxa"/>
            <w:vAlign w:val="center"/>
            <w:hideMark/>
          </w:tcPr>
          <w:p w14:paraId="34EBA5A1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261F5482" w14:textId="4637E2A9" w:rsidR="00C43B21" w:rsidRDefault="00081471" w:rsidP="003B580C">
      <w:pPr>
        <w:pStyle w:val="LID"/>
        <w:spacing w:before="240" w:after="120"/>
        <w:rPr>
          <w:rFonts w:eastAsia="Times New Roman" w:cs="Calibri"/>
          <w:b w:val="0"/>
          <w:bCs/>
          <w:color w:val="000000" w:themeColor="text1"/>
        </w:rPr>
      </w:pPr>
      <w:r w:rsidRPr="00D33600">
        <w:rPr>
          <w:spacing w:val="-2"/>
        </w:rPr>
        <mc:AlternateContent>
          <mc:Choice Requires="wps">
            <w:drawing>
              <wp:anchor distT="45720" distB="45720" distL="114300" distR="114300" simplePos="0" relativeHeight="253024256" behindDoc="1" locked="0" layoutInCell="1" allowOverlap="1" wp14:anchorId="4869259A" wp14:editId="1D56DF2A">
                <wp:simplePos x="0" y="0"/>
                <wp:positionH relativeFrom="column">
                  <wp:posOffset>5318820</wp:posOffset>
                </wp:positionH>
                <wp:positionV relativeFrom="paragraph">
                  <wp:posOffset>542470</wp:posOffset>
                </wp:positionV>
                <wp:extent cx="1784350" cy="1473200"/>
                <wp:effectExtent l="0" t="0" r="0" b="0"/>
                <wp:wrapTight wrapText="bothSides">
                  <wp:wrapPolygon edited="0">
                    <wp:start x="692" y="0"/>
                    <wp:lineTo x="692" y="21228"/>
                    <wp:lineTo x="20754" y="21228"/>
                    <wp:lineTo x="20754" y="0"/>
                    <wp:lineTo x="692" y="0"/>
                  </wp:wrapPolygon>
                </wp:wrapTight>
                <wp:docPr id="509413253" name="Pole tekstowe 50941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47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AEFE6" w14:textId="548C8717" w:rsidR="00081471" w:rsidRPr="00081471" w:rsidRDefault="00081471" w:rsidP="00081471">
                            <w:pPr>
                              <w:pStyle w:val="tekstzboku"/>
                              <w:spacing w:before="120" w:after="120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081471">
                              <w:rPr>
                                <w:rFonts w:cs="Calibri"/>
                                <w:color w:val="002060"/>
                              </w:rPr>
                              <w:t xml:space="preserve">W I półroczu 2024 r. 71,2% prowadzących chów koni </w:t>
                            </w:r>
                            <w:r w:rsidR="001B066E" w:rsidRPr="005C2875">
                              <w:rPr>
                                <w:rFonts w:cs="Calibri"/>
                                <w:color w:val="002060"/>
                              </w:rPr>
                              <w:t>oceniło</w:t>
                            </w:r>
                            <w:r w:rsidRPr="00081471">
                              <w:rPr>
                                <w:rFonts w:cs="Calibri"/>
                                <w:color w:val="002060"/>
                              </w:rPr>
                              <w:t xml:space="preserve">, że opłacalność produkcji pogorszyła się, a 0,3% że poprawiła się. Pozostali odpowiedzieli, że </w:t>
                            </w:r>
                            <w:r w:rsidR="001B066E" w:rsidRPr="005C2875">
                              <w:rPr>
                                <w:rFonts w:cs="Calibri"/>
                                <w:color w:val="002060"/>
                              </w:rPr>
                              <w:t>opłacalność produkcji</w:t>
                            </w:r>
                            <w:r w:rsidR="001B066E" w:rsidRPr="00E9175F">
                              <w:rPr>
                                <w:rFonts w:cs="Calibri"/>
                                <w:color w:val="auto"/>
                              </w:rPr>
                              <w:t xml:space="preserve"> </w:t>
                            </w:r>
                            <w:r w:rsidRPr="00081471">
                              <w:rPr>
                                <w:rFonts w:cs="Calibri"/>
                                <w:color w:val="002060"/>
                              </w:rPr>
                              <w:t>pozostała bez zmian.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9259A" id="Pole tekstowe 509413253" o:spid="_x0000_s1030" type="#_x0000_t202" style="position:absolute;margin-left:418.8pt;margin-top:42.7pt;width:140.5pt;height:116pt;z-index:-2502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" filled="f" stroked="f">
                <v:textbox>
                  <w:txbxContent>
                    <w:p w14:paraId="165AEFE6" w14:textId="548C8717" w:rsidR="00081471" w:rsidRPr="00081471" w:rsidRDefault="00081471" w:rsidP="00081471">
                      <w:pPr>
                        <w:pStyle w:val="tekstzboku"/>
                        <w:spacing w:before="120" w:after="120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081471">
                        <w:rPr>
                          <w:rFonts w:cs="Calibri"/>
                          <w:color w:val="002060"/>
                        </w:rPr>
                        <w:t xml:space="preserve">W I półroczu 2024 r. 71,2% prowadzących chów koni </w:t>
                      </w:r>
                      <w:r w:rsidR="001B066E" w:rsidRPr="005C2875">
                        <w:rPr>
                          <w:rFonts w:cs="Calibri"/>
                          <w:color w:val="002060"/>
                        </w:rPr>
                        <w:t>oceniło</w:t>
                      </w:r>
                      <w:r w:rsidRPr="00081471">
                        <w:rPr>
                          <w:rFonts w:cs="Calibri"/>
                          <w:color w:val="002060"/>
                        </w:rPr>
                        <w:t xml:space="preserve">, że opłacalność produkcji pogorszyła się, a 0,3% że poprawiła się. Pozostali odpowiedzieli, że </w:t>
                      </w:r>
                      <w:r w:rsidR="001B066E" w:rsidRPr="005C2875">
                        <w:rPr>
                          <w:rFonts w:cs="Calibri"/>
                          <w:color w:val="002060"/>
                        </w:rPr>
                        <w:t>opłacalność produkcji</w:t>
                      </w:r>
                      <w:r w:rsidR="001B066E" w:rsidRPr="00E9175F">
                        <w:rPr>
                          <w:rFonts w:cs="Calibri"/>
                          <w:color w:val="auto"/>
                        </w:rPr>
                        <w:t xml:space="preserve"> </w:t>
                      </w:r>
                      <w:r w:rsidRPr="00081471">
                        <w:rPr>
                          <w:rFonts w:cs="Calibri"/>
                          <w:color w:val="002060"/>
                        </w:rPr>
                        <w:t>pozostała bez zmian.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C3C1A">
        <w:rPr>
          <w:rFonts w:eastAsia="Times New Roman" w:cs="Calibri"/>
          <w:b w:val="0"/>
          <w:bCs/>
          <w:color w:val="000000" w:themeColor="text1"/>
        </w:rPr>
        <w:t>Największ</w:t>
      </w:r>
      <w:r w:rsidR="001B066E" w:rsidRPr="00E9175F">
        <w:rPr>
          <w:rFonts w:eastAsia="Times New Roman" w:cs="Calibri"/>
          <w:b w:val="0"/>
          <w:bCs/>
        </w:rPr>
        <w:t>e</w:t>
      </w:r>
      <w:r w:rsidRPr="003C3C1A">
        <w:rPr>
          <w:rFonts w:eastAsia="Times New Roman" w:cs="Calibri"/>
          <w:b w:val="0"/>
          <w:bCs/>
          <w:color w:val="000000" w:themeColor="text1"/>
        </w:rPr>
        <w:t xml:space="preserve"> </w:t>
      </w:r>
      <w:r w:rsidR="001B066E">
        <w:rPr>
          <w:rFonts w:eastAsia="Times New Roman" w:cs="Calibri"/>
          <w:b w:val="0"/>
          <w:bCs/>
          <w:color w:val="000000" w:themeColor="text1"/>
        </w:rPr>
        <w:t xml:space="preserve">pogorszenie </w:t>
      </w:r>
      <w:r w:rsidR="001B066E" w:rsidRPr="00E9175F">
        <w:rPr>
          <w:rFonts w:eastAsia="Times New Roman" w:cs="Calibri"/>
          <w:b w:val="0"/>
          <w:bCs/>
        </w:rPr>
        <w:t>ocen</w:t>
      </w:r>
      <w:r w:rsidR="001B066E" w:rsidRPr="001B066E">
        <w:rPr>
          <w:rFonts w:eastAsia="Times New Roman" w:cs="Calibri"/>
          <w:b w:val="0"/>
          <w:bCs/>
          <w:color w:val="FF0000"/>
        </w:rPr>
        <w:t xml:space="preserve"> </w:t>
      </w:r>
      <w:r w:rsidR="004148A9">
        <w:rPr>
          <w:rFonts w:eastAsia="Times New Roman" w:cs="Calibri"/>
          <w:b w:val="0"/>
          <w:bCs/>
          <w:color w:val="000000" w:themeColor="text1"/>
        </w:rPr>
        <w:t>(o 6,6 p. proc.)</w:t>
      </w:r>
      <w:r w:rsidR="004148A9" w:rsidRPr="003C3C1A">
        <w:rPr>
          <w:rFonts w:eastAsia="Times New Roman" w:cs="Calibri"/>
          <w:b w:val="0"/>
          <w:bCs/>
          <w:color w:val="000000" w:themeColor="text1"/>
        </w:rPr>
        <w:t xml:space="preserve"> </w:t>
      </w:r>
      <w:r w:rsidRPr="003C3C1A">
        <w:rPr>
          <w:rFonts w:eastAsia="Times New Roman" w:cs="Calibri"/>
          <w:b w:val="0"/>
          <w:bCs/>
          <w:color w:val="000000" w:themeColor="text1"/>
        </w:rPr>
        <w:t>w porównaniu z II półroczem ub. r</w:t>
      </w:r>
      <w:r w:rsidR="001B066E" w:rsidRPr="00E9175F">
        <w:rPr>
          <w:rFonts w:eastAsia="Times New Roman" w:cs="Calibri"/>
          <w:b w:val="0"/>
          <w:bCs/>
        </w:rPr>
        <w:t>oku</w:t>
      </w:r>
      <w:r w:rsidRPr="003C3C1A">
        <w:rPr>
          <w:rFonts w:eastAsia="Times New Roman" w:cs="Calibri"/>
          <w:b w:val="0"/>
          <w:bCs/>
          <w:color w:val="000000" w:themeColor="text1"/>
        </w:rPr>
        <w:t xml:space="preserve"> odnotowano u producentów produktów zwierzęcych</w:t>
      </w:r>
      <w:r w:rsidR="004148A9">
        <w:rPr>
          <w:rFonts w:eastAsia="Times New Roman" w:cs="Calibri"/>
          <w:b w:val="0"/>
          <w:bCs/>
          <w:color w:val="000000" w:themeColor="text1"/>
        </w:rPr>
        <w:t>.</w:t>
      </w:r>
      <w:r w:rsidR="0007385C">
        <w:rPr>
          <w:rFonts w:eastAsia="Times New Roman" w:cs="Calibri"/>
          <w:b w:val="0"/>
          <w:bCs/>
          <w:color w:val="000000" w:themeColor="text1"/>
        </w:rPr>
        <w:t xml:space="preserve"> </w:t>
      </w:r>
      <w:r w:rsidRPr="003C3C1A">
        <w:rPr>
          <w:rFonts w:eastAsia="Times New Roman" w:cs="Calibri"/>
          <w:b w:val="0"/>
          <w:bCs/>
          <w:color w:val="000000" w:themeColor="text1"/>
        </w:rPr>
        <w:t>Wśród nich najbardziej negatywnie zmiany opłacalności produkcji ocenili prowadzący chów koni</w:t>
      </w:r>
      <w:r>
        <w:rPr>
          <w:rFonts w:eastAsia="Times New Roman" w:cs="Calibri"/>
          <w:b w:val="0"/>
          <w:bCs/>
          <w:color w:val="000000" w:themeColor="text1"/>
        </w:rPr>
        <w:t xml:space="preserve"> (saldo minus 70,9 p. proc.)</w:t>
      </w:r>
      <w:r w:rsidRPr="003C3C1A">
        <w:rPr>
          <w:rFonts w:eastAsia="Times New Roman" w:cs="Calibri"/>
          <w:b w:val="0"/>
          <w:bCs/>
          <w:color w:val="000000" w:themeColor="text1"/>
        </w:rPr>
        <w:t xml:space="preserve">, a najmniej </w:t>
      </w:r>
      <w:r w:rsidR="001B066E" w:rsidRPr="00E9175F">
        <w:rPr>
          <w:rFonts w:eastAsia="Times New Roman" w:cs="Calibri"/>
          <w:b w:val="0"/>
          <w:bCs/>
        </w:rPr>
        <w:t xml:space="preserve">– </w:t>
      </w:r>
      <w:r w:rsidRPr="003C3C1A">
        <w:rPr>
          <w:rFonts w:eastAsia="Times New Roman" w:cs="Calibri"/>
          <w:b w:val="0"/>
          <w:bCs/>
          <w:color w:val="000000" w:themeColor="text1"/>
        </w:rPr>
        <w:t>brojlerów</w:t>
      </w:r>
      <w:r>
        <w:rPr>
          <w:rFonts w:eastAsia="Times New Roman" w:cs="Calibri"/>
          <w:b w:val="0"/>
          <w:bCs/>
          <w:color w:val="000000" w:themeColor="text1"/>
        </w:rPr>
        <w:t xml:space="preserve"> (minus 46,6 p.proc.)</w:t>
      </w:r>
      <w:r w:rsidRPr="003C3C1A">
        <w:rPr>
          <w:rFonts w:eastAsia="Times New Roman" w:cs="Calibri"/>
          <w:b w:val="0"/>
          <w:bCs/>
          <w:color w:val="000000" w:themeColor="text1"/>
        </w:rPr>
        <w:t>.</w:t>
      </w:r>
    </w:p>
    <w:p w14:paraId="29645695" w14:textId="1940586A" w:rsidR="00C43B21" w:rsidRDefault="00081471" w:rsidP="00250299">
      <w:pPr>
        <w:pStyle w:val="LID"/>
        <w:spacing w:before="240" w:after="120"/>
        <w:rPr>
          <w:rFonts w:eastAsia="Times New Roman" w:cs="Calibri"/>
          <w:b w:val="0"/>
          <w:bCs/>
        </w:rPr>
      </w:pPr>
      <w:r>
        <w:rPr>
          <w:rFonts w:eastAsia="Times New Roman" w:cs="Calibri"/>
          <w:b w:val="0"/>
          <w:bCs/>
          <w:color w:val="000000" w:themeColor="text1"/>
        </w:rPr>
        <w:t>W porównaniu z poprzednim półroczem wzrost salda odnotowano jedynie dla gospodarstw ukierunkowanych na produkcję ro</w:t>
      </w:r>
      <w:r w:rsidR="007D261B">
        <w:rPr>
          <w:rFonts w:eastAsia="Times New Roman" w:cs="Calibri"/>
          <w:b w:val="0"/>
          <w:bCs/>
          <w:color w:val="000000" w:themeColor="text1"/>
        </w:rPr>
        <w:t>ś</w:t>
      </w:r>
      <w:r>
        <w:rPr>
          <w:rFonts w:eastAsia="Times New Roman" w:cs="Calibri"/>
          <w:b w:val="0"/>
          <w:bCs/>
          <w:color w:val="000000" w:themeColor="text1"/>
        </w:rPr>
        <w:t xml:space="preserve">linną. </w:t>
      </w:r>
      <w:r>
        <w:rPr>
          <w:rFonts w:eastAsia="Times New Roman" w:cs="Calibri"/>
          <w:b w:val="0"/>
          <w:bCs/>
        </w:rPr>
        <w:t>N</w:t>
      </w:r>
      <w:r w:rsidRPr="000C7286">
        <w:rPr>
          <w:rFonts w:eastAsia="Times New Roman" w:cs="Calibri"/>
          <w:b w:val="0"/>
          <w:bCs/>
        </w:rPr>
        <w:t xml:space="preserve">ajmniej pesymistyczne </w:t>
      </w:r>
      <w:r w:rsidR="001B066E" w:rsidRPr="00E9175F">
        <w:rPr>
          <w:rFonts w:eastAsia="Times New Roman" w:cs="Calibri"/>
          <w:b w:val="0"/>
          <w:bCs/>
        </w:rPr>
        <w:t>oceny</w:t>
      </w:r>
      <w:r w:rsidR="001B066E" w:rsidRPr="005C2875">
        <w:rPr>
          <w:rFonts w:eastAsia="Times New Roman" w:cs="Calibri"/>
          <w:b w:val="0"/>
          <w:bCs/>
        </w:rPr>
        <w:t xml:space="preserve"> </w:t>
      </w:r>
      <w:r w:rsidRPr="000C7286">
        <w:rPr>
          <w:rFonts w:eastAsia="Times New Roman" w:cs="Calibri"/>
          <w:b w:val="0"/>
          <w:bCs/>
        </w:rPr>
        <w:t>zmiany opłacalności produkcji wyrazili prowadzący uprawy pod osłonami</w:t>
      </w:r>
      <w:r>
        <w:rPr>
          <w:rFonts w:eastAsia="Times New Roman" w:cs="Calibri"/>
          <w:b w:val="0"/>
          <w:bCs/>
        </w:rPr>
        <w:t xml:space="preserve"> (saldo minus 36,8 p.proc.)</w:t>
      </w:r>
      <w:r w:rsidRPr="000C7286">
        <w:rPr>
          <w:rFonts w:eastAsia="Times New Roman" w:cs="Calibri"/>
          <w:b w:val="0"/>
          <w:bCs/>
        </w:rPr>
        <w:t xml:space="preserve">, </w:t>
      </w:r>
      <w:r w:rsidR="00C43B21" w:rsidRPr="00C43B21">
        <w:rPr>
          <w:rFonts w:eastAsia="Times New Roman" w:cs="Calibri"/>
          <w:b w:val="0"/>
          <w:bCs/>
        </w:rPr>
        <w:t xml:space="preserve">natomiast najbardziej negatywne </w:t>
      </w:r>
      <w:r w:rsidR="001B066E" w:rsidRPr="00E9175F">
        <w:rPr>
          <w:rFonts w:eastAsia="Times New Roman" w:cs="Calibri"/>
          <w:b w:val="0"/>
          <w:bCs/>
        </w:rPr>
        <w:t>oceny</w:t>
      </w:r>
      <w:r w:rsidR="001B066E">
        <w:rPr>
          <w:rFonts w:eastAsia="Times New Roman" w:cs="Calibri"/>
          <w:b w:val="0"/>
          <w:bCs/>
          <w:color w:val="FF0000"/>
        </w:rPr>
        <w:t xml:space="preserve"> </w:t>
      </w:r>
      <w:r w:rsidR="00C43B21" w:rsidRPr="00C43B21">
        <w:rPr>
          <w:rFonts w:eastAsia="Times New Roman" w:cs="Calibri"/>
          <w:b w:val="0"/>
          <w:bCs/>
        </w:rPr>
        <w:t>wyrazili prowadzący uprawy rzepaku i rzepiku (saldo minus 69,4 p. proc</w:t>
      </w:r>
      <w:r w:rsidR="00C43B21">
        <w:rPr>
          <w:rFonts w:eastAsia="Times New Roman" w:cs="Calibri"/>
          <w:b w:val="0"/>
          <w:bCs/>
        </w:rPr>
        <w:t>.).</w:t>
      </w:r>
    </w:p>
    <w:p w14:paraId="6AA6DDDE" w14:textId="78C7C2FA" w:rsidR="00E53909" w:rsidRPr="00C43B21" w:rsidRDefault="00C43B21" w:rsidP="00250299">
      <w:pPr>
        <w:pStyle w:val="LID"/>
        <w:spacing w:before="240" w:after="120"/>
        <w:rPr>
          <w:rFonts w:eastAsia="Times New Roman" w:cs="Calibri"/>
          <w:b w:val="0"/>
          <w:bCs/>
          <w:color w:val="000000" w:themeColor="text1"/>
        </w:rPr>
      </w:pPr>
      <w:r>
        <w:drawing>
          <wp:anchor distT="0" distB="0" distL="114300" distR="114300" simplePos="0" relativeHeight="253028352" behindDoc="0" locked="0" layoutInCell="1" allowOverlap="1" wp14:anchorId="708252C6" wp14:editId="5D8F1B59">
            <wp:simplePos x="0" y="0"/>
            <wp:positionH relativeFrom="margin">
              <wp:align>right</wp:align>
            </wp:positionH>
            <wp:positionV relativeFrom="paragraph">
              <wp:posOffset>478155</wp:posOffset>
            </wp:positionV>
            <wp:extent cx="5276850" cy="3286125"/>
            <wp:effectExtent l="0" t="0" r="0" b="0"/>
            <wp:wrapTopAndBottom/>
            <wp:docPr id="1227375673" name="Wykres 1" descr="Salda odpowiedzi dotyczące prognozowanej w &#10;II półroczu sytuacji ogólnej gospodarstw rolnych, opłacalności produkcji rolniczej i popytu na produkty roln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8BA" w:rsidRPr="00571B3C">
        <w:rPr>
          <w:rFonts w:eastAsia="Times New Roman" w:cs="Calibri"/>
          <w:bCs/>
          <w:color w:val="000000"/>
        </w:rPr>
        <w:t>Wykres 3</w:t>
      </w:r>
      <w:r w:rsidR="002D58BA">
        <w:rPr>
          <w:rFonts w:eastAsia="Times New Roman" w:cs="Calibri"/>
          <w:bCs/>
          <w:color w:val="000000"/>
        </w:rPr>
        <w:t>.</w:t>
      </w:r>
      <w:r w:rsidR="002D58BA" w:rsidRPr="00571B3C">
        <w:rPr>
          <w:rFonts w:eastAsia="Times New Roman" w:cs="Calibri"/>
          <w:bCs/>
          <w:color w:val="000000"/>
        </w:rPr>
        <w:t xml:space="preserve"> Salda odpowiedzi dotyczące zmiany w I półroczu</w:t>
      </w:r>
      <w:r w:rsidR="002D58BA">
        <w:rPr>
          <w:rFonts w:eastAsia="Times New Roman" w:cs="Calibri"/>
          <w:bCs/>
          <w:color w:val="000000"/>
        </w:rPr>
        <w:t>:</w:t>
      </w:r>
      <w:r w:rsidR="002D58BA" w:rsidRPr="00571B3C">
        <w:rPr>
          <w:rFonts w:eastAsia="Times New Roman" w:cs="Calibri"/>
          <w:bCs/>
          <w:color w:val="000000"/>
        </w:rPr>
        <w:t xml:space="preserve"> sytuacji ogólnej gospodarstw rolnych, opłacalności produkcji rolniczej i popytu na produkty rolne</w:t>
      </w:r>
    </w:p>
    <w:p w14:paraId="1434FF31" w14:textId="54486BFC" w:rsidR="000D71FB" w:rsidRDefault="00081471" w:rsidP="000D71FB">
      <w:pPr>
        <w:pStyle w:val="LID"/>
        <w:spacing w:after="120"/>
        <w:rPr>
          <w:rFonts w:eastAsia="Times New Roman" w:cs="Calibri"/>
          <w:b w:val="0"/>
          <w:bCs/>
        </w:rPr>
      </w:pPr>
      <w:r w:rsidRPr="00D33600">
        <w:rPr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3026304" behindDoc="1" locked="0" layoutInCell="1" allowOverlap="1" wp14:anchorId="74016B66" wp14:editId="7AE0098F">
                <wp:simplePos x="0" y="0"/>
                <wp:positionH relativeFrom="page">
                  <wp:align>right</wp:align>
                </wp:positionH>
                <wp:positionV relativeFrom="paragraph">
                  <wp:posOffset>13112</wp:posOffset>
                </wp:positionV>
                <wp:extent cx="1784350" cy="1473200"/>
                <wp:effectExtent l="0" t="0" r="0" b="0"/>
                <wp:wrapTight wrapText="bothSides">
                  <wp:wrapPolygon edited="0">
                    <wp:start x="692" y="0"/>
                    <wp:lineTo x="692" y="21228"/>
                    <wp:lineTo x="20754" y="21228"/>
                    <wp:lineTo x="20754" y="0"/>
                    <wp:lineTo x="692" y="0"/>
                  </wp:wrapPolygon>
                </wp:wrapTight>
                <wp:docPr id="165035087" name="Pole tekstowe 165035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47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F9AED" w14:textId="5D2CF200" w:rsidR="00081471" w:rsidRPr="00081471" w:rsidRDefault="00081471" w:rsidP="00081471">
                            <w:pPr>
                              <w:pStyle w:val="tekstzboku"/>
                              <w:spacing w:before="120" w:after="120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081471">
                              <w:rPr>
                                <w:rFonts w:cs="Calibri"/>
                                <w:color w:val="002060"/>
                              </w:rPr>
                              <w:t>14,2% prowadzących plantacje drzew i krzewów owocowych oceniło, że popyt na wytwarzane produkty rolne wzrósł, a 26,8% że zmniejszył się. Pozostali odpowiedzieli, że</w:t>
                            </w:r>
                            <w:r w:rsidR="00174C8D">
                              <w:rPr>
                                <w:rFonts w:cs="Calibri"/>
                                <w:color w:val="002060"/>
                              </w:rPr>
                              <w:t xml:space="preserve"> popyt</w:t>
                            </w:r>
                            <w:r w:rsidRPr="00081471">
                              <w:rPr>
                                <w:rFonts w:cs="Calibri"/>
                                <w:color w:val="002060"/>
                              </w:rPr>
                              <w:t xml:space="preserve"> pozostał bez zmian</w:t>
                            </w:r>
                            <w:r>
                              <w:rPr>
                                <w:rFonts w:cs="Calibri"/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6B66" id="Pole tekstowe 165035087" o:spid="_x0000_s1031" type="#_x0000_t202" style="position:absolute;margin-left:89.3pt;margin-top:1.05pt;width:140.5pt;height:116pt;z-index:-2502901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" filled="f" stroked="f">
                <v:textbox>
                  <w:txbxContent>
                    <w:p w14:paraId="52AF9AED" w14:textId="5D2CF200" w:rsidR="00081471" w:rsidRPr="00081471" w:rsidRDefault="00081471" w:rsidP="00081471">
                      <w:pPr>
                        <w:pStyle w:val="tekstzboku"/>
                        <w:spacing w:before="120" w:after="120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081471">
                        <w:rPr>
                          <w:rFonts w:cs="Calibri"/>
                          <w:color w:val="002060"/>
                        </w:rPr>
                        <w:t>14,2% prowadzących plantacje drzew i krzewów owocowych oceniło, że popyt na wytwarzane produkty rolne wzrósł, a 26,8% że zmniejszył się. Pozostali odpowiedzieli, że</w:t>
                      </w:r>
                      <w:r w:rsidR="00174C8D">
                        <w:rPr>
                          <w:rFonts w:cs="Calibri"/>
                          <w:color w:val="002060"/>
                        </w:rPr>
                        <w:t xml:space="preserve"> popyt</w:t>
                      </w:r>
                      <w:r w:rsidRPr="00081471">
                        <w:rPr>
                          <w:rFonts w:cs="Calibri"/>
                          <w:color w:val="002060"/>
                        </w:rPr>
                        <w:t xml:space="preserve"> pozostał bez zmian</w:t>
                      </w:r>
                      <w:r>
                        <w:rPr>
                          <w:rFonts w:cs="Calibri"/>
                          <w:color w:val="002060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05325">
        <w:rPr>
          <w:rFonts w:eastAsia="Times New Roman" w:cs="Calibri"/>
          <w:b w:val="0"/>
          <w:bCs/>
        </w:rPr>
        <w:t>W I półroczu</w:t>
      </w:r>
      <w:r w:rsidRPr="00E9175F">
        <w:rPr>
          <w:rFonts w:eastAsia="Times New Roman" w:cs="Calibri"/>
          <w:b w:val="0"/>
          <w:bCs/>
        </w:rPr>
        <w:t xml:space="preserve"> </w:t>
      </w:r>
      <w:r w:rsidR="001B066E" w:rsidRPr="00E9175F">
        <w:rPr>
          <w:rFonts w:eastAsia="Times New Roman" w:cs="Calibri"/>
          <w:b w:val="0"/>
          <w:bCs/>
        </w:rPr>
        <w:t>b</w:t>
      </w:r>
      <w:r w:rsidRPr="00E9175F">
        <w:rPr>
          <w:rFonts w:eastAsia="Times New Roman" w:cs="Calibri"/>
          <w:b w:val="0"/>
          <w:bCs/>
        </w:rPr>
        <w:t>r</w:t>
      </w:r>
      <w:r w:rsidRPr="00F05325">
        <w:rPr>
          <w:rFonts w:eastAsia="Times New Roman" w:cs="Calibri"/>
          <w:b w:val="0"/>
          <w:bCs/>
        </w:rPr>
        <w:t>. oceny</w:t>
      </w:r>
      <w:r w:rsidR="0036425F">
        <w:rPr>
          <w:rFonts w:eastAsia="Times New Roman" w:cs="Calibri"/>
          <w:b w:val="0"/>
          <w:bCs/>
        </w:rPr>
        <w:t xml:space="preserve"> rolników</w:t>
      </w:r>
      <w:r w:rsidRPr="00F05325">
        <w:rPr>
          <w:rFonts w:eastAsia="Times New Roman" w:cs="Calibri"/>
          <w:b w:val="0"/>
          <w:bCs/>
        </w:rPr>
        <w:t xml:space="preserve"> dotyczące zmiany popytu na wytwarzane produkty rolne były na</w:t>
      </w:r>
      <w:r w:rsidR="000D71FB">
        <w:rPr>
          <w:rFonts w:eastAsia="Times New Roman" w:cs="Calibri"/>
          <w:b w:val="0"/>
          <w:bCs/>
        </w:rPr>
        <w:t> </w:t>
      </w:r>
      <w:r w:rsidRPr="00F05325">
        <w:rPr>
          <w:rFonts w:eastAsia="Times New Roman" w:cs="Calibri"/>
          <w:b w:val="0"/>
          <w:bCs/>
        </w:rPr>
        <w:t xml:space="preserve">ogół korzystniejsze w porównaniu z II półroczem 2023 r., jak i w skali roku. Największy </w:t>
      </w:r>
      <w:r>
        <w:rPr>
          <w:rFonts w:eastAsia="Times New Roman" w:cs="Calibri"/>
          <w:b w:val="0"/>
          <w:bCs/>
        </w:rPr>
        <w:t>wzrost salda</w:t>
      </w:r>
      <w:r w:rsidR="001B066E">
        <w:rPr>
          <w:rFonts w:eastAsia="Times New Roman" w:cs="Calibri"/>
          <w:b w:val="0"/>
          <w:bCs/>
        </w:rPr>
        <w:t xml:space="preserve"> </w:t>
      </w:r>
      <w:r w:rsidR="001B066E" w:rsidRPr="00E9175F">
        <w:rPr>
          <w:rFonts w:eastAsia="Times New Roman" w:cs="Calibri"/>
          <w:b w:val="0"/>
          <w:bCs/>
        </w:rPr>
        <w:t>odpowiedzi</w:t>
      </w:r>
      <w:r w:rsidRPr="001B066E">
        <w:rPr>
          <w:rFonts w:eastAsia="Times New Roman" w:cs="Calibri"/>
          <w:b w:val="0"/>
          <w:bCs/>
          <w:color w:val="FF0000"/>
        </w:rPr>
        <w:t xml:space="preserve"> </w:t>
      </w:r>
      <w:r w:rsidR="001B066E" w:rsidRPr="00E9175F">
        <w:rPr>
          <w:rFonts w:eastAsia="Times New Roman" w:cs="Calibri"/>
          <w:b w:val="0"/>
          <w:bCs/>
        </w:rPr>
        <w:t xml:space="preserve">w porównaniu z notowanym w </w:t>
      </w:r>
      <w:r>
        <w:rPr>
          <w:rFonts w:eastAsia="Times New Roman" w:cs="Calibri"/>
          <w:b w:val="0"/>
          <w:bCs/>
        </w:rPr>
        <w:t>dwóch poprzednich edycj</w:t>
      </w:r>
      <w:r w:rsidR="001B066E" w:rsidRPr="00E9175F">
        <w:rPr>
          <w:rFonts w:eastAsia="Times New Roman" w:cs="Calibri"/>
          <w:b w:val="0"/>
          <w:bCs/>
        </w:rPr>
        <w:t>ach</w:t>
      </w:r>
      <w:r>
        <w:rPr>
          <w:rFonts w:eastAsia="Times New Roman" w:cs="Calibri"/>
          <w:b w:val="0"/>
          <w:bCs/>
        </w:rPr>
        <w:t xml:space="preserve"> badania </w:t>
      </w:r>
      <w:r w:rsidRPr="00ED219C">
        <w:rPr>
          <w:rFonts w:eastAsia="Times New Roman" w:cs="Calibri"/>
          <w:b w:val="0"/>
          <w:bCs/>
        </w:rPr>
        <w:t>odnotowano</w:t>
      </w:r>
      <w:r>
        <w:rPr>
          <w:rFonts w:eastAsia="Times New Roman" w:cs="Calibri"/>
          <w:b w:val="0"/>
          <w:bCs/>
        </w:rPr>
        <w:t xml:space="preserve"> </w:t>
      </w:r>
      <w:r w:rsidRPr="00ED219C">
        <w:rPr>
          <w:rFonts w:eastAsia="Times New Roman" w:cs="Calibri"/>
          <w:b w:val="0"/>
          <w:bCs/>
        </w:rPr>
        <w:t>wśród kierujących</w:t>
      </w:r>
      <w:r w:rsidR="000D71FB">
        <w:rPr>
          <w:rFonts w:eastAsia="Times New Roman" w:cs="Calibri"/>
          <w:b w:val="0"/>
          <w:bCs/>
        </w:rPr>
        <w:t> </w:t>
      </w:r>
      <w:r w:rsidRPr="00ED219C">
        <w:rPr>
          <w:rFonts w:eastAsia="Times New Roman" w:cs="Calibri"/>
          <w:b w:val="0"/>
          <w:bCs/>
        </w:rPr>
        <w:t>gospodarstwami nastawionymi na produkcję roślinną –</w:t>
      </w:r>
      <w:r>
        <w:rPr>
          <w:rFonts w:eastAsia="Times New Roman" w:cs="Calibri"/>
          <w:b w:val="0"/>
          <w:bCs/>
        </w:rPr>
        <w:t xml:space="preserve"> </w:t>
      </w:r>
      <w:r w:rsidRPr="00ED219C">
        <w:rPr>
          <w:rFonts w:eastAsia="Times New Roman" w:cs="Calibri"/>
          <w:b w:val="0"/>
          <w:bCs/>
        </w:rPr>
        <w:t xml:space="preserve">o </w:t>
      </w:r>
      <w:r>
        <w:rPr>
          <w:rFonts w:eastAsia="Times New Roman" w:cs="Calibri"/>
          <w:b w:val="0"/>
          <w:bCs/>
        </w:rPr>
        <w:t>8,8</w:t>
      </w:r>
      <w:r w:rsidRPr="00ED219C">
        <w:rPr>
          <w:rFonts w:eastAsia="Times New Roman" w:cs="Calibri"/>
          <w:b w:val="0"/>
          <w:bCs/>
        </w:rPr>
        <w:t xml:space="preserve"> p. proc. w</w:t>
      </w:r>
      <w:r w:rsidR="006D08D5">
        <w:rPr>
          <w:rFonts w:eastAsia="Times New Roman" w:cs="Calibri"/>
          <w:b w:val="0"/>
          <w:bCs/>
        </w:rPr>
        <w:t> </w:t>
      </w:r>
      <w:r w:rsidRPr="00ED219C">
        <w:rPr>
          <w:rFonts w:eastAsia="Times New Roman" w:cs="Calibri"/>
          <w:b w:val="0"/>
          <w:bCs/>
        </w:rPr>
        <w:t>porównaniu z II</w:t>
      </w:r>
      <w:r w:rsidR="000D71FB">
        <w:rPr>
          <w:rFonts w:eastAsia="Times New Roman" w:cs="Calibri"/>
          <w:b w:val="0"/>
          <w:bCs/>
        </w:rPr>
        <w:t> </w:t>
      </w:r>
      <w:r w:rsidRPr="00ED219C">
        <w:rPr>
          <w:rFonts w:eastAsia="Times New Roman" w:cs="Calibri"/>
          <w:b w:val="0"/>
          <w:bCs/>
        </w:rPr>
        <w:t xml:space="preserve">półroczem 2023 r. oraz </w:t>
      </w:r>
      <w:r>
        <w:rPr>
          <w:rFonts w:eastAsia="Times New Roman" w:cs="Calibri"/>
          <w:b w:val="0"/>
          <w:bCs/>
        </w:rPr>
        <w:t>12,4</w:t>
      </w:r>
      <w:r w:rsidRPr="00ED219C">
        <w:rPr>
          <w:rFonts w:eastAsia="Times New Roman" w:cs="Calibri"/>
          <w:b w:val="0"/>
          <w:bCs/>
        </w:rPr>
        <w:t xml:space="preserve"> p. proc. </w:t>
      </w:r>
      <w:r w:rsidR="00E163BB" w:rsidRPr="00E9175F">
        <w:rPr>
          <w:rFonts w:eastAsia="Times New Roman" w:cs="Calibri"/>
          <w:b w:val="0"/>
          <w:bCs/>
        </w:rPr>
        <w:t xml:space="preserve">w stosunku do </w:t>
      </w:r>
      <w:r>
        <w:rPr>
          <w:rFonts w:eastAsia="Times New Roman" w:cs="Calibri"/>
          <w:b w:val="0"/>
          <w:bCs/>
        </w:rPr>
        <w:t>analogicznego okresu ub. r</w:t>
      </w:r>
      <w:r w:rsidR="00E163BB" w:rsidRPr="00E9175F">
        <w:rPr>
          <w:rFonts w:eastAsia="Times New Roman" w:cs="Calibri"/>
          <w:b w:val="0"/>
          <w:bCs/>
        </w:rPr>
        <w:t>oku</w:t>
      </w:r>
      <w:r w:rsidRPr="00ED219C">
        <w:rPr>
          <w:rFonts w:eastAsia="Times New Roman" w:cs="Calibri"/>
          <w:b w:val="0"/>
          <w:bCs/>
        </w:rPr>
        <w:t>.</w:t>
      </w:r>
    </w:p>
    <w:p w14:paraId="3243A57F" w14:textId="60A0DAD1" w:rsidR="000D71FB" w:rsidRDefault="00081471" w:rsidP="003B580C">
      <w:pPr>
        <w:pStyle w:val="LID"/>
        <w:spacing w:after="120"/>
        <w:rPr>
          <w:rFonts w:eastAsia="Times New Roman" w:cs="Calibri"/>
          <w:b w:val="0"/>
          <w:bCs/>
        </w:rPr>
      </w:pPr>
      <w:r w:rsidRPr="009D30D1">
        <w:rPr>
          <w:rFonts w:eastAsia="Times New Roman" w:cs="Calibri"/>
          <w:b w:val="0"/>
          <w:bCs/>
        </w:rPr>
        <w:t>W</w:t>
      </w:r>
      <w:r w:rsidR="006D08D5">
        <w:rPr>
          <w:rFonts w:eastAsia="Times New Roman" w:cs="Calibri"/>
          <w:b w:val="0"/>
          <w:bCs/>
        </w:rPr>
        <w:t> </w:t>
      </w:r>
      <w:r w:rsidRPr="009D30D1">
        <w:rPr>
          <w:rFonts w:eastAsia="Times New Roman" w:cs="Calibri"/>
          <w:b w:val="0"/>
          <w:bCs/>
        </w:rPr>
        <w:t>tej</w:t>
      </w:r>
      <w:r w:rsidR="006D08D5">
        <w:rPr>
          <w:rFonts w:eastAsia="Times New Roman" w:cs="Calibri"/>
          <w:b w:val="0"/>
          <w:bCs/>
        </w:rPr>
        <w:t> </w:t>
      </w:r>
      <w:r w:rsidRPr="009D30D1">
        <w:rPr>
          <w:rFonts w:eastAsia="Times New Roman" w:cs="Calibri"/>
          <w:b w:val="0"/>
          <w:bCs/>
        </w:rPr>
        <w:t>grupie najmniej pesymistyczne oceny wyrazili uprawiający rośliny pod osłonami</w:t>
      </w:r>
      <w:r>
        <w:rPr>
          <w:rFonts w:eastAsia="Times New Roman" w:cs="Calibri"/>
          <w:b w:val="0"/>
          <w:bCs/>
        </w:rPr>
        <w:t xml:space="preserve"> (saldo</w:t>
      </w:r>
      <w:r w:rsidR="000D71FB">
        <w:rPr>
          <w:rFonts w:eastAsia="Times New Roman" w:cs="Calibri"/>
          <w:b w:val="0"/>
          <w:bCs/>
        </w:rPr>
        <w:t> </w:t>
      </w:r>
      <w:r>
        <w:rPr>
          <w:rFonts w:eastAsia="Times New Roman" w:cs="Calibri"/>
          <w:b w:val="0"/>
          <w:bCs/>
        </w:rPr>
        <w:t>minus 7,7 p. proc.)</w:t>
      </w:r>
      <w:r w:rsidRPr="009D30D1">
        <w:rPr>
          <w:rFonts w:eastAsia="Times New Roman" w:cs="Calibri"/>
          <w:b w:val="0"/>
          <w:bCs/>
        </w:rPr>
        <w:t xml:space="preserve">, a najbardziej </w:t>
      </w:r>
      <w:r w:rsidR="000D71FB">
        <w:rPr>
          <w:rFonts w:eastAsia="Times New Roman" w:cs="Calibri"/>
          <w:b w:val="0"/>
          <w:bCs/>
        </w:rPr>
        <w:t xml:space="preserve">negatywne </w:t>
      </w:r>
      <w:r w:rsidRPr="009D30D1">
        <w:rPr>
          <w:rFonts w:eastAsia="Times New Roman" w:cs="Calibri"/>
          <w:b w:val="0"/>
          <w:bCs/>
        </w:rPr>
        <w:t>hodowcy buraków cukrowych</w:t>
      </w:r>
      <w:r>
        <w:rPr>
          <w:rFonts w:eastAsia="Times New Roman" w:cs="Calibri"/>
          <w:b w:val="0"/>
          <w:bCs/>
        </w:rPr>
        <w:t xml:space="preserve"> (minus 28,0</w:t>
      </w:r>
      <w:r w:rsidR="000D71FB">
        <w:rPr>
          <w:rFonts w:eastAsia="Times New Roman" w:cs="Calibri"/>
          <w:b w:val="0"/>
          <w:bCs/>
        </w:rPr>
        <w:t> </w:t>
      </w:r>
      <w:r>
        <w:rPr>
          <w:rFonts w:eastAsia="Times New Roman" w:cs="Calibri"/>
          <w:b w:val="0"/>
          <w:bCs/>
        </w:rPr>
        <w:t>p. proc.)</w:t>
      </w:r>
      <w:r w:rsidRPr="009D30D1">
        <w:rPr>
          <w:rFonts w:eastAsia="Times New Roman" w:cs="Calibri"/>
          <w:b w:val="0"/>
          <w:bCs/>
        </w:rPr>
        <w:t>.</w:t>
      </w:r>
    </w:p>
    <w:p w14:paraId="58C07E62" w14:textId="071E58DC" w:rsidR="00081471" w:rsidRDefault="00081471" w:rsidP="003B580C">
      <w:pPr>
        <w:pStyle w:val="LID"/>
        <w:spacing w:before="0" w:after="120"/>
        <w:rPr>
          <w:rFonts w:eastAsia="Times New Roman" w:cs="Calibri"/>
          <w:b w:val="0"/>
          <w:bCs/>
        </w:rPr>
      </w:pPr>
      <w:r w:rsidRPr="009D30D1">
        <w:rPr>
          <w:rFonts w:eastAsia="Times New Roman" w:cs="Calibri"/>
          <w:b w:val="0"/>
          <w:bCs/>
        </w:rPr>
        <w:t>Jedynie u producentów produktów zwierzęcych przewaga opinii negatywnych nad pozytywnymi była wyższa niż w poprzedniej edycji badania. Najbardziej niekorzystnie zmiany popytu na wytwarzane produkty rolne ocenili kierujący gospodarstwami rolnymi prowadzący chów koni</w:t>
      </w:r>
      <w:r>
        <w:rPr>
          <w:rFonts w:eastAsia="Times New Roman" w:cs="Calibri"/>
          <w:b w:val="0"/>
          <w:bCs/>
        </w:rPr>
        <w:t xml:space="preserve"> (saldo minus 46,6 p. proc.)</w:t>
      </w:r>
      <w:r w:rsidRPr="009D30D1">
        <w:rPr>
          <w:rFonts w:eastAsia="Times New Roman" w:cs="Calibri"/>
          <w:b w:val="0"/>
          <w:bCs/>
        </w:rPr>
        <w:t>, natomiast najmniej brojlerów</w:t>
      </w:r>
      <w:r>
        <w:rPr>
          <w:rFonts w:eastAsia="Times New Roman" w:cs="Calibri"/>
          <w:b w:val="0"/>
          <w:bCs/>
        </w:rPr>
        <w:t xml:space="preserve"> (minus 12,4 p.proc.)</w:t>
      </w:r>
      <w:r w:rsidRPr="009D30D1">
        <w:rPr>
          <w:rFonts w:eastAsia="Times New Roman" w:cs="Calibri"/>
          <w:b w:val="0"/>
          <w:bCs/>
        </w:rPr>
        <w:t>.</w:t>
      </w:r>
    </w:p>
    <w:p w14:paraId="1AFBB276" w14:textId="1832D457" w:rsidR="00411D3B" w:rsidRPr="006B6060" w:rsidRDefault="00411D3B" w:rsidP="006B6060">
      <w:pPr>
        <w:pStyle w:val="LID"/>
        <w:spacing w:before="360" w:after="360"/>
        <w:rPr>
          <w:rFonts w:eastAsia="Times New Roman" w:cs="Calibri"/>
          <w:bCs/>
          <w:color w:val="002060"/>
        </w:rPr>
      </w:pPr>
      <w:r w:rsidRPr="006B6060">
        <w:rPr>
          <w:rFonts w:eastAsia="Times New Roman" w:cs="Calibri"/>
          <w:bCs/>
          <w:color w:val="002060"/>
        </w:rPr>
        <w:t>Diagnoza bieżącej sytuacji gospodarstw rolnych</w:t>
      </w:r>
    </w:p>
    <w:p w14:paraId="34F4E81F" w14:textId="0BB48DD6" w:rsidR="00B15EBB" w:rsidRPr="00B15EBB" w:rsidRDefault="00B15EBB" w:rsidP="00E44CEE">
      <w:pPr>
        <w:pStyle w:val="LID"/>
        <w:spacing w:before="240" w:after="120"/>
        <w:rPr>
          <w:rFonts w:eastAsia="Times New Roman" w:cs="Calibri"/>
          <w:b w:val="0"/>
          <w:bCs/>
        </w:rPr>
      </w:pPr>
      <w:r w:rsidRPr="00B15EBB">
        <w:rPr>
          <w:rFonts w:eastAsia="Times New Roman" w:cs="Calibri"/>
          <w:b w:val="0"/>
          <w:bCs/>
        </w:rPr>
        <w:t xml:space="preserve">Bieżąca </w:t>
      </w:r>
      <w:r w:rsidR="00E163BB" w:rsidRPr="00B15EBB">
        <w:rPr>
          <w:rFonts w:eastAsia="Times New Roman" w:cs="Calibri"/>
          <w:b w:val="0"/>
          <w:bCs/>
        </w:rPr>
        <w:t>(</w:t>
      </w:r>
      <w:r w:rsidR="00E163BB" w:rsidRPr="00E9175F">
        <w:rPr>
          <w:rFonts w:eastAsia="Times New Roman" w:cs="Calibri"/>
          <w:b w:val="0"/>
          <w:bCs/>
        </w:rPr>
        <w:t>w</w:t>
      </w:r>
      <w:r w:rsidR="00E163BB">
        <w:rPr>
          <w:rFonts w:eastAsia="Times New Roman" w:cs="Calibri"/>
          <w:b w:val="0"/>
          <w:bCs/>
        </w:rPr>
        <w:t xml:space="preserve"> </w:t>
      </w:r>
      <w:r w:rsidR="00E163BB" w:rsidRPr="00E9175F">
        <w:rPr>
          <w:rFonts w:eastAsia="Times New Roman" w:cs="Calibri"/>
          <w:b w:val="0"/>
          <w:bCs/>
        </w:rPr>
        <w:t xml:space="preserve">czerwcu br.) </w:t>
      </w:r>
      <w:r w:rsidRPr="00B15EBB">
        <w:rPr>
          <w:rFonts w:eastAsia="Times New Roman" w:cs="Calibri"/>
          <w:b w:val="0"/>
          <w:bCs/>
        </w:rPr>
        <w:t>negatywna ocena sytuacji ogólnej gospodarstwa rolnego, jak i opłacalności produkcji rolniczej była na poziomie zbliżonym do oceny wyrażonej w grudniu 2023 r., ale mniej pesymistyczna w porównaniu z czerwcem 2023 r.</w:t>
      </w:r>
    </w:p>
    <w:p w14:paraId="177A5F21" w14:textId="6B9F1D9F" w:rsidR="00B15EBB" w:rsidRPr="00B15EBB" w:rsidRDefault="00B15EBB" w:rsidP="00B15EBB">
      <w:pPr>
        <w:pStyle w:val="LID"/>
        <w:spacing w:after="120"/>
        <w:rPr>
          <w:rFonts w:eastAsia="Times New Roman" w:cs="Calibri"/>
          <w:b w:val="0"/>
          <w:bCs/>
        </w:rPr>
      </w:pPr>
      <w:r w:rsidRPr="00B15EBB">
        <w:rPr>
          <w:rFonts w:eastAsia="Times New Roman" w:cs="Calibri"/>
          <w:b w:val="0"/>
          <w:bCs/>
        </w:rPr>
        <w:t>Rolnicy negatywnie ocenili czerwcowy popyt na produkty wytwarzane w gospodarstw</w:t>
      </w:r>
      <w:r w:rsidR="00B261B5">
        <w:rPr>
          <w:rFonts w:eastAsia="Times New Roman" w:cs="Calibri"/>
          <w:b w:val="0"/>
          <w:bCs/>
        </w:rPr>
        <w:t xml:space="preserve">ach </w:t>
      </w:r>
      <w:r w:rsidRPr="00B15EBB">
        <w:rPr>
          <w:rFonts w:eastAsia="Times New Roman" w:cs="Calibri"/>
          <w:b w:val="0"/>
          <w:bCs/>
        </w:rPr>
        <w:t>rolny</w:t>
      </w:r>
      <w:r w:rsidR="00B261B5">
        <w:rPr>
          <w:rFonts w:eastAsia="Times New Roman" w:cs="Calibri"/>
          <w:b w:val="0"/>
          <w:bCs/>
        </w:rPr>
        <w:t>ch</w:t>
      </w:r>
      <w:r w:rsidRPr="00B15EBB">
        <w:rPr>
          <w:rFonts w:eastAsia="Times New Roman" w:cs="Calibri"/>
          <w:b w:val="0"/>
          <w:bCs/>
        </w:rPr>
        <w:t>. Mimo to salda wzrosły o 2,7 p. proc w stosunku do grudnia 2023 r. i o 3,8 p. proc w stosunku do analogicznego miesiąca ub. r</w:t>
      </w:r>
      <w:r w:rsidR="00672BBB" w:rsidRPr="00B15EBB">
        <w:rPr>
          <w:spacing w:val="-2"/>
        </w:rPr>
        <mc:AlternateContent>
          <mc:Choice Requires="wps">
            <w:drawing>
              <wp:anchor distT="45720" distB="45720" distL="114300" distR="114300" simplePos="0" relativeHeight="252988416" behindDoc="1" locked="0" layoutInCell="1" allowOverlap="1" wp14:anchorId="147E1C78" wp14:editId="2043A223">
                <wp:simplePos x="0" y="0"/>
                <wp:positionH relativeFrom="page">
                  <wp:align>right</wp:align>
                </wp:positionH>
                <wp:positionV relativeFrom="paragraph">
                  <wp:posOffset>262255</wp:posOffset>
                </wp:positionV>
                <wp:extent cx="1715135" cy="1682115"/>
                <wp:effectExtent l="0" t="0" r="0" b="0"/>
                <wp:wrapTight wrapText="bothSides">
                  <wp:wrapPolygon edited="0">
                    <wp:start x="720" y="0"/>
                    <wp:lineTo x="720" y="21282"/>
                    <wp:lineTo x="20632" y="21282"/>
                    <wp:lineTo x="20632" y="0"/>
                    <wp:lineTo x="720" y="0"/>
                  </wp:wrapPolygon>
                </wp:wrapTight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168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505DF" w14:textId="43897C6C" w:rsidR="00E14EFF" w:rsidRPr="00B15EBB" w:rsidRDefault="00B15EBB" w:rsidP="00415C94">
                            <w:pPr>
                              <w:spacing w:before="120" w:after="120"/>
                              <w:rPr>
                                <w:rFonts w:ascii="Fira Sans" w:hAnsi="Fira Sans"/>
                                <w:color w:val="002060"/>
                                <w:spacing w:val="-2"/>
                                <w:sz w:val="19"/>
                                <w:szCs w:val="19"/>
                              </w:rPr>
                            </w:pPr>
                            <w:r w:rsidRPr="00B15EBB">
                              <w:rPr>
                                <w:rFonts w:ascii="Fira Sans" w:hAnsi="Fira Sans"/>
                                <w:color w:val="002060"/>
                                <w:spacing w:val="-2"/>
                                <w:sz w:val="19"/>
                                <w:szCs w:val="19"/>
                              </w:rPr>
                              <w:t xml:space="preserve">31% ankietowanych rolników wskazało na złą sytuację ich gospodarstw w czerwcu 2024 r., </w:t>
                            </w:r>
                            <w:r w:rsidR="00E163BB" w:rsidRPr="00B15EBB">
                              <w:rPr>
                                <w:rFonts w:ascii="Fira Sans" w:hAnsi="Fira Sans"/>
                                <w:color w:val="002060"/>
                                <w:spacing w:val="-2"/>
                                <w:sz w:val="19"/>
                                <w:szCs w:val="19"/>
                              </w:rPr>
                              <w:t>6,6%</w:t>
                            </w:r>
                            <w:r w:rsidR="00E163BB">
                              <w:rPr>
                                <w:rFonts w:ascii="Fira Sans" w:hAnsi="Fira Sans"/>
                                <w:color w:val="002060"/>
                                <w:spacing w:val="-2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B15EBB">
                              <w:rPr>
                                <w:rFonts w:ascii="Fira Sans" w:hAnsi="Fira Sans"/>
                                <w:color w:val="002060"/>
                                <w:spacing w:val="-2"/>
                                <w:sz w:val="19"/>
                                <w:szCs w:val="19"/>
                              </w:rPr>
                              <w:t xml:space="preserve">na dobrą. Pozostali </w:t>
                            </w:r>
                            <w:r w:rsidR="00E163BB" w:rsidRPr="009F425E">
                              <w:rPr>
                                <w:rFonts w:ascii="Fira Sans" w:hAnsi="Fira Sans"/>
                                <w:color w:val="002060"/>
                                <w:spacing w:val="-2"/>
                                <w:sz w:val="19"/>
                                <w:szCs w:val="19"/>
                              </w:rPr>
                              <w:t>ocenili</w:t>
                            </w:r>
                            <w:r w:rsidRPr="00B15EBB">
                              <w:rPr>
                                <w:rFonts w:ascii="Fira Sans" w:hAnsi="Fira Sans"/>
                                <w:color w:val="002060"/>
                                <w:spacing w:val="-2"/>
                                <w:sz w:val="19"/>
                                <w:szCs w:val="19"/>
                              </w:rPr>
                              <w:t>, że sytuacja ich gospodarstw rolnych jest normalna jak na tę porę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E1C78" id="Pole tekstowe 27" o:spid="_x0000_s1032" type="#_x0000_t202" style="position:absolute;margin-left:83.85pt;margin-top:20.65pt;width:135.05pt;height:132.45pt;z-index:-2503280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" filled="f" stroked="f">
                <v:textbox>
                  <w:txbxContent>
                    <w:p w14:paraId="74A505DF" w14:textId="43897C6C" w:rsidR="00E14EFF" w:rsidRPr="00B15EBB" w:rsidRDefault="00B15EBB" w:rsidP="00415C94">
                      <w:pPr>
                        <w:spacing w:before="120" w:after="120"/>
                        <w:rPr>
                          <w:rFonts w:ascii="Fira Sans" w:hAnsi="Fira Sans"/>
                          <w:color w:val="002060"/>
                          <w:spacing w:val="-2"/>
                          <w:sz w:val="19"/>
                          <w:szCs w:val="19"/>
                        </w:rPr>
                      </w:pPr>
                      <w:r w:rsidRPr="00B15EBB">
                        <w:rPr>
                          <w:rFonts w:ascii="Fira Sans" w:hAnsi="Fira Sans"/>
                          <w:color w:val="002060"/>
                          <w:spacing w:val="-2"/>
                          <w:sz w:val="19"/>
                          <w:szCs w:val="19"/>
                        </w:rPr>
                        <w:t xml:space="preserve">31% ankietowanych rolników wskazało na złą sytuację ich gospodarstw w czerwcu 2024 r., </w:t>
                      </w:r>
                      <w:r w:rsidR="00E163BB" w:rsidRPr="00B15EBB">
                        <w:rPr>
                          <w:rFonts w:ascii="Fira Sans" w:hAnsi="Fira Sans"/>
                          <w:color w:val="002060"/>
                          <w:spacing w:val="-2"/>
                          <w:sz w:val="19"/>
                          <w:szCs w:val="19"/>
                        </w:rPr>
                        <w:t>6,6%</w:t>
                      </w:r>
                      <w:r w:rsidR="00E163BB">
                        <w:rPr>
                          <w:rFonts w:ascii="Fira Sans" w:hAnsi="Fira Sans"/>
                          <w:color w:val="002060"/>
                          <w:spacing w:val="-2"/>
                          <w:sz w:val="19"/>
                          <w:szCs w:val="19"/>
                        </w:rPr>
                        <w:t xml:space="preserve"> – </w:t>
                      </w:r>
                      <w:r w:rsidRPr="00B15EBB">
                        <w:rPr>
                          <w:rFonts w:ascii="Fira Sans" w:hAnsi="Fira Sans"/>
                          <w:color w:val="002060"/>
                          <w:spacing w:val="-2"/>
                          <w:sz w:val="19"/>
                          <w:szCs w:val="19"/>
                        </w:rPr>
                        <w:t xml:space="preserve">na dobrą. Pozostali </w:t>
                      </w:r>
                      <w:r w:rsidR="00E163BB" w:rsidRPr="009F425E">
                        <w:rPr>
                          <w:rFonts w:ascii="Fira Sans" w:hAnsi="Fira Sans"/>
                          <w:color w:val="002060"/>
                          <w:spacing w:val="-2"/>
                          <w:sz w:val="19"/>
                          <w:szCs w:val="19"/>
                        </w:rPr>
                        <w:t>ocenili</w:t>
                      </w:r>
                      <w:r w:rsidRPr="00B15EBB">
                        <w:rPr>
                          <w:rFonts w:ascii="Fira Sans" w:hAnsi="Fira Sans"/>
                          <w:color w:val="002060"/>
                          <w:spacing w:val="-2"/>
                          <w:sz w:val="19"/>
                          <w:szCs w:val="19"/>
                        </w:rPr>
                        <w:t>, że sytuacja ich gospodarstw rolnych jest normalna jak na tę porę roku.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261B5">
        <w:rPr>
          <w:rFonts w:eastAsia="Times New Roman" w:cs="Calibri"/>
          <w:b w:val="0"/>
          <w:bCs/>
        </w:rPr>
        <w:t>.</w:t>
      </w:r>
    </w:p>
    <w:p w14:paraId="050ABA3B" w14:textId="4A219C3E" w:rsidR="00E44CEE" w:rsidRDefault="001F1D7A" w:rsidP="00E44CEE">
      <w:pPr>
        <w:pStyle w:val="LID"/>
        <w:spacing w:before="480" w:after="120"/>
        <w:rPr>
          <w:rFonts w:eastAsia="Times New Roman" w:cs="Calibri"/>
          <w:bCs/>
          <w:color w:val="000000"/>
        </w:rPr>
      </w:pPr>
      <w:r w:rsidRPr="001F1D7A">
        <w:rPr>
          <w:rFonts w:eastAsia="Times New Roman" w:cs="Calibri"/>
          <w:bCs/>
          <w:color w:val="000000"/>
        </w:rPr>
        <w:t>Wykres 4. Salda odpowiedzi dotyczące ocen bieżącej sytuacji ogólnej gospodarstw rolnych, bieżącej opłacalności produkcji rolniczej i bieżącego popytu na produkty rolne</w:t>
      </w:r>
    </w:p>
    <w:p w14:paraId="4ACCCD5C" w14:textId="7FF11E1A" w:rsidR="00E44CEE" w:rsidRDefault="00E44CEE" w:rsidP="006B6060">
      <w:pPr>
        <w:pStyle w:val="LID"/>
        <w:spacing w:before="240" w:after="360"/>
        <w:rPr>
          <w:rFonts w:eastAsia="Times New Roman" w:cs="Calibri"/>
          <w:bCs/>
          <w:color w:val="000000"/>
        </w:rPr>
      </w:pPr>
      <w:r>
        <w:drawing>
          <wp:anchor distT="0" distB="0" distL="114300" distR="114300" simplePos="0" relativeHeight="253017088" behindDoc="0" locked="0" layoutInCell="1" allowOverlap="1" wp14:anchorId="1EA55A10" wp14:editId="601CB744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5141595" cy="3324860"/>
            <wp:effectExtent l="0" t="0" r="1905" b="8890"/>
            <wp:wrapTopAndBottom/>
            <wp:docPr id="79188393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E1B84" w14:textId="0BB1E46E" w:rsidR="00E44CEE" w:rsidRPr="00E44CEE" w:rsidRDefault="00E44CEE" w:rsidP="00E44CEE">
      <w:pPr>
        <w:spacing w:line="259" w:lineRule="auto"/>
        <w:rPr>
          <w:rFonts w:ascii="Fira Sans" w:eastAsia="Times New Roman" w:hAnsi="Fira Sans" w:cs="Calibri"/>
          <w:b/>
          <w:bCs/>
          <w:noProof/>
          <w:color w:val="000000"/>
          <w:sz w:val="19"/>
          <w:szCs w:val="19"/>
          <w:lang w:eastAsia="pl-PL"/>
        </w:rPr>
      </w:pPr>
      <w:r>
        <w:rPr>
          <w:rFonts w:eastAsia="Times New Roman" w:cs="Calibri"/>
          <w:bCs/>
          <w:color w:val="000000"/>
        </w:rPr>
        <w:br w:type="page"/>
      </w:r>
    </w:p>
    <w:p w14:paraId="4000D93C" w14:textId="0673D889" w:rsidR="001F1D7A" w:rsidRDefault="0041394C" w:rsidP="006B6060">
      <w:pPr>
        <w:pStyle w:val="LID"/>
        <w:spacing w:before="240" w:after="360"/>
        <w:rPr>
          <w:rFonts w:eastAsia="Times New Roman" w:cs="Calibri"/>
          <w:bCs/>
          <w:color w:val="000000"/>
        </w:rPr>
      </w:pPr>
      <w:r w:rsidRPr="0041394C">
        <w:rPr>
          <w:rFonts w:eastAsia="Times New Roman" w:cs="Calibri"/>
          <w:bCs/>
          <w:color w:val="000000"/>
        </w:rPr>
        <w:lastRenderedPageBreak/>
        <w:t>Tablica 2. Salda odpowiedzi dotyczące ocen bieżącej sytuacji ogólnej gospodarstw rolnych, bieżącej opłacalności produkcji rolniczej i bieżącego popytu na produkty rolne</w:t>
      </w: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"/>
        <w:gridCol w:w="2041"/>
        <w:gridCol w:w="2268"/>
        <w:gridCol w:w="1984"/>
        <w:gridCol w:w="922"/>
      </w:tblGrid>
      <w:tr w:rsidR="00350520" w:rsidRPr="00350520" w14:paraId="28C6F945" w14:textId="77777777" w:rsidTr="00350520">
        <w:trPr>
          <w:gridAfter w:val="1"/>
          <w:wAfter w:w="922" w:type="dxa"/>
          <w:trHeight w:val="445"/>
        </w:trPr>
        <w:tc>
          <w:tcPr>
            <w:tcW w:w="1645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54AE19C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 xml:space="preserve">Wyszczególnienie 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BDD9FD" w14:textId="3A422AC4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Bieżąca sytuacja ogólna gospodarstw roln</w:t>
            </w:r>
            <w:r w:rsidR="00495F83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ych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60A137" w14:textId="792FEF9B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Bieżąca opłacalnoś</w:t>
            </w:r>
            <w:r w:rsidR="00B261B5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 xml:space="preserve">ć </w:t>
            </w: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produkcji rolniczej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015A0D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 xml:space="preserve">Bieżący popyt na produkty rolne </w:t>
            </w:r>
          </w:p>
        </w:tc>
      </w:tr>
      <w:tr w:rsidR="00350520" w:rsidRPr="00350520" w14:paraId="496E4454" w14:textId="77777777" w:rsidTr="00350520">
        <w:trPr>
          <w:trHeight w:val="780"/>
        </w:trPr>
        <w:tc>
          <w:tcPr>
            <w:tcW w:w="1645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559E43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3A55426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899E72F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5346C473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4977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</w:tr>
      <w:tr w:rsidR="00350520" w:rsidRPr="00350520" w14:paraId="43D69E77" w14:textId="77777777" w:rsidTr="00350520">
        <w:trPr>
          <w:trHeight w:val="315"/>
        </w:trPr>
        <w:tc>
          <w:tcPr>
            <w:tcW w:w="1645" w:type="dxa"/>
            <w:tcBorders>
              <w:top w:val="nil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402C26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6293" w:type="dxa"/>
            <w:gridSpan w:val="3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6EA7B49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i/>
                <w:iCs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i/>
                <w:iCs/>
                <w:color w:val="000000"/>
                <w:sz w:val="19"/>
                <w:szCs w:val="19"/>
                <w:lang w:eastAsia="pl-PL"/>
              </w:rPr>
              <w:t>saldo odpowiedzi w p. proc.</w:t>
            </w:r>
          </w:p>
        </w:tc>
        <w:tc>
          <w:tcPr>
            <w:tcW w:w="922" w:type="dxa"/>
            <w:vAlign w:val="center"/>
            <w:hideMark/>
          </w:tcPr>
          <w:p w14:paraId="6C884BF3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197A2E8E" w14:textId="77777777" w:rsidTr="00350520">
        <w:trPr>
          <w:trHeight w:val="300"/>
        </w:trPr>
        <w:tc>
          <w:tcPr>
            <w:tcW w:w="164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8A185E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2019 r.</w:t>
            </w:r>
          </w:p>
        </w:tc>
        <w:tc>
          <w:tcPr>
            <w:tcW w:w="204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D59F86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-8,4</w:t>
            </w:r>
          </w:p>
        </w:tc>
        <w:tc>
          <w:tcPr>
            <w:tcW w:w="226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559532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-7,0</w:t>
            </w:r>
          </w:p>
        </w:tc>
        <w:tc>
          <w:tcPr>
            <w:tcW w:w="198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07497DE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-28,0</w:t>
            </w:r>
          </w:p>
        </w:tc>
        <w:tc>
          <w:tcPr>
            <w:tcW w:w="922" w:type="dxa"/>
            <w:vAlign w:val="center"/>
            <w:hideMark/>
          </w:tcPr>
          <w:p w14:paraId="296EC4A1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614DCEBA" w14:textId="77777777" w:rsidTr="00350520">
        <w:trPr>
          <w:trHeight w:val="300"/>
        </w:trPr>
        <w:tc>
          <w:tcPr>
            <w:tcW w:w="164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F58BDCC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2020 r.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762E8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-10,3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E2B3D9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-7,3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7E1A736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-29,3</w:t>
            </w:r>
          </w:p>
        </w:tc>
        <w:tc>
          <w:tcPr>
            <w:tcW w:w="922" w:type="dxa"/>
            <w:vAlign w:val="center"/>
            <w:hideMark/>
          </w:tcPr>
          <w:p w14:paraId="57C951A3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4A0EB2C7" w14:textId="77777777" w:rsidTr="00350520">
        <w:trPr>
          <w:trHeight w:val="300"/>
        </w:trPr>
        <w:tc>
          <w:tcPr>
            <w:tcW w:w="164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100A0B9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2020 r.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2282F2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-12,5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706381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-7,1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4A17AFD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-29,8</w:t>
            </w:r>
          </w:p>
        </w:tc>
        <w:tc>
          <w:tcPr>
            <w:tcW w:w="922" w:type="dxa"/>
            <w:vAlign w:val="center"/>
            <w:hideMark/>
          </w:tcPr>
          <w:p w14:paraId="21F834CF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5D5752B4" w14:textId="77777777" w:rsidTr="00350520">
        <w:trPr>
          <w:trHeight w:val="300"/>
        </w:trPr>
        <w:tc>
          <w:tcPr>
            <w:tcW w:w="164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0ED645F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2021 r.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E304F74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-9,0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64DECC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-11,6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EC400CA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-25,4</w:t>
            </w:r>
          </w:p>
        </w:tc>
        <w:tc>
          <w:tcPr>
            <w:tcW w:w="922" w:type="dxa"/>
            <w:vAlign w:val="center"/>
            <w:hideMark/>
          </w:tcPr>
          <w:p w14:paraId="005F2692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351AADCD" w14:textId="77777777" w:rsidTr="00350520">
        <w:trPr>
          <w:trHeight w:val="300"/>
        </w:trPr>
        <w:tc>
          <w:tcPr>
            <w:tcW w:w="164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0CAEE9" w14:textId="03D0B76A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</w:t>
            </w:r>
            <w:r w:rsidR="0007385C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 xml:space="preserve"> </w:t>
            </w: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2021 r.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39F21F8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E714B7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-18,7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E12805B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-25,1</w:t>
            </w:r>
          </w:p>
        </w:tc>
        <w:tc>
          <w:tcPr>
            <w:tcW w:w="922" w:type="dxa"/>
            <w:vAlign w:val="center"/>
            <w:hideMark/>
          </w:tcPr>
          <w:p w14:paraId="16D2EEAA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68A78EF5" w14:textId="77777777" w:rsidTr="00350520">
        <w:trPr>
          <w:trHeight w:val="300"/>
        </w:trPr>
        <w:tc>
          <w:tcPr>
            <w:tcW w:w="164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B8A543B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2022 r.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4CE559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-24,9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B5785C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-18,9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7ED755B5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-27,8</w:t>
            </w:r>
          </w:p>
        </w:tc>
        <w:tc>
          <w:tcPr>
            <w:tcW w:w="922" w:type="dxa"/>
            <w:vAlign w:val="center"/>
            <w:hideMark/>
          </w:tcPr>
          <w:p w14:paraId="25FFFD5D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1B2C808E" w14:textId="77777777" w:rsidTr="00350520">
        <w:trPr>
          <w:trHeight w:val="300"/>
        </w:trPr>
        <w:tc>
          <w:tcPr>
            <w:tcW w:w="164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F24335A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2022 r.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D3088B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-16,2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FB9848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-14,3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5B0DEF8D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-36,9</w:t>
            </w:r>
          </w:p>
        </w:tc>
        <w:tc>
          <w:tcPr>
            <w:tcW w:w="922" w:type="dxa"/>
            <w:vAlign w:val="center"/>
            <w:hideMark/>
          </w:tcPr>
          <w:p w14:paraId="40ABD58E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16C450C6" w14:textId="77777777" w:rsidTr="00350520">
        <w:trPr>
          <w:trHeight w:val="300"/>
        </w:trPr>
        <w:tc>
          <w:tcPr>
            <w:tcW w:w="164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54C8481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2023 r.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384163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-31,1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541AA8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-30,8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4E8F9C76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-45,4</w:t>
            </w:r>
          </w:p>
        </w:tc>
        <w:tc>
          <w:tcPr>
            <w:tcW w:w="922" w:type="dxa"/>
            <w:vAlign w:val="center"/>
            <w:hideMark/>
          </w:tcPr>
          <w:p w14:paraId="76723767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4613324C" w14:textId="77777777" w:rsidTr="00350520">
        <w:trPr>
          <w:trHeight w:val="300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5B7434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2023 r.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85B22D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-24,2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B114687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-28,7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BB59B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-44,3</w:t>
            </w:r>
          </w:p>
        </w:tc>
        <w:tc>
          <w:tcPr>
            <w:tcW w:w="922" w:type="dxa"/>
            <w:vAlign w:val="center"/>
            <w:hideMark/>
          </w:tcPr>
          <w:p w14:paraId="0202F239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4396BFF8" w14:textId="77777777" w:rsidTr="00350520">
        <w:trPr>
          <w:trHeight w:val="300"/>
        </w:trPr>
        <w:tc>
          <w:tcPr>
            <w:tcW w:w="164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97D734A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2024 r.</w:t>
            </w:r>
          </w:p>
        </w:tc>
        <w:tc>
          <w:tcPr>
            <w:tcW w:w="2041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CBCBB06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-24,4</w:t>
            </w:r>
          </w:p>
        </w:tc>
        <w:tc>
          <w:tcPr>
            <w:tcW w:w="226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F5F803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-28,1</w:t>
            </w:r>
          </w:p>
        </w:tc>
        <w:tc>
          <w:tcPr>
            <w:tcW w:w="1984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5955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-41,6</w:t>
            </w:r>
          </w:p>
        </w:tc>
        <w:tc>
          <w:tcPr>
            <w:tcW w:w="922" w:type="dxa"/>
            <w:vAlign w:val="center"/>
            <w:hideMark/>
          </w:tcPr>
          <w:p w14:paraId="2FFE2323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22538B2A" w14:textId="2660FB7E" w:rsidR="00B15EBB" w:rsidRPr="00B15EBB" w:rsidRDefault="00B15EBB" w:rsidP="00E53909">
      <w:pPr>
        <w:pStyle w:val="LID"/>
        <w:spacing w:before="360" w:after="240"/>
        <w:rPr>
          <w:rFonts w:eastAsia="Times New Roman" w:cs="Calibri"/>
          <w:b w:val="0"/>
          <w:bCs/>
        </w:rPr>
      </w:pPr>
      <w:r w:rsidRPr="00B15EBB">
        <w:rPr>
          <w:rFonts w:eastAsia="Times New Roman" w:cs="Calibri"/>
          <w:b w:val="0"/>
          <w:bCs/>
        </w:rPr>
        <w:t xml:space="preserve">Najmniej korzystnie </w:t>
      </w:r>
      <w:r w:rsidR="00E44CEE">
        <w:rPr>
          <w:rFonts w:eastAsia="Times New Roman" w:cs="Calibri"/>
          <w:b w:val="0"/>
          <w:bCs/>
        </w:rPr>
        <w:t>bieżącą</w:t>
      </w:r>
      <w:r w:rsidRPr="00B15EBB">
        <w:rPr>
          <w:rFonts w:eastAsia="Times New Roman" w:cs="Calibri"/>
          <w:b w:val="0"/>
          <w:bCs/>
        </w:rPr>
        <w:t xml:space="preserve"> sytuację ocenili użytkownicy gospodarstw ukierunkowanych na produkcję roślinną. Najbardziej pesymistyczne oceny wyrazili rolnicy prowadzący uprawy drzew i krzewów owocowych</w:t>
      </w:r>
      <w:r w:rsidR="00E163BB">
        <w:rPr>
          <w:rFonts w:eastAsia="Times New Roman" w:cs="Calibri"/>
          <w:b w:val="0"/>
          <w:bCs/>
        </w:rPr>
        <w:t xml:space="preserve"> –</w:t>
      </w:r>
      <w:r w:rsidRPr="00B15EBB">
        <w:rPr>
          <w:rFonts w:eastAsia="Times New Roman" w:cs="Calibri"/>
          <w:b w:val="0"/>
          <w:bCs/>
        </w:rPr>
        <w:t xml:space="preserve"> różnica między procentowym udziałem </w:t>
      </w:r>
      <w:r w:rsidR="00E163BB" w:rsidRPr="009F425E">
        <w:rPr>
          <w:rFonts w:eastAsia="Times New Roman" w:cs="Calibri"/>
          <w:b w:val="0"/>
          <w:bCs/>
        </w:rPr>
        <w:t xml:space="preserve">negatywnych ocen </w:t>
      </w:r>
      <w:r w:rsidRPr="00B15EBB">
        <w:rPr>
          <w:rFonts w:eastAsia="Times New Roman" w:cs="Calibri"/>
          <w:b w:val="0"/>
          <w:bCs/>
        </w:rPr>
        <w:t xml:space="preserve">bieżącej sytuacji ogólnej </w:t>
      </w:r>
      <w:r w:rsidR="0065694C" w:rsidRPr="009F425E">
        <w:rPr>
          <w:rFonts w:eastAsia="Times New Roman" w:cs="Calibri"/>
          <w:b w:val="0"/>
          <w:bCs/>
        </w:rPr>
        <w:t xml:space="preserve">(w liczbie ocen ogółem) </w:t>
      </w:r>
      <w:r w:rsidRPr="00B15EBB">
        <w:rPr>
          <w:rFonts w:eastAsia="Times New Roman" w:cs="Calibri"/>
          <w:b w:val="0"/>
          <w:bCs/>
        </w:rPr>
        <w:t xml:space="preserve">oraz procentowym udziałem opinii przeciwnych wyniosła 30 p. proc. </w:t>
      </w:r>
    </w:p>
    <w:p w14:paraId="7A0E9C9A" w14:textId="719CE9C9" w:rsidR="00B15EBB" w:rsidRPr="00B15EBB" w:rsidRDefault="00B15EBB" w:rsidP="00B15EBB">
      <w:pPr>
        <w:pStyle w:val="LID"/>
        <w:spacing w:after="120"/>
        <w:rPr>
          <w:rFonts w:eastAsia="Times New Roman" w:cs="Calibri"/>
          <w:b w:val="0"/>
          <w:bCs/>
        </w:rPr>
      </w:pPr>
      <w:r w:rsidRPr="00B15EBB">
        <w:rPr>
          <w:rFonts w:eastAsia="Times New Roman" w:cs="Calibri"/>
          <w:b w:val="0"/>
          <w:bCs/>
        </w:rPr>
        <w:t>Kierujący gospodarstwami wyraźnie ukierunkowanymi na produkcję zwierzęcą wyrażali korzystniejsze opinie na temat koniunktury w gospodarstwach rolnych w czerwcu </w:t>
      </w:r>
      <w:r w:rsidR="0065694C" w:rsidRPr="009F425E">
        <w:rPr>
          <w:rFonts w:eastAsia="Times New Roman" w:cs="Calibri"/>
          <w:b w:val="0"/>
          <w:bCs/>
        </w:rPr>
        <w:t>b</w:t>
      </w:r>
      <w:r w:rsidRPr="00B15EBB">
        <w:rPr>
          <w:rFonts w:eastAsia="Times New Roman" w:cs="Calibri"/>
          <w:b w:val="0"/>
          <w:bCs/>
        </w:rPr>
        <w:t>r., niż osoby prowadzące gospodarstwa wielokierunkowe. Najmniej pesymistyczne opinie formułowali zajmujący się chowem drobiu-brojlerów, a najbardziej pesymistyczne prowadzący chów koni.</w:t>
      </w:r>
    </w:p>
    <w:p w14:paraId="03C1D5A6" w14:textId="61F3791B" w:rsidR="007C4A0E" w:rsidRPr="00E53909" w:rsidRDefault="007C4A0E" w:rsidP="00E53909">
      <w:pPr>
        <w:spacing w:before="240" w:after="240"/>
        <w:rPr>
          <w:rFonts w:ascii="Fira Sans" w:hAnsi="Fira Sans"/>
          <w:b/>
          <w:spacing w:val="-2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030400" behindDoc="0" locked="0" layoutInCell="1" allowOverlap="1" wp14:anchorId="77113C45" wp14:editId="58250E7B">
            <wp:simplePos x="0" y="0"/>
            <wp:positionH relativeFrom="margin">
              <wp:align>right</wp:align>
            </wp:positionH>
            <wp:positionV relativeFrom="paragraph">
              <wp:posOffset>520684</wp:posOffset>
            </wp:positionV>
            <wp:extent cx="5122545" cy="3267075"/>
            <wp:effectExtent l="0" t="0" r="1905" b="0"/>
            <wp:wrapTopAndBottom/>
            <wp:docPr id="750920310" name="Wykres 1" descr="Salda odpowiedzi dotyczące prognozowanej w &#10;II półroczu sytuacji ogólnej gospodarstw rolnych, opłacalności produkcji rolniczej i popytu na produkty roln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b/>
          <w:spacing w:val="-2"/>
          <w:sz w:val="19"/>
          <w:szCs w:val="19"/>
        </w:rPr>
        <w:t>Wykres 5</w:t>
      </w:r>
      <w:r w:rsidRPr="009021D3">
        <w:rPr>
          <w:rFonts w:ascii="Fira Sans" w:hAnsi="Fira Sans"/>
          <w:b/>
          <w:spacing w:val="-2"/>
          <w:sz w:val="19"/>
          <w:szCs w:val="19"/>
        </w:rPr>
        <w:t xml:space="preserve">. </w:t>
      </w:r>
      <w:r w:rsidRPr="00885760">
        <w:rPr>
          <w:rFonts w:ascii="Fira Sans" w:hAnsi="Fira Sans"/>
          <w:b/>
          <w:spacing w:val="-2"/>
          <w:sz w:val="19"/>
          <w:szCs w:val="19"/>
        </w:rPr>
        <w:t>Salda odpowie</w:t>
      </w:r>
      <w:r>
        <w:rPr>
          <w:rFonts w:ascii="Fira Sans" w:hAnsi="Fira Sans"/>
          <w:b/>
          <w:spacing w:val="-2"/>
          <w:sz w:val="19"/>
          <w:szCs w:val="19"/>
        </w:rPr>
        <w:t xml:space="preserve">dzi dotyczące bieżącej (czerwiec 2024 r.) </w:t>
      </w:r>
      <w:r w:rsidRPr="00885760">
        <w:rPr>
          <w:rFonts w:ascii="Fira Sans" w:hAnsi="Fira Sans"/>
          <w:b/>
          <w:spacing w:val="-2"/>
          <w:sz w:val="19"/>
          <w:szCs w:val="19"/>
        </w:rPr>
        <w:t>sytuacji</w:t>
      </w:r>
      <w:r w:rsidRPr="009021D3">
        <w:rPr>
          <w:rFonts w:ascii="Fira Sans" w:hAnsi="Fira Sans"/>
          <w:b/>
          <w:spacing w:val="-2"/>
          <w:sz w:val="19"/>
          <w:szCs w:val="19"/>
        </w:rPr>
        <w:t xml:space="preserve"> ogólnej gospodarstw rolnych, opłacalności produkcji rolniczej i popytu na produkty rolne</w:t>
      </w:r>
    </w:p>
    <w:p w14:paraId="20FB140D" w14:textId="3B4C444D" w:rsidR="00E44CEE" w:rsidRDefault="00B15EBB" w:rsidP="0041394C">
      <w:pPr>
        <w:pStyle w:val="LID"/>
        <w:spacing w:after="120"/>
        <w:rPr>
          <w:rFonts w:eastAsia="Times New Roman" w:cs="Calibri"/>
          <w:b w:val="0"/>
          <w:bCs/>
          <w:color w:val="000000"/>
        </w:rPr>
      </w:pPr>
      <w:r w:rsidRPr="00B15EBB">
        <w:rPr>
          <w:rFonts w:eastAsia="Times New Roman" w:cs="Calibri"/>
          <w:b w:val="0"/>
          <w:bCs/>
          <w:color w:val="000000"/>
        </w:rPr>
        <w:lastRenderedPageBreak/>
        <w:t>Podobnie jak w czt</w:t>
      </w:r>
      <w:r w:rsidR="00E44CEE">
        <w:rPr>
          <w:rFonts w:eastAsia="Times New Roman" w:cs="Calibri"/>
          <w:b w:val="0"/>
          <w:bCs/>
          <w:color w:val="000000"/>
        </w:rPr>
        <w:t>e</w:t>
      </w:r>
      <w:r w:rsidRPr="00B15EBB">
        <w:rPr>
          <w:rFonts w:eastAsia="Times New Roman" w:cs="Calibri"/>
          <w:b w:val="0"/>
          <w:bCs/>
          <w:color w:val="000000"/>
        </w:rPr>
        <w:t xml:space="preserve">rech poprzednich edycjach badania, najbardziej pesymistyczne oceny na temat bieżącej opłacalności produkcji rolniczej wyrażali użytkownicy gospodarstw ukierunkowanych na produkcję roślinną (przewaga opinii negatywnych nad pozytywnymi wyniosła w czerwcu </w:t>
      </w:r>
      <w:r w:rsidR="0065694C" w:rsidRPr="00EC48CD">
        <w:rPr>
          <w:rFonts w:eastAsia="Times New Roman" w:cs="Calibri"/>
          <w:b w:val="0"/>
          <w:bCs/>
        </w:rPr>
        <w:t>b</w:t>
      </w:r>
      <w:r w:rsidRPr="00B15EBB">
        <w:rPr>
          <w:rFonts w:eastAsia="Times New Roman" w:cs="Calibri"/>
          <w:b w:val="0"/>
          <w:bCs/>
          <w:color w:val="000000"/>
        </w:rPr>
        <w:t xml:space="preserve">r. 29,3 p. proc.). Najbardziej negatywne oceny w obszarze opłacalności produkcji rolniczej wyrażali kierujący gospodarstwami rolnymi zajmujący się uprawą zbóż i ziemniaków. </w:t>
      </w:r>
    </w:p>
    <w:p w14:paraId="7B9AAD75" w14:textId="77E51C01" w:rsidR="0033055D" w:rsidRDefault="00B15EBB" w:rsidP="0041394C">
      <w:pPr>
        <w:pStyle w:val="LID"/>
        <w:spacing w:after="120"/>
        <w:rPr>
          <w:rFonts w:eastAsia="Times New Roman" w:cs="Calibri"/>
          <w:b w:val="0"/>
          <w:bCs/>
          <w:color w:val="000000"/>
        </w:rPr>
      </w:pPr>
      <w:r w:rsidRPr="00B15EBB">
        <w:rPr>
          <w:rFonts w:eastAsia="Times New Roman" w:cs="Calibri"/>
          <w:b w:val="0"/>
          <w:bCs/>
          <w:color w:val="000000"/>
        </w:rPr>
        <w:t xml:space="preserve">W przypadku kierujących </w:t>
      </w:r>
      <w:r w:rsidR="00E44CEE">
        <w:rPr>
          <w:rFonts w:eastAsia="Times New Roman" w:cs="Calibri"/>
          <w:b w:val="0"/>
          <w:bCs/>
          <w:color w:val="000000"/>
        </w:rPr>
        <w:t>gospodarstwami</w:t>
      </w:r>
      <w:r w:rsidRPr="00B15EBB">
        <w:rPr>
          <w:rFonts w:eastAsia="Times New Roman" w:cs="Calibri"/>
          <w:b w:val="0"/>
          <w:bCs/>
          <w:color w:val="000000"/>
        </w:rPr>
        <w:t xml:space="preserve"> zajmującymi się produkcją zwierzęcą, najbardziej pesymistyczne opinie formułowali prowadzący chów</w:t>
      </w:r>
      <w:r w:rsidR="00597CA5">
        <w:rPr>
          <w:rFonts w:eastAsia="Times New Roman" w:cs="Calibri"/>
          <w:b w:val="0"/>
          <w:bCs/>
          <w:color w:val="000000"/>
        </w:rPr>
        <w:t xml:space="preserve"> </w:t>
      </w:r>
      <w:r w:rsidRPr="00B15EBB">
        <w:rPr>
          <w:rFonts w:eastAsia="Times New Roman" w:cs="Calibri"/>
          <w:b w:val="0"/>
          <w:bCs/>
          <w:color w:val="000000"/>
        </w:rPr>
        <w:t xml:space="preserve">koni. Jedynie wśród rolników zajmujących się uprawami pod osłonami oraz chowem brojlerów przeważały opinie o opłacalności </w:t>
      </w:r>
      <w:r w:rsidR="0065694C" w:rsidRPr="00EC48CD">
        <w:rPr>
          <w:rFonts w:eastAsia="Times New Roman" w:cs="Calibri"/>
          <w:b w:val="0"/>
          <w:bCs/>
        </w:rPr>
        <w:t xml:space="preserve">zrealizowanej w czerwcu br. </w:t>
      </w:r>
      <w:r w:rsidRPr="00B15EBB">
        <w:rPr>
          <w:rFonts w:eastAsia="Times New Roman" w:cs="Calibri"/>
          <w:b w:val="0"/>
          <w:bCs/>
          <w:color w:val="000000"/>
        </w:rPr>
        <w:t>produkcji rolniczej nad opiniami przeciwnymi</w:t>
      </w:r>
      <w:r w:rsidR="00E44CEE">
        <w:rPr>
          <w:rFonts w:eastAsia="Times New Roman" w:cs="Calibri"/>
          <w:b w:val="0"/>
          <w:bCs/>
          <w:color w:val="000000"/>
        </w:rPr>
        <w:t>.</w:t>
      </w:r>
    </w:p>
    <w:p w14:paraId="1EB097D4" w14:textId="0EDFF937" w:rsidR="00E44CEE" w:rsidRDefault="00B15EBB" w:rsidP="00B15EBB">
      <w:pPr>
        <w:pStyle w:val="LID"/>
        <w:spacing w:after="120"/>
        <w:rPr>
          <w:rFonts w:eastAsia="Times New Roman" w:cs="Calibri"/>
          <w:b w:val="0"/>
          <w:bCs/>
          <w:color w:val="000000"/>
        </w:rPr>
      </w:pPr>
      <w:r w:rsidRPr="00B15EBB">
        <w:rPr>
          <w:rFonts w:eastAsia="Times New Roman" w:cs="Calibri"/>
          <w:b w:val="0"/>
          <w:bCs/>
          <w:color w:val="000000"/>
        </w:rPr>
        <w:t>Niezależnie od wielkości gospodarstwa rolnego i kierunku prowadzonej produkcji</w:t>
      </w:r>
      <w:r w:rsidR="00E44CEE">
        <w:rPr>
          <w:rFonts w:eastAsia="Times New Roman" w:cs="Calibri"/>
          <w:b w:val="0"/>
          <w:bCs/>
          <w:color w:val="000000"/>
        </w:rPr>
        <w:t>,</w:t>
      </w:r>
      <w:r w:rsidRPr="00B15EBB">
        <w:rPr>
          <w:rFonts w:eastAsia="Times New Roman" w:cs="Calibri"/>
          <w:b w:val="0"/>
          <w:bCs/>
          <w:color w:val="000000"/>
        </w:rPr>
        <w:t xml:space="preserve"> kierujący gospodarstwami rolnymi również negatywnie ocenili </w:t>
      </w:r>
      <w:r w:rsidR="0065694C" w:rsidRPr="00EC48CD">
        <w:rPr>
          <w:rFonts w:eastAsia="Times New Roman" w:cs="Calibri"/>
          <w:b w:val="0"/>
          <w:bCs/>
        </w:rPr>
        <w:t xml:space="preserve">obserwowany w czerwcu br. </w:t>
      </w:r>
      <w:r w:rsidRPr="00B15EBB">
        <w:rPr>
          <w:rFonts w:eastAsia="Times New Roman" w:cs="Calibri"/>
          <w:b w:val="0"/>
          <w:bCs/>
          <w:color w:val="000000"/>
        </w:rPr>
        <w:t xml:space="preserve">popyt. Najbardziej negatywne </w:t>
      </w:r>
      <w:r w:rsidR="0065694C" w:rsidRPr="00EC48CD">
        <w:rPr>
          <w:rFonts w:eastAsia="Times New Roman" w:cs="Calibri"/>
          <w:b w:val="0"/>
          <w:bCs/>
        </w:rPr>
        <w:t xml:space="preserve">oceny w tym zakresie </w:t>
      </w:r>
      <w:r w:rsidRPr="00B15EBB">
        <w:rPr>
          <w:rFonts w:eastAsia="Times New Roman" w:cs="Calibri"/>
          <w:b w:val="0"/>
          <w:bCs/>
          <w:color w:val="000000"/>
        </w:rPr>
        <w:t xml:space="preserve">wyrazili kierujący jednostkami specjalizującymi się w produkcji roślinnej, natomiast najmniej pesymistyczne </w:t>
      </w:r>
      <w:r w:rsidR="0065694C" w:rsidRPr="00EC48CD">
        <w:rPr>
          <w:rFonts w:eastAsia="Times New Roman" w:cs="Calibri"/>
          <w:b w:val="0"/>
          <w:bCs/>
        </w:rPr>
        <w:t>–</w:t>
      </w:r>
      <w:r w:rsidR="0065694C">
        <w:rPr>
          <w:rFonts w:eastAsia="Times New Roman" w:cs="Calibri"/>
          <w:b w:val="0"/>
          <w:bCs/>
          <w:color w:val="000000"/>
        </w:rPr>
        <w:t xml:space="preserve"> </w:t>
      </w:r>
      <w:r w:rsidRPr="00B15EBB">
        <w:rPr>
          <w:rFonts w:eastAsia="Times New Roman" w:cs="Calibri"/>
          <w:b w:val="0"/>
          <w:bCs/>
          <w:color w:val="000000"/>
        </w:rPr>
        <w:t xml:space="preserve">w produkcji zwierzęcej. </w:t>
      </w:r>
    </w:p>
    <w:p w14:paraId="40F3C62B" w14:textId="40A5F87F" w:rsidR="00DF50C1" w:rsidRPr="00250299" w:rsidRDefault="00B15EBB" w:rsidP="00250299">
      <w:pPr>
        <w:pStyle w:val="LID"/>
        <w:spacing w:after="120"/>
        <w:rPr>
          <w:rFonts w:eastAsia="Times New Roman" w:cs="Calibri"/>
          <w:b w:val="0"/>
          <w:bCs/>
          <w:color w:val="000000"/>
        </w:rPr>
        <w:sectPr w:rsidR="00DF50C1" w:rsidRPr="00250299" w:rsidSect="00D3003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720" w:right="3119" w:bottom="142" w:left="720" w:header="284" w:footer="284" w:gutter="0"/>
          <w:cols w:space="708"/>
          <w:titlePg/>
          <w:docGrid w:linePitch="360"/>
        </w:sectPr>
      </w:pPr>
      <w:r w:rsidRPr="00B15EBB">
        <w:rPr>
          <w:rFonts w:eastAsia="Times New Roman" w:cs="Calibri"/>
          <w:b w:val="0"/>
          <w:bCs/>
          <w:color w:val="000000"/>
        </w:rPr>
        <w:t>Najbardziej niezadowoleni z bieżącego popytu byli uprawiający rzepak i rzepik oraz zboża, jak również hodowcy koni i</w:t>
      </w:r>
      <w:r w:rsidR="008E4C27">
        <w:rPr>
          <w:rFonts w:eastAsia="Times New Roman" w:cs="Calibri"/>
          <w:b w:val="0"/>
          <w:bCs/>
          <w:color w:val="000000"/>
        </w:rPr>
        <w:t> </w:t>
      </w:r>
      <w:r w:rsidRPr="00B15EBB">
        <w:rPr>
          <w:rFonts w:eastAsia="Times New Roman" w:cs="Calibri"/>
          <w:b w:val="0"/>
          <w:bCs/>
          <w:color w:val="000000"/>
        </w:rPr>
        <w:t xml:space="preserve">prowadzący chów bydła rzeźnego. Rolnicy prowadzący uprawy pod osłonami oraz chów </w:t>
      </w:r>
      <w:r w:rsidR="00E44CEE">
        <w:rPr>
          <w:rFonts w:eastAsia="Times New Roman" w:cs="Calibri"/>
          <w:b w:val="0"/>
          <w:bCs/>
          <w:color w:val="000000"/>
        </w:rPr>
        <w:t xml:space="preserve">drobiu-brojlerów </w:t>
      </w:r>
      <w:r w:rsidRPr="00B15EBB">
        <w:rPr>
          <w:rFonts w:eastAsia="Times New Roman" w:cs="Calibri"/>
          <w:b w:val="0"/>
          <w:bCs/>
          <w:color w:val="000000"/>
        </w:rPr>
        <w:t xml:space="preserve">ocenili </w:t>
      </w:r>
      <w:r w:rsidR="0065694C" w:rsidRPr="00EC48CD">
        <w:rPr>
          <w:rFonts w:eastAsia="Times New Roman" w:cs="Calibri"/>
          <w:b w:val="0"/>
          <w:bCs/>
        </w:rPr>
        <w:t>obserwowany w czerwcu br.</w:t>
      </w:r>
      <w:r w:rsidR="00EC48CD">
        <w:rPr>
          <w:rFonts w:eastAsia="Times New Roman" w:cs="Calibri"/>
          <w:b w:val="0"/>
          <w:bCs/>
        </w:rPr>
        <w:t xml:space="preserve"> </w:t>
      </w:r>
      <w:r w:rsidRPr="00B15EBB">
        <w:rPr>
          <w:rFonts w:eastAsia="Times New Roman" w:cs="Calibri"/>
          <w:b w:val="0"/>
          <w:bCs/>
          <w:color w:val="000000"/>
        </w:rPr>
        <w:t>popyt najmniej pesymistyczni</w:t>
      </w:r>
      <w:r w:rsidR="00597CA5">
        <w:rPr>
          <w:rFonts w:eastAsia="Times New Roman" w:cs="Calibri"/>
          <w:b w:val="0"/>
          <w:bCs/>
          <w:color w:val="000000"/>
        </w:rPr>
        <w:t>e</w:t>
      </w:r>
      <w:r w:rsidR="00250299">
        <w:rPr>
          <w:rFonts w:eastAsia="Times New Roman" w:cs="Calibri"/>
          <w:b w:val="0"/>
          <w:bCs/>
          <w:color w:val="000000"/>
        </w:rPr>
        <w:t>.</w:t>
      </w:r>
    </w:p>
    <w:p w14:paraId="7E315E44" w14:textId="3A3AE61F" w:rsidR="00765532" w:rsidRPr="006A3657" w:rsidRDefault="00174C8D" w:rsidP="00250299">
      <w:pPr>
        <w:spacing w:before="360" w:after="480"/>
        <w:rPr>
          <w:rFonts w:ascii="Fira Sans" w:hAnsi="Fira Sans"/>
          <w:b/>
          <w:color w:val="002060"/>
          <w:spacing w:val="-2"/>
          <w:sz w:val="19"/>
          <w:szCs w:val="19"/>
        </w:rPr>
      </w:pPr>
      <w:r w:rsidRPr="00B15EBB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2990464" behindDoc="1" locked="0" layoutInCell="1" allowOverlap="1" wp14:anchorId="5C9A98AF" wp14:editId="5137D997">
                <wp:simplePos x="0" y="0"/>
                <wp:positionH relativeFrom="page">
                  <wp:posOffset>5816600</wp:posOffset>
                </wp:positionH>
                <wp:positionV relativeFrom="paragraph">
                  <wp:posOffset>0</wp:posOffset>
                </wp:positionV>
                <wp:extent cx="1743710" cy="1619250"/>
                <wp:effectExtent l="0" t="0" r="0" b="0"/>
                <wp:wrapTight wrapText="bothSides">
                  <wp:wrapPolygon edited="0">
                    <wp:start x="708" y="0"/>
                    <wp:lineTo x="708" y="21346"/>
                    <wp:lineTo x="20766" y="21346"/>
                    <wp:lineTo x="20766" y="0"/>
                    <wp:lineTo x="708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9DDA8" w14:textId="533A4441" w:rsidR="00E14EFF" w:rsidRPr="005429D3" w:rsidRDefault="00B15EBB" w:rsidP="0064579F">
                            <w:pPr>
                              <w:pStyle w:val="tekstzboku"/>
                            </w:pPr>
                            <w:r w:rsidRPr="00B15EBB">
                              <w:t>40,8% kierujących gospodarstwami prowadzący</w:t>
                            </w:r>
                            <w:r w:rsidR="00B261B5">
                              <w:t>mi</w:t>
                            </w:r>
                            <w:r w:rsidRPr="00B15EBB">
                              <w:t xml:space="preserve"> uprawy zbóż uznało, że bieżąca produkcja rolnicza jest nieopłacalna, a 8,8% że </w:t>
                            </w:r>
                            <w:r w:rsidR="00174C8D">
                              <w:t xml:space="preserve">jest </w:t>
                            </w:r>
                            <w:r w:rsidRPr="00B15EBB">
                              <w:t xml:space="preserve">opłacalna. Pozostali </w:t>
                            </w:r>
                            <w:r w:rsidR="0012746E">
                              <w:t>nie mieli zdecydowanej opinii na ten temat.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A98AF" id="Pole tekstowe 28" o:spid="_x0000_s1033" type="#_x0000_t202" style="position:absolute;margin-left:458pt;margin-top:0;width:137.3pt;height:127.5pt;z-index:-250326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" filled="f" stroked="f">
                <v:textbox>
                  <w:txbxContent>
                    <w:p w14:paraId="1079DDA8" w14:textId="533A4441" w:rsidR="00E14EFF" w:rsidRPr="005429D3" w:rsidRDefault="00B15EBB" w:rsidP="0064579F">
                      <w:pPr>
                        <w:pStyle w:val="tekstzboku"/>
                      </w:pPr>
                      <w:r w:rsidRPr="00B15EBB">
                        <w:t>40,8% kierujących gospodarstwami prowadzący</w:t>
                      </w:r>
                      <w:r w:rsidR="00B261B5">
                        <w:t>mi</w:t>
                      </w:r>
                      <w:r w:rsidRPr="00B15EBB">
                        <w:t xml:space="preserve"> uprawy zbóż uznało, że bieżąca produkcja rolnicza jest nieopłacalna, a 8,8% że </w:t>
                      </w:r>
                      <w:r w:rsidR="00174C8D">
                        <w:t xml:space="preserve">jest </w:t>
                      </w:r>
                      <w:r w:rsidRPr="00B15EBB">
                        <w:t xml:space="preserve">opłacalna. Pozostali </w:t>
                      </w:r>
                      <w:r w:rsidR="0012746E">
                        <w:t>nie mieli zdecydowanej opinii na ten temat.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67ED" w:rsidRPr="006A3657">
        <w:rPr>
          <w:rFonts w:ascii="Fira Sans" w:hAnsi="Fira Sans"/>
          <w:b/>
          <w:color w:val="002060"/>
          <w:spacing w:val="-2"/>
          <w:sz w:val="19"/>
          <w:szCs w:val="19"/>
        </w:rPr>
        <w:t xml:space="preserve">Prognoza </w:t>
      </w:r>
      <w:r w:rsidR="00765532" w:rsidRPr="006A3657">
        <w:rPr>
          <w:rFonts w:ascii="Fira Sans" w:hAnsi="Fira Sans"/>
          <w:b/>
          <w:color w:val="002060"/>
          <w:spacing w:val="-2"/>
          <w:sz w:val="19"/>
          <w:szCs w:val="19"/>
        </w:rPr>
        <w:t>sytuacji gospodarstw rolnych</w:t>
      </w:r>
    </w:p>
    <w:p w14:paraId="5BF706B6" w14:textId="5B4602F0" w:rsidR="006A3657" w:rsidRPr="00F33583" w:rsidRDefault="006A3657" w:rsidP="006A3657">
      <w:pPr>
        <w:spacing w:before="240" w:after="120"/>
        <w:rPr>
          <w:rFonts w:ascii="Fira Sans" w:hAnsi="Fira Sans"/>
          <w:spacing w:val="-2"/>
          <w:sz w:val="19"/>
          <w:szCs w:val="19"/>
        </w:rPr>
      </w:pPr>
      <w:r w:rsidRPr="00F33583">
        <w:rPr>
          <w:rFonts w:ascii="Fira Sans" w:hAnsi="Fira Sans"/>
          <w:spacing w:val="-2"/>
          <w:sz w:val="19"/>
          <w:szCs w:val="19"/>
        </w:rPr>
        <w:t xml:space="preserve">W czerwcu </w:t>
      </w:r>
      <w:r w:rsidR="0065694C" w:rsidRPr="00EC48CD">
        <w:rPr>
          <w:rFonts w:ascii="Fira Sans" w:hAnsi="Fira Sans"/>
          <w:spacing w:val="-2"/>
          <w:sz w:val="19"/>
          <w:szCs w:val="19"/>
        </w:rPr>
        <w:t>b</w:t>
      </w:r>
      <w:r w:rsidRPr="00F33583">
        <w:rPr>
          <w:rFonts w:ascii="Fira Sans" w:hAnsi="Fira Sans"/>
          <w:spacing w:val="-2"/>
          <w:sz w:val="19"/>
          <w:szCs w:val="19"/>
        </w:rPr>
        <w:t>r. prognozy dla ogółu gospodarstw dotyczące zarówno ogólnej ich sytuacji,</w:t>
      </w:r>
      <w:r w:rsidR="005C2875">
        <w:rPr>
          <w:rFonts w:ascii="Fira Sans" w:hAnsi="Fira Sans"/>
          <w:spacing w:val="-2"/>
          <w:sz w:val="19"/>
          <w:szCs w:val="19"/>
        </w:rPr>
        <w:t xml:space="preserve"> </w:t>
      </w:r>
      <w:r w:rsidRPr="00F33583">
        <w:rPr>
          <w:rFonts w:ascii="Fira Sans" w:hAnsi="Fira Sans"/>
          <w:spacing w:val="-2"/>
          <w:sz w:val="19"/>
          <w:szCs w:val="19"/>
        </w:rPr>
        <w:t xml:space="preserve">opłacalności produkcji rolnej, jak i popytu na produkty rolne na II półrocze </w:t>
      </w:r>
      <w:r w:rsidR="00E5369D" w:rsidRPr="00EC48CD">
        <w:rPr>
          <w:rFonts w:ascii="Fira Sans" w:hAnsi="Fira Sans"/>
          <w:spacing w:val="-2"/>
          <w:sz w:val="19"/>
          <w:szCs w:val="19"/>
        </w:rPr>
        <w:t>b</w:t>
      </w:r>
      <w:r w:rsidRPr="00F33583">
        <w:rPr>
          <w:rFonts w:ascii="Fira Sans" w:hAnsi="Fira Sans"/>
          <w:spacing w:val="-2"/>
          <w:sz w:val="19"/>
          <w:szCs w:val="19"/>
        </w:rPr>
        <w:t xml:space="preserve">r. były niekorzystne. </w:t>
      </w:r>
      <w:r w:rsidR="0012746E">
        <w:rPr>
          <w:rFonts w:ascii="Fira Sans" w:hAnsi="Fira Sans"/>
          <w:spacing w:val="-2"/>
          <w:sz w:val="19"/>
          <w:szCs w:val="19"/>
        </w:rPr>
        <w:t>Wzrost negatywnych opinii</w:t>
      </w:r>
      <w:r w:rsidRPr="00F33583">
        <w:rPr>
          <w:rFonts w:ascii="Fira Sans" w:hAnsi="Fira Sans"/>
          <w:spacing w:val="-2"/>
          <w:sz w:val="19"/>
          <w:szCs w:val="19"/>
        </w:rPr>
        <w:t xml:space="preserve"> w porównaniu z grudniem oraz czerwcem </w:t>
      </w:r>
      <w:r>
        <w:rPr>
          <w:rFonts w:ascii="Fira Sans" w:hAnsi="Fira Sans"/>
          <w:spacing w:val="-2"/>
          <w:sz w:val="19"/>
          <w:szCs w:val="19"/>
        </w:rPr>
        <w:t>ub</w:t>
      </w:r>
      <w:r w:rsidR="00E5369D">
        <w:rPr>
          <w:rFonts w:ascii="Fira Sans" w:hAnsi="Fira Sans"/>
          <w:spacing w:val="-2"/>
          <w:sz w:val="19"/>
          <w:szCs w:val="19"/>
        </w:rPr>
        <w:t>.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F33583">
        <w:rPr>
          <w:rFonts w:ascii="Fira Sans" w:hAnsi="Fira Sans"/>
          <w:spacing w:val="-2"/>
          <w:sz w:val="19"/>
          <w:szCs w:val="19"/>
        </w:rPr>
        <w:t xml:space="preserve">roku odnotowano w pytaniu o zmianę ogólnej sytuacji gospodarstwa rolnego w najbliższym półroczu – spadki wartości salda odpowiednio o 2,8 oraz 0,3 p. proc. Tylko opinie o kształtowaniu się popytu w drugiej połowie br. były mniej pesymistyczne w porównaniu z dwoma poprzednimi edycjami badania. </w:t>
      </w:r>
    </w:p>
    <w:p w14:paraId="753A5919" w14:textId="5A78F8D2" w:rsidR="00DF2963" w:rsidRDefault="0034561C" w:rsidP="00DF2963">
      <w:pPr>
        <w:spacing w:before="360" w:after="480"/>
        <w:rPr>
          <w:rFonts w:ascii="Fira Sans" w:hAnsi="Fira Sans"/>
          <w:b/>
          <w:spacing w:val="-2"/>
          <w:sz w:val="19"/>
          <w:szCs w:val="19"/>
        </w:rPr>
      </w:pPr>
      <w:r>
        <w:rPr>
          <w:rFonts w:ascii="Fira Sans" w:eastAsia="Times New Roman" w:hAnsi="Fira Sans" w:cs="Calibri"/>
          <w:b/>
          <w:bCs/>
          <w:noProof/>
          <w:color w:val="000000"/>
          <w:sz w:val="19"/>
          <w:szCs w:val="19"/>
          <w:lang w:eastAsia="pl-PL"/>
        </w:rPr>
        <w:t>Tablica 3</w:t>
      </w:r>
      <w:r w:rsidRPr="0061109F">
        <w:rPr>
          <w:rFonts w:ascii="Fira Sans" w:eastAsia="Times New Roman" w:hAnsi="Fira Sans" w:cs="Calibri"/>
          <w:b/>
          <w:bCs/>
          <w:noProof/>
          <w:color w:val="000000"/>
          <w:sz w:val="19"/>
          <w:szCs w:val="19"/>
          <w:lang w:eastAsia="pl-PL"/>
        </w:rPr>
        <w:t xml:space="preserve">. </w:t>
      </w:r>
      <w:r>
        <w:rPr>
          <w:rFonts w:ascii="Fira Sans" w:hAnsi="Fira Sans"/>
          <w:b/>
          <w:spacing w:val="-2"/>
          <w:sz w:val="19"/>
          <w:szCs w:val="19"/>
        </w:rPr>
        <w:t>Salda odpowiedzi dla prognozy</w:t>
      </w:r>
      <w:r w:rsidRPr="003F102C">
        <w:rPr>
          <w:rFonts w:ascii="Fira Sans" w:hAnsi="Fira Sans"/>
          <w:b/>
          <w:spacing w:val="-2"/>
          <w:sz w:val="19"/>
          <w:szCs w:val="19"/>
        </w:rPr>
        <w:t xml:space="preserve"> sytuacji ogólne</w:t>
      </w:r>
      <w:r w:rsidR="00187851">
        <w:rPr>
          <w:rFonts w:ascii="Fira Sans" w:hAnsi="Fira Sans"/>
          <w:b/>
          <w:spacing w:val="-2"/>
          <w:sz w:val="19"/>
          <w:szCs w:val="19"/>
        </w:rPr>
        <w:t xml:space="preserve">j gospodarstw rolnych, </w:t>
      </w:r>
      <w:r w:rsidRPr="003F102C">
        <w:rPr>
          <w:rFonts w:ascii="Fira Sans" w:hAnsi="Fira Sans"/>
          <w:b/>
          <w:spacing w:val="-2"/>
          <w:sz w:val="19"/>
          <w:szCs w:val="19"/>
        </w:rPr>
        <w:t>opłacalności produkcji rolniczej i popytu na produkty rolne</w:t>
      </w:r>
    </w:p>
    <w:tbl>
      <w:tblPr>
        <w:tblW w:w="8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2091"/>
        <w:gridCol w:w="2090"/>
        <w:gridCol w:w="2089"/>
        <w:gridCol w:w="146"/>
      </w:tblGrid>
      <w:tr w:rsidR="00350520" w:rsidRPr="00350520" w14:paraId="380D9E22" w14:textId="77777777" w:rsidTr="00350520">
        <w:trPr>
          <w:gridAfter w:val="1"/>
          <w:wAfter w:w="36" w:type="dxa"/>
          <w:trHeight w:val="480"/>
        </w:trPr>
        <w:tc>
          <w:tcPr>
            <w:tcW w:w="2094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B107EA9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Wyszczególnienie</w:t>
            </w:r>
          </w:p>
        </w:tc>
        <w:tc>
          <w:tcPr>
            <w:tcW w:w="2091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2D7C4C8" w14:textId="6674F2DA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Prognoza sytuacji ogólnej gospodarstw roln</w:t>
            </w:r>
            <w:r w:rsidR="00495F83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ych</w:t>
            </w: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 xml:space="preserve"> w najbliższym półroczu</w:t>
            </w:r>
          </w:p>
        </w:tc>
        <w:tc>
          <w:tcPr>
            <w:tcW w:w="2090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A4E6A6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Prognoza opłacalności produkcji rolniczej w najbliższym półroczu</w:t>
            </w:r>
          </w:p>
        </w:tc>
        <w:tc>
          <w:tcPr>
            <w:tcW w:w="208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3315EC6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Prognoza popytu na produkty rolne w najbliższym półroczu</w:t>
            </w:r>
          </w:p>
        </w:tc>
      </w:tr>
      <w:tr w:rsidR="00350520" w:rsidRPr="00350520" w14:paraId="7C9D9293" w14:textId="77777777" w:rsidTr="00350520">
        <w:trPr>
          <w:trHeight w:val="825"/>
        </w:trPr>
        <w:tc>
          <w:tcPr>
            <w:tcW w:w="2094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D784DC6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B4C9374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2090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3C1799F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0063903F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7F4E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</w:p>
        </w:tc>
      </w:tr>
      <w:tr w:rsidR="00350520" w:rsidRPr="00350520" w14:paraId="01ADC9AB" w14:textId="77777777" w:rsidTr="00350520">
        <w:trPr>
          <w:trHeight w:val="315"/>
        </w:trPr>
        <w:tc>
          <w:tcPr>
            <w:tcW w:w="2094" w:type="dxa"/>
            <w:tcBorders>
              <w:top w:val="nil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0D054D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6270" w:type="dxa"/>
            <w:gridSpan w:val="3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91443F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i/>
                <w:iCs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i/>
                <w:iCs/>
                <w:color w:val="000000"/>
                <w:sz w:val="19"/>
                <w:szCs w:val="19"/>
                <w:lang w:eastAsia="pl-PL"/>
              </w:rPr>
              <w:t>saldo odpowiedzi w p. proc.</w:t>
            </w:r>
          </w:p>
        </w:tc>
        <w:tc>
          <w:tcPr>
            <w:tcW w:w="36" w:type="dxa"/>
            <w:vAlign w:val="center"/>
            <w:hideMark/>
          </w:tcPr>
          <w:p w14:paraId="59F40698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6E9F9AF8" w14:textId="77777777" w:rsidTr="00350520">
        <w:trPr>
          <w:trHeight w:val="300"/>
        </w:trPr>
        <w:tc>
          <w:tcPr>
            <w:tcW w:w="20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31E4D70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2019 r.</w:t>
            </w:r>
          </w:p>
        </w:tc>
        <w:tc>
          <w:tcPr>
            <w:tcW w:w="209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C8D6A87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-11,7</w:t>
            </w:r>
          </w:p>
        </w:tc>
        <w:tc>
          <w:tcPr>
            <w:tcW w:w="209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83C874C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-16,1</w:t>
            </w:r>
          </w:p>
        </w:tc>
        <w:tc>
          <w:tcPr>
            <w:tcW w:w="2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651F1AAA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-3,8</w:t>
            </w:r>
          </w:p>
        </w:tc>
        <w:tc>
          <w:tcPr>
            <w:tcW w:w="36" w:type="dxa"/>
            <w:vAlign w:val="center"/>
            <w:hideMark/>
          </w:tcPr>
          <w:p w14:paraId="754EE477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0149EBE8" w14:textId="77777777" w:rsidTr="00350520">
        <w:trPr>
          <w:trHeight w:val="300"/>
        </w:trPr>
        <w:tc>
          <w:tcPr>
            <w:tcW w:w="209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09121A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2020 r.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30872F3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-7,9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62E7F5C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-11,6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70D8D745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-5,0</w:t>
            </w:r>
          </w:p>
        </w:tc>
        <w:tc>
          <w:tcPr>
            <w:tcW w:w="36" w:type="dxa"/>
            <w:vAlign w:val="center"/>
            <w:hideMark/>
          </w:tcPr>
          <w:p w14:paraId="49C763BB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2DABB928" w14:textId="77777777" w:rsidTr="00350520">
        <w:trPr>
          <w:trHeight w:val="300"/>
        </w:trPr>
        <w:tc>
          <w:tcPr>
            <w:tcW w:w="209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BEBD723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2020 r.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1A9018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-9,1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BAB8225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-13,1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7DACCA96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-5,2</w:t>
            </w:r>
          </w:p>
        </w:tc>
        <w:tc>
          <w:tcPr>
            <w:tcW w:w="36" w:type="dxa"/>
            <w:vAlign w:val="center"/>
            <w:hideMark/>
          </w:tcPr>
          <w:p w14:paraId="68E4D427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7DEAF4ED" w14:textId="77777777" w:rsidTr="00350520">
        <w:trPr>
          <w:trHeight w:val="300"/>
        </w:trPr>
        <w:tc>
          <w:tcPr>
            <w:tcW w:w="209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FEAF6F8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2021 r.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4114DDA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-15,4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E48229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-23,8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076209D5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-6,4</w:t>
            </w:r>
          </w:p>
        </w:tc>
        <w:tc>
          <w:tcPr>
            <w:tcW w:w="36" w:type="dxa"/>
            <w:vAlign w:val="center"/>
            <w:hideMark/>
          </w:tcPr>
          <w:p w14:paraId="571FE6ED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6A22D3F4" w14:textId="77777777" w:rsidTr="00350520">
        <w:trPr>
          <w:trHeight w:val="300"/>
        </w:trPr>
        <w:tc>
          <w:tcPr>
            <w:tcW w:w="209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C31857" w14:textId="51966641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</w:t>
            </w:r>
            <w:r w:rsidR="0007385C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 xml:space="preserve"> </w:t>
            </w: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2021 r.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C899F58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-47,2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6B2AF5D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-52,1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5FFE45B2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-16,2</w:t>
            </w:r>
          </w:p>
        </w:tc>
        <w:tc>
          <w:tcPr>
            <w:tcW w:w="36" w:type="dxa"/>
            <w:vAlign w:val="center"/>
            <w:hideMark/>
          </w:tcPr>
          <w:p w14:paraId="38C49F5F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5FBF56EA" w14:textId="77777777" w:rsidTr="00350520">
        <w:trPr>
          <w:trHeight w:val="300"/>
        </w:trPr>
        <w:tc>
          <w:tcPr>
            <w:tcW w:w="209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2A2CAD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2022 r.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00DE69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-39,4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2613BC3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-45,2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373E649C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-16,1</w:t>
            </w:r>
          </w:p>
        </w:tc>
        <w:tc>
          <w:tcPr>
            <w:tcW w:w="36" w:type="dxa"/>
            <w:vAlign w:val="center"/>
            <w:hideMark/>
          </w:tcPr>
          <w:p w14:paraId="6FA6740F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6CE2DBF1" w14:textId="77777777" w:rsidTr="00350520">
        <w:trPr>
          <w:trHeight w:val="300"/>
        </w:trPr>
        <w:tc>
          <w:tcPr>
            <w:tcW w:w="209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762566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2022 r.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85A474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-34,8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F02CD48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-43,5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598A2683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-22,8</w:t>
            </w:r>
          </w:p>
        </w:tc>
        <w:tc>
          <w:tcPr>
            <w:tcW w:w="36" w:type="dxa"/>
            <w:vAlign w:val="center"/>
            <w:hideMark/>
          </w:tcPr>
          <w:p w14:paraId="23F44409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6EDB5A7B" w14:textId="77777777" w:rsidTr="00350520">
        <w:trPr>
          <w:trHeight w:val="300"/>
        </w:trPr>
        <w:tc>
          <w:tcPr>
            <w:tcW w:w="209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1CA21D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2023 r.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3840C3A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-29,4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BD5D0CF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-36,2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74B85077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-21,6</w:t>
            </w:r>
          </w:p>
        </w:tc>
        <w:tc>
          <w:tcPr>
            <w:tcW w:w="36" w:type="dxa"/>
            <w:vAlign w:val="center"/>
            <w:hideMark/>
          </w:tcPr>
          <w:p w14:paraId="5DF3D911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76DC4B72" w14:textId="77777777" w:rsidTr="00350520">
        <w:trPr>
          <w:trHeight w:val="300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02B23CE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07-12 2023 r.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09913E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-25,6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15D7A9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-33,7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F2398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-18,6</w:t>
            </w:r>
          </w:p>
        </w:tc>
        <w:tc>
          <w:tcPr>
            <w:tcW w:w="36" w:type="dxa"/>
            <w:vAlign w:val="center"/>
            <w:hideMark/>
          </w:tcPr>
          <w:p w14:paraId="5B0556B5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50520" w:rsidRPr="00350520" w14:paraId="28E00698" w14:textId="77777777" w:rsidTr="00350520">
        <w:trPr>
          <w:trHeight w:val="300"/>
        </w:trPr>
        <w:tc>
          <w:tcPr>
            <w:tcW w:w="20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47519E" w14:textId="77777777" w:rsidR="00350520" w:rsidRPr="00350520" w:rsidRDefault="00350520" w:rsidP="00350520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01-06 2024 r.</w:t>
            </w:r>
          </w:p>
        </w:tc>
        <w:tc>
          <w:tcPr>
            <w:tcW w:w="2091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7130851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-27,8</w:t>
            </w:r>
          </w:p>
        </w:tc>
        <w:tc>
          <w:tcPr>
            <w:tcW w:w="209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32F740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-36,5</w:t>
            </w:r>
          </w:p>
        </w:tc>
        <w:tc>
          <w:tcPr>
            <w:tcW w:w="2089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41457" w14:textId="77777777" w:rsidR="00350520" w:rsidRPr="00350520" w:rsidRDefault="00350520" w:rsidP="00350520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</w:pPr>
            <w:r w:rsidRPr="00350520">
              <w:rPr>
                <w:rFonts w:ascii="Fira Sans" w:eastAsia="Times New Roman" w:hAnsi="Fira Sans" w:cs="Calibri"/>
                <w:color w:val="000000"/>
                <w:sz w:val="19"/>
                <w:szCs w:val="19"/>
                <w:lang w:eastAsia="pl-PL"/>
              </w:rPr>
              <w:t>-17,2</w:t>
            </w:r>
          </w:p>
        </w:tc>
        <w:tc>
          <w:tcPr>
            <w:tcW w:w="36" w:type="dxa"/>
            <w:vAlign w:val="center"/>
            <w:hideMark/>
          </w:tcPr>
          <w:p w14:paraId="64CD0906" w14:textId="77777777" w:rsidR="00350520" w:rsidRPr="00350520" w:rsidRDefault="00350520" w:rsidP="00350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7F5C021C" w14:textId="77777777" w:rsidR="0041394C" w:rsidRPr="00183C21" w:rsidRDefault="0041394C" w:rsidP="00183C21">
      <w:pPr>
        <w:spacing w:before="240" w:after="240"/>
        <w:rPr>
          <w:rFonts w:ascii="Fira Sans" w:hAnsi="Fira Sans"/>
          <w:b/>
          <w:spacing w:val="-2"/>
          <w:sz w:val="19"/>
          <w:szCs w:val="19"/>
        </w:rPr>
      </w:pPr>
    </w:p>
    <w:p w14:paraId="07C9EDA7" w14:textId="490BAD84" w:rsidR="00542E9F" w:rsidRPr="00B21431" w:rsidRDefault="00237257" w:rsidP="00B21431">
      <w:pPr>
        <w:spacing w:line="259" w:lineRule="auto"/>
        <w:rPr>
          <w:rFonts w:ascii="Fira Sans" w:hAnsi="Fira Sans"/>
          <w:b/>
          <w:sz w:val="18"/>
          <w:szCs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012992" behindDoc="0" locked="0" layoutInCell="1" allowOverlap="1" wp14:anchorId="635FD3DD" wp14:editId="179B0AA2">
            <wp:simplePos x="0" y="0"/>
            <wp:positionH relativeFrom="margin">
              <wp:align>left</wp:align>
            </wp:positionH>
            <wp:positionV relativeFrom="paragraph">
              <wp:posOffset>2299721</wp:posOffset>
            </wp:positionV>
            <wp:extent cx="5410200" cy="1245870"/>
            <wp:effectExtent l="0" t="0" r="0" b="0"/>
            <wp:wrapTopAndBottom/>
            <wp:docPr id="24" name="Wykres 24">
              <a:extLst xmlns:a="http://schemas.openxmlformats.org/drawingml/2006/main">
                <a:ext uri="{FF2B5EF4-FFF2-40B4-BE49-F238E27FC236}">
                  <a16:creationId xmlns:a16="http://schemas.microsoft.com/office/drawing/2014/main" id="{291562F3-ACA6-4C8B-8DDE-E6E2521518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3011968" behindDoc="0" locked="0" layoutInCell="1" allowOverlap="1" wp14:anchorId="0A28F678" wp14:editId="5508495D">
            <wp:simplePos x="0" y="0"/>
            <wp:positionH relativeFrom="margin">
              <wp:align>left</wp:align>
            </wp:positionH>
            <wp:positionV relativeFrom="paragraph">
              <wp:posOffset>427990</wp:posOffset>
            </wp:positionV>
            <wp:extent cx="5358765" cy="2223770"/>
            <wp:effectExtent l="0" t="0" r="0" b="5080"/>
            <wp:wrapTopAndBottom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065DC8AE-AAE3-4945-86BF-EC67179E64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A15">
        <w:rPr>
          <w:rFonts w:ascii="Fira Sans" w:hAnsi="Fira Sans"/>
          <w:b/>
          <w:sz w:val="19"/>
          <w:szCs w:val="19"/>
        </w:rPr>
        <w:t>Wykres 6</w:t>
      </w:r>
      <w:r w:rsidR="00542E9F" w:rsidRPr="000C7BAA">
        <w:rPr>
          <w:rFonts w:ascii="Fira Sans" w:hAnsi="Fira Sans"/>
          <w:b/>
          <w:sz w:val="19"/>
          <w:szCs w:val="19"/>
        </w:rPr>
        <w:t>. Prognoza ogólnej</w:t>
      </w:r>
      <w:r w:rsidR="00FD368A" w:rsidRPr="000C7BAA">
        <w:rPr>
          <w:rFonts w:ascii="Fira Sans" w:hAnsi="Fira Sans"/>
          <w:b/>
          <w:sz w:val="19"/>
          <w:szCs w:val="19"/>
        </w:rPr>
        <w:t xml:space="preserve"> sytuacji </w:t>
      </w:r>
      <w:r w:rsidR="00542E9F" w:rsidRPr="000C7BAA">
        <w:rPr>
          <w:rFonts w:ascii="Fira Sans" w:hAnsi="Fira Sans"/>
          <w:b/>
          <w:sz w:val="19"/>
          <w:szCs w:val="19"/>
        </w:rPr>
        <w:t>gospodarstw rolnych</w:t>
      </w:r>
      <w:r w:rsidR="00D42F89" w:rsidRPr="000C7BAA">
        <w:rPr>
          <w:rFonts w:ascii="Fira Sans" w:hAnsi="Fira Sans"/>
          <w:b/>
          <w:sz w:val="19"/>
          <w:szCs w:val="19"/>
        </w:rPr>
        <w:t xml:space="preserve">, </w:t>
      </w:r>
      <w:r w:rsidR="00FD368A" w:rsidRPr="000C7BAA">
        <w:rPr>
          <w:rFonts w:ascii="Fira Sans" w:hAnsi="Fira Sans"/>
          <w:b/>
          <w:sz w:val="19"/>
          <w:szCs w:val="19"/>
        </w:rPr>
        <w:t xml:space="preserve">opłacalności produkcji rolniczej </w:t>
      </w:r>
      <w:r w:rsidR="00B805EF" w:rsidRPr="000C7BAA">
        <w:rPr>
          <w:rFonts w:ascii="Fira Sans" w:hAnsi="Fira Sans"/>
          <w:b/>
          <w:sz w:val="19"/>
          <w:szCs w:val="19"/>
        </w:rPr>
        <w:t xml:space="preserve">oraz popytu na produkty rolne </w:t>
      </w:r>
      <w:r w:rsidR="00542E9F" w:rsidRPr="000C7BAA">
        <w:rPr>
          <w:rFonts w:ascii="Fira Sans" w:hAnsi="Fira Sans"/>
          <w:b/>
          <w:sz w:val="19"/>
          <w:szCs w:val="19"/>
        </w:rPr>
        <w:t>w I</w:t>
      </w:r>
      <w:r w:rsidR="00F048E7">
        <w:rPr>
          <w:rFonts w:ascii="Fira Sans" w:hAnsi="Fira Sans"/>
          <w:b/>
          <w:sz w:val="19"/>
          <w:szCs w:val="19"/>
        </w:rPr>
        <w:t>I</w:t>
      </w:r>
      <w:r w:rsidR="00542E9F" w:rsidRPr="000C7BAA">
        <w:rPr>
          <w:rFonts w:ascii="Fira Sans" w:hAnsi="Fira Sans"/>
          <w:b/>
          <w:sz w:val="19"/>
          <w:szCs w:val="19"/>
        </w:rPr>
        <w:t xml:space="preserve"> półroczu 2024 r</w:t>
      </w:r>
      <w:r w:rsidR="00542E9F" w:rsidRPr="00542E9F">
        <w:rPr>
          <w:rFonts w:ascii="Fira Sans" w:hAnsi="Fira Sans"/>
          <w:b/>
          <w:sz w:val="18"/>
          <w:szCs w:val="18"/>
        </w:rPr>
        <w:t>.</w:t>
      </w:r>
    </w:p>
    <w:p w14:paraId="5515C5FB" w14:textId="77777777" w:rsidR="00DF2963" w:rsidRDefault="00B161C1" w:rsidP="00DF2963">
      <w:pPr>
        <w:spacing w:before="480" w:after="240"/>
        <w:rPr>
          <w:rFonts w:ascii="Fira Sans" w:hAnsi="Fira Sans"/>
          <w:bCs/>
          <w:sz w:val="19"/>
          <w:szCs w:val="19"/>
        </w:rPr>
      </w:pPr>
      <w:r w:rsidRPr="00B161C1">
        <w:rPr>
          <w:rFonts w:ascii="Fira Sans" w:hAnsi="Fira Sans"/>
          <w:bCs/>
          <w:sz w:val="19"/>
          <w:szCs w:val="19"/>
        </w:rPr>
        <w:t>Kierujący gospodarstwami rolnymi, niezależnie od ukierunkowania produkcyjnego badanych jednostek, wyrazili negatywne oceny odnośnie prognozowanej sytuacji ogólnej gospodarstw oraz opłacalności produkcji rolniczej w drugiej połowie br. Opinie te były bardziej pesymistyczne w porównaniu z wynikami badania przeprowadzonego w II półroczu 2023 r.</w:t>
      </w:r>
      <w:r w:rsidRPr="00B161C1">
        <w:t xml:space="preserve"> </w:t>
      </w:r>
      <w:r w:rsidRPr="00B161C1">
        <w:rPr>
          <w:rFonts w:ascii="Fira Sans" w:hAnsi="Fira Sans"/>
          <w:bCs/>
          <w:sz w:val="19"/>
          <w:szCs w:val="19"/>
        </w:rPr>
        <w:t xml:space="preserve">Największe obawy wyrazili użytkownicy gospodarstw wielokierunkowych. </w:t>
      </w:r>
    </w:p>
    <w:p w14:paraId="3A4B5518" w14:textId="104EEE81" w:rsidR="00B161C1" w:rsidRPr="00B161C1" w:rsidRDefault="00B161C1" w:rsidP="00B161C1">
      <w:pPr>
        <w:spacing w:before="360" w:after="240"/>
        <w:rPr>
          <w:rFonts w:ascii="Fira Sans" w:hAnsi="Fira Sans"/>
          <w:bCs/>
          <w:sz w:val="19"/>
          <w:szCs w:val="19"/>
        </w:rPr>
      </w:pPr>
      <w:r w:rsidRPr="00B161C1">
        <w:rPr>
          <w:rFonts w:ascii="Fira Sans" w:hAnsi="Fira Sans"/>
          <w:bCs/>
          <w:sz w:val="19"/>
          <w:szCs w:val="19"/>
        </w:rPr>
        <w:t xml:space="preserve">Wśród </w:t>
      </w:r>
      <w:r w:rsidR="00250299">
        <w:rPr>
          <w:rFonts w:ascii="Fira Sans" w:hAnsi="Fira Sans"/>
          <w:bCs/>
          <w:sz w:val="19"/>
          <w:szCs w:val="19"/>
        </w:rPr>
        <w:t xml:space="preserve">rolników </w:t>
      </w:r>
      <w:r w:rsidRPr="00B161C1">
        <w:rPr>
          <w:rFonts w:ascii="Fira Sans" w:hAnsi="Fira Sans"/>
          <w:bCs/>
          <w:sz w:val="19"/>
          <w:szCs w:val="19"/>
        </w:rPr>
        <w:t>prowadzących produkcję roślinną najbardziej negatywne</w:t>
      </w:r>
      <w:r w:rsidR="00250299">
        <w:rPr>
          <w:rFonts w:ascii="Fira Sans" w:hAnsi="Fira Sans"/>
          <w:bCs/>
          <w:sz w:val="19"/>
          <w:szCs w:val="19"/>
        </w:rPr>
        <w:t xml:space="preserve"> opinie</w:t>
      </w:r>
      <w:r w:rsidRPr="00B161C1">
        <w:rPr>
          <w:rFonts w:ascii="Fira Sans" w:hAnsi="Fira Sans"/>
          <w:bCs/>
          <w:sz w:val="19"/>
          <w:szCs w:val="19"/>
        </w:rPr>
        <w:t xml:space="preserve"> na temat kształtowania się ogólnej sytuacji w II półroczu </w:t>
      </w:r>
      <w:r w:rsidR="00E5369D" w:rsidRPr="00EC48CD">
        <w:rPr>
          <w:rFonts w:ascii="Fira Sans" w:hAnsi="Fira Sans"/>
          <w:bCs/>
          <w:sz w:val="19"/>
          <w:szCs w:val="19"/>
        </w:rPr>
        <w:t>b</w:t>
      </w:r>
      <w:r w:rsidRPr="00B161C1">
        <w:rPr>
          <w:rFonts w:ascii="Fira Sans" w:hAnsi="Fira Sans"/>
          <w:bCs/>
          <w:sz w:val="19"/>
          <w:szCs w:val="19"/>
        </w:rPr>
        <w:t>r. wyrażali rolnicy specjalizujący się w prowadzeniu upraw zbóż</w:t>
      </w:r>
      <w:r w:rsidR="00250299">
        <w:rPr>
          <w:rFonts w:ascii="Fira Sans" w:hAnsi="Fira Sans"/>
          <w:bCs/>
          <w:sz w:val="19"/>
          <w:szCs w:val="19"/>
        </w:rPr>
        <w:t>. W przypadku rolników zajmujących się produkcją zwierzęcą najbardziej negatywne opinie wyrazili hodowcy trzody chlewnej.</w:t>
      </w:r>
      <w:r w:rsidRPr="00ED5262">
        <w:rPr>
          <w:b/>
          <w:noProof/>
          <w:color w:val="FF000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2992512" behindDoc="1" locked="0" layoutInCell="1" allowOverlap="1" wp14:anchorId="60392007" wp14:editId="57632ECF">
                <wp:simplePos x="0" y="0"/>
                <wp:positionH relativeFrom="margin">
                  <wp:posOffset>5302250</wp:posOffset>
                </wp:positionH>
                <wp:positionV relativeFrom="paragraph">
                  <wp:posOffset>135255</wp:posOffset>
                </wp:positionV>
                <wp:extent cx="1783715" cy="1473200"/>
                <wp:effectExtent l="0" t="0" r="0" b="0"/>
                <wp:wrapTight wrapText="bothSides">
                  <wp:wrapPolygon edited="0">
                    <wp:start x="692" y="0"/>
                    <wp:lineTo x="692" y="21228"/>
                    <wp:lineTo x="20762" y="21228"/>
                    <wp:lineTo x="20762" y="0"/>
                    <wp:lineTo x="69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147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D1423" w14:textId="77777777" w:rsidR="00B161C1" w:rsidRPr="00B161C1" w:rsidRDefault="00B161C1" w:rsidP="00B161C1">
                            <w:pPr>
                              <w:spacing w:before="120" w:after="120"/>
                              <w:rPr>
                                <w:rFonts w:ascii="Fira Sans" w:hAnsi="Fira Sans"/>
                                <w:color w:val="002060"/>
                                <w:spacing w:val="-2"/>
                                <w:sz w:val="18"/>
                                <w:szCs w:val="19"/>
                              </w:rPr>
                            </w:pPr>
                            <w:r w:rsidRPr="00B161C1">
                              <w:rPr>
                                <w:rFonts w:ascii="Fira Sans" w:eastAsia="Calibri" w:hAnsi="Fira Sans" w:cs="Times New Roman"/>
                                <w:bCs/>
                                <w:color w:val="002060"/>
                                <w:sz w:val="18"/>
                                <w:szCs w:val="19"/>
                              </w:rPr>
                              <w:t>44,1% rolników prowadzących uprawy zbóż uznało, że opłacalność produkcji rolniczej w najbliższym półroczu pogorszy się, a 4,5%, że się poprawi. Pozostali odpowiedzieli, że pozostanie bez zmian.</w:t>
                            </w:r>
                          </w:p>
                          <w:p w14:paraId="3ADED94D" w14:textId="77777777" w:rsidR="00E14EFF" w:rsidRPr="005429D3" w:rsidRDefault="00E14EFF" w:rsidP="00462D22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2007" id="Pole tekstowe 7" o:spid="_x0000_s1034" type="#_x0000_t202" style="position:absolute;margin-left:417.5pt;margin-top:10.65pt;width:140.45pt;height:116pt;z-index:-25032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" filled="f" stroked="f">
                <v:textbox>
                  <w:txbxContent>
                    <w:p w14:paraId="5FBD1423" w14:textId="77777777" w:rsidR="00B161C1" w:rsidRPr="00B161C1" w:rsidRDefault="00B161C1" w:rsidP="00B161C1">
                      <w:pPr>
                        <w:spacing w:before="120" w:after="120"/>
                        <w:rPr>
                          <w:rFonts w:ascii="Fira Sans" w:hAnsi="Fira Sans"/>
                          <w:color w:val="002060"/>
                          <w:spacing w:val="-2"/>
                          <w:sz w:val="18"/>
                          <w:szCs w:val="19"/>
                        </w:rPr>
                      </w:pPr>
                      <w:r w:rsidRPr="00B161C1">
                        <w:rPr>
                          <w:rFonts w:ascii="Fira Sans" w:eastAsia="Calibri" w:hAnsi="Fira Sans" w:cs="Times New Roman"/>
                          <w:bCs/>
                          <w:color w:val="002060"/>
                          <w:sz w:val="18"/>
                          <w:szCs w:val="19"/>
                        </w:rPr>
                        <w:t>44,1% rolników prowadzących uprawy zbóż uznało, że opłacalność produkcji rolniczej w najbliższym półroczu pogorszy się, a 4,5%, że się poprawi. Pozostali odpowiedzieli, że pozostanie bez zmian.</w:t>
                      </w:r>
                    </w:p>
                    <w:p w14:paraId="3ADED94D" w14:textId="77777777" w:rsidR="00E14EFF" w:rsidRPr="005429D3" w:rsidRDefault="00E14EFF" w:rsidP="00462D22">
                      <w:pPr>
                        <w:pStyle w:val="tekstzboku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6F73658" w14:textId="73C07B69" w:rsidR="00224302" w:rsidRPr="000C7BAA" w:rsidRDefault="00717A15" w:rsidP="00765532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</w:pPr>
      <w:r>
        <w:rPr>
          <w:rFonts w:ascii="Fira Sans" w:hAnsi="Fira Sans"/>
          <w:b/>
          <w:spacing w:val="-2"/>
          <w:sz w:val="19"/>
          <w:szCs w:val="19"/>
        </w:rPr>
        <w:t>Wykres 7</w:t>
      </w:r>
      <w:r w:rsidR="00623F4D" w:rsidRPr="000C7BAA">
        <w:rPr>
          <w:rFonts w:ascii="Fira Sans" w:hAnsi="Fira Sans"/>
          <w:b/>
          <w:spacing w:val="-2"/>
          <w:sz w:val="19"/>
          <w:szCs w:val="19"/>
        </w:rPr>
        <w:t>. Salda odpowiedzi dotyczące prognozowanej w I półroczu</w:t>
      </w:r>
      <w:r w:rsidR="00187851" w:rsidRPr="000C7BAA">
        <w:rPr>
          <w:rFonts w:ascii="Fira Sans" w:hAnsi="Fira Sans"/>
          <w:b/>
          <w:spacing w:val="-2"/>
          <w:sz w:val="19"/>
          <w:szCs w:val="19"/>
        </w:rPr>
        <w:t xml:space="preserve"> 2024 r.</w:t>
      </w:r>
      <w:r w:rsidR="00623F4D" w:rsidRPr="000C7BAA">
        <w:rPr>
          <w:rFonts w:ascii="Fira Sans" w:hAnsi="Fira Sans"/>
          <w:b/>
          <w:spacing w:val="-2"/>
          <w:sz w:val="19"/>
          <w:szCs w:val="19"/>
        </w:rPr>
        <w:t xml:space="preserve"> sytuacji ogólnej gospodarstw rolnych, opłacalności produkcji rolniczej i popytu na produkty rolne</w:t>
      </w:r>
    </w:p>
    <w:p w14:paraId="289EDB42" w14:textId="7BAE3533" w:rsidR="00BA1213" w:rsidRPr="00350520" w:rsidRDefault="00C91718" w:rsidP="00765532">
      <w:pPr>
        <w:spacing w:line="259" w:lineRule="auto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inline distT="0" distB="0" distL="0" distR="0" wp14:anchorId="653BF131" wp14:editId="1FFD1DD5">
            <wp:extent cx="5122545" cy="2924175"/>
            <wp:effectExtent l="0" t="0" r="1905" b="0"/>
            <wp:docPr id="1040079586" name="Wykres 1" descr="Salda odpowiedzi dotyczące prognozowanej w &#10;II półroczu sytuacji ogólnej gospodarstw rolnych, opłacalności produkcji rolniczej i popytu na produkty roln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5E90266" w14:textId="77777777" w:rsidR="00237257" w:rsidRDefault="00237257" w:rsidP="00765532">
      <w:pPr>
        <w:spacing w:line="259" w:lineRule="auto"/>
        <w:rPr>
          <w:rFonts w:ascii="Fira Sans" w:hAnsi="Fira Sans"/>
          <w:bCs/>
          <w:sz w:val="19"/>
          <w:szCs w:val="19"/>
        </w:rPr>
      </w:pPr>
    </w:p>
    <w:p w14:paraId="3380FD38" w14:textId="1B17155D" w:rsidR="00350520" w:rsidRDefault="00B161C1" w:rsidP="00765532">
      <w:pPr>
        <w:spacing w:line="259" w:lineRule="auto"/>
        <w:rPr>
          <w:rFonts w:ascii="Fira Sans" w:hAnsi="Fira Sans"/>
          <w:b/>
          <w:spacing w:val="-2"/>
          <w:sz w:val="19"/>
          <w:szCs w:val="19"/>
        </w:rPr>
      </w:pPr>
      <w:r w:rsidRPr="007D7D65">
        <w:rPr>
          <w:rFonts w:ascii="Fira Sans" w:hAnsi="Fira Sans"/>
          <w:bCs/>
          <w:sz w:val="19"/>
          <w:szCs w:val="19"/>
        </w:rPr>
        <w:lastRenderedPageBreak/>
        <w:t xml:space="preserve">Kierujący gospodarstwami ukierunkowanymi na produkcję roślinną byli bardziej pesymistyczni odnośnie przewidywanej opłacalności niż ukierunkowani na produkcję zwierzęcą. Jako nieopłacalną produkcję rolniczą kierujący gospodarstwami rolnymi wskazali uprawę zbóż </w:t>
      </w:r>
      <w:r>
        <w:rPr>
          <w:rFonts w:ascii="Fira Sans" w:hAnsi="Fira Sans"/>
          <w:bCs/>
          <w:sz w:val="19"/>
          <w:szCs w:val="19"/>
        </w:rPr>
        <w:t xml:space="preserve">(saldo minus 39,6 p. proc.) </w:t>
      </w:r>
      <w:r w:rsidRPr="007D7D65">
        <w:rPr>
          <w:rFonts w:ascii="Fira Sans" w:hAnsi="Fira Sans"/>
          <w:bCs/>
          <w:sz w:val="19"/>
          <w:szCs w:val="19"/>
        </w:rPr>
        <w:t>oraz chów owiec</w:t>
      </w:r>
      <w:r>
        <w:rPr>
          <w:rFonts w:ascii="Fira Sans" w:hAnsi="Fira Sans"/>
          <w:bCs/>
          <w:sz w:val="19"/>
          <w:szCs w:val="19"/>
        </w:rPr>
        <w:t xml:space="preserve"> (minus 45,6 p. proc.)</w:t>
      </w:r>
      <w:r w:rsidRPr="007D7D65">
        <w:rPr>
          <w:rFonts w:ascii="Fira Sans" w:hAnsi="Fira Sans"/>
          <w:bCs/>
          <w:sz w:val="19"/>
          <w:szCs w:val="19"/>
        </w:rPr>
        <w:t>. Natomiast najmniej pesymistyczne opinie wyrażali producenci specjalizujący się w uprawach pod osłonami, a także w chowie drobiu nieśnego</w:t>
      </w:r>
      <w:r w:rsidR="00597CA5">
        <w:rPr>
          <w:rFonts w:ascii="Fira Sans" w:hAnsi="Fira Sans"/>
          <w:bCs/>
          <w:sz w:val="19"/>
          <w:szCs w:val="19"/>
        </w:rPr>
        <w:t>.</w:t>
      </w:r>
    </w:p>
    <w:p w14:paraId="459FCFB7" w14:textId="245A37DB" w:rsidR="008971E0" w:rsidRPr="008E67EB" w:rsidRDefault="008E67EB" w:rsidP="00765532">
      <w:pPr>
        <w:spacing w:line="259" w:lineRule="auto"/>
        <w:rPr>
          <w:rFonts w:ascii="Fira Sans" w:hAnsi="Fira Sans"/>
          <w:color w:val="000000" w:themeColor="text1"/>
          <w:sz w:val="19"/>
          <w:szCs w:val="19"/>
        </w:rPr>
      </w:pPr>
      <w:r w:rsidRPr="008E67EB">
        <w:rPr>
          <w:rFonts w:ascii="Fira Sans" w:hAnsi="Fira Sans"/>
          <w:color w:val="000000" w:themeColor="text1"/>
          <w:sz w:val="19"/>
          <w:szCs w:val="19"/>
        </w:rPr>
        <w:t xml:space="preserve">Pogorszenie opinii dotyczące prognozy popytu na wytwarzane produkty rolne na II półrocze </w:t>
      </w:r>
      <w:r w:rsidR="00E5369D" w:rsidRPr="00EC48CD">
        <w:rPr>
          <w:rFonts w:ascii="Fira Sans" w:hAnsi="Fira Sans"/>
          <w:sz w:val="19"/>
          <w:szCs w:val="19"/>
        </w:rPr>
        <w:t>b</w:t>
      </w:r>
      <w:r w:rsidRPr="008E67EB">
        <w:rPr>
          <w:rFonts w:ascii="Fira Sans" w:hAnsi="Fira Sans"/>
          <w:color w:val="000000" w:themeColor="text1"/>
          <w:sz w:val="19"/>
          <w:szCs w:val="19"/>
        </w:rPr>
        <w:t xml:space="preserve">r. w porównaniu z prognozami na I półrocze </w:t>
      </w:r>
      <w:r w:rsidR="00E5369D">
        <w:rPr>
          <w:rFonts w:ascii="Fira Sans" w:hAnsi="Fira Sans"/>
          <w:color w:val="000000" w:themeColor="text1"/>
          <w:sz w:val="19"/>
          <w:szCs w:val="19"/>
        </w:rPr>
        <w:t>b</w:t>
      </w:r>
      <w:r w:rsidRPr="008E67EB">
        <w:rPr>
          <w:rFonts w:ascii="Fira Sans" w:hAnsi="Fira Sans"/>
          <w:color w:val="000000" w:themeColor="text1"/>
          <w:sz w:val="19"/>
          <w:szCs w:val="19"/>
        </w:rPr>
        <w:t>r. odnotowano jedynie wśród rolników prowadzących gospodarstwa ukierunkowane na produkcję zwierzęcą.</w:t>
      </w:r>
      <w:r>
        <w:rPr>
          <w:rFonts w:ascii="Fira Sans" w:hAnsi="Fira Sans"/>
          <w:color w:val="000000" w:themeColor="text1"/>
          <w:sz w:val="19"/>
          <w:szCs w:val="19"/>
        </w:rPr>
        <w:t xml:space="preserve"> N</w:t>
      </w:r>
      <w:r w:rsidR="00B161C1" w:rsidRPr="003F15B2">
        <w:rPr>
          <w:rFonts w:ascii="Fira Sans" w:hAnsi="Fira Sans"/>
          <w:color w:val="000000" w:themeColor="text1"/>
          <w:sz w:val="19"/>
          <w:szCs w:val="19"/>
        </w:rPr>
        <w:t xml:space="preserve">ajbardziej niekorzystne </w:t>
      </w:r>
      <w:r>
        <w:rPr>
          <w:rFonts w:ascii="Fira Sans" w:hAnsi="Fira Sans"/>
          <w:color w:val="000000" w:themeColor="text1"/>
          <w:sz w:val="19"/>
          <w:szCs w:val="19"/>
        </w:rPr>
        <w:t xml:space="preserve">opinie </w:t>
      </w:r>
      <w:r w:rsidR="00B161C1" w:rsidRPr="003F15B2">
        <w:rPr>
          <w:rFonts w:ascii="Fira Sans" w:hAnsi="Fira Sans"/>
          <w:color w:val="000000" w:themeColor="text1"/>
          <w:sz w:val="19"/>
          <w:szCs w:val="19"/>
        </w:rPr>
        <w:t xml:space="preserve">wyrazili hodowcy owiec, a najmniej </w:t>
      </w:r>
      <w:r>
        <w:rPr>
          <w:rFonts w:ascii="Fira Sans" w:hAnsi="Fira Sans"/>
          <w:color w:val="000000" w:themeColor="text1"/>
          <w:sz w:val="19"/>
          <w:szCs w:val="19"/>
        </w:rPr>
        <w:t xml:space="preserve">pesymistyczne rolnicy </w:t>
      </w:r>
      <w:r w:rsidR="00B161C1" w:rsidRPr="003F15B2">
        <w:rPr>
          <w:rFonts w:ascii="Fira Sans" w:hAnsi="Fira Sans"/>
          <w:color w:val="000000" w:themeColor="text1"/>
          <w:sz w:val="19"/>
          <w:szCs w:val="19"/>
        </w:rPr>
        <w:t xml:space="preserve">zajmujący się chowem drobiu nieśnego. Natomiast wśród producentów roślinnych najbardziej pesymistyczne oceny </w:t>
      </w:r>
      <w:r>
        <w:rPr>
          <w:rFonts w:ascii="Fira Sans" w:hAnsi="Fira Sans"/>
          <w:color w:val="000000" w:themeColor="text1"/>
          <w:sz w:val="19"/>
          <w:szCs w:val="19"/>
        </w:rPr>
        <w:t xml:space="preserve">formułowali </w:t>
      </w:r>
      <w:r w:rsidR="00B161C1" w:rsidRPr="003F15B2">
        <w:rPr>
          <w:rFonts w:ascii="Fira Sans" w:hAnsi="Fira Sans"/>
          <w:color w:val="000000" w:themeColor="text1"/>
          <w:sz w:val="19"/>
          <w:szCs w:val="19"/>
        </w:rPr>
        <w:t>rolnicy zajmujący się uprawą ziemniaków, a najmniej mający uprawy pod osłonami</w:t>
      </w:r>
      <w:r w:rsidR="00B161C1">
        <w:rPr>
          <w:rFonts w:ascii="Fira Sans" w:hAnsi="Fira Sans"/>
          <w:color w:val="000000" w:themeColor="text1"/>
          <w:sz w:val="19"/>
          <w:szCs w:val="19"/>
        </w:rPr>
        <w:t>.</w:t>
      </w:r>
    </w:p>
    <w:p w14:paraId="0CD20B57" w14:textId="659780EE" w:rsidR="00765532" w:rsidRPr="00B161C1" w:rsidRDefault="00765532" w:rsidP="00B161C1">
      <w:pPr>
        <w:spacing w:before="360" w:after="240"/>
        <w:rPr>
          <w:rFonts w:ascii="Fira Sans" w:hAnsi="Fira Sans"/>
          <w:b/>
          <w:color w:val="002060"/>
          <w:spacing w:val="-2"/>
          <w:sz w:val="19"/>
          <w:szCs w:val="19"/>
        </w:rPr>
      </w:pPr>
      <w:r w:rsidRPr="00B161C1">
        <w:rPr>
          <w:rFonts w:ascii="Fira Sans" w:hAnsi="Fira Sans"/>
          <w:b/>
          <w:color w:val="002060"/>
          <w:spacing w:val="-2"/>
          <w:sz w:val="19"/>
          <w:szCs w:val="19"/>
        </w:rPr>
        <w:t>Wojna w Ukrainie</w:t>
      </w:r>
    </w:p>
    <w:p w14:paraId="7D58CD17" w14:textId="7A8D9844" w:rsidR="00074AAE" w:rsidRDefault="001069BB" w:rsidP="00D10529">
      <w:pPr>
        <w:spacing w:after="120"/>
        <w:rPr>
          <w:rFonts w:ascii="Fira Sans" w:hAnsi="Fira Sans"/>
          <w:spacing w:val="-2"/>
          <w:sz w:val="19"/>
          <w:szCs w:val="19"/>
        </w:rPr>
      </w:pPr>
      <w:r w:rsidRPr="001069BB">
        <w:rPr>
          <w:rFonts w:ascii="Fira Sans" w:hAnsi="Fira Sans"/>
          <w:spacing w:val="-2"/>
          <w:sz w:val="19"/>
          <w:szCs w:val="19"/>
        </w:rPr>
        <w:t>W bieżącej edycji badania 22,5% wszystkich użytkowników gospodarstw rolnych wskazało, że wojna w Ukrainie zagraża stabilności w funkcjonowaniu ich gospodarstw rolnych (</w:t>
      </w:r>
      <w:r w:rsidR="00597CA5">
        <w:rPr>
          <w:rFonts w:ascii="Fira Sans" w:hAnsi="Fira Sans"/>
          <w:spacing w:val="-2"/>
          <w:sz w:val="19"/>
          <w:szCs w:val="19"/>
        </w:rPr>
        <w:t xml:space="preserve">wzrost </w:t>
      </w:r>
      <w:r w:rsidRPr="001069BB">
        <w:rPr>
          <w:rFonts w:ascii="Fira Sans" w:hAnsi="Fira Sans"/>
          <w:spacing w:val="-2"/>
          <w:sz w:val="19"/>
          <w:szCs w:val="19"/>
        </w:rPr>
        <w:t xml:space="preserve">o 1,5 p. proc. w </w:t>
      </w:r>
      <w:r w:rsidR="00A6778B">
        <w:rPr>
          <w:rFonts w:ascii="Fira Sans" w:hAnsi="Fira Sans"/>
          <w:spacing w:val="-2"/>
          <w:sz w:val="19"/>
          <w:szCs w:val="19"/>
        </w:rPr>
        <w:t>stosunku do poprzedniej edycji</w:t>
      </w:r>
      <w:r w:rsidR="00E5369D">
        <w:rPr>
          <w:rFonts w:ascii="Fira Sans" w:hAnsi="Fira Sans"/>
          <w:spacing w:val="-2"/>
          <w:sz w:val="19"/>
          <w:szCs w:val="19"/>
        </w:rPr>
        <w:t xml:space="preserve"> badania</w:t>
      </w:r>
      <w:r w:rsidR="00A6778B">
        <w:rPr>
          <w:rFonts w:ascii="Fira Sans" w:hAnsi="Fira Sans"/>
          <w:spacing w:val="-2"/>
          <w:sz w:val="19"/>
          <w:szCs w:val="19"/>
        </w:rPr>
        <w:t>).</w:t>
      </w:r>
      <w:r w:rsidRPr="001069BB">
        <w:rPr>
          <w:rFonts w:ascii="Fira Sans" w:hAnsi="Fira Sans"/>
          <w:spacing w:val="-2"/>
          <w:sz w:val="19"/>
          <w:szCs w:val="19"/>
        </w:rPr>
        <w:t xml:space="preserve"> Od II edycji 2022 r. odsetek wskazań tego wariantu odpowiedzi </w:t>
      </w:r>
      <w:r w:rsidR="00532035">
        <w:rPr>
          <w:rFonts w:ascii="Fira Sans" w:hAnsi="Fira Sans"/>
          <w:spacing w:val="-2"/>
          <w:sz w:val="19"/>
          <w:szCs w:val="19"/>
        </w:rPr>
        <w:t xml:space="preserve">sukcesywnie </w:t>
      </w:r>
      <w:r w:rsidRPr="001069BB">
        <w:rPr>
          <w:rFonts w:ascii="Fira Sans" w:hAnsi="Fira Sans"/>
          <w:spacing w:val="-2"/>
          <w:sz w:val="19"/>
          <w:szCs w:val="19"/>
        </w:rPr>
        <w:t>wzrasta wśród użytkowników gospodarstw rolnych</w:t>
      </w:r>
      <w:r w:rsidR="00532035">
        <w:rPr>
          <w:rFonts w:ascii="Fira Sans" w:hAnsi="Fira Sans"/>
          <w:spacing w:val="-2"/>
          <w:sz w:val="19"/>
          <w:szCs w:val="19"/>
        </w:rPr>
        <w:t xml:space="preserve">: w </w:t>
      </w:r>
      <w:r w:rsidR="00FA31B9">
        <w:rPr>
          <w:rFonts w:ascii="Fira Sans" w:hAnsi="Fira Sans"/>
          <w:spacing w:val="-2"/>
          <w:sz w:val="19"/>
          <w:szCs w:val="19"/>
        </w:rPr>
        <w:t xml:space="preserve">I półroczu </w:t>
      </w:r>
      <w:r w:rsidR="00E5369D" w:rsidRPr="00EC48CD">
        <w:rPr>
          <w:rFonts w:ascii="Fira Sans" w:hAnsi="Fira Sans"/>
          <w:spacing w:val="-2"/>
          <w:sz w:val="19"/>
          <w:szCs w:val="19"/>
        </w:rPr>
        <w:t>b</w:t>
      </w:r>
      <w:r w:rsidR="00FA31B9">
        <w:rPr>
          <w:rFonts w:ascii="Fira Sans" w:hAnsi="Fira Sans"/>
          <w:spacing w:val="-2"/>
          <w:sz w:val="19"/>
          <w:szCs w:val="19"/>
        </w:rPr>
        <w:t xml:space="preserve">r. wyniósł 22,5%, </w:t>
      </w:r>
      <w:r w:rsidR="00E5369D" w:rsidRPr="00EC48CD">
        <w:rPr>
          <w:rFonts w:ascii="Fira Sans" w:hAnsi="Fira Sans"/>
          <w:spacing w:val="-2"/>
          <w:sz w:val="19"/>
          <w:szCs w:val="19"/>
        </w:rPr>
        <w:t xml:space="preserve">podczas gdy </w:t>
      </w:r>
      <w:r w:rsidR="00FA31B9">
        <w:rPr>
          <w:rFonts w:ascii="Fira Sans" w:hAnsi="Fira Sans"/>
          <w:spacing w:val="-2"/>
          <w:sz w:val="19"/>
          <w:szCs w:val="19"/>
        </w:rPr>
        <w:t>w II edycji 2022 r. kształtował się na poziomie 16,9% (wzrost o 5,6 p. proc.).</w:t>
      </w:r>
    </w:p>
    <w:p w14:paraId="17449A26" w14:textId="32B5AE2A" w:rsidR="00D10529" w:rsidRDefault="00174BCC" w:rsidP="00D10529">
      <w:pPr>
        <w:spacing w:after="0"/>
        <w:rPr>
          <w:rFonts w:ascii="Fira Sans" w:hAnsi="Fira Sans"/>
          <w:spacing w:val="-2"/>
          <w:sz w:val="19"/>
          <w:szCs w:val="19"/>
        </w:rPr>
      </w:pPr>
      <w:r w:rsidRPr="00174BCC">
        <w:rPr>
          <w:rFonts w:ascii="Fira Sans" w:hAnsi="Fira Sans"/>
          <w:spacing w:val="-2"/>
          <w:sz w:val="19"/>
          <w:szCs w:val="19"/>
        </w:rPr>
        <w:t xml:space="preserve">W stosunku do poprzedniej edycji </w:t>
      </w:r>
      <w:r w:rsidR="00E5369D">
        <w:rPr>
          <w:rFonts w:ascii="Fira Sans" w:hAnsi="Fira Sans"/>
          <w:spacing w:val="-2"/>
          <w:sz w:val="19"/>
          <w:szCs w:val="19"/>
        </w:rPr>
        <w:t xml:space="preserve">badania </w:t>
      </w:r>
      <w:r w:rsidRPr="00174BCC">
        <w:rPr>
          <w:rFonts w:ascii="Fira Sans" w:hAnsi="Fira Sans"/>
          <w:spacing w:val="-2"/>
          <w:sz w:val="19"/>
          <w:szCs w:val="19"/>
        </w:rPr>
        <w:t>o 3,4 p. proc. wzrósł również odsetek odpowiedzi wskazujący na brak negatywnych skutków wojny w Ukrainie na funkcjonowanie gospodarstw rolnych</w:t>
      </w:r>
      <w:r>
        <w:rPr>
          <w:rFonts w:ascii="Fira Sans" w:hAnsi="Fira Sans"/>
          <w:spacing w:val="-2"/>
          <w:sz w:val="19"/>
          <w:szCs w:val="19"/>
        </w:rPr>
        <w:t>.</w:t>
      </w:r>
    </w:p>
    <w:p w14:paraId="79E30843" w14:textId="300D5A47" w:rsidR="00D10529" w:rsidRPr="00D10529" w:rsidRDefault="00D10529" w:rsidP="00D10529">
      <w:pPr>
        <w:spacing w:before="120" w:after="120"/>
        <w:rPr>
          <w:rFonts w:ascii="Fira Sans" w:hAnsi="Fira Sans"/>
          <w:spacing w:val="-2"/>
          <w:sz w:val="19"/>
          <w:szCs w:val="19"/>
        </w:rPr>
      </w:pPr>
      <w:r w:rsidRPr="00273168">
        <w:rPr>
          <w:rFonts w:ascii="Fira Sans" w:hAnsi="Fira Sans"/>
          <w:spacing w:val="-2"/>
          <w:sz w:val="19"/>
          <w:szCs w:val="19"/>
        </w:rPr>
        <w:t>Jednocześnie zaobserwowano spadek wskazania przez użytkowników gospodarstw rolnych, dla których wojna w Ukrainie miała poważne skutki (spadek o 2,3 p. proc. w stosunku do poprzedniej edycji)</w:t>
      </w:r>
      <w:r>
        <w:rPr>
          <w:rFonts w:ascii="Fira Sans" w:hAnsi="Fira Sans"/>
          <w:spacing w:val="-2"/>
          <w:sz w:val="19"/>
          <w:szCs w:val="19"/>
        </w:rPr>
        <w:t>,</w:t>
      </w:r>
      <w:r w:rsidRPr="00273168">
        <w:rPr>
          <w:rFonts w:ascii="Fira Sans" w:hAnsi="Fira Sans"/>
          <w:spacing w:val="-2"/>
          <w:sz w:val="19"/>
          <w:szCs w:val="19"/>
        </w:rPr>
        <w:t xml:space="preserve"> jak i nieznaczny wpływ na funkcjonowanie ich gospodarstw</w:t>
      </w:r>
      <w:r w:rsidR="00E5369D">
        <w:rPr>
          <w:rFonts w:ascii="Fira Sans" w:hAnsi="Fira Sans"/>
          <w:spacing w:val="-2"/>
          <w:sz w:val="19"/>
          <w:szCs w:val="19"/>
        </w:rPr>
        <w:t xml:space="preserve"> </w:t>
      </w:r>
      <w:r w:rsidR="00E5369D" w:rsidRPr="00273168">
        <w:rPr>
          <w:rFonts w:ascii="Fira Sans" w:hAnsi="Fira Sans"/>
          <w:spacing w:val="-2"/>
          <w:sz w:val="19"/>
          <w:szCs w:val="19"/>
        </w:rPr>
        <w:t>(spadek o 2,6 p. proc.)</w:t>
      </w:r>
      <w:r w:rsidRPr="00273168">
        <w:rPr>
          <w:rFonts w:ascii="Fira Sans" w:hAnsi="Fira Sans"/>
          <w:spacing w:val="-2"/>
          <w:sz w:val="19"/>
          <w:szCs w:val="19"/>
        </w:rPr>
        <w:t>.</w:t>
      </w:r>
    </w:p>
    <w:p w14:paraId="4A8B0DBC" w14:textId="25D39B3B" w:rsidR="00A90624" w:rsidRPr="00A90624" w:rsidRDefault="00174BCC" w:rsidP="00A90624">
      <w:pPr>
        <w:spacing w:before="240" w:after="240"/>
        <w:rPr>
          <w:rFonts w:ascii="Fira Sans" w:hAnsi="Fira Sans"/>
          <w:b/>
          <w:spacing w:val="-2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3020160" behindDoc="0" locked="0" layoutInCell="1" allowOverlap="1" wp14:anchorId="75A15813" wp14:editId="5514BA42">
            <wp:simplePos x="0" y="0"/>
            <wp:positionH relativeFrom="margin">
              <wp:align>left</wp:align>
            </wp:positionH>
            <wp:positionV relativeFrom="paragraph">
              <wp:posOffset>284252</wp:posOffset>
            </wp:positionV>
            <wp:extent cx="5294630" cy="3255010"/>
            <wp:effectExtent l="0" t="0" r="1270" b="2540"/>
            <wp:wrapTopAndBottom/>
            <wp:docPr id="205021757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3EAA269-34EB-44D6-9324-A3BCB2BEA4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05A" w:rsidRPr="00C9305A">
        <w:rPr>
          <w:rFonts w:ascii="Fira Sans" w:hAnsi="Fira Sans"/>
          <w:b/>
          <w:spacing w:val="-2"/>
          <w:sz w:val="19"/>
          <w:szCs w:val="19"/>
        </w:rPr>
        <w:t xml:space="preserve">Wykres </w:t>
      </w:r>
      <w:r w:rsidR="00074AAE">
        <w:rPr>
          <w:rFonts w:ascii="Fira Sans" w:hAnsi="Fira Sans"/>
          <w:b/>
          <w:spacing w:val="-2"/>
          <w:sz w:val="19"/>
          <w:szCs w:val="19"/>
        </w:rPr>
        <w:t>8</w:t>
      </w:r>
      <w:r w:rsidR="00C9305A" w:rsidRPr="00C9305A">
        <w:rPr>
          <w:rFonts w:ascii="Fira Sans" w:hAnsi="Fira Sans"/>
          <w:b/>
          <w:spacing w:val="-2"/>
          <w:sz w:val="19"/>
          <w:szCs w:val="19"/>
        </w:rPr>
        <w:t>. Wpływ wojny w Ukrainie na gospodarstwa rolne</w:t>
      </w:r>
      <w:r w:rsidR="007A3200">
        <w:rPr>
          <w:rFonts w:ascii="Fira Sans" w:hAnsi="Fira Sans"/>
          <w:b/>
          <w:spacing w:val="-2"/>
          <w:sz w:val="19"/>
          <w:szCs w:val="19"/>
        </w:rPr>
        <w:t xml:space="preserve"> ogółem</w:t>
      </w:r>
      <w:r w:rsidR="00F9534F" w:rsidRPr="00F9534F">
        <w:rPr>
          <w:rFonts w:ascii="Fira Sans" w:hAnsi="Fira Sans"/>
          <w:b/>
          <w:spacing w:val="-2"/>
          <w:sz w:val="19"/>
          <w:szCs w:val="19"/>
        </w:rPr>
        <w:t xml:space="preserve"> </w:t>
      </w:r>
      <w:r w:rsidR="00F9534F">
        <w:rPr>
          <w:rFonts w:ascii="Fira Sans" w:hAnsi="Fira Sans"/>
          <w:b/>
          <w:spacing w:val="-2"/>
          <w:sz w:val="19"/>
          <w:szCs w:val="19"/>
        </w:rPr>
        <w:t xml:space="preserve">- </w:t>
      </w:r>
      <w:r w:rsidR="00F9534F" w:rsidRPr="00F9534F">
        <w:rPr>
          <w:rFonts w:ascii="Fira Sans" w:hAnsi="Fira Sans"/>
          <w:b/>
          <w:spacing w:val="-2"/>
          <w:sz w:val="19"/>
          <w:szCs w:val="19"/>
        </w:rPr>
        <w:t>struktura odpowiedzi (%)</w:t>
      </w:r>
    </w:p>
    <w:p w14:paraId="0834C536" w14:textId="77777777" w:rsidR="00B200E7" w:rsidRDefault="00B200E7" w:rsidP="00A90624">
      <w:pPr>
        <w:spacing w:before="480" w:after="360"/>
        <w:rPr>
          <w:rFonts w:ascii="Fira Sans" w:hAnsi="Fira Sans"/>
          <w:bCs/>
          <w:spacing w:val="-2"/>
          <w:sz w:val="18"/>
        </w:rPr>
      </w:pPr>
      <w:bookmarkStart w:id="0" w:name="_Hlk176957825"/>
    </w:p>
    <w:p w14:paraId="6A26F04F" w14:textId="77777777" w:rsidR="00B200E7" w:rsidRDefault="00B200E7" w:rsidP="00A90624">
      <w:pPr>
        <w:spacing w:before="480" w:after="360"/>
        <w:rPr>
          <w:rFonts w:ascii="Fira Sans" w:hAnsi="Fira Sans"/>
          <w:bCs/>
          <w:spacing w:val="-2"/>
          <w:sz w:val="18"/>
        </w:rPr>
      </w:pPr>
    </w:p>
    <w:bookmarkEnd w:id="0"/>
    <w:p w14:paraId="276945D3" w14:textId="76E8BF56" w:rsidR="00A90624" w:rsidRDefault="004D3634" w:rsidP="002E6D45">
      <w:pPr>
        <w:spacing w:before="240" w:after="480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</w:pPr>
      <w:r w:rsidRPr="006E77BF">
        <w:rPr>
          <w:rFonts w:ascii="Fira Sans" w:hAnsi="Fira Sans"/>
          <w:noProof/>
          <w:color w:val="FFFFFF" w:themeColor="background1"/>
          <w:sz w:val="15"/>
          <w:szCs w:val="15"/>
        </w:rPr>
        <w:lastRenderedPageBreak/>
        <w:drawing>
          <wp:anchor distT="0" distB="0" distL="114300" distR="114300" simplePos="0" relativeHeight="253022208" behindDoc="1" locked="0" layoutInCell="1" allowOverlap="1" wp14:anchorId="5CDACC07" wp14:editId="62DB1BF2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5303520" cy="3708400"/>
            <wp:effectExtent l="0" t="0" r="0" b="6350"/>
            <wp:wrapTight wrapText="bothSides">
              <wp:wrapPolygon edited="0">
                <wp:start x="0" y="0"/>
                <wp:lineTo x="0" y="21526"/>
                <wp:lineTo x="21491" y="21526"/>
                <wp:lineTo x="21491" y="0"/>
                <wp:lineTo x="0" y="0"/>
              </wp:wrapPolygon>
            </wp:wrapTight>
            <wp:docPr id="118913454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803AC941-35B5-AAA4-2EC9-4553CA989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05A">
        <w:rPr>
          <w:rFonts w:ascii="Fira Sans" w:hAnsi="Fira Sans"/>
          <w:b/>
          <w:spacing w:val="-2"/>
          <w:sz w:val="19"/>
          <w:szCs w:val="19"/>
        </w:rPr>
        <w:t xml:space="preserve">Wykres </w:t>
      </w:r>
      <w:r>
        <w:rPr>
          <w:rFonts w:ascii="Fira Sans" w:hAnsi="Fira Sans"/>
          <w:b/>
          <w:spacing w:val="-2"/>
          <w:sz w:val="19"/>
          <w:szCs w:val="19"/>
        </w:rPr>
        <w:t>9</w:t>
      </w:r>
      <w:r w:rsidRPr="00C9305A">
        <w:rPr>
          <w:rFonts w:ascii="Fira Sans" w:hAnsi="Fira Sans"/>
          <w:b/>
          <w:spacing w:val="-2"/>
          <w:sz w:val="19"/>
          <w:szCs w:val="19"/>
        </w:rPr>
        <w:t xml:space="preserve">. </w:t>
      </w:r>
      <w:r w:rsidRPr="005B1F49">
        <w:rPr>
          <w:rFonts w:ascii="Fira Sans" w:hAnsi="Fira Sans"/>
          <w:b/>
          <w:spacing w:val="-2"/>
          <w:sz w:val="19"/>
          <w:szCs w:val="19"/>
        </w:rPr>
        <w:t>Negatywny wpływ wojny w Ukrainie na gospodarstwa rolne w I półroczu 202</w:t>
      </w:r>
      <w:r>
        <w:rPr>
          <w:rFonts w:ascii="Fira Sans" w:hAnsi="Fira Sans"/>
          <w:b/>
          <w:spacing w:val="-2"/>
          <w:sz w:val="19"/>
          <w:szCs w:val="19"/>
        </w:rPr>
        <w:t>4</w:t>
      </w:r>
      <w:r w:rsidRPr="005B1F49">
        <w:rPr>
          <w:rFonts w:ascii="Fira Sans" w:hAnsi="Fira Sans"/>
          <w:b/>
          <w:spacing w:val="-2"/>
          <w:sz w:val="19"/>
          <w:szCs w:val="19"/>
        </w:rPr>
        <w:t xml:space="preserve">r. według </w:t>
      </w:r>
      <w:r>
        <w:rPr>
          <w:rFonts w:ascii="Fira Sans" w:hAnsi="Fira Sans"/>
          <w:b/>
          <w:spacing w:val="-2"/>
          <w:sz w:val="19"/>
          <w:szCs w:val="19"/>
        </w:rPr>
        <w:t>ukierunkowania produkcyjnego</w:t>
      </w:r>
    </w:p>
    <w:p w14:paraId="7D03DA7C" w14:textId="3481A00D" w:rsidR="00B200E7" w:rsidRDefault="00B200E7" w:rsidP="004D3634">
      <w:pPr>
        <w:spacing w:before="240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</w:pPr>
      <w:r w:rsidRPr="00B200E7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W przypadku rolników ukierunkowanych na produkcję roślinną</w:t>
      </w:r>
      <w:r w:rsidR="00E21325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,</w:t>
      </w:r>
      <w:r w:rsidRPr="00B200E7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23,6% z nich uznało, że sytuacja </w:t>
      </w:r>
      <w:r w:rsidR="00E5369D" w:rsidRPr="00EC48CD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w</w:t>
      </w:r>
      <w:r w:rsidR="00E5369D" w:rsidRPr="005C2875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</w:t>
      </w:r>
      <w:r w:rsidRPr="00B200E7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Ukrainie stanowiła czynnik zagrażający stabilności gospodarstwa rolnego. Jednakże największy wzrost (o 5,3 p. proc) wskazań tej odpowiedzi w porównaniu </w:t>
      </w:r>
      <w:r w:rsidR="00E5369D" w:rsidRPr="00EC48CD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z</w:t>
      </w:r>
      <w:r w:rsidR="00E5369D" w:rsidRPr="005C2875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</w:t>
      </w:r>
      <w:r w:rsidRPr="00B200E7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II edycj</w:t>
      </w:r>
      <w:r w:rsidR="00E5369D" w:rsidRPr="00EC48CD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ą</w:t>
      </w:r>
      <w:r w:rsidRPr="00B200E7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2023 r</w:t>
      </w:r>
      <w:r w:rsidR="00E5369D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. </w:t>
      </w:r>
      <w:r w:rsidRPr="00B200E7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odnotowano wśród gospodarstw ukierunkowanych na produkcję zwierzęcą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.</w:t>
      </w:r>
    </w:p>
    <w:p w14:paraId="7BE3C1D9" w14:textId="78E687F4" w:rsidR="004D3634" w:rsidRDefault="004D3634" w:rsidP="004D3634">
      <w:pPr>
        <w:spacing w:before="240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</w:pP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Blisko 30% gospodarstw ukierunkowanych na produkcję roślinną</w:t>
      </w:r>
      <w:r w:rsidR="0016745A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,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jak i </w:t>
      </w:r>
      <w:r w:rsidR="002E6D45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gospodarstw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wielokierunkow</w:t>
      </w:r>
      <w:r w:rsidR="002E6D45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ych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wskazało, że wojna miała poważny wpływ na funkcjonowanie ich gospodarstw. </w:t>
      </w:r>
    </w:p>
    <w:p w14:paraId="6B9097B1" w14:textId="68C5E926" w:rsidR="004D3634" w:rsidRPr="00EC48CD" w:rsidRDefault="004D3634" w:rsidP="004D3634">
      <w:pPr>
        <w:spacing w:before="240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</w:pP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Nieznaczne skutki</w:t>
      </w:r>
      <w:r w:rsidR="00EC48CD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,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jak i brak negatywnych skutków wojny w Ukrainie wskazali najczęściej rolnicy </w:t>
      </w:r>
      <w:r w:rsidR="00D10529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prowadzący gospodarstwa ukierunkowane na</w:t>
      </w:r>
      <w:r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produkcję zwierzęcą</w:t>
      </w:r>
      <w:r w:rsidR="00E5369D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 xml:space="preserve"> </w:t>
      </w:r>
      <w:r w:rsidR="00E5369D" w:rsidRPr="00EC48CD"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t>(odpowiednio 30,0% i 31,0%).</w:t>
      </w:r>
    </w:p>
    <w:p w14:paraId="04D1B3DE" w14:textId="77777777" w:rsidR="00FA0AAF" w:rsidRPr="00B34383" w:rsidRDefault="00FA0AAF" w:rsidP="00134F51">
      <w:pPr>
        <w:spacing w:before="240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</w:pPr>
    </w:p>
    <w:p w14:paraId="6E89AC5C" w14:textId="10F519E4" w:rsidR="00D208DD" w:rsidRDefault="00A0171D" w:rsidP="00C9305A">
      <w:pPr>
        <w:spacing w:line="259" w:lineRule="auto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pacing w:val="-2"/>
          <w:sz w:val="19"/>
          <w:szCs w:val="19"/>
          <w:lang w:eastAsia="pl-PL"/>
        </w:rPr>
        <w:br w:type="page"/>
      </w:r>
    </w:p>
    <w:p w14:paraId="32A62C73" w14:textId="77777777" w:rsidR="00D208DD" w:rsidRPr="00D208DD" w:rsidRDefault="00D208DD" w:rsidP="00D208DD">
      <w:pPr>
        <w:spacing w:before="240" w:after="240"/>
        <w:rPr>
          <w:rFonts w:ascii="Fira Sans" w:eastAsia="Times New Roman" w:hAnsi="Fira Sans" w:cs="Times New Roman"/>
          <w:bCs/>
          <w:spacing w:val="-2"/>
          <w:sz w:val="19"/>
          <w:szCs w:val="19"/>
          <w:lang w:eastAsia="pl-PL"/>
        </w:rPr>
        <w:sectPr w:rsidR="00D208DD" w:rsidRPr="00D208DD" w:rsidSect="00E637E4">
          <w:type w:val="continuous"/>
          <w:pgSz w:w="11906" w:h="16838" w:code="9"/>
          <w:pgMar w:top="720" w:right="3119" w:bottom="142" w:left="720" w:header="284" w:footer="284" w:gutter="0"/>
          <w:cols w:space="708"/>
          <w:titlePg/>
          <w:docGrid w:linePitch="360"/>
        </w:sectPr>
      </w:pPr>
    </w:p>
    <w:tbl>
      <w:tblPr>
        <w:tblStyle w:val="Tabela-Siatka1"/>
        <w:tblW w:w="992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5001"/>
      </w:tblGrid>
      <w:tr w:rsidR="00FF0DFB" w:rsidRPr="00E31060" w14:paraId="0065D9DD" w14:textId="77777777" w:rsidTr="003B6FFA">
        <w:trPr>
          <w:trHeight w:val="1626"/>
        </w:trPr>
        <w:tc>
          <w:tcPr>
            <w:tcW w:w="4926" w:type="dxa"/>
          </w:tcPr>
          <w:p w14:paraId="2C040854" w14:textId="77777777" w:rsidR="00FF0DFB" w:rsidRPr="00E31060" w:rsidRDefault="00FF0DFB" w:rsidP="003B6FFA">
            <w:pPr>
              <w:spacing w:line="276" w:lineRule="auto"/>
              <w:rPr>
                <w:rFonts w:ascii="Fira Sans" w:eastAsia="Calibri" w:hAnsi="Fira Sans" w:cs="Arial"/>
                <w:sz w:val="20"/>
              </w:rPr>
            </w:pPr>
            <w:r w:rsidRPr="00E31060">
              <w:rPr>
                <w:rFonts w:ascii="Fira Sans" w:eastAsia="Calibri" w:hAnsi="Fira Sans" w:cs="Arial"/>
                <w:sz w:val="20"/>
              </w:rPr>
              <w:lastRenderedPageBreak/>
              <w:t>Opracowanie merytoryczne:</w:t>
            </w:r>
          </w:p>
          <w:p w14:paraId="31C03C1C" w14:textId="77777777" w:rsidR="00FF0DFB" w:rsidRPr="00E31060" w:rsidRDefault="00FF0DFB" w:rsidP="003B6FFA">
            <w:pPr>
              <w:spacing w:after="120" w:line="276" w:lineRule="auto"/>
              <w:rPr>
                <w:rFonts w:ascii="Fira Sans" w:eastAsia="Calibri" w:hAnsi="Fira Sans" w:cs="Arial"/>
                <w:b/>
                <w:color w:val="000000"/>
                <w:sz w:val="20"/>
              </w:rPr>
            </w:pPr>
            <w:r w:rsidRPr="00E31060">
              <w:rPr>
                <w:rFonts w:ascii="Fira Sans" w:eastAsia="Calibri" w:hAnsi="Fira Sans" w:cs="Arial"/>
                <w:b/>
                <w:sz w:val="20"/>
              </w:rPr>
              <w:t>Urząd Statystyczny w Zielonej Górze</w:t>
            </w:r>
          </w:p>
          <w:p w14:paraId="36CEBD7D" w14:textId="77777777" w:rsidR="00FF0DFB" w:rsidRPr="00E31060" w:rsidRDefault="00FF0DFB" w:rsidP="003B6FFA">
            <w:pPr>
              <w:spacing w:line="276" w:lineRule="auto"/>
              <w:rPr>
                <w:rFonts w:ascii="Fira Sans" w:eastAsia="Calibri" w:hAnsi="Fira Sans" w:cs="Times New Roman"/>
                <w:b/>
                <w:sz w:val="19"/>
                <w:lang w:val="fi-FI"/>
              </w:rPr>
            </w:pPr>
            <w:r w:rsidRPr="00E31060">
              <w:rPr>
                <w:rFonts w:ascii="Fira Sans" w:eastAsia="Calibri" w:hAnsi="Fira Sans" w:cs="Times New Roman"/>
                <w:b/>
                <w:sz w:val="19"/>
                <w:lang w:val="fi-FI"/>
              </w:rPr>
              <w:t>Dyrektor Roman Fedak</w:t>
            </w:r>
          </w:p>
          <w:p w14:paraId="34482A8B" w14:textId="77777777" w:rsidR="00FF0DFB" w:rsidRPr="00E31060" w:rsidRDefault="00FF0DFB" w:rsidP="003B6FFA">
            <w:pPr>
              <w:keepNext/>
              <w:keepLines/>
              <w:spacing w:after="120" w:line="240" w:lineRule="auto"/>
              <w:outlineLvl w:val="2"/>
              <w:rPr>
                <w:rFonts w:ascii="Fira Sans" w:eastAsia="Times New Roman" w:hAnsi="Fira Sans" w:cs="Arial"/>
                <w:color w:val="000000"/>
                <w:sz w:val="20"/>
                <w:szCs w:val="24"/>
                <w:lang w:val="fi-FI"/>
              </w:rPr>
            </w:pPr>
            <w:r w:rsidRPr="00E31060">
              <w:rPr>
                <w:rFonts w:ascii="Fira Sans" w:eastAsia="Times New Roman" w:hAnsi="Fira Sans" w:cs="Arial"/>
                <w:color w:val="000000"/>
                <w:sz w:val="20"/>
                <w:szCs w:val="24"/>
                <w:lang w:val="fi-FI"/>
              </w:rPr>
              <w:t>Tel: 68 322 31 12</w:t>
            </w:r>
          </w:p>
        </w:tc>
        <w:tc>
          <w:tcPr>
            <w:tcW w:w="5001" w:type="dxa"/>
          </w:tcPr>
          <w:p w14:paraId="7A980A01" w14:textId="77777777" w:rsidR="00112041" w:rsidRPr="00A6744F" w:rsidRDefault="00FF0DFB" w:rsidP="00112041">
            <w:pPr>
              <w:spacing w:line="276" w:lineRule="auto"/>
              <w:rPr>
                <w:rFonts w:ascii="Fira Sans" w:hAnsi="Fira Sans" w:cs="Arial"/>
                <w:b/>
                <w:sz w:val="20"/>
              </w:rPr>
            </w:pPr>
            <w:r w:rsidRPr="00E31060">
              <w:rPr>
                <w:rFonts w:ascii="Fira Sans" w:eastAsia="Calibri" w:hAnsi="Fira Sans" w:cs="Arial"/>
                <w:sz w:val="20"/>
              </w:rPr>
              <w:t>Rozpowszechnianie:</w:t>
            </w:r>
            <w:r w:rsidRPr="00E31060">
              <w:rPr>
                <w:rFonts w:ascii="Fira Sans" w:eastAsia="Calibri" w:hAnsi="Fira Sans" w:cs="Arial"/>
                <w:sz w:val="20"/>
              </w:rPr>
              <w:br/>
            </w:r>
            <w:r w:rsidR="00112041" w:rsidRPr="00A6744F">
              <w:rPr>
                <w:rFonts w:ascii="Fira Sans" w:hAnsi="Fira Sans" w:cs="Arial"/>
                <w:b/>
                <w:sz w:val="20"/>
              </w:rPr>
              <w:t>Wydział Współpracy z Mediami</w:t>
            </w:r>
          </w:p>
          <w:p w14:paraId="35C4C4AC" w14:textId="77777777" w:rsidR="00112041" w:rsidRPr="00A6744F" w:rsidRDefault="00112041" w:rsidP="00112041">
            <w:pPr>
              <w:spacing w:before="120" w:after="120"/>
              <w:rPr>
                <w:rFonts w:ascii="Fira Sans" w:hAnsi="Fira Sans"/>
                <w:sz w:val="19"/>
              </w:rPr>
            </w:pPr>
            <w:r w:rsidRPr="00A6744F">
              <w:rPr>
                <w:rFonts w:ascii="Fira Sans" w:hAnsi="Fira Sans"/>
                <w:sz w:val="19"/>
              </w:rPr>
              <w:t>Tel. komórkowy: +48 695 255 032</w:t>
            </w:r>
          </w:p>
          <w:p w14:paraId="58B9BB25" w14:textId="77777777" w:rsidR="00112041" w:rsidRPr="00A6744F" w:rsidRDefault="00112041" w:rsidP="00112041">
            <w:pPr>
              <w:spacing w:before="120" w:after="120"/>
              <w:ind w:left="1494" w:hanging="1494"/>
              <w:rPr>
                <w:rFonts w:ascii="Fira Sans" w:hAnsi="Fira Sans"/>
                <w:sz w:val="19"/>
              </w:rPr>
            </w:pPr>
            <w:r w:rsidRPr="00A6744F">
              <w:rPr>
                <w:rFonts w:ascii="Fira Sans" w:hAnsi="Fira Sans"/>
                <w:sz w:val="19"/>
              </w:rPr>
              <w:t>Tel. stacjonarne: +48 22 608 38 04, +48 22 449 41 45,     +48 22 608 30 09</w:t>
            </w:r>
          </w:p>
          <w:p w14:paraId="684D7147" w14:textId="77777777" w:rsidR="00112041" w:rsidRPr="007055F3" w:rsidRDefault="00112041" w:rsidP="00112041">
            <w:pPr>
              <w:keepNext/>
              <w:keepLines/>
              <w:spacing w:line="240" w:lineRule="auto"/>
              <w:outlineLvl w:val="2"/>
              <w:rPr>
                <w:rFonts w:ascii="Fira Sans" w:eastAsia="Times New Roman" w:hAnsi="Fira Sans" w:cs="Arial"/>
                <w:sz w:val="20"/>
                <w:szCs w:val="24"/>
                <w:lang w:val="fi-FI"/>
              </w:rPr>
            </w:pPr>
            <w:r w:rsidRPr="00A6744F">
              <w:rPr>
                <w:rFonts w:ascii="Fira Sans" w:hAnsi="Fira Sans"/>
                <w:b/>
                <w:sz w:val="20"/>
              </w:rPr>
              <w:t>e-mail:</w:t>
            </w:r>
            <w:r w:rsidRPr="00A6744F">
              <w:rPr>
                <w:rFonts w:ascii="Fira Sans" w:hAnsi="Fira Sans"/>
                <w:sz w:val="20"/>
              </w:rPr>
              <w:t xml:space="preserve"> </w:t>
            </w:r>
            <w:hyperlink r:id="rId26" w:history="1">
              <w:r w:rsidRPr="00A6744F">
                <w:rPr>
                  <w:rFonts w:ascii="Fira Sans" w:eastAsiaTheme="majorEastAsia" w:hAnsi="Fira Sans" w:cs="Arial"/>
                  <w:b/>
                  <w:sz w:val="20"/>
                  <w:szCs w:val="20"/>
                  <w:u w:val="single"/>
                </w:rPr>
                <w:t>obslugaprasowa@stat.gov.pl</w:t>
              </w:r>
            </w:hyperlink>
          </w:p>
          <w:p w14:paraId="791D9EE6" w14:textId="7DFF8DC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sz w:val="18"/>
              </w:rPr>
            </w:pPr>
          </w:p>
        </w:tc>
      </w:tr>
      <w:tr w:rsidR="00FF0DFB" w:rsidRPr="00E31060" w14:paraId="0D0B64DA" w14:textId="77777777" w:rsidTr="003B6FFA">
        <w:trPr>
          <w:trHeight w:val="418"/>
        </w:trPr>
        <w:tc>
          <w:tcPr>
            <w:tcW w:w="4926" w:type="dxa"/>
            <w:vMerge w:val="restart"/>
          </w:tcPr>
          <w:p w14:paraId="0F164E20" w14:textId="0387A82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sz w:val="18"/>
                <w:lang w:val="en-US"/>
              </w:rPr>
            </w:pPr>
          </w:p>
        </w:tc>
        <w:tc>
          <w:tcPr>
            <w:tcW w:w="5001" w:type="dxa"/>
            <w:vAlign w:val="center"/>
          </w:tcPr>
          <w:p w14:paraId="65BFE043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18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0000" behindDoc="0" locked="0" layoutInCell="1" allowOverlap="1" wp14:anchorId="1C0C7B34" wp14:editId="2C87B65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1060">
              <w:rPr>
                <w:rFonts w:ascii="Fira Sans" w:eastAsia="Calibri" w:hAnsi="Fira Sans" w:cs="Times New Roman"/>
                <w:sz w:val="20"/>
              </w:rPr>
              <w:t>www.stat.gov.pl</w:t>
            </w:r>
          </w:p>
        </w:tc>
      </w:tr>
      <w:tr w:rsidR="00FF0DFB" w:rsidRPr="00E31060" w14:paraId="5C8C18E7" w14:textId="77777777" w:rsidTr="003B6FFA">
        <w:trPr>
          <w:trHeight w:val="418"/>
        </w:trPr>
        <w:tc>
          <w:tcPr>
            <w:tcW w:w="4926" w:type="dxa"/>
            <w:vMerge/>
          </w:tcPr>
          <w:p w14:paraId="0928B200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  <w:vAlign w:val="center"/>
          </w:tcPr>
          <w:p w14:paraId="79416351" w14:textId="77777777" w:rsidR="00FF0DFB" w:rsidRPr="00E31060" w:rsidRDefault="00A12E83" w:rsidP="00D735C2">
            <w:pPr>
              <w:spacing w:before="120" w:after="120"/>
              <w:rPr>
                <w:rFonts w:ascii="Fira Sans" w:eastAsia="Calibri" w:hAnsi="Fira Sans" w:cs="Times New Roman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003776" behindDoc="0" locked="0" layoutInCell="1" allowOverlap="1" wp14:anchorId="00184717" wp14:editId="53883C8C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24765</wp:posOffset>
                  </wp:positionV>
                  <wp:extent cx="251460" cy="251460"/>
                  <wp:effectExtent l="0" t="0" r="0" b="0"/>
                  <wp:wrapThrough wrapText="bothSides">
                    <wp:wrapPolygon edited="0">
                      <wp:start x="1636" y="0"/>
                      <wp:lineTo x="0" y="4909"/>
                      <wp:lineTo x="0" y="16364"/>
                      <wp:lineTo x="1636" y="19636"/>
                      <wp:lineTo x="18000" y="19636"/>
                      <wp:lineTo x="19636" y="16364"/>
                      <wp:lineTo x="19636" y="4909"/>
                      <wp:lineTo x="18000" y="0"/>
                      <wp:lineTo x="1636" y="0"/>
                    </wp:wrapPolygon>
                  </wp:wrapThrough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0DFB" w:rsidRPr="00E31060">
              <w:rPr>
                <w:rFonts w:ascii="Fira Sans" w:eastAsia="Calibri" w:hAnsi="Fira Sans" w:cs="Times New Roman"/>
                <w:sz w:val="20"/>
              </w:rPr>
              <w:t>@GUS_STAT</w:t>
            </w:r>
          </w:p>
        </w:tc>
      </w:tr>
      <w:tr w:rsidR="00FF0DFB" w:rsidRPr="00E31060" w14:paraId="4C8F5415" w14:textId="77777777" w:rsidTr="003B6FFA">
        <w:trPr>
          <w:trHeight w:val="476"/>
        </w:trPr>
        <w:tc>
          <w:tcPr>
            <w:tcW w:w="4926" w:type="dxa"/>
            <w:vMerge/>
          </w:tcPr>
          <w:p w14:paraId="05A44723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0A49CECD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18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2048" behindDoc="0" locked="0" layoutInCell="1" allowOverlap="1" wp14:anchorId="4BC6E6CA" wp14:editId="2D954BC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1060">
              <w:rPr>
                <w:rFonts w:ascii="Fira Sans" w:eastAsia="Calibri" w:hAnsi="Fira Sans" w:cs="Times New Roman"/>
                <w:sz w:val="20"/>
              </w:rPr>
              <w:t>@GlownyUrzadStatystyczny</w:t>
            </w:r>
          </w:p>
        </w:tc>
      </w:tr>
      <w:tr w:rsidR="00FF0DFB" w:rsidRPr="00E31060" w14:paraId="1DEC2E6B" w14:textId="77777777" w:rsidTr="003B6FFA">
        <w:trPr>
          <w:trHeight w:val="476"/>
        </w:trPr>
        <w:tc>
          <w:tcPr>
            <w:tcW w:w="4926" w:type="dxa"/>
          </w:tcPr>
          <w:p w14:paraId="319979A7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67DCD535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20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3072" behindDoc="0" locked="0" layoutInCell="1" allowOverlap="1" wp14:anchorId="4FB727DF" wp14:editId="6801F15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31060">
              <w:rPr>
                <w:rFonts w:ascii="Fira Sans" w:eastAsia="Calibri" w:hAnsi="Fira Sans" w:cs="Times New Roman"/>
                <w:sz w:val="20"/>
              </w:rPr>
              <w:t>gus_stat</w:t>
            </w:r>
            <w:proofErr w:type="spellEnd"/>
          </w:p>
        </w:tc>
      </w:tr>
      <w:tr w:rsidR="00FF0DFB" w:rsidRPr="00E31060" w14:paraId="4C428E5B" w14:textId="77777777" w:rsidTr="003B6FFA">
        <w:trPr>
          <w:trHeight w:val="476"/>
        </w:trPr>
        <w:tc>
          <w:tcPr>
            <w:tcW w:w="4926" w:type="dxa"/>
          </w:tcPr>
          <w:p w14:paraId="08BD8263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693FB653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20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4096" behindDoc="0" locked="0" layoutInCell="1" allowOverlap="1" wp14:anchorId="42AF58B8" wp14:editId="68BE4FA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" name="Obraz 2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31060">
              <w:rPr>
                <w:rFonts w:ascii="Fira Sans" w:eastAsia="Calibri" w:hAnsi="Fira Sans" w:cs="Times New Roman"/>
                <w:sz w:val="20"/>
              </w:rPr>
              <w:t>glownyurzadstatystycznygus</w:t>
            </w:r>
            <w:proofErr w:type="spellEnd"/>
          </w:p>
        </w:tc>
      </w:tr>
      <w:tr w:rsidR="00FF0DFB" w:rsidRPr="00E31060" w14:paraId="6BB21B60" w14:textId="77777777" w:rsidTr="003B6FFA">
        <w:trPr>
          <w:trHeight w:val="953"/>
        </w:trPr>
        <w:tc>
          <w:tcPr>
            <w:tcW w:w="4926" w:type="dxa"/>
          </w:tcPr>
          <w:p w14:paraId="305C0ABB" w14:textId="77777777" w:rsidR="00FF0DFB" w:rsidRPr="00E31060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56148152" w14:textId="77777777" w:rsidR="00FF0DFB" w:rsidRPr="00E31060" w:rsidRDefault="00FF0DFB" w:rsidP="003B6FFA">
            <w:pPr>
              <w:spacing w:before="120" w:after="120"/>
              <w:ind w:firstLine="680"/>
              <w:rPr>
                <w:rFonts w:ascii="Fira Sans" w:eastAsia="Calibri" w:hAnsi="Fira Sans" w:cs="Times New Roman"/>
                <w:sz w:val="20"/>
              </w:rPr>
            </w:pP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t>glownyurzadstatystyczny</w:t>
            </w:r>
            <w:r w:rsidRPr="00E31060">
              <w:rPr>
                <w:rFonts w:ascii="Fira Sans" w:eastAsia="Calibri" w:hAnsi="Fira Sans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2805120" behindDoc="0" locked="0" layoutInCell="1" allowOverlap="1" wp14:anchorId="6F20CF27" wp14:editId="7D595FD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7" name="Obraz 17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0DFB" w:rsidRPr="00E31060" w14:paraId="6100405C" w14:textId="77777777" w:rsidTr="003B6FFA">
        <w:trPr>
          <w:trHeight w:val="4114"/>
        </w:trPr>
        <w:tc>
          <w:tcPr>
            <w:tcW w:w="9927" w:type="dxa"/>
            <w:gridSpan w:val="2"/>
            <w:shd w:val="clear" w:color="auto" w:fill="D9D9D9"/>
          </w:tcPr>
          <w:p w14:paraId="2AD123FE" w14:textId="77777777" w:rsidR="00FF0DFB" w:rsidRPr="00E31060" w:rsidRDefault="00FF0DFB" w:rsidP="003B6FFA">
            <w:pPr>
              <w:shd w:val="clear" w:color="auto" w:fill="D9D9D9"/>
              <w:spacing w:before="120" w:after="120"/>
              <w:rPr>
                <w:rFonts w:ascii="Fira Sans" w:eastAsia="Calibri" w:hAnsi="Fira Sans" w:cs="Times New Roman"/>
                <w:b/>
                <w:sz w:val="19"/>
              </w:rPr>
            </w:pPr>
            <w:r w:rsidRPr="00E31060">
              <w:rPr>
                <w:rFonts w:ascii="Fira Sans" w:eastAsia="Calibri" w:hAnsi="Fira Sans" w:cs="Times New Roman"/>
                <w:b/>
                <w:sz w:val="19"/>
              </w:rPr>
              <w:t>Powiązane opracowania</w:t>
            </w:r>
          </w:p>
          <w:p w14:paraId="345E9354" w14:textId="516E8416" w:rsidR="007C046A" w:rsidRPr="009E67BF" w:rsidRDefault="00B261B5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9"/>
                <w:szCs w:val="19"/>
              </w:rPr>
            </w:pPr>
            <w:hyperlink r:id="rId33" w:history="1">
              <w:r w:rsidR="007C046A" w:rsidRPr="009E67BF">
                <w:rPr>
                  <w:rFonts w:ascii="Fira Sans" w:eastAsia="Fira Sans Light" w:hAnsi="Fira Sans" w:cs="Times New Roman"/>
                  <w:color w:val="0000FF"/>
                  <w:sz w:val="19"/>
                  <w:szCs w:val="19"/>
                  <w:u w:val="single"/>
                </w:rPr>
                <w:t>Rolnictwo</w:t>
              </w:r>
            </w:hyperlink>
            <w:r w:rsidR="007C046A" w:rsidRPr="009E67BF">
              <w:rPr>
                <w:rFonts w:ascii="Fira Sans" w:eastAsia="Fira Sans Light" w:hAnsi="Fira Sans" w:cs="Times New Roman"/>
                <w:color w:val="001D77"/>
                <w:sz w:val="19"/>
                <w:szCs w:val="19"/>
              </w:rPr>
              <w:t xml:space="preserve"> </w:t>
            </w:r>
          </w:p>
          <w:p w14:paraId="2B46BF01" w14:textId="77777777" w:rsidR="007C046A" w:rsidRPr="007C046A" w:rsidRDefault="00B261B5" w:rsidP="007C046A">
            <w:pPr>
              <w:spacing w:before="120" w:after="120"/>
              <w:rPr>
                <w:rFonts w:ascii="Fira Sans" w:eastAsia="Calibri" w:hAnsi="Fira Sans" w:cs="Times New Roman"/>
                <w:sz w:val="19"/>
              </w:rPr>
            </w:pPr>
            <w:hyperlink r:id="rId34" w:history="1">
              <w:r w:rsidR="007C046A" w:rsidRPr="007C046A">
                <w:rPr>
                  <w:rFonts w:ascii="Fira Sans" w:eastAsia="Calibri" w:hAnsi="Fira Sans" w:cs="Times New Roman"/>
                  <w:color w:val="0000FF"/>
                  <w:sz w:val="19"/>
                  <w:u w:val="single"/>
                </w:rPr>
                <w:t>Koniunktura</w:t>
              </w:r>
            </w:hyperlink>
          </w:p>
          <w:p w14:paraId="541A59C3" w14:textId="77777777" w:rsidR="007C046A" w:rsidRPr="007C046A" w:rsidRDefault="007C046A" w:rsidP="007C046A">
            <w:pPr>
              <w:spacing w:before="120" w:after="120"/>
              <w:rPr>
                <w:rFonts w:ascii="Fira Sans" w:eastAsia="Calibri" w:hAnsi="Fira Sans" w:cs="Times New Roman"/>
                <w:sz w:val="19"/>
              </w:rPr>
            </w:pPr>
            <w:r w:rsidRPr="007C046A">
              <w:rPr>
                <w:rFonts w:ascii="Fira Sans" w:eastAsia="Calibri" w:hAnsi="Fira Sans" w:cs="Times New Roman"/>
                <w:sz w:val="19"/>
              </w:rPr>
              <w:t>Informacja sygnalna – opinie formułowane przez użytkowników gospodarstw indywidualnych oraz jednostki prawne i niemające osobowości prawnej</w:t>
            </w:r>
          </w:p>
          <w:p w14:paraId="11F263DC" w14:textId="77777777" w:rsidR="007C046A" w:rsidRPr="007C046A" w:rsidRDefault="007C046A" w:rsidP="007C046A">
            <w:pPr>
              <w:shd w:val="clear" w:color="auto" w:fill="D9D9D9"/>
              <w:spacing w:before="360" w:after="120"/>
              <w:rPr>
                <w:rFonts w:ascii="Fira Sans" w:eastAsia="Calibri" w:hAnsi="Fira Sans" w:cs="Times New Roman"/>
                <w:b/>
                <w:color w:val="000000"/>
                <w:sz w:val="19"/>
                <w:szCs w:val="24"/>
              </w:rPr>
            </w:pPr>
            <w:r w:rsidRPr="007C046A">
              <w:rPr>
                <w:rFonts w:ascii="Fira Sans" w:eastAsia="Calibri" w:hAnsi="Fira Sans" w:cs="Times New Roman"/>
                <w:b/>
                <w:color w:val="000000"/>
                <w:sz w:val="19"/>
                <w:szCs w:val="24"/>
              </w:rPr>
              <w:t>Ważniejsze pojęcia dostępne w słowniku</w:t>
            </w:r>
          </w:p>
          <w:p w14:paraId="1AEDB67B" w14:textId="77777777" w:rsidR="007C046A" w:rsidRPr="007C046A" w:rsidRDefault="00B261B5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8"/>
                <w:szCs w:val="18"/>
              </w:rPr>
            </w:pPr>
            <w:hyperlink r:id="rId35" w:history="1">
              <w:r w:rsidR="007C046A" w:rsidRPr="007C046A">
                <w:rPr>
                  <w:rFonts w:ascii="Fira Sans" w:eastAsia="Fira Sans Light" w:hAnsi="Fira Sans" w:cs="Times New Roman"/>
                  <w:color w:val="001D77"/>
                  <w:sz w:val="18"/>
                  <w:szCs w:val="18"/>
                  <w:u w:val="single"/>
                </w:rPr>
                <w:t>Gospodarstwo rolne</w:t>
              </w:r>
            </w:hyperlink>
          </w:p>
          <w:p w14:paraId="2C7E5212" w14:textId="77777777" w:rsidR="007C046A" w:rsidRPr="007C046A" w:rsidRDefault="00B261B5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8"/>
                <w:szCs w:val="18"/>
              </w:rPr>
            </w:pPr>
            <w:hyperlink r:id="rId36" w:history="1">
              <w:r w:rsidR="007C046A" w:rsidRPr="007C046A">
                <w:rPr>
                  <w:rFonts w:ascii="Fira Sans" w:eastAsia="Fira Sans Light" w:hAnsi="Fira Sans" w:cs="Times New Roman"/>
                  <w:color w:val="001D77"/>
                  <w:sz w:val="18"/>
                  <w:szCs w:val="18"/>
                  <w:u w:val="single"/>
                </w:rPr>
                <w:t>Działalność rolnicza</w:t>
              </w:r>
            </w:hyperlink>
          </w:p>
          <w:p w14:paraId="051F37A9" w14:textId="77777777" w:rsidR="007C046A" w:rsidRPr="007C046A" w:rsidRDefault="00B261B5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8"/>
                <w:szCs w:val="18"/>
              </w:rPr>
            </w:pPr>
            <w:hyperlink r:id="rId37" w:history="1">
              <w:r w:rsidR="007C046A" w:rsidRPr="007C046A">
                <w:rPr>
                  <w:rFonts w:ascii="Fira Sans" w:eastAsia="Fira Sans Light" w:hAnsi="Fira Sans" w:cs="Times New Roman"/>
                  <w:color w:val="001D77"/>
                  <w:sz w:val="18"/>
                  <w:szCs w:val="18"/>
                  <w:u w:val="single"/>
                </w:rPr>
                <w:t>Koniunktura</w:t>
              </w:r>
            </w:hyperlink>
          </w:p>
          <w:p w14:paraId="19A70DF0" w14:textId="77777777" w:rsidR="007C046A" w:rsidRPr="007C046A" w:rsidRDefault="00B261B5" w:rsidP="007C046A">
            <w:pPr>
              <w:spacing w:before="120" w:after="120"/>
              <w:rPr>
                <w:rFonts w:ascii="Fira Sans" w:eastAsia="Fira Sans Light" w:hAnsi="Fira Sans" w:cs="Times New Roman"/>
                <w:color w:val="001D77"/>
                <w:sz w:val="18"/>
                <w:szCs w:val="18"/>
              </w:rPr>
            </w:pPr>
            <w:hyperlink r:id="rId38" w:history="1">
              <w:r w:rsidR="007C046A" w:rsidRPr="007C046A">
                <w:rPr>
                  <w:rFonts w:ascii="Fira Sans" w:eastAsia="Fira Sans Light" w:hAnsi="Fira Sans" w:cs="Times New Roman"/>
                  <w:color w:val="001D77"/>
                  <w:sz w:val="18"/>
                  <w:szCs w:val="18"/>
                  <w:u w:val="single"/>
                </w:rPr>
                <w:t>Popyt</w:t>
              </w:r>
            </w:hyperlink>
          </w:p>
          <w:p w14:paraId="38CE64DD" w14:textId="77777777" w:rsidR="00FF0DFB" w:rsidRPr="00114ADF" w:rsidRDefault="00FF0DFB" w:rsidP="003B6FFA">
            <w:pPr>
              <w:spacing w:before="120" w:after="120"/>
              <w:rPr>
                <w:rFonts w:ascii="Fira Sans" w:eastAsia="Calibri" w:hAnsi="Fira Sans" w:cs="Times New Roman"/>
                <w:b/>
                <w:color w:val="000000"/>
                <w:sz w:val="19"/>
                <w:szCs w:val="24"/>
              </w:rPr>
            </w:pPr>
          </w:p>
        </w:tc>
      </w:tr>
    </w:tbl>
    <w:p w14:paraId="61B1ED99" w14:textId="03892D32" w:rsidR="00FF0DFB" w:rsidRPr="00E31060" w:rsidRDefault="00FF0DFB" w:rsidP="00FF0DFB">
      <w:pPr>
        <w:spacing w:before="120" w:after="320"/>
        <w:rPr>
          <w:rFonts w:ascii="Fira Sans" w:eastAsia="Calibri" w:hAnsi="Fira Sans" w:cs="Times New Roman"/>
          <w:sz w:val="18"/>
        </w:rPr>
      </w:pPr>
    </w:p>
    <w:sectPr w:rsidR="00FF0DFB" w:rsidRPr="00E31060" w:rsidSect="003B6FFA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624697" w14:textId="77777777" w:rsidR="003937DB" w:rsidRDefault="003937DB" w:rsidP="000662E2">
      <w:pPr>
        <w:spacing w:after="0" w:line="240" w:lineRule="auto"/>
      </w:pPr>
      <w:r>
        <w:separator/>
      </w:r>
    </w:p>
  </w:endnote>
  <w:endnote w:type="continuationSeparator" w:id="0">
    <w:p w14:paraId="68480071" w14:textId="77777777" w:rsidR="003937DB" w:rsidRDefault="003937D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22040" w14:textId="77777777" w:rsidR="001D310B" w:rsidRDefault="001D31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72204093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14:paraId="4FD28244" w14:textId="77777777" w:rsidR="00E14EFF" w:rsidRPr="00B7359B" w:rsidRDefault="00E14EFF" w:rsidP="00B7359B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B7359B">
          <w:rPr>
            <w:rFonts w:ascii="Fira Sans" w:hAnsi="Fira Sans"/>
            <w:sz w:val="19"/>
            <w:szCs w:val="19"/>
          </w:rPr>
          <w:fldChar w:fldCharType="begin"/>
        </w:r>
        <w:r w:rsidRPr="00B7359B">
          <w:rPr>
            <w:rFonts w:ascii="Fira Sans" w:hAnsi="Fira Sans"/>
            <w:sz w:val="19"/>
            <w:szCs w:val="19"/>
          </w:rPr>
          <w:instrText>PAGE   \* MERGEFORMAT</w:instrText>
        </w:r>
        <w:r w:rsidRPr="00B7359B">
          <w:rPr>
            <w:rFonts w:ascii="Fira Sans" w:hAnsi="Fira Sans"/>
            <w:sz w:val="19"/>
            <w:szCs w:val="19"/>
          </w:rPr>
          <w:fldChar w:fldCharType="separate"/>
        </w:r>
        <w:r w:rsidR="00535664">
          <w:rPr>
            <w:rFonts w:ascii="Fira Sans" w:hAnsi="Fira Sans"/>
            <w:noProof/>
            <w:sz w:val="19"/>
            <w:szCs w:val="19"/>
          </w:rPr>
          <w:t>10</w:t>
        </w:r>
        <w:r w:rsidRPr="00B7359B">
          <w:rPr>
            <w:rFonts w:ascii="Fira Sans" w:hAnsi="Fira Sans"/>
            <w:sz w:val="19"/>
            <w:szCs w:val="19"/>
          </w:rPr>
          <w:fldChar w:fldCharType="end"/>
        </w:r>
      </w:p>
    </w:sdtContent>
  </w:sdt>
  <w:p w14:paraId="6A4FE90E" w14:textId="77777777" w:rsidR="00E45948" w:rsidRDefault="00E4594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77788554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14:paraId="32B941DB" w14:textId="77777777" w:rsidR="00E14EFF" w:rsidRPr="002B1A65" w:rsidRDefault="00E14EFF" w:rsidP="002B1A65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2B1A65">
          <w:rPr>
            <w:rFonts w:ascii="Fira Sans" w:hAnsi="Fira Sans"/>
            <w:sz w:val="19"/>
            <w:szCs w:val="19"/>
          </w:rPr>
          <w:fldChar w:fldCharType="begin"/>
        </w:r>
        <w:r w:rsidRPr="002B1A65">
          <w:rPr>
            <w:rFonts w:ascii="Fira Sans" w:hAnsi="Fira Sans"/>
            <w:sz w:val="19"/>
            <w:szCs w:val="19"/>
          </w:rPr>
          <w:instrText>PAGE   \* MERGEFORMAT</w:instrText>
        </w:r>
        <w:r w:rsidRPr="002B1A65">
          <w:rPr>
            <w:rFonts w:ascii="Fira Sans" w:hAnsi="Fira Sans"/>
            <w:sz w:val="19"/>
            <w:szCs w:val="19"/>
          </w:rPr>
          <w:fldChar w:fldCharType="separate"/>
        </w:r>
        <w:r w:rsidR="007C5121">
          <w:rPr>
            <w:rFonts w:ascii="Fira Sans" w:hAnsi="Fira Sans"/>
            <w:noProof/>
            <w:sz w:val="19"/>
            <w:szCs w:val="19"/>
          </w:rPr>
          <w:t>1</w:t>
        </w:r>
        <w:r w:rsidRPr="002B1A65">
          <w:rPr>
            <w:rFonts w:ascii="Fira Sans" w:hAnsi="Fira Sans"/>
            <w:sz w:val="19"/>
            <w:szCs w:val="19"/>
          </w:rPr>
          <w:fldChar w:fldCharType="end"/>
        </w:r>
      </w:p>
    </w:sdtContent>
  </w:sdt>
  <w:p w14:paraId="78EA7519" w14:textId="77777777" w:rsidR="00E45948" w:rsidRDefault="00E4594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45636839"/>
      <w:docPartObj>
        <w:docPartGallery w:val="Page Numbers (Bottom of Page)"/>
        <w:docPartUnique/>
      </w:docPartObj>
    </w:sdtPr>
    <w:sdtEndPr/>
    <w:sdtContent>
      <w:p w14:paraId="679969D0" w14:textId="77777777" w:rsidR="00E14EFF" w:rsidRDefault="00E14EFF" w:rsidP="003B6FF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64D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9AF71" w14:textId="77777777" w:rsidR="003937DB" w:rsidRDefault="003937DB" w:rsidP="000662E2">
      <w:pPr>
        <w:spacing w:after="0" w:line="240" w:lineRule="auto"/>
      </w:pPr>
      <w:r>
        <w:separator/>
      </w:r>
    </w:p>
  </w:footnote>
  <w:footnote w:type="continuationSeparator" w:id="0">
    <w:p w14:paraId="14FF0A69" w14:textId="77777777" w:rsidR="003937DB" w:rsidRDefault="003937D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7CC9D" w14:textId="77777777" w:rsidR="001D310B" w:rsidRDefault="001D31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493EA" w14:textId="77777777" w:rsidR="00E14EFF" w:rsidRDefault="00E14EFF" w:rsidP="008A4518">
    <w:pPr>
      <w:pStyle w:val="Nagwek"/>
      <w:tabs>
        <w:tab w:val="clear" w:pos="4536"/>
        <w:tab w:val="clear" w:pos="9072"/>
        <w:tab w:val="left" w:pos="6601"/>
      </w:tabs>
      <w:spacing w:before="120" w:after="360"/>
    </w:pPr>
    <w:r w:rsidRPr="00FF52F5">
      <w:rPr>
        <w:b/>
        <w:noProof/>
        <w:spacing w:val="-2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8B0250C" wp14:editId="68172695">
              <wp:simplePos x="0" y="0"/>
              <wp:positionH relativeFrom="page">
                <wp:posOffset>5756910</wp:posOffset>
              </wp:positionH>
              <wp:positionV relativeFrom="paragraph">
                <wp:posOffset>760095</wp:posOffset>
              </wp:positionV>
              <wp:extent cx="1743710" cy="1360805"/>
              <wp:effectExtent l="0" t="0" r="0" b="1905"/>
              <wp:wrapTight wrapText="bothSides">
                <wp:wrapPolygon edited="0">
                  <wp:start x="708" y="0"/>
                  <wp:lineTo x="708" y="21167"/>
                  <wp:lineTo x="20766" y="21167"/>
                  <wp:lineTo x="20766" y="0"/>
                  <wp:lineTo x="708" y="0"/>
                </wp:wrapPolygon>
              </wp:wrapTight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710" cy="1360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C0BF0" w14:textId="77777777" w:rsidR="00E14EFF" w:rsidRPr="005429D3" w:rsidRDefault="00E14EFF" w:rsidP="00FF52F5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B0250C" id="_x0000_t202" coordsize="21600,21600" o:spt="202" path="m,l,21600r21600,l21600,xe">
              <v:stroke joinstyle="miter"/>
              <v:path gradientshapeok="t" o:connecttype="rect"/>
            </v:shapetype>
            <v:shape id="Pole tekstowe 13" o:spid="_x0000_s1035" type="#_x0000_t202" style="position:absolute;margin-left:453.3pt;margin-top:59.85pt;width:137.3pt;height:107.1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" filled="f" stroked="f">
              <v:textbox>
                <w:txbxContent>
                  <w:p w14:paraId="7F8C0BF0" w14:textId="77777777" w:rsidR="00E14EFF" w:rsidRPr="005429D3" w:rsidRDefault="00E14EFF" w:rsidP="00FF52F5">
                    <w:pPr>
                      <w:pStyle w:val="tekstzboku"/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32D6245" wp14:editId="6F51164D">
              <wp:simplePos x="0" y="0"/>
              <wp:positionH relativeFrom="page">
                <wp:posOffset>5790536</wp:posOffset>
              </wp:positionH>
              <wp:positionV relativeFrom="paragraph">
                <wp:posOffset>-10316845</wp:posOffset>
              </wp:positionV>
              <wp:extent cx="1874520" cy="22680295"/>
              <wp:effectExtent l="0" t="0" r="0" b="8255"/>
              <wp:wrapNone/>
              <wp:docPr id="60" name="Prostokąt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541626" id="Prostokąt 60" o:spid="_x0000_s1026" style="position:absolute;margin-left:455.95pt;margin-top:-812.3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" fillcolor="#f2f2f2 [3052]" stroked="f" strokeweight="1pt">
              <w10:wrap anchorx="page"/>
            </v:rect>
          </w:pict>
        </mc:Fallback>
      </mc:AlternateContent>
    </w:r>
    <w:r>
      <w:tab/>
    </w:r>
  </w:p>
  <w:p w14:paraId="0F9C0E60" w14:textId="77777777" w:rsidR="00E45948" w:rsidRDefault="00E4594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EE0F2" w14:textId="77777777" w:rsidR="00E14EFF" w:rsidRDefault="00E14EFF" w:rsidP="00D34814">
    <w:pPr>
      <w:pStyle w:val="Nagwek"/>
      <w:tabs>
        <w:tab w:val="clear" w:pos="4536"/>
        <w:tab w:val="clear" w:pos="9072"/>
        <w:tab w:val="center" w:pos="2611"/>
      </w:tabs>
      <w:spacing w:before="120" w:after="1080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 wp14:anchorId="42AF2CD5" wp14:editId="5557B7A0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1114425" cy="619171"/>
          <wp:effectExtent l="0" t="0" r="0" b="9525"/>
          <wp:wrapTight wrapText="bothSides">
            <wp:wrapPolygon edited="0">
              <wp:start x="0" y="0"/>
              <wp:lineTo x="0" y="21268"/>
              <wp:lineTo x="21046" y="21268"/>
              <wp:lineTo x="21046" y="0"/>
              <wp:lineTo x="0" y="0"/>
            </wp:wrapPolygon>
          </wp:wrapTight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19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12C6392" wp14:editId="3EF4A7D7">
              <wp:simplePos x="0" y="0"/>
              <wp:positionH relativeFrom="column">
                <wp:posOffset>5266690</wp:posOffset>
              </wp:positionH>
              <wp:positionV relativeFrom="paragraph">
                <wp:posOffset>197485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62" name="Prostokąt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098EFC" id="Prostokąt 62" o:spid="_x0000_s1026" style="position:absolute;margin-left:414.7pt;margin-top:15.55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" fillcolor="#f2f2f2 [3052]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AD7A7BD" wp14:editId="5E7B87A4">
              <wp:simplePos x="0" y="0"/>
              <wp:positionH relativeFrom="column">
                <wp:posOffset>5219395</wp:posOffset>
              </wp:positionH>
              <wp:positionV relativeFrom="paragraph">
                <wp:posOffset>953516</wp:posOffset>
              </wp:positionV>
              <wp:extent cx="1682115" cy="336550"/>
              <wp:effectExtent l="0" t="0" r="0" b="6350"/>
              <wp:wrapNone/>
              <wp:docPr id="63" name="Pole tekstowe 2" descr="30.009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11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6F99D6" w14:textId="4C26469B" w:rsidR="00E14EFF" w:rsidRPr="001123E0" w:rsidRDefault="00F02FC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eastAsiaTheme="minorEastAsia" w:hAnsi="Fira Sans SemiBold" w:cs="Fira Sans SemiBold"/>
                              <w:color w:val="000080"/>
                              <w:sz w:val="20"/>
                              <w:szCs w:val="20"/>
                              <w:lang w:eastAsia="pl-PL"/>
                            </w:rPr>
                            <w:t>30</w:t>
                          </w:r>
                          <w:r w:rsidR="00E14EFF" w:rsidRPr="00392074">
                            <w:rPr>
                              <w:rFonts w:ascii="Fira Sans SemiBold" w:eastAsiaTheme="minorEastAsia" w:hAnsi="Fira Sans SemiBold" w:cs="Fira Sans SemiBold"/>
                              <w:color w:val="000080"/>
                              <w:sz w:val="20"/>
                              <w:szCs w:val="20"/>
                              <w:lang w:eastAsia="pl-PL"/>
                            </w:rPr>
                            <w:t>.0</w:t>
                          </w:r>
                          <w:r>
                            <w:rPr>
                              <w:rFonts w:ascii="Fira Sans SemiBold" w:eastAsiaTheme="minorEastAsia" w:hAnsi="Fira Sans SemiBold" w:cs="Fira Sans SemiBold"/>
                              <w:color w:val="000080"/>
                              <w:sz w:val="20"/>
                              <w:szCs w:val="20"/>
                              <w:lang w:eastAsia="pl-PL"/>
                            </w:rPr>
                            <w:t>9</w:t>
                          </w:r>
                          <w:r w:rsidR="00E14EFF">
                            <w:rPr>
                              <w:rFonts w:ascii="Fira Sans SemiBold" w:eastAsiaTheme="minorEastAsia" w:hAnsi="Fira Sans SemiBold" w:cs="Fira Sans SemiBold"/>
                              <w:color w:val="000080"/>
                              <w:sz w:val="20"/>
                              <w:szCs w:val="20"/>
                              <w:lang w:eastAsia="pl-PL"/>
                            </w:rPr>
                            <w:t>.2024</w:t>
                          </w:r>
                          <w:r w:rsidR="00E14EFF" w:rsidRPr="00392074">
                            <w:rPr>
                              <w:rFonts w:ascii="Fira Sans SemiBold" w:eastAsiaTheme="minorEastAsia" w:hAnsi="Fira Sans SemiBold" w:cs="Fira Sans SemiBold"/>
                              <w:color w:val="000080"/>
                              <w:sz w:val="20"/>
                              <w:szCs w:val="20"/>
                              <w:lang w:eastAsia="pl-PL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7A7BD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30.009.2024 r." style="position:absolute;margin-left:411pt;margin-top:75.1pt;width:132.45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" filled="f" stroked="f">
              <v:textbox>
                <w:txbxContent>
                  <w:p w14:paraId="7D6F99D6" w14:textId="4C26469B" w:rsidR="00E14EFF" w:rsidRPr="001123E0" w:rsidRDefault="00F02FC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eastAsiaTheme="minorEastAsia" w:hAnsi="Fira Sans SemiBold" w:cs="Fira Sans SemiBold"/>
                        <w:color w:val="000080"/>
                        <w:sz w:val="20"/>
                        <w:szCs w:val="20"/>
                        <w:lang w:eastAsia="pl-PL"/>
                      </w:rPr>
                      <w:t>30</w:t>
                    </w:r>
                    <w:r w:rsidR="00E14EFF" w:rsidRPr="00392074">
                      <w:rPr>
                        <w:rFonts w:ascii="Fira Sans SemiBold" w:eastAsiaTheme="minorEastAsia" w:hAnsi="Fira Sans SemiBold" w:cs="Fira Sans SemiBold"/>
                        <w:color w:val="000080"/>
                        <w:sz w:val="20"/>
                        <w:szCs w:val="20"/>
                        <w:lang w:eastAsia="pl-PL"/>
                      </w:rPr>
                      <w:t>.0</w:t>
                    </w:r>
                    <w:r>
                      <w:rPr>
                        <w:rFonts w:ascii="Fira Sans SemiBold" w:eastAsiaTheme="minorEastAsia" w:hAnsi="Fira Sans SemiBold" w:cs="Fira Sans SemiBold"/>
                        <w:color w:val="000080"/>
                        <w:sz w:val="20"/>
                        <w:szCs w:val="20"/>
                        <w:lang w:eastAsia="pl-PL"/>
                      </w:rPr>
                      <w:t>9</w:t>
                    </w:r>
                    <w:r w:rsidR="00E14EFF">
                      <w:rPr>
                        <w:rFonts w:ascii="Fira Sans SemiBold" w:eastAsiaTheme="minorEastAsia" w:hAnsi="Fira Sans SemiBold" w:cs="Fira Sans SemiBold"/>
                        <w:color w:val="000080"/>
                        <w:sz w:val="20"/>
                        <w:szCs w:val="20"/>
                        <w:lang w:eastAsia="pl-PL"/>
                      </w:rPr>
                      <w:t>.2024</w:t>
                    </w:r>
                    <w:r w:rsidR="00E14EFF" w:rsidRPr="00392074">
                      <w:rPr>
                        <w:rFonts w:ascii="Fira Sans SemiBold" w:eastAsiaTheme="minorEastAsia" w:hAnsi="Fira Sans SemiBold" w:cs="Fira Sans SemiBold"/>
                        <w:color w:val="000080"/>
                        <w:sz w:val="20"/>
                        <w:szCs w:val="20"/>
                        <w:lang w:eastAsia="pl-PL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6D81D3" wp14:editId="461A52F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61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B0A602" w14:textId="77777777" w:rsidR="00E14EFF" w:rsidRPr="000201D2" w:rsidRDefault="00E14EFF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</w:pPr>
                          <w:r w:rsidRPr="000201D2"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6D81D3" id="Schemat blokowy: opóźnienie 6" o:spid="_x0000_s1037" alt="Napis &quot;Informacje sygnalne&quot;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LrEAYAANc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tVGl&#10;AUn1zYqtbz9wxJnhZoome1twIS+JkB8IBwoggAMIpvI9fOQlg7sR7jq98tCG8a/3fa/kgSMJux7a&#10;Arlz6Ym/rwmnHip/r4E9meII2IRI6osoTgK44PbOyt6pr6vXDAACYxWi00slL8tumXNWfQYe6oXy&#10;ClukzsA3jG8Jg8VcvJZwDVvAZM3oxYVeAwMUUHpZf2yyjmbZQOafdp8Jb5BaLj0JJMt3rCOCHtiT&#10;gOqDrOpQzS6uJcsLRa3UyDR1bS+APaqh1DJdFT3VvtZSBz7u+T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+7Ui6xAG&#10;AADXKwAADgAAAAAAAAAAAAAAAAAuAgAAZHJzL2Uyb0RvYy54bWxQSwECLQAUAAYACAAAACEAME8M&#10;9d4AAAAKAQAADwAAAAAAAAAAAAAAAABqCAAAZHJzL2Rvd25yZXYueG1sUEsFBgAAAAAEAAQA8wAA&#10;AH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FB0A602" w14:textId="77777777" w:rsidR="00E14EFF" w:rsidRPr="000201D2" w:rsidRDefault="00E14EFF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  <w:sz w:val="19"/>
                        <w:szCs w:val="19"/>
                      </w:rPr>
                    </w:pPr>
                    <w:r w:rsidRPr="000201D2">
                      <w:rPr>
                        <w:rFonts w:ascii="Fira Sans SemiBold" w:hAnsi="Fira Sans SemiBold"/>
                        <w:sz w:val="19"/>
                        <w:szCs w:val="19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6E4258B3" w14:textId="77777777" w:rsidR="00E45948" w:rsidRDefault="00E4594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C7471" w14:textId="77777777" w:rsidR="00E14EFF" w:rsidRDefault="00E14EFF" w:rsidP="00106D6D">
    <w:pPr>
      <w:pStyle w:val="Nagwek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3EE78CB"/>
    <w:multiLevelType w:val="hybridMultilevel"/>
    <w:tmpl w:val="297CE606"/>
    <w:lvl w:ilvl="0" w:tplc="FA52CC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57919009">
    <w:abstractNumId w:val="1"/>
  </w:num>
  <w:num w:numId="2" w16cid:durableId="733236417">
    <w:abstractNumId w:val="0"/>
  </w:num>
  <w:num w:numId="3" w16cid:durableId="8326420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8E5"/>
    <w:rsid w:val="00000DA0"/>
    <w:rsid w:val="00001C5B"/>
    <w:rsid w:val="00002CD0"/>
    <w:rsid w:val="00003437"/>
    <w:rsid w:val="00004825"/>
    <w:rsid w:val="000057E5"/>
    <w:rsid w:val="00005CE7"/>
    <w:rsid w:val="000066AA"/>
    <w:rsid w:val="00006D8E"/>
    <w:rsid w:val="0000709F"/>
    <w:rsid w:val="000072A1"/>
    <w:rsid w:val="0000742A"/>
    <w:rsid w:val="00007D35"/>
    <w:rsid w:val="000108B8"/>
    <w:rsid w:val="000108D5"/>
    <w:rsid w:val="00010CE8"/>
    <w:rsid w:val="00010DE9"/>
    <w:rsid w:val="00011075"/>
    <w:rsid w:val="00011A11"/>
    <w:rsid w:val="00011C7D"/>
    <w:rsid w:val="00015053"/>
    <w:rsid w:val="000152F5"/>
    <w:rsid w:val="0001690E"/>
    <w:rsid w:val="00016D37"/>
    <w:rsid w:val="00017D23"/>
    <w:rsid w:val="000201D2"/>
    <w:rsid w:val="000207D0"/>
    <w:rsid w:val="00021619"/>
    <w:rsid w:val="00021D5F"/>
    <w:rsid w:val="00022730"/>
    <w:rsid w:val="00022ABD"/>
    <w:rsid w:val="000239A1"/>
    <w:rsid w:val="0002530B"/>
    <w:rsid w:val="000259F3"/>
    <w:rsid w:val="00026D09"/>
    <w:rsid w:val="00027359"/>
    <w:rsid w:val="000277F3"/>
    <w:rsid w:val="00027A7D"/>
    <w:rsid w:val="00030EB1"/>
    <w:rsid w:val="000321C9"/>
    <w:rsid w:val="000323DB"/>
    <w:rsid w:val="00032432"/>
    <w:rsid w:val="00033353"/>
    <w:rsid w:val="00033B5D"/>
    <w:rsid w:val="00034B19"/>
    <w:rsid w:val="000366E9"/>
    <w:rsid w:val="00036D9A"/>
    <w:rsid w:val="00040C90"/>
    <w:rsid w:val="00041BB2"/>
    <w:rsid w:val="00043AA8"/>
    <w:rsid w:val="000443F9"/>
    <w:rsid w:val="000444E6"/>
    <w:rsid w:val="00045569"/>
    <w:rsid w:val="0004582E"/>
    <w:rsid w:val="0004594F"/>
    <w:rsid w:val="00046699"/>
    <w:rsid w:val="000472E6"/>
    <w:rsid w:val="00047F8D"/>
    <w:rsid w:val="00051244"/>
    <w:rsid w:val="00051931"/>
    <w:rsid w:val="00051981"/>
    <w:rsid w:val="00052861"/>
    <w:rsid w:val="00052A2C"/>
    <w:rsid w:val="00052BBA"/>
    <w:rsid w:val="000534A5"/>
    <w:rsid w:val="000544C9"/>
    <w:rsid w:val="00056277"/>
    <w:rsid w:val="000564BC"/>
    <w:rsid w:val="0005714F"/>
    <w:rsid w:val="0005758E"/>
    <w:rsid w:val="00057B5C"/>
    <w:rsid w:val="00057BCF"/>
    <w:rsid w:val="00057CA1"/>
    <w:rsid w:val="00060C40"/>
    <w:rsid w:val="00060C4D"/>
    <w:rsid w:val="00061350"/>
    <w:rsid w:val="00061635"/>
    <w:rsid w:val="00062C3F"/>
    <w:rsid w:val="00063AFD"/>
    <w:rsid w:val="00064D21"/>
    <w:rsid w:val="000656B1"/>
    <w:rsid w:val="000662E2"/>
    <w:rsid w:val="00066883"/>
    <w:rsid w:val="00070069"/>
    <w:rsid w:val="00071612"/>
    <w:rsid w:val="00071636"/>
    <w:rsid w:val="00071C5B"/>
    <w:rsid w:val="00072583"/>
    <w:rsid w:val="00072A38"/>
    <w:rsid w:val="0007385C"/>
    <w:rsid w:val="00074600"/>
    <w:rsid w:val="00074AAE"/>
    <w:rsid w:val="00074EF0"/>
    <w:rsid w:val="00075359"/>
    <w:rsid w:val="00075563"/>
    <w:rsid w:val="00076913"/>
    <w:rsid w:val="00076C1A"/>
    <w:rsid w:val="00076EB8"/>
    <w:rsid w:val="0008045F"/>
    <w:rsid w:val="000806F7"/>
    <w:rsid w:val="00081471"/>
    <w:rsid w:val="00083125"/>
    <w:rsid w:val="000834E9"/>
    <w:rsid w:val="00087473"/>
    <w:rsid w:val="00090A07"/>
    <w:rsid w:val="00090DEE"/>
    <w:rsid w:val="00090EF0"/>
    <w:rsid w:val="0009276C"/>
    <w:rsid w:val="00092A9F"/>
    <w:rsid w:val="000934FB"/>
    <w:rsid w:val="0009359E"/>
    <w:rsid w:val="0009439B"/>
    <w:rsid w:val="0009541F"/>
    <w:rsid w:val="00096BB4"/>
    <w:rsid w:val="00097476"/>
    <w:rsid w:val="00097D87"/>
    <w:rsid w:val="00097D95"/>
    <w:rsid w:val="00097FF4"/>
    <w:rsid w:val="000A00C6"/>
    <w:rsid w:val="000A0C17"/>
    <w:rsid w:val="000A257F"/>
    <w:rsid w:val="000A3489"/>
    <w:rsid w:val="000A388D"/>
    <w:rsid w:val="000A3B1F"/>
    <w:rsid w:val="000A3ECC"/>
    <w:rsid w:val="000A46CA"/>
    <w:rsid w:val="000A4B95"/>
    <w:rsid w:val="000A5463"/>
    <w:rsid w:val="000A5E67"/>
    <w:rsid w:val="000A5E8B"/>
    <w:rsid w:val="000A6194"/>
    <w:rsid w:val="000A6754"/>
    <w:rsid w:val="000A7811"/>
    <w:rsid w:val="000B02FD"/>
    <w:rsid w:val="000B0727"/>
    <w:rsid w:val="000B12CB"/>
    <w:rsid w:val="000B1421"/>
    <w:rsid w:val="000B2FEA"/>
    <w:rsid w:val="000B373B"/>
    <w:rsid w:val="000B4470"/>
    <w:rsid w:val="000B5553"/>
    <w:rsid w:val="000B6929"/>
    <w:rsid w:val="000C0392"/>
    <w:rsid w:val="000C0479"/>
    <w:rsid w:val="000C135D"/>
    <w:rsid w:val="000C1F8B"/>
    <w:rsid w:val="000C2B9D"/>
    <w:rsid w:val="000C362F"/>
    <w:rsid w:val="000C411C"/>
    <w:rsid w:val="000C4534"/>
    <w:rsid w:val="000C596E"/>
    <w:rsid w:val="000C5E81"/>
    <w:rsid w:val="000C5ECF"/>
    <w:rsid w:val="000C6CC4"/>
    <w:rsid w:val="000C7BAA"/>
    <w:rsid w:val="000D08EB"/>
    <w:rsid w:val="000D1D43"/>
    <w:rsid w:val="000D225C"/>
    <w:rsid w:val="000D3624"/>
    <w:rsid w:val="000D4DE5"/>
    <w:rsid w:val="000D51F5"/>
    <w:rsid w:val="000D6482"/>
    <w:rsid w:val="000D71FB"/>
    <w:rsid w:val="000D72BC"/>
    <w:rsid w:val="000D743F"/>
    <w:rsid w:val="000D7E3C"/>
    <w:rsid w:val="000D7E90"/>
    <w:rsid w:val="000E0052"/>
    <w:rsid w:val="000E0315"/>
    <w:rsid w:val="000E0918"/>
    <w:rsid w:val="000E1B71"/>
    <w:rsid w:val="000E1DEF"/>
    <w:rsid w:val="000E27EF"/>
    <w:rsid w:val="000E2E85"/>
    <w:rsid w:val="000E3DA6"/>
    <w:rsid w:val="000E724D"/>
    <w:rsid w:val="000E747C"/>
    <w:rsid w:val="000E77DD"/>
    <w:rsid w:val="000E7ED0"/>
    <w:rsid w:val="000F025E"/>
    <w:rsid w:val="000F03E5"/>
    <w:rsid w:val="000F074D"/>
    <w:rsid w:val="000F13F5"/>
    <w:rsid w:val="000F24CD"/>
    <w:rsid w:val="000F2613"/>
    <w:rsid w:val="000F2757"/>
    <w:rsid w:val="000F2902"/>
    <w:rsid w:val="000F2904"/>
    <w:rsid w:val="000F3461"/>
    <w:rsid w:val="000F3662"/>
    <w:rsid w:val="000F42CD"/>
    <w:rsid w:val="000F4581"/>
    <w:rsid w:val="000F55B1"/>
    <w:rsid w:val="001005D5"/>
    <w:rsid w:val="00100BB7"/>
    <w:rsid w:val="00100DBC"/>
    <w:rsid w:val="001011C3"/>
    <w:rsid w:val="00101BB6"/>
    <w:rsid w:val="001027F5"/>
    <w:rsid w:val="00103966"/>
    <w:rsid w:val="00104663"/>
    <w:rsid w:val="00105B28"/>
    <w:rsid w:val="001067BA"/>
    <w:rsid w:val="001069BB"/>
    <w:rsid w:val="00106A01"/>
    <w:rsid w:val="00106D6D"/>
    <w:rsid w:val="00107915"/>
    <w:rsid w:val="00110D87"/>
    <w:rsid w:val="00110DEB"/>
    <w:rsid w:val="00110F99"/>
    <w:rsid w:val="00111CDB"/>
    <w:rsid w:val="00111D88"/>
    <w:rsid w:val="00112041"/>
    <w:rsid w:val="001123E0"/>
    <w:rsid w:val="00112B83"/>
    <w:rsid w:val="00112E06"/>
    <w:rsid w:val="00112E88"/>
    <w:rsid w:val="00114ADF"/>
    <w:rsid w:val="00114D3F"/>
    <w:rsid w:val="00114DB9"/>
    <w:rsid w:val="00114E77"/>
    <w:rsid w:val="00114F89"/>
    <w:rsid w:val="0011518C"/>
    <w:rsid w:val="00116087"/>
    <w:rsid w:val="00116F15"/>
    <w:rsid w:val="001178EE"/>
    <w:rsid w:val="00117F9F"/>
    <w:rsid w:val="001203AA"/>
    <w:rsid w:val="0012124A"/>
    <w:rsid w:val="00121976"/>
    <w:rsid w:val="00123319"/>
    <w:rsid w:val="001244A5"/>
    <w:rsid w:val="00124665"/>
    <w:rsid w:val="00124C9D"/>
    <w:rsid w:val="001250AF"/>
    <w:rsid w:val="001259F0"/>
    <w:rsid w:val="00125ECF"/>
    <w:rsid w:val="0012746E"/>
    <w:rsid w:val="0012798D"/>
    <w:rsid w:val="00130296"/>
    <w:rsid w:val="00130519"/>
    <w:rsid w:val="00130C99"/>
    <w:rsid w:val="0013126B"/>
    <w:rsid w:val="001327F1"/>
    <w:rsid w:val="00132BDF"/>
    <w:rsid w:val="0013311A"/>
    <w:rsid w:val="00133B51"/>
    <w:rsid w:val="00134852"/>
    <w:rsid w:val="00134F39"/>
    <w:rsid w:val="00134F51"/>
    <w:rsid w:val="00136557"/>
    <w:rsid w:val="00137568"/>
    <w:rsid w:val="00137929"/>
    <w:rsid w:val="001423B6"/>
    <w:rsid w:val="001423DA"/>
    <w:rsid w:val="0014293E"/>
    <w:rsid w:val="0014307A"/>
    <w:rsid w:val="001448A7"/>
    <w:rsid w:val="00144E19"/>
    <w:rsid w:val="00144EC0"/>
    <w:rsid w:val="0014508D"/>
    <w:rsid w:val="00145C03"/>
    <w:rsid w:val="00146621"/>
    <w:rsid w:val="00146677"/>
    <w:rsid w:val="001475FF"/>
    <w:rsid w:val="001479AC"/>
    <w:rsid w:val="0015004F"/>
    <w:rsid w:val="00150BC6"/>
    <w:rsid w:val="00151172"/>
    <w:rsid w:val="00151FAD"/>
    <w:rsid w:val="00152011"/>
    <w:rsid w:val="001523FD"/>
    <w:rsid w:val="001531BB"/>
    <w:rsid w:val="00153768"/>
    <w:rsid w:val="00153917"/>
    <w:rsid w:val="00153AB1"/>
    <w:rsid w:val="00153ABA"/>
    <w:rsid w:val="0015435A"/>
    <w:rsid w:val="001557B1"/>
    <w:rsid w:val="00155A33"/>
    <w:rsid w:val="00155B87"/>
    <w:rsid w:val="00155E45"/>
    <w:rsid w:val="00162325"/>
    <w:rsid w:val="00162486"/>
    <w:rsid w:val="00162D31"/>
    <w:rsid w:val="00163E39"/>
    <w:rsid w:val="0016439D"/>
    <w:rsid w:val="0016451D"/>
    <w:rsid w:val="001645F9"/>
    <w:rsid w:val="00164A2E"/>
    <w:rsid w:val="00165E66"/>
    <w:rsid w:val="00166FEA"/>
    <w:rsid w:val="001673EF"/>
    <w:rsid w:val="0016745A"/>
    <w:rsid w:val="00167AC7"/>
    <w:rsid w:val="00167C56"/>
    <w:rsid w:val="001701A7"/>
    <w:rsid w:val="00170980"/>
    <w:rsid w:val="00170BD8"/>
    <w:rsid w:val="00171293"/>
    <w:rsid w:val="00171A1E"/>
    <w:rsid w:val="00172888"/>
    <w:rsid w:val="00172A0C"/>
    <w:rsid w:val="00172E2E"/>
    <w:rsid w:val="00173452"/>
    <w:rsid w:val="00173D43"/>
    <w:rsid w:val="00173D48"/>
    <w:rsid w:val="00174773"/>
    <w:rsid w:val="00174BCC"/>
    <w:rsid w:val="00174C8D"/>
    <w:rsid w:val="001757F2"/>
    <w:rsid w:val="00175A81"/>
    <w:rsid w:val="001762A6"/>
    <w:rsid w:val="00177F83"/>
    <w:rsid w:val="0018029F"/>
    <w:rsid w:val="00180F24"/>
    <w:rsid w:val="001817F8"/>
    <w:rsid w:val="00183C21"/>
    <w:rsid w:val="001852A3"/>
    <w:rsid w:val="001866DD"/>
    <w:rsid w:val="00186B0A"/>
    <w:rsid w:val="0018748E"/>
    <w:rsid w:val="00187851"/>
    <w:rsid w:val="00187A01"/>
    <w:rsid w:val="00187EC6"/>
    <w:rsid w:val="00190482"/>
    <w:rsid w:val="00191750"/>
    <w:rsid w:val="00191C12"/>
    <w:rsid w:val="00192197"/>
    <w:rsid w:val="0019293D"/>
    <w:rsid w:val="001931B0"/>
    <w:rsid w:val="00193BDE"/>
    <w:rsid w:val="001940B0"/>
    <w:rsid w:val="001942CB"/>
    <w:rsid w:val="00194A77"/>
    <w:rsid w:val="001951DA"/>
    <w:rsid w:val="001971C5"/>
    <w:rsid w:val="001974CD"/>
    <w:rsid w:val="001A06C4"/>
    <w:rsid w:val="001A0DC9"/>
    <w:rsid w:val="001A160B"/>
    <w:rsid w:val="001A1B86"/>
    <w:rsid w:val="001A1D09"/>
    <w:rsid w:val="001A2895"/>
    <w:rsid w:val="001A317E"/>
    <w:rsid w:val="001A42E2"/>
    <w:rsid w:val="001A6A2E"/>
    <w:rsid w:val="001A784D"/>
    <w:rsid w:val="001B066E"/>
    <w:rsid w:val="001B1E1C"/>
    <w:rsid w:val="001B2015"/>
    <w:rsid w:val="001B24E0"/>
    <w:rsid w:val="001B286E"/>
    <w:rsid w:val="001B2EB6"/>
    <w:rsid w:val="001B3AB2"/>
    <w:rsid w:val="001B48F9"/>
    <w:rsid w:val="001B4B41"/>
    <w:rsid w:val="001B56B5"/>
    <w:rsid w:val="001B64F3"/>
    <w:rsid w:val="001C015C"/>
    <w:rsid w:val="001C10C8"/>
    <w:rsid w:val="001C223E"/>
    <w:rsid w:val="001C2AD8"/>
    <w:rsid w:val="001C2E1C"/>
    <w:rsid w:val="001C3269"/>
    <w:rsid w:val="001C3468"/>
    <w:rsid w:val="001C3882"/>
    <w:rsid w:val="001C42BE"/>
    <w:rsid w:val="001C5CA0"/>
    <w:rsid w:val="001C7397"/>
    <w:rsid w:val="001C7E20"/>
    <w:rsid w:val="001D1305"/>
    <w:rsid w:val="001D1B00"/>
    <w:rsid w:val="001D1DB4"/>
    <w:rsid w:val="001D310B"/>
    <w:rsid w:val="001D4C50"/>
    <w:rsid w:val="001D5205"/>
    <w:rsid w:val="001D5261"/>
    <w:rsid w:val="001D5433"/>
    <w:rsid w:val="001D5E3D"/>
    <w:rsid w:val="001D65E3"/>
    <w:rsid w:val="001D68AC"/>
    <w:rsid w:val="001E14AC"/>
    <w:rsid w:val="001E155C"/>
    <w:rsid w:val="001E178B"/>
    <w:rsid w:val="001E3E29"/>
    <w:rsid w:val="001E3F7F"/>
    <w:rsid w:val="001E4FEB"/>
    <w:rsid w:val="001E5D72"/>
    <w:rsid w:val="001E668B"/>
    <w:rsid w:val="001E6BB9"/>
    <w:rsid w:val="001E6E75"/>
    <w:rsid w:val="001E7232"/>
    <w:rsid w:val="001E7909"/>
    <w:rsid w:val="001F0562"/>
    <w:rsid w:val="001F0737"/>
    <w:rsid w:val="001F0E57"/>
    <w:rsid w:val="001F0E73"/>
    <w:rsid w:val="001F135A"/>
    <w:rsid w:val="001F1393"/>
    <w:rsid w:val="001F1BE1"/>
    <w:rsid w:val="001F1D7A"/>
    <w:rsid w:val="001F2F57"/>
    <w:rsid w:val="001F33D0"/>
    <w:rsid w:val="001F347B"/>
    <w:rsid w:val="001F3BF9"/>
    <w:rsid w:val="001F3E25"/>
    <w:rsid w:val="001F44CC"/>
    <w:rsid w:val="001F5BB3"/>
    <w:rsid w:val="001F6AA4"/>
    <w:rsid w:val="00200529"/>
    <w:rsid w:val="00200C33"/>
    <w:rsid w:val="00204467"/>
    <w:rsid w:val="002053BC"/>
    <w:rsid w:val="00205BC2"/>
    <w:rsid w:val="002068A4"/>
    <w:rsid w:val="00207ED8"/>
    <w:rsid w:val="002105E1"/>
    <w:rsid w:val="00210632"/>
    <w:rsid w:val="002112C0"/>
    <w:rsid w:val="00211B1D"/>
    <w:rsid w:val="002121A3"/>
    <w:rsid w:val="002124DB"/>
    <w:rsid w:val="002130E1"/>
    <w:rsid w:val="00213F4E"/>
    <w:rsid w:val="002140F5"/>
    <w:rsid w:val="00214581"/>
    <w:rsid w:val="00216024"/>
    <w:rsid w:val="00216388"/>
    <w:rsid w:val="00216397"/>
    <w:rsid w:val="002164D1"/>
    <w:rsid w:val="002213DC"/>
    <w:rsid w:val="002216DD"/>
    <w:rsid w:val="00221E29"/>
    <w:rsid w:val="00222797"/>
    <w:rsid w:val="00223D5A"/>
    <w:rsid w:val="00224302"/>
    <w:rsid w:val="002248CD"/>
    <w:rsid w:val="00224BF7"/>
    <w:rsid w:val="00224FBD"/>
    <w:rsid w:val="0022695C"/>
    <w:rsid w:val="00226D7A"/>
    <w:rsid w:val="00227AA4"/>
    <w:rsid w:val="00227B18"/>
    <w:rsid w:val="00230A60"/>
    <w:rsid w:val="00231301"/>
    <w:rsid w:val="002317C9"/>
    <w:rsid w:val="0023186B"/>
    <w:rsid w:val="00231AF4"/>
    <w:rsid w:val="00232255"/>
    <w:rsid w:val="00233883"/>
    <w:rsid w:val="00236316"/>
    <w:rsid w:val="00236553"/>
    <w:rsid w:val="00236586"/>
    <w:rsid w:val="00236D7C"/>
    <w:rsid w:val="00236E6D"/>
    <w:rsid w:val="00237257"/>
    <w:rsid w:val="0023792A"/>
    <w:rsid w:val="00237D17"/>
    <w:rsid w:val="00240F98"/>
    <w:rsid w:val="00241A1A"/>
    <w:rsid w:val="00241D11"/>
    <w:rsid w:val="00241ECD"/>
    <w:rsid w:val="0024359D"/>
    <w:rsid w:val="002449D7"/>
    <w:rsid w:val="00244E38"/>
    <w:rsid w:val="0024604E"/>
    <w:rsid w:val="002476AC"/>
    <w:rsid w:val="002477A4"/>
    <w:rsid w:val="00247C30"/>
    <w:rsid w:val="00247DC5"/>
    <w:rsid w:val="00250299"/>
    <w:rsid w:val="002514D2"/>
    <w:rsid w:val="002518BC"/>
    <w:rsid w:val="0025250A"/>
    <w:rsid w:val="00252628"/>
    <w:rsid w:val="00252B05"/>
    <w:rsid w:val="0025316F"/>
    <w:rsid w:val="0025362D"/>
    <w:rsid w:val="00253E18"/>
    <w:rsid w:val="00255670"/>
    <w:rsid w:val="002574F9"/>
    <w:rsid w:val="00260240"/>
    <w:rsid w:val="00262306"/>
    <w:rsid w:val="0026306F"/>
    <w:rsid w:val="0026325D"/>
    <w:rsid w:val="00263742"/>
    <w:rsid w:val="00265D79"/>
    <w:rsid w:val="00266A16"/>
    <w:rsid w:val="00266F19"/>
    <w:rsid w:val="00266F8B"/>
    <w:rsid w:val="002676BE"/>
    <w:rsid w:val="0027088D"/>
    <w:rsid w:val="00271DB2"/>
    <w:rsid w:val="00273168"/>
    <w:rsid w:val="00273293"/>
    <w:rsid w:val="0027339B"/>
    <w:rsid w:val="002734DE"/>
    <w:rsid w:val="00273F7D"/>
    <w:rsid w:val="00275D41"/>
    <w:rsid w:val="0027623D"/>
    <w:rsid w:val="00276811"/>
    <w:rsid w:val="002768C6"/>
    <w:rsid w:val="0027692E"/>
    <w:rsid w:val="00276993"/>
    <w:rsid w:val="00277047"/>
    <w:rsid w:val="0027719C"/>
    <w:rsid w:val="00277ADD"/>
    <w:rsid w:val="002810A2"/>
    <w:rsid w:val="00281218"/>
    <w:rsid w:val="00281BC2"/>
    <w:rsid w:val="00282699"/>
    <w:rsid w:val="00282DCD"/>
    <w:rsid w:val="00283A8A"/>
    <w:rsid w:val="00283D06"/>
    <w:rsid w:val="00283E75"/>
    <w:rsid w:val="00284A6F"/>
    <w:rsid w:val="00287290"/>
    <w:rsid w:val="00287F1F"/>
    <w:rsid w:val="00290346"/>
    <w:rsid w:val="002914A7"/>
    <w:rsid w:val="002914E4"/>
    <w:rsid w:val="00291EB1"/>
    <w:rsid w:val="0029253E"/>
    <w:rsid w:val="002926DF"/>
    <w:rsid w:val="00293563"/>
    <w:rsid w:val="00293A75"/>
    <w:rsid w:val="002946A4"/>
    <w:rsid w:val="0029470F"/>
    <w:rsid w:val="00295492"/>
    <w:rsid w:val="00295B9B"/>
    <w:rsid w:val="00296697"/>
    <w:rsid w:val="00297190"/>
    <w:rsid w:val="002A08DD"/>
    <w:rsid w:val="002A39B1"/>
    <w:rsid w:val="002A3C8F"/>
    <w:rsid w:val="002A486C"/>
    <w:rsid w:val="002A5E7C"/>
    <w:rsid w:val="002A71A0"/>
    <w:rsid w:val="002A7546"/>
    <w:rsid w:val="002B02E1"/>
    <w:rsid w:val="002B0472"/>
    <w:rsid w:val="002B0FF3"/>
    <w:rsid w:val="002B104E"/>
    <w:rsid w:val="002B1A65"/>
    <w:rsid w:val="002B1FAC"/>
    <w:rsid w:val="002B3566"/>
    <w:rsid w:val="002B3BC7"/>
    <w:rsid w:val="002B3EC3"/>
    <w:rsid w:val="002B5972"/>
    <w:rsid w:val="002B5DD2"/>
    <w:rsid w:val="002B6259"/>
    <w:rsid w:val="002B6B12"/>
    <w:rsid w:val="002B756E"/>
    <w:rsid w:val="002B7DA0"/>
    <w:rsid w:val="002C01DB"/>
    <w:rsid w:val="002C1672"/>
    <w:rsid w:val="002C22D7"/>
    <w:rsid w:val="002C2FBF"/>
    <w:rsid w:val="002C39DC"/>
    <w:rsid w:val="002C3BAF"/>
    <w:rsid w:val="002C3C87"/>
    <w:rsid w:val="002C420B"/>
    <w:rsid w:val="002C4A43"/>
    <w:rsid w:val="002C4FF0"/>
    <w:rsid w:val="002C573D"/>
    <w:rsid w:val="002C6501"/>
    <w:rsid w:val="002C6D90"/>
    <w:rsid w:val="002C7B39"/>
    <w:rsid w:val="002D0554"/>
    <w:rsid w:val="002D0779"/>
    <w:rsid w:val="002D20A4"/>
    <w:rsid w:val="002D22C9"/>
    <w:rsid w:val="002D2459"/>
    <w:rsid w:val="002D2D76"/>
    <w:rsid w:val="002D3F81"/>
    <w:rsid w:val="002D4278"/>
    <w:rsid w:val="002D436D"/>
    <w:rsid w:val="002D492A"/>
    <w:rsid w:val="002D4BB9"/>
    <w:rsid w:val="002D5776"/>
    <w:rsid w:val="002D58BA"/>
    <w:rsid w:val="002D5A7F"/>
    <w:rsid w:val="002D5D3A"/>
    <w:rsid w:val="002D6F2E"/>
    <w:rsid w:val="002D7C90"/>
    <w:rsid w:val="002D7C97"/>
    <w:rsid w:val="002D7CA2"/>
    <w:rsid w:val="002E198E"/>
    <w:rsid w:val="002E1D54"/>
    <w:rsid w:val="002E2458"/>
    <w:rsid w:val="002E3019"/>
    <w:rsid w:val="002E5495"/>
    <w:rsid w:val="002E6068"/>
    <w:rsid w:val="002E6140"/>
    <w:rsid w:val="002E6985"/>
    <w:rsid w:val="002E6D45"/>
    <w:rsid w:val="002E71B6"/>
    <w:rsid w:val="002E77FB"/>
    <w:rsid w:val="002E7990"/>
    <w:rsid w:val="002F109A"/>
    <w:rsid w:val="002F10D7"/>
    <w:rsid w:val="002F14FA"/>
    <w:rsid w:val="002F2B58"/>
    <w:rsid w:val="002F2C2E"/>
    <w:rsid w:val="002F2CD6"/>
    <w:rsid w:val="002F4D66"/>
    <w:rsid w:val="002F4E60"/>
    <w:rsid w:val="002F4F01"/>
    <w:rsid w:val="002F685E"/>
    <w:rsid w:val="002F77C8"/>
    <w:rsid w:val="00300CE5"/>
    <w:rsid w:val="00300CF4"/>
    <w:rsid w:val="00301633"/>
    <w:rsid w:val="0030263A"/>
    <w:rsid w:val="00303D35"/>
    <w:rsid w:val="00303E34"/>
    <w:rsid w:val="003041CB"/>
    <w:rsid w:val="00304F22"/>
    <w:rsid w:val="00305BCC"/>
    <w:rsid w:val="00305CAD"/>
    <w:rsid w:val="0030652F"/>
    <w:rsid w:val="003065C9"/>
    <w:rsid w:val="00306C7C"/>
    <w:rsid w:val="00310C8E"/>
    <w:rsid w:val="00311059"/>
    <w:rsid w:val="003113E1"/>
    <w:rsid w:val="00311CE9"/>
    <w:rsid w:val="00313722"/>
    <w:rsid w:val="00313ACB"/>
    <w:rsid w:val="00313AD5"/>
    <w:rsid w:val="00314148"/>
    <w:rsid w:val="00315067"/>
    <w:rsid w:val="00315142"/>
    <w:rsid w:val="003151BF"/>
    <w:rsid w:val="003156B1"/>
    <w:rsid w:val="003165A3"/>
    <w:rsid w:val="003166A4"/>
    <w:rsid w:val="00316B47"/>
    <w:rsid w:val="0032058B"/>
    <w:rsid w:val="00321488"/>
    <w:rsid w:val="00321A79"/>
    <w:rsid w:val="0032208A"/>
    <w:rsid w:val="003222AC"/>
    <w:rsid w:val="00322D35"/>
    <w:rsid w:val="00322EDD"/>
    <w:rsid w:val="00323111"/>
    <w:rsid w:val="0032388D"/>
    <w:rsid w:val="003238AD"/>
    <w:rsid w:val="003239A4"/>
    <w:rsid w:val="00323EF1"/>
    <w:rsid w:val="00326351"/>
    <w:rsid w:val="0033055D"/>
    <w:rsid w:val="00330949"/>
    <w:rsid w:val="003313BA"/>
    <w:rsid w:val="00332320"/>
    <w:rsid w:val="00333612"/>
    <w:rsid w:val="003337DC"/>
    <w:rsid w:val="00333992"/>
    <w:rsid w:val="00334BE9"/>
    <w:rsid w:val="00335366"/>
    <w:rsid w:val="00335E02"/>
    <w:rsid w:val="00336804"/>
    <w:rsid w:val="00336DB9"/>
    <w:rsid w:val="00337091"/>
    <w:rsid w:val="0034052C"/>
    <w:rsid w:val="003407E4"/>
    <w:rsid w:val="00341996"/>
    <w:rsid w:val="003419F3"/>
    <w:rsid w:val="0034561C"/>
    <w:rsid w:val="0034619C"/>
    <w:rsid w:val="00346794"/>
    <w:rsid w:val="00346D76"/>
    <w:rsid w:val="0034734A"/>
    <w:rsid w:val="00347A0E"/>
    <w:rsid w:val="00347D72"/>
    <w:rsid w:val="003500C3"/>
    <w:rsid w:val="003501BC"/>
    <w:rsid w:val="00350520"/>
    <w:rsid w:val="00350561"/>
    <w:rsid w:val="00351097"/>
    <w:rsid w:val="00352DFD"/>
    <w:rsid w:val="003538AF"/>
    <w:rsid w:val="00354A53"/>
    <w:rsid w:val="00354FA6"/>
    <w:rsid w:val="00355631"/>
    <w:rsid w:val="00356B8E"/>
    <w:rsid w:val="00357F62"/>
    <w:rsid w:val="0036049A"/>
    <w:rsid w:val="0036165F"/>
    <w:rsid w:val="00361BEA"/>
    <w:rsid w:val="00362A7C"/>
    <w:rsid w:val="0036304B"/>
    <w:rsid w:val="00363E95"/>
    <w:rsid w:val="0036425F"/>
    <w:rsid w:val="00364AD4"/>
    <w:rsid w:val="00365A7C"/>
    <w:rsid w:val="00365F62"/>
    <w:rsid w:val="0036698B"/>
    <w:rsid w:val="00367237"/>
    <w:rsid w:val="0036763D"/>
    <w:rsid w:val="00367C61"/>
    <w:rsid w:val="003703DC"/>
    <w:rsid w:val="0037077F"/>
    <w:rsid w:val="00371234"/>
    <w:rsid w:val="0037141A"/>
    <w:rsid w:val="00371D1D"/>
    <w:rsid w:val="00373882"/>
    <w:rsid w:val="003740C7"/>
    <w:rsid w:val="00374A15"/>
    <w:rsid w:val="00374CAC"/>
    <w:rsid w:val="00374EC8"/>
    <w:rsid w:val="00375B4D"/>
    <w:rsid w:val="003823E5"/>
    <w:rsid w:val="003848F9"/>
    <w:rsid w:val="00384A68"/>
    <w:rsid w:val="003855E8"/>
    <w:rsid w:val="003858DA"/>
    <w:rsid w:val="003860FF"/>
    <w:rsid w:val="0038792C"/>
    <w:rsid w:val="003904F8"/>
    <w:rsid w:val="00391145"/>
    <w:rsid w:val="00391BE8"/>
    <w:rsid w:val="00391E93"/>
    <w:rsid w:val="00392074"/>
    <w:rsid w:val="003937DB"/>
    <w:rsid w:val="00393C8C"/>
    <w:rsid w:val="00393CB1"/>
    <w:rsid w:val="003945BD"/>
    <w:rsid w:val="00395702"/>
    <w:rsid w:val="003967C2"/>
    <w:rsid w:val="003972AF"/>
    <w:rsid w:val="0039759D"/>
    <w:rsid w:val="00397D18"/>
    <w:rsid w:val="003A0ABA"/>
    <w:rsid w:val="003A0E92"/>
    <w:rsid w:val="003A15A8"/>
    <w:rsid w:val="003A1B36"/>
    <w:rsid w:val="003A1EF7"/>
    <w:rsid w:val="003A2052"/>
    <w:rsid w:val="003A271E"/>
    <w:rsid w:val="003A2905"/>
    <w:rsid w:val="003A2DFB"/>
    <w:rsid w:val="003A311C"/>
    <w:rsid w:val="003A3943"/>
    <w:rsid w:val="003A42AD"/>
    <w:rsid w:val="003A48C2"/>
    <w:rsid w:val="003A5036"/>
    <w:rsid w:val="003A67CE"/>
    <w:rsid w:val="003B16F5"/>
    <w:rsid w:val="003B1FED"/>
    <w:rsid w:val="003B2183"/>
    <w:rsid w:val="003B2B69"/>
    <w:rsid w:val="003B2C96"/>
    <w:rsid w:val="003B2FE4"/>
    <w:rsid w:val="003B30FD"/>
    <w:rsid w:val="003B580C"/>
    <w:rsid w:val="003B5B72"/>
    <w:rsid w:val="003B635A"/>
    <w:rsid w:val="003B64D0"/>
    <w:rsid w:val="003B6E59"/>
    <w:rsid w:val="003B6FDC"/>
    <w:rsid w:val="003B6FFA"/>
    <w:rsid w:val="003C0845"/>
    <w:rsid w:val="003C0978"/>
    <w:rsid w:val="003C09C0"/>
    <w:rsid w:val="003C15A2"/>
    <w:rsid w:val="003C196E"/>
    <w:rsid w:val="003C1DDE"/>
    <w:rsid w:val="003C2AFF"/>
    <w:rsid w:val="003C3C1A"/>
    <w:rsid w:val="003C4464"/>
    <w:rsid w:val="003C4528"/>
    <w:rsid w:val="003C5758"/>
    <w:rsid w:val="003C59E0"/>
    <w:rsid w:val="003C6AEF"/>
    <w:rsid w:val="003C6C8D"/>
    <w:rsid w:val="003C7247"/>
    <w:rsid w:val="003D05D4"/>
    <w:rsid w:val="003D0DE7"/>
    <w:rsid w:val="003D1B0C"/>
    <w:rsid w:val="003D27E4"/>
    <w:rsid w:val="003D2D75"/>
    <w:rsid w:val="003D2F16"/>
    <w:rsid w:val="003D3201"/>
    <w:rsid w:val="003D3E83"/>
    <w:rsid w:val="003D4BAB"/>
    <w:rsid w:val="003D4F95"/>
    <w:rsid w:val="003D509B"/>
    <w:rsid w:val="003D5EA6"/>
    <w:rsid w:val="003D5F42"/>
    <w:rsid w:val="003D60A9"/>
    <w:rsid w:val="003D6869"/>
    <w:rsid w:val="003D7387"/>
    <w:rsid w:val="003E10D7"/>
    <w:rsid w:val="003E1635"/>
    <w:rsid w:val="003E170B"/>
    <w:rsid w:val="003E1C87"/>
    <w:rsid w:val="003E1EC1"/>
    <w:rsid w:val="003E1FC9"/>
    <w:rsid w:val="003E21F4"/>
    <w:rsid w:val="003E26D7"/>
    <w:rsid w:val="003E402D"/>
    <w:rsid w:val="003E4C00"/>
    <w:rsid w:val="003E4F1E"/>
    <w:rsid w:val="003E764F"/>
    <w:rsid w:val="003E769F"/>
    <w:rsid w:val="003E781B"/>
    <w:rsid w:val="003E7FF7"/>
    <w:rsid w:val="003F102C"/>
    <w:rsid w:val="003F1DDF"/>
    <w:rsid w:val="003F1ED6"/>
    <w:rsid w:val="003F218D"/>
    <w:rsid w:val="003F2B54"/>
    <w:rsid w:val="003F3065"/>
    <w:rsid w:val="003F4C97"/>
    <w:rsid w:val="003F4DC8"/>
    <w:rsid w:val="003F56E4"/>
    <w:rsid w:val="003F5AB3"/>
    <w:rsid w:val="003F7FE6"/>
    <w:rsid w:val="004002B7"/>
    <w:rsid w:val="0040262C"/>
    <w:rsid w:val="00402B19"/>
    <w:rsid w:val="00403AD3"/>
    <w:rsid w:val="00403C6B"/>
    <w:rsid w:val="004040CC"/>
    <w:rsid w:val="0040435C"/>
    <w:rsid w:val="00404D25"/>
    <w:rsid w:val="00405699"/>
    <w:rsid w:val="00407254"/>
    <w:rsid w:val="00410B80"/>
    <w:rsid w:val="00410C2D"/>
    <w:rsid w:val="00411187"/>
    <w:rsid w:val="004118D1"/>
    <w:rsid w:val="00411D3B"/>
    <w:rsid w:val="0041238A"/>
    <w:rsid w:val="0041373E"/>
    <w:rsid w:val="0041394C"/>
    <w:rsid w:val="00413AE4"/>
    <w:rsid w:val="004148A9"/>
    <w:rsid w:val="00415097"/>
    <w:rsid w:val="004159FA"/>
    <w:rsid w:val="00415B06"/>
    <w:rsid w:val="00415C94"/>
    <w:rsid w:val="004204A2"/>
    <w:rsid w:val="00420588"/>
    <w:rsid w:val="00420628"/>
    <w:rsid w:val="0042262E"/>
    <w:rsid w:val="0042323E"/>
    <w:rsid w:val="004232C1"/>
    <w:rsid w:val="004238D0"/>
    <w:rsid w:val="00423D86"/>
    <w:rsid w:val="0042406F"/>
    <w:rsid w:val="0042446D"/>
    <w:rsid w:val="00425512"/>
    <w:rsid w:val="00425F6A"/>
    <w:rsid w:val="00426F8A"/>
    <w:rsid w:val="00427BF8"/>
    <w:rsid w:val="0043075E"/>
    <w:rsid w:val="0043126D"/>
    <w:rsid w:val="00431C02"/>
    <w:rsid w:val="004329F8"/>
    <w:rsid w:val="00432D54"/>
    <w:rsid w:val="00432D84"/>
    <w:rsid w:val="00432E3F"/>
    <w:rsid w:val="004335CF"/>
    <w:rsid w:val="00433A69"/>
    <w:rsid w:val="0043416E"/>
    <w:rsid w:val="004366B1"/>
    <w:rsid w:val="00436F11"/>
    <w:rsid w:val="00437395"/>
    <w:rsid w:val="00437734"/>
    <w:rsid w:val="0044037C"/>
    <w:rsid w:val="00441377"/>
    <w:rsid w:val="004449D9"/>
    <w:rsid w:val="00444B87"/>
    <w:rsid w:val="00445047"/>
    <w:rsid w:val="00445683"/>
    <w:rsid w:val="00445A7C"/>
    <w:rsid w:val="0044644A"/>
    <w:rsid w:val="00447798"/>
    <w:rsid w:val="00447C2F"/>
    <w:rsid w:val="004523B3"/>
    <w:rsid w:val="0045269C"/>
    <w:rsid w:val="00452A39"/>
    <w:rsid w:val="00452BBB"/>
    <w:rsid w:val="00453495"/>
    <w:rsid w:val="004541A0"/>
    <w:rsid w:val="00454346"/>
    <w:rsid w:val="004545FA"/>
    <w:rsid w:val="004546ED"/>
    <w:rsid w:val="00454A5C"/>
    <w:rsid w:val="0045517D"/>
    <w:rsid w:val="004553E8"/>
    <w:rsid w:val="00456CF9"/>
    <w:rsid w:val="00457611"/>
    <w:rsid w:val="00460C64"/>
    <w:rsid w:val="0046145E"/>
    <w:rsid w:val="004619FE"/>
    <w:rsid w:val="00461CA9"/>
    <w:rsid w:val="0046200B"/>
    <w:rsid w:val="00462235"/>
    <w:rsid w:val="00462D22"/>
    <w:rsid w:val="00463E39"/>
    <w:rsid w:val="00464F48"/>
    <w:rsid w:val="004657FC"/>
    <w:rsid w:val="00465DD4"/>
    <w:rsid w:val="004662CE"/>
    <w:rsid w:val="00466534"/>
    <w:rsid w:val="00466E49"/>
    <w:rsid w:val="00470A70"/>
    <w:rsid w:val="00471129"/>
    <w:rsid w:val="004714CB"/>
    <w:rsid w:val="004716D6"/>
    <w:rsid w:val="00471B7A"/>
    <w:rsid w:val="00472ED6"/>
    <w:rsid w:val="004733F6"/>
    <w:rsid w:val="00473463"/>
    <w:rsid w:val="00474408"/>
    <w:rsid w:val="0047464C"/>
    <w:rsid w:val="00474B44"/>
    <w:rsid w:val="00474E69"/>
    <w:rsid w:val="00477086"/>
    <w:rsid w:val="00480564"/>
    <w:rsid w:val="004823C7"/>
    <w:rsid w:val="00482BBE"/>
    <w:rsid w:val="00482E9C"/>
    <w:rsid w:val="00482FAD"/>
    <w:rsid w:val="00483989"/>
    <w:rsid w:val="0048414B"/>
    <w:rsid w:val="004845AA"/>
    <w:rsid w:val="004853D3"/>
    <w:rsid w:val="00485BEF"/>
    <w:rsid w:val="00485D23"/>
    <w:rsid w:val="00485DC2"/>
    <w:rsid w:val="00486DE1"/>
    <w:rsid w:val="00491909"/>
    <w:rsid w:val="004930E9"/>
    <w:rsid w:val="00493E8A"/>
    <w:rsid w:val="0049479A"/>
    <w:rsid w:val="004951F0"/>
    <w:rsid w:val="00495F83"/>
    <w:rsid w:val="0049618D"/>
    <w:rsid w:val="0049621B"/>
    <w:rsid w:val="0049731C"/>
    <w:rsid w:val="00497BEC"/>
    <w:rsid w:val="004A0ED6"/>
    <w:rsid w:val="004A4B9C"/>
    <w:rsid w:val="004A4DF7"/>
    <w:rsid w:val="004A50BE"/>
    <w:rsid w:val="004A569A"/>
    <w:rsid w:val="004A592F"/>
    <w:rsid w:val="004A6C60"/>
    <w:rsid w:val="004A6CA1"/>
    <w:rsid w:val="004A6CC2"/>
    <w:rsid w:val="004B059E"/>
    <w:rsid w:val="004B05D0"/>
    <w:rsid w:val="004B0752"/>
    <w:rsid w:val="004B1FEA"/>
    <w:rsid w:val="004B21A7"/>
    <w:rsid w:val="004B2534"/>
    <w:rsid w:val="004B35E0"/>
    <w:rsid w:val="004B3A8A"/>
    <w:rsid w:val="004B492B"/>
    <w:rsid w:val="004B5159"/>
    <w:rsid w:val="004B57CF"/>
    <w:rsid w:val="004B5B15"/>
    <w:rsid w:val="004B5B91"/>
    <w:rsid w:val="004B6A39"/>
    <w:rsid w:val="004B7384"/>
    <w:rsid w:val="004B7812"/>
    <w:rsid w:val="004C05D4"/>
    <w:rsid w:val="004C07B9"/>
    <w:rsid w:val="004C0840"/>
    <w:rsid w:val="004C0E8B"/>
    <w:rsid w:val="004C1895"/>
    <w:rsid w:val="004C21B2"/>
    <w:rsid w:val="004C2C80"/>
    <w:rsid w:val="004C2F30"/>
    <w:rsid w:val="004C329D"/>
    <w:rsid w:val="004C3E78"/>
    <w:rsid w:val="004C432F"/>
    <w:rsid w:val="004C4611"/>
    <w:rsid w:val="004C4859"/>
    <w:rsid w:val="004C4D15"/>
    <w:rsid w:val="004C5696"/>
    <w:rsid w:val="004C5A76"/>
    <w:rsid w:val="004C5EAA"/>
    <w:rsid w:val="004C5EFD"/>
    <w:rsid w:val="004C6C78"/>
    <w:rsid w:val="004C6D40"/>
    <w:rsid w:val="004C7599"/>
    <w:rsid w:val="004D036F"/>
    <w:rsid w:val="004D211A"/>
    <w:rsid w:val="004D2F26"/>
    <w:rsid w:val="004D303B"/>
    <w:rsid w:val="004D30A4"/>
    <w:rsid w:val="004D3634"/>
    <w:rsid w:val="004D450A"/>
    <w:rsid w:val="004D453A"/>
    <w:rsid w:val="004D4BCB"/>
    <w:rsid w:val="004D6C26"/>
    <w:rsid w:val="004E04F8"/>
    <w:rsid w:val="004E070B"/>
    <w:rsid w:val="004E1B1E"/>
    <w:rsid w:val="004E2A40"/>
    <w:rsid w:val="004E4195"/>
    <w:rsid w:val="004E6AB5"/>
    <w:rsid w:val="004E6C76"/>
    <w:rsid w:val="004E70CF"/>
    <w:rsid w:val="004E7601"/>
    <w:rsid w:val="004E7DEA"/>
    <w:rsid w:val="004F03D7"/>
    <w:rsid w:val="004F096D"/>
    <w:rsid w:val="004F0C3C"/>
    <w:rsid w:val="004F0D71"/>
    <w:rsid w:val="004F23CC"/>
    <w:rsid w:val="004F2AEE"/>
    <w:rsid w:val="004F38B2"/>
    <w:rsid w:val="004F3AEE"/>
    <w:rsid w:val="004F41C3"/>
    <w:rsid w:val="004F4AF2"/>
    <w:rsid w:val="004F4B2E"/>
    <w:rsid w:val="004F63FC"/>
    <w:rsid w:val="004F68CD"/>
    <w:rsid w:val="004F6A6E"/>
    <w:rsid w:val="00500147"/>
    <w:rsid w:val="00500367"/>
    <w:rsid w:val="0050144E"/>
    <w:rsid w:val="00501AE4"/>
    <w:rsid w:val="0050225F"/>
    <w:rsid w:val="00502BF4"/>
    <w:rsid w:val="005030CC"/>
    <w:rsid w:val="0050403D"/>
    <w:rsid w:val="0050579E"/>
    <w:rsid w:val="00505A92"/>
    <w:rsid w:val="00506E7F"/>
    <w:rsid w:val="00506FD7"/>
    <w:rsid w:val="005072AC"/>
    <w:rsid w:val="00507D32"/>
    <w:rsid w:val="005103BA"/>
    <w:rsid w:val="00511568"/>
    <w:rsid w:val="00512936"/>
    <w:rsid w:val="00514735"/>
    <w:rsid w:val="005151B9"/>
    <w:rsid w:val="005167C0"/>
    <w:rsid w:val="005203F1"/>
    <w:rsid w:val="0052092C"/>
    <w:rsid w:val="00520B52"/>
    <w:rsid w:val="0052132E"/>
    <w:rsid w:val="00521BC3"/>
    <w:rsid w:val="00521FD1"/>
    <w:rsid w:val="00522982"/>
    <w:rsid w:val="00526B0F"/>
    <w:rsid w:val="00527A4E"/>
    <w:rsid w:val="00530063"/>
    <w:rsid w:val="00530775"/>
    <w:rsid w:val="00530791"/>
    <w:rsid w:val="00530B2D"/>
    <w:rsid w:val="00531767"/>
    <w:rsid w:val="00532035"/>
    <w:rsid w:val="00532B4D"/>
    <w:rsid w:val="00533DED"/>
    <w:rsid w:val="00534D51"/>
    <w:rsid w:val="00535364"/>
    <w:rsid w:val="00535664"/>
    <w:rsid w:val="0053606D"/>
    <w:rsid w:val="005368EA"/>
    <w:rsid w:val="00541C9F"/>
    <w:rsid w:val="0054251F"/>
    <w:rsid w:val="00542AA3"/>
    <w:rsid w:val="00542E9F"/>
    <w:rsid w:val="0054306B"/>
    <w:rsid w:val="005436D8"/>
    <w:rsid w:val="005437A8"/>
    <w:rsid w:val="00543869"/>
    <w:rsid w:val="00545724"/>
    <w:rsid w:val="0054593C"/>
    <w:rsid w:val="00546045"/>
    <w:rsid w:val="00546255"/>
    <w:rsid w:val="005462FF"/>
    <w:rsid w:val="005471BB"/>
    <w:rsid w:val="00547318"/>
    <w:rsid w:val="00551389"/>
    <w:rsid w:val="005516BF"/>
    <w:rsid w:val="005520D8"/>
    <w:rsid w:val="00552243"/>
    <w:rsid w:val="00553383"/>
    <w:rsid w:val="0055415A"/>
    <w:rsid w:val="00554289"/>
    <w:rsid w:val="005545A0"/>
    <w:rsid w:val="00555170"/>
    <w:rsid w:val="00555C83"/>
    <w:rsid w:val="00556020"/>
    <w:rsid w:val="005561C0"/>
    <w:rsid w:val="00556CF1"/>
    <w:rsid w:val="005572D1"/>
    <w:rsid w:val="00557D23"/>
    <w:rsid w:val="00560300"/>
    <w:rsid w:val="00560493"/>
    <w:rsid w:val="005612BD"/>
    <w:rsid w:val="00561C5A"/>
    <w:rsid w:val="0056319D"/>
    <w:rsid w:val="00563DC2"/>
    <w:rsid w:val="005643FE"/>
    <w:rsid w:val="00564FCF"/>
    <w:rsid w:val="00565A3D"/>
    <w:rsid w:val="00566932"/>
    <w:rsid w:val="00570FD5"/>
    <w:rsid w:val="00571B3C"/>
    <w:rsid w:val="00571CAA"/>
    <w:rsid w:val="005720AE"/>
    <w:rsid w:val="005723B5"/>
    <w:rsid w:val="00572AB5"/>
    <w:rsid w:val="00573323"/>
    <w:rsid w:val="00574203"/>
    <w:rsid w:val="005742EB"/>
    <w:rsid w:val="00574EFA"/>
    <w:rsid w:val="005755F9"/>
    <w:rsid w:val="005762A7"/>
    <w:rsid w:val="00576D1F"/>
    <w:rsid w:val="005772AD"/>
    <w:rsid w:val="0057767A"/>
    <w:rsid w:val="00582408"/>
    <w:rsid w:val="005828BF"/>
    <w:rsid w:val="00582988"/>
    <w:rsid w:val="005849A0"/>
    <w:rsid w:val="0058585A"/>
    <w:rsid w:val="005859AA"/>
    <w:rsid w:val="005864BA"/>
    <w:rsid w:val="005870C1"/>
    <w:rsid w:val="00591004"/>
    <w:rsid w:val="005916D7"/>
    <w:rsid w:val="005921E4"/>
    <w:rsid w:val="00595236"/>
    <w:rsid w:val="0059550D"/>
    <w:rsid w:val="00595B51"/>
    <w:rsid w:val="00596563"/>
    <w:rsid w:val="005965BF"/>
    <w:rsid w:val="005973B7"/>
    <w:rsid w:val="00597CA5"/>
    <w:rsid w:val="005A1C1A"/>
    <w:rsid w:val="005A698C"/>
    <w:rsid w:val="005A6F50"/>
    <w:rsid w:val="005A7E7C"/>
    <w:rsid w:val="005B11DA"/>
    <w:rsid w:val="005B124C"/>
    <w:rsid w:val="005B2287"/>
    <w:rsid w:val="005B2433"/>
    <w:rsid w:val="005B2442"/>
    <w:rsid w:val="005B2E55"/>
    <w:rsid w:val="005B3CAD"/>
    <w:rsid w:val="005B42C4"/>
    <w:rsid w:val="005B44E2"/>
    <w:rsid w:val="005B5280"/>
    <w:rsid w:val="005B5787"/>
    <w:rsid w:val="005B5FAA"/>
    <w:rsid w:val="005B76C2"/>
    <w:rsid w:val="005C0BCC"/>
    <w:rsid w:val="005C1573"/>
    <w:rsid w:val="005C1DDD"/>
    <w:rsid w:val="005C2875"/>
    <w:rsid w:val="005C2972"/>
    <w:rsid w:val="005C2CF9"/>
    <w:rsid w:val="005C3970"/>
    <w:rsid w:val="005C49AE"/>
    <w:rsid w:val="005C4F00"/>
    <w:rsid w:val="005C57B2"/>
    <w:rsid w:val="005C5F96"/>
    <w:rsid w:val="005C7964"/>
    <w:rsid w:val="005C7EEF"/>
    <w:rsid w:val="005D021D"/>
    <w:rsid w:val="005D0578"/>
    <w:rsid w:val="005D0C0F"/>
    <w:rsid w:val="005D0E21"/>
    <w:rsid w:val="005D0E81"/>
    <w:rsid w:val="005D0FDE"/>
    <w:rsid w:val="005D1569"/>
    <w:rsid w:val="005D212C"/>
    <w:rsid w:val="005D3A46"/>
    <w:rsid w:val="005D3DD0"/>
    <w:rsid w:val="005D4217"/>
    <w:rsid w:val="005D46F8"/>
    <w:rsid w:val="005D47AF"/>
    <w:rsid w:val="005D77FB"/>
    <w:rsid w:val="005D7C1F"/>
    <w:rsid w:val="005E0068"/>
    <w:rsid w:val="005E0799"/>
    <w:rsid w:val="005E14A3"/>
    <w:rsid w:val="005E2CB6"/>
    <w:rsid w:val="005E47F5"/>
    <w:rsid w:val="005E4ABD"/>
    <w:rsid w:val="005E5E39"/>
    <w:rsid w:val="005E6129"/>
    <w:rsid w:val="005E6FB1"/>
    <w:rsid w:val="005F050E"/>
    <w:rsid w:val="005F0962"/>
    <w:rsid w:val="005F0C15"/>
    <w:rsid w:val="005F0DD0"/>
    <w:rsid w:val="005F1CBA"/>
    <w:rsid w:val="005F21A5"/>
    <w:rsid w:val="005F3E6C"/>
    <w:rsid w:val="005F4C91"/>
    <w:rsid w:val="005F4FE0"/>
    <w:rsid w:val="005F504D"/>
    <w:rsid w:val="005F5A80"/>
    <w:rsid w:val="005F61D6"/>
    <w:rsid w:val="005F6903"/>
    <w:rsid w:val="005F6DFA"/>
    <w:rsid w:val="005F7577"/>
    <w:rsid w:val="00600661"/>
    <w:rsid w:val="0060091A"/>
    <w:rsid w:val="00601033"/>
    <w:rsid w:val="006031BD"/>
    <w:rsid w:val="006044FF"/>
    <w:rsid w:val="00605F33"/>
    <w:rsid w:val="006062E1"/>
    <w:rsid w:val="00606660"/>
    <w:rsid w:val="00607CC5"/>
    <w:rsid w:val="00610108"/>
    <w:rsid w:val="006110DF"/>
    <w:rsid w:val="006119CD"/>
    <w:rsid w:val="00611E75"/>
    <w:rsid w:val="0061219D"/>
    <w:rsid w:val="00612941"/>
    <w:rsid w:val="006134B4"/>
    <w:rsid w:val="00613526"/>
    <w:rsid w:val="00613C8E"/>
    <w:rsid w:val="00613D38"/>
    <w:rsid w:val="006140C6"/>
    <w:rsid w:val="00614625"/>
    <w:rsid w:val="00615E34"/>
    <w:rsid w:val="00617632"/>
    <w:rsid w:val="00620025"/>
    <w:rsid w:val="006205DD"/>
    <w:rsid w:val="00621501"/>
    <w:rsid w:val="006218D3"/>
    <w:rsid w:val="00622181"/>
    <w:rsid w:val="0062238D"/>
    <w:rsid w:val="00623A30"/>
    <w:rsid w:val="00623AEC"/>
    <w:rsid w:val="00623C8B"/>
    <w:rsid w:val="00623F4D"/>
    <w:rsid w:val="00624488"/>
    <w:rsid w:val="00625089"/>
    <w:rsid w:val="006250B0"/>
    <w:rsid w:val="006274BF"/>
    <w:rsid w:val="00630EC5"/>
    <w:rsid w:val="00632056"/>
    <w:rsid w:val="00633014"/>
    <w:rsid w:val="00633B23"/>
    <w:rsid w:val="00634359"/>
    <w:rsid w:val="0063437B"/>
    <w:rsid w:val="006346E1"/>
    <w:rsid w:val="0063612A"/>
    <w:rsid w:val="006364C0"/>
    <w:rsid w:val="006374B3"/>
    <w:rsid w:val="0063792B"/>
    <w:rsid w:val="00640163"/>
    <w:rsid w:val="00640195"/>
    <w:rsid w:val="00640F41"/>
    <w:rsid w:val="006427E0"/>
    <w:rsid w:val="006450E9"/>
    <w:rsid w:val="006453C8"/>
    <w:rsid w:val="0064579F"/>
    <w:rsid w:val="00645894"/>
    <w:rsid w:val="00646554"/>
    <w:rsid w:val="006467C3"/>
    <w:rsid w:val="00647794"/>
    <w:rsid w:val="00647A17"/>
    <w:rsid w:val="006506FC"/>
    <w:rsid w:val="00650B67"/>
    <w:rsid w:val="006511E9"/>
    <w:rsid w:val="006516CF"/>
    <w:rsid w:val="006528E7"/>
    <w:rsid w:val="00652DEE"/>
    <w:rsid w:val="00652FE9"/>
    <w:rsid w:val="006532F8"/>
    <w:rsid w:val="0065356C"/>
    <w:rsid w:val="00654699"/>
    <w:rsid w:val="00655471"/>
    <w:rsid w:val="00655B16"/>
    <w:rsid w:val="00655FB7"/>
    <w:rsid w:val="00655FD9"/>
    <w:rsid w:val="0065644D"/>
    <w:rsid w:val="006567D8"/>
    <w:rsid w:val="0065694C"/>
    <w:rsid w:val="00657F37"/>
    <w:rsid w:val="00661D83"/>
    <w:rsid w:val="00662E47"/>
    <w:rsid w:val="0066358F"/>
    <w:rsid w:val="00664332"/>
    <w:rsid w:val="00664714"/>
    <w:rsid w:val="006650CE"/>
    <w:rsid w:val="00665485"/>
    <w:rsid w:val="006667DB"/>
    <w:rsid w:val="00666ED5"/>
    <w:rsid w:val="00666FE6"/>
    <w:rsid w:val="006673CA"/>
    <w:rsid w:val="00667C4F"/>
    <w:rsid w:val="006715A8"/>
    <w:rsid w:val="00671C72"/>
    <w:rsid w:val="00672548"/>
    <w:rsid w:val="00672BBB"/>
    <w:rsid w:val="00674918"/>
    <w:rsid w:val="00675109"/>
    <w:rsid w:val="00675304"/>
    <w:rsid w:val="006755A3"/>
    <w:rsid w:val="006756BC"/>
    <w:rsid w:val="00676B47"/>
    <w:rsid w:val="00681A0F"/>
    <w:rsid w:val="0068231B"/>
    <w:rsid w:val="00682B9F"/>
    <w:rsid w:val="00682FF1"/>
    <w:rsid w:val="00683277"/>
    <w:rsid w:val="00684A7C"/>
    <w:rsid w:val="00684A87"/>
    <w:rsid w:val="00684CBC"/>
    <w:rsid w:val="00685D3A"/>
    <w:rsid w:val="00690BEE"/>
    <w:rsid w:val="00691282"/>
    <w:rsid w:val="00691A4B"/>
    <w:rsid w:val="0069208C"/>
    <w:rsid w:val="00692138"/>
    <w:rsid w:val="006932A5"/>
    <w:rsid w:val="00694612"/>
    <w:rsid w:val="00694994"/>
    <w:rsid w:val="00694FAD"/>
    <w:rsid w:val="00695688"/>
    <w:rsid w:val="00695709"/>
    <w:rsid w:val="006959AD"/>
    <w:rsid w:val="00695D66"/>
    <w:rsid w:val="006966AD"/>
    <w:rsid w:val="006975EC"/>
    <w:rsid w:val="006A11F4"/>
    <w:rsid w:val="006A13F4"/>
    <w:rsid w:val="006A16B5"/>
    <w:rsid w:val="006A1BDC"/>
    <w:rsid w:val="006A22D5"/>
    <w:rsid w:val="006A22F2"/>
    <w:rsid w:val="006A26EE"/>
    <w:rsid w:val="006A33D6"/>
    <w:rsid w:val="006A3657"/>
    <w:rsid w:val="006A41E2"/>
    <w:rsid w:val="006A75A2"/>
    <w:rsid w:val="006B05FA"/>
    <w:rsid w:val="006B0E9E"/>
    <w:rsid w:val="006B1D37"/>
    <w:rsid w:val="006B1F35"/>
    <w:rsid w:val="006B2D75"/>
    <w:rsid w:val="006B3239"/>
    <w:rsid w:val="006B3857"/>
    <w:rsid w:val="006B59FB"/>
    <w:rsid w:val="006B5AE4"/>
    <w:rsid w:val="006B6060"/>
    <w:rsid w:val="006B6D7F"/>
    <w:rsid w:val="006B6DF1"/>
    <w:rsid w:val="006B708F"/>
    <w:rsid w:val="006B7E22"/>
    <w:rsid w:val="006C2464"/>
    <w:rsid w:val="006C2CA5"/>
    <w:rsid w:val="006C2E11"/>
    <w:rsid w:val="006C4562"/>
    <w:rsid w:val="006D08D5"/>
    <w:rsid w:val="006D09B4"/>
    <w:rsid w:val="006D109B"/>
    <w:rsid w:val="006D4054"/>
    <w:rsid w:val="006D4318"/>
    <w:rsid w:val="006D4940"/>
    <w:rsid w:val="006D51B4"/>
    <w:rsid w:val="006D54CC"/>
    <w:rsid w:val="006D55D8"/>
    <w:rsid w:val="006D5773"/>
    <w:rsid w:val="006D6347"/>
    <w:rsid w:val="006D7274"/>
    <w:rsid w:val="006D7758"/>
    <w:rsid w:val="006D7DBC"/>
    <w:rsid w:val="006E02EC"/>
    <w:rsid w:val="006E03D7"/>
    <w:rsid w:val="006E05BB"/>
    <w:rsid w:val="006E1123"/>
    <w:rsid w:val="006E1245"/>
    <w:rsid w:val="006E1C2F"/>
    <w:rsid w:val="006E2869"/>
    <w:rsid w:val="006E2E60"/>
    <w:rsid w:val="006E30F5"/>
    <w:rsid w:val="006E4ACA"/>
    <w:rsid w:val="006E4BB4"/>
    <w:rsid w:val="006E5334"/>
    <w:rsid w:val="006E560A"/>
    <w:rsid w:val="006E5F14"/>
    <w:rsid w:val="006E6D76"/>
    <w:rsid w:val="006E7789"/>
    <w:rsid w:val="006E77BF"/>
    <w:rsid w:val="006F04D4"/>
    <w:rsid w:val="006F2080"/>
    <w:rsid w:val="006F2D52"/>
    <w:rsid w:val="006F35A3"/>
    <w:rsid w:val="006F4BDE"/>
    <w:rsid w:val="006F57E5"/>
    <w:rsid w:val="006F5DEB"/>
    <w:rsid w:val="006F7753"/>
    <w:rsid w:val="006F7FA8"/>
    <w:rsid w:val="0070166B"/>
    <w:rsid w:val="00701DF3"/>
    <w:rsid w:val="00702664"/>
    <w:rsid w:val="00702737"/>
    <w:rsid w:val="00703154"/>
    <w:rsid w:val="00703444"/>
    <w:rsid w:val="00706806"/>
    <w:rsid w:val="00706CF3"/>
    <w:rsid w:val="007078CC"/>
    <w:rsid w:val="007108A9"/>
    <w:rsid w:val="00710960"/>
    <w:rsid w:val="00710966"/>
    <w:rsid w:val="00710A47"/>
    <w:rsid w:val="00710E4C"/>
    <w:rsid w:val="00711297"/>
    <w:rsid w:val="00711571"/>
    <w:rsid w:val="007119AF"/>
    <w:rsid w:val="00712025"/>
    <w:rsid w:val="0071456B"/>
    <w:rsid w:val="00714DE1"/>
    <w:rsid w:val="00714E46"/>
    <w:rsid w:val="00715357"/>
    <w:rsid w:val="00715BE3"/>
    <w:rsid w:val="007175B5"/>
    <w:rsid w:val="00717A15"/>
    <w:rsid w:val="007205CE"/>
    <w:rsid w:val="007209E1"/>
    <w:rsid w:val="0072115A"/>
    <w:rsid w:val="007211B1"/>
    <w:rsid w:val="00722348"/>
    <w:rsid w:val="007223D6"/>
    <w:rsid w:val="007227F3"/>
    <w:rsid w:val="00722E61"/>
    <w:rsid w:val="007243F0"/>
    <w:rsid w:val="00725216"/>
    <w:rsid w:val="007265CE"/>
    <w:rsid w:val="00726B70"/>
    <w:rsid w:val="00726E75"/>
    <w:rsid w:val="00730184"/>
    <w:rsid w:val="00730ECA"/>
    <w:rsid w:val="00731918"/>
    <w:rsid w:val="00731E67"/>
    <w:rsid w:val="00732354"/>
    <w:rsid w:val="00732401"/>
    <w:rsid w:val="00732809"/>
    <w:rsid w:val="0073602C"/>
    <w:rsid w:val="007368D2"/>
    <w:rsid w:val="007368FF"/>
    <w:rsid w:val="00737ADD"/>
    <w:rsid w:val="007402CD"/>
    <w:rsid w:val="00740314"/>
    <w:rsid w:val="007408B3"/>
    <w:rsid w:val="00742C35"/>
    <w:rsid w:val="00743C9B"/>
    <w:rsid w:val="00743F79"/>
    <w:rsid w:val="0074429A"/>
    <w:rsid w:val="00745912"/>
    <w:rsid w:val="00746187"/>
    <w:rsid w:val="00746323"/>
    <w:rsid w:val="00747F84"/>
    <w:rsid w:val="007500D3"/>
    <w:rsid w:val="00750EB3"/>
    <w:rsid w:val="007518B2"/>
    <w:rsid w:val="00752B07"/>
    <w:rsid w:val="00752D31"/>
    <w:rsid w:val="00754106"/>
    <w:rsid w:val="007543F5"/>
    <w:rsid w:val="00754C63"/>
    <w:rsid w:val="00755C20"/>
    <w:rsid w:val="007577F0"/>
    <w:rsid w:val="007600A2"/>
    <w:rsid w:val="00760876"/>
    <w:rsid w:val="007615BC"/>
    <w:rsid w:val="00762384"/>
    <w:rsid w:val="007623ED"/>
    <w:rsid w:val="00762403"/>
    <w:rsid w:val="0076254F"/>
    <w:rsid w:val="0076405F"/>
    <w:rsid w:val="00765532"/>
    <w:rsid w:val="007658F6"/>
    <w:rsid w:val="00766490"/>
    <w:rsid w:val="0076662C"/>
    <w:rsid w:val="007667E4"/>
    <w:rsid w:val="007667F6"/>
    <w:rsid w:val="00766C6E"/>
    <w:rsid w:val="00767F9C"/>
    <w:rsid w:val="007700E4"/>
    <w:rsid w:val="00770B99"/>
    <w:rsid w:val="0077196D"/>
    <w:rsid w:val="007734E8"/>
    <w:rsid w:val="00773E86"/>
    <w:rsid w:val="00774C6B"/>
    <w:rsid w:val="00776D72"/>
    <w:rsid w:val="007774DE"/>
    <w:rsid w:val="0077775C"/>
    <w:rsid w:val="00777923"/>
    <w:rsid w:val="00777CD1"/>
    <w:rsid w:val="00777F21"/>
    <w:rsid w:val="00777FA8"/>
    <w:rsid w:val="007801F5"/>
    <w:rsid w:val="00781050"/>
    <w:rsid w:val="007812FB"/>
    <w:rsid w:val="00781FDA"/>
    <w:rsid w:val="00782381"/>
    <w:rsid w:val="007824EE"/>
    <w:rsid w:val="00782EB3"/>
    <w:rsid w:val="00783CA4"/>
    <w:rsid w:val="007842FB"/>
    <w:rsid w:val="007844EC"/>
    <w:rsid w:val="00784B79"/>
    <w:rsid w:val="00784CC1"/>
    <w:rsid w:val="00785725"/>
    <w:rsid w:val="00785BBB"/>
    <w:rsid w:val="00785C4B"/>
    <w:rsid w:val="00786124"/>
    <w:rsid w:val="00790751"/>
    <w:rsid w:val="0079127B"/>
    <w:rsid w:val="00791FC6"/>
    <w:rsid w:val="00792ACE"/>
    <w:rsid w:val="007930BF"/>
    <w:rsid w:val="007946BC"/>
    <w:rsid w:val="00794932"/>
    <w:rsid w:val="00795040"/>
    <w:rsid w:val="0079514B"/>
    <w:rsid w:val="007963AE"/>
    <w:rsid w:val="00796583"/>
    <w:rsid w:val="00796C70"/>
    <w:rsid w:val="007979BE"/>
    <w:rsid w:val="00797A2B"/>
    <w:rsid w:val="00797A85"/>
    <w:rsid w:val="007A02A0"/>
    <w:rsid w:val="007A140D"/>
    <w:rsid w:val="007A1F66"/>
    <w:rsid w:val="007A207B"/>
    <w:rsid w:val="007A2DC1"/>
    <w:rsid w:val="007A3200"/>
    <w:rsid w:val="007A3438"/>
    <w:rsid w:val="007A3C6F"/>
    <w:rsid w:val="007A58FE"/>
    <w:rsid w:val="007A59DF"/>
    <w:rsid w:val="007A62F1"/>
    <w:rsid w:val="007A7173"/>
    <w:rsid w:val="007A7C0E"/>
    <w:rsid w:val="007B145B"/>
    <w:rsid w:val="007B1B50"/>
    <w:rsid w:val="007B2651"/>
    <w:rsid w:val="007B2945"/>
    <w:rsid w:val="007B2BAE"/>
    <w:rsid w:val="007B404F"/>
    <w:rsid w:val="007B47BA"/>
    <w:rsid w:val="007B5805"/>
    <w:rsid w:val="007B59C1"/>
    <w:rsid w:val="007B68A4"/>
    <w:rsid w:val="007B6E6F"/>
    <w:rsid w:val="007B7014"/>
    <w:rsid w:val="007B75E5"/>
    <w:rsid w:val="007C046A"/>
    <w:rsid w:val="007C14FB"/>
    <w:rsid w:val="007C233F"/>
    <w:rsid w:val="007C366B"/>
    <w:rsid w:val="007C3926"/>
    <w:rsid w:val="007C4A0E"/>
    <w:rsid w:val="007C5121"/>
    <w:rsid w:val="007C63DA"/>
    <w:rsid w:val="007D04E6"/>
    <w:rsid w:val="007D261B"/>
    <w:rsid w:val="007D2669"/>
    <w:rsid w:val="007D2B8D"/>
    <w:rsid w:val="007D3319"/>
    <w:rsid w:val="007D335D"/>
    <w:rsid w:val="007D473A"/>
    <w:rsid w:val="007D5635"/>
    <w:rsid w:val="007D5ACA"/>
    <w:rsid w:val="007D5EF3"/>
    <w:rsid w:val="007D624B"/>
    <w:rsid w:val="007D6BBD"/>
    <w:rsid w:val="007D7311"/>
    <w:rsid w:val="007D7898"/>
    <w:rsid w:val="007D7F70"/>
    <w:rsid w:val="007E016D"/>
    <w:rsid w:val="007E160D"/>
    <w:rsid w:val="007E20C5"/>
    <w:rsid w:val="007E2275"/>
    <w:rsid w:val="007E231E"/>
    <w:rsid w:val="007E2821"/>
    <w:rsid w:val="007E3301"/>
    <w:rsid w:val="007E3314"/>
    <w:rsid w:val="007E4196"/>
    <w:rsid w:val="007E4204"/>
    <w:rsid w:val="007E431E"/>
    <w:rsid w:val="007E4B03"/>
    <w:rsid w:val="007E55DE"/>
    <w:rsid w:val="007E6147"/>
    <w:rsid w:val="007E6512"/>
    <w:rsid w:val="007E6B4A"/>
    <w:rsid w:val="007E7848"/>
    <w:rsid w:val="007F0FAF"/>
    <w:rsid w:val="007F10BF"/>
    <w:rsid w:val="007F164C"/>
    <w:rsid w:val="007F1F58"/>
    <w:rsid w:val="007F2321"/>
    <w:rsid w:val="007F2DC4"/>
    <w:rsid w:val="007F324B"/>
    <w:rsid w:val="007F3482"/>
    <w:rsid w:val="007F35BF"/>
    <w:rsid w:val="007F3871"/>
    <w:rsid w:val="007F4BF3"/>
    <w:rsid w:val="007F5697"/>
    <w:rsid w:val="007F7CF2"/>
    <w:rsid w:val="00800C23"/>
    <w:rsid w:val="00801CF4"/>
    <w:rsid w:val="00802737"/>
    <w:rsid w:val="00803E09"/>
    <w:rsid w:val="008040A3"/>
    <w:rsid w:val="0080476C"/>
    <w:rsid w:val="00804892"/>
    <w:rsid w:val="0080553C"/>
    <w:rsid w:val="00805B46"/>
    <w:rsid w:val="00806439"/>
    <w:rsid w:val="008106B9"/>
    <w:rsid w:val="0081118B"/>
    <w:rsid w:val="008114CF"/>
    <w:rsid w:val="00811595"/>
    <w:rsid w:val="008119BD"/>
    <w:rsid w:val="0081603F"/>
    <w:rsid w:val="0082170B"/>
    <w:rsid w:val="00821A4C"/>
    <w:rsid w:val="00822513"/>
    <w:rsid w:val="00822DA6"/>
    <w:rsid w:val="00823DDF"/>
    <w:rsid w:val="008252FD"/>
    <w:rsid w:val="0082557D"/>
    <w:rsid w:val="00825977"/>
    <w:rsid w:val="00825DC2"/>
    <w:rsid w:val="0082705D"/>
    <w:rsid w:val="008278E4"/>
    <w:rsid w:val="00827A31"/>
    <w:rsid w:val="00830BF5"/>
    <w:rsid w:val="00831364"/>
    <w:rsid w:val="00832552"/>
    <w:rsid w:val="008325FD"/>
    <w:rsid w:val="00833C16"/>
    <w:rsid w:val="008340F1"/>
    <w:rsid w:val="00834AD3"/>
    <w:rsid w:val="00834C1D"/>
    <w:rsid w:val="00834FFD"/>
    <w:rsid w:val="0083594E"/>
    <w:rsid w:val="00835F27"/>
    <w:rsid w:val="00840437"/>
    <w:rsid w:val="008425E7"/>
    <w:rsid w:val="00842738"/>
    <w:rsid w:val="00843795"/>
    <w:rsid w:val="008443B3"/>
    <w:rsid w:val="008468C4"/>
    <w:rsid w:val="00846BFF"/>
    <w:rsid w:val="00847F0F"/>
    <w:rsid w:val="0085032D"/>
    <w:rsid w:val="00850344"/>
    <w:rsid w:val="0085047B"/>
    <w:rsid w:val="00850692"/>
    <w:rsid w:val="008512FD"/>
    <w:rsid w:val="00851363"/>
    <w:rsid w:val="00852448"/>
    <w:rsid w:val="00852932"/>
    <w:rsid w:val="0085293A"/>
    <w:rsid w:val="00852FE6"/>
    <w:rsid w:val="00854334"/>
    <w:rsid w:val="00856D71"/>
    <w:rsid w:val="008573A0"/>
    <w:rsid w:val="008602E5"/>
    <w:rsid w:val="00860354"/>
    <w:rsid w:val="00860EEA"/>
    <w:rsid w:val="008627F7"/>
    <w:rsid w:val="008639AA"/>
    <w:rsid w:val="00863D2E"/>
    <w:rsid w:val="0086492B"/>
    <w:rsid w:val="0086509D"/>
    <w:rsid w:val="008659BE"/>
    <w:rsid w:val="008665DB"/>
    <w:rsid w:val="008667ED"/>
    <w:rsid w:val="00866BE1"/>
    <w:rsid w:val="008672E8"/>
    <w:rsid w:val="00867D21"/>
    <w:rsid w:val="00870420"/>
    <w:rsid w:val="0087080B"/>
    <w:rsid w:val="0087165C"/>
    <w:rsid w:val="00871AEC"/>
    <w:rsid w:val="008720E4"/>
    <w:rsid w:val="00872B57"/>
    <w:rsid w:val="008736F6"/>
    <w:rsid w:val="00875D1F"/>
    <w:rsid w:val="00876B3A"/>
    <w:rsid w:val="008778ED"/>
    <w:rsid w:val="00877A02"/>
    <w:rsid w:val="00880870"/>
    <w:rsid w:val="00880CBC"/>
    <w:rsid w:val="00880DD6"/>
    <w:rsid w:val="00880F1C"/>
    <w:rsid w:val="0088188F"/>
    <w:rsid w:val="00881C05"/>
    <w:rsid w:val="0088258A"/>
    <w:rsid w:val="00883AA9"/>
    <w:rsid w:val="00884717"/>
    <w:rsid w:val="00884F51"/>
    <w:rsid w:val="00884FF1"/>
    <w:rsid w:val="00885760"/>
    <w:rsid w:val="00885A66"/>
    <w:rsid w:val="00886332"/>
    <w:rsid w:val="0088650F"/>
    <w:rsid w:val="00886696"/>
    <w:rsid w:val="0088706B"/>
    <w:rsid w:val="00887885"/>
    <w:rsid w:val="00887B3A"/>
    <w:rsid w:val="008913C4"/>
    <w:rsid w:val="00891A64"/>
    <w:rsid w:val="0089266D"/>
    <w:rsid w:val="00892C69"/>
    <w:rsid w:val="008952D3"/>
    <w:rsid w:val="00895F48"/>
    <w:rsid w:val="008971E0"/>
    <w:rsid w:val="008A0B80"/>
    <w:rsid w:val="008A0DA3"/>
    <w:rsid w:val="008A2570"/>
    <w:rsid w:val="008A264B"/>
    <w:rsid w:val="008A26D9"/>
    <w:rsid w:val="008A2ABD"/>
    <w:rsid w:val="008A3183"/>
    <w:rsid w:val="008A4518"/>
    <w:rsid w:val="008A58BA"/>
    <w:rsid w:val="008A5991"/>
    <w:rsid w:val="008A61DC"/>
    <w:rsid w:val="008A665D"/>
    <w:rsid w:val="008A6991"/>
    <w:rsid w:val="008A6D84"/>
    <w:rsid w:val="008A781A"/>
    <w:rsid w:val="008B0BE6"/>
    <w:rsid w:val="008B1DDC"/>
    <w:rsid w:val="008B1E2E"/>
    <w:rsid w:val="008B1E67"/>
    <w:rsid w:val="008B1EC9"/>
    <w:rsid w:val="008B28BA"/>
    <w:rsid w:val="008B330C"/>
    <w:rsid w:val="008B4591"/>
    <w:rsid w:val="008B5923"/>
    <w:rsid w:val="008B6A1F"/>
    <w:rsid w:val="008B6C73"/>
    <w:rsid w:val="008B6FE1"/>
    <w:rsid w:val="008B79BE"/>
    <w:rsid w:val="008C0242"/>
    <w:rsid w:val="008C1100"/>
    <w:rsid w:val="008C1ACC"/>
    <w:rsid w:val="008C1C8C"/>
    <w:rsid w:val="008C27D0"/>
    <w:rsid w:val="008C37FF"/>
    <w:rsid w:val="008C41D7"/>
    <w:rsid w:val="008C4E4E"/>
    <w:rsid w:val="008C530A"/>
    <w:rsid w:val="008C5679"/>
    <w:rsid w:val="008C692F"/>
    <w:rsid w:val="008C7013"/>
    <w:rsid w:val="008D0E95"/>
    <w:rsid w:val="008D1C94"/>
    <w:rsid w:val="008D361F"/>
    <w:rsid w:val="008D3901"/>
    <w:rsid w:val="008D49EC"/>
    <w:rsid w:val="008D671C"/>
    <w:rsid w:val="008E01F5"/>
    <w:rsid w:val="008E0426"/>
    <w:rsid w:val="008E18E9"/>
    <w:rsid w:val="008E2157"/>
    <w:rsid w:val="008E22FA"/>
    <w:rsid w:val="008E2760"/>
    <w:rsid w:val="008E3158"/>
    <w:rsid w:val="008E3BC3"/>
    <w:rsid w:val="008E3FD2"/>
    <w:rsid w:val="008E4C27"/>
    <w:rsid w:val="008E6509"/>
    <w:rsid w:val="008E67EB"/>
    <w:rsid w:val="008E6907"/>
    <w:rsid w:val="008E6D40"/>
    <w:rsid w:val="008E70C8"/>
    <w:rsid w:val="008E750B"/>
    <w:rsid w:val="008E754F"/>
    <w:rsid w:val="008E7B86"/>
    <w:rsid w:val="008E7DB2"/>
    <w:rsid w:val="008E7EDE"/>
    <w:rsid w:val="008F0070"/>
    <w:rsid w:val="008F1AC9"/>
    <w:rsid w:val="008F3638"/>
    <w:rsid w:val="008F3654"/>
    <w:rsid w:val="008F41AD"/>
    <w:rsid w:val="008F423C"/>
    <w:rsid w:val="008F430A"/>
    <w:rsid w:val="008F4DB9"/>
    <w:rsid w:val="008F592B"/>
    <w:rsid w:val="008F6632"/>
    <w:rsid w:val="008F6805"/>
    <w:rsid w:val="008F6971"/>
    <w:rsid w:val="008F6CB7"/>
    <w:rsid w:val="008F6F31"/>
    <w:rsid w:val="008F6FE3"/>
    <w:rsid w:val="008F74DF"/>
    <w:rsid w:val="0090026F"/>
    <w:rsid w:val="00900CCE"/>
    <w:rsid w:val="00901BC7"/>
    <w:rsid w:val="009021D3"/>
    <w:rsid w:val="00902896"/>
    <w:rsid w:val="0090306F"/>
    <w:rsid w:val="00903EC3"/>
    <w:rsid w:val="009046CB"/>
    <w:rsid w:val="009055F6"/>
    <w:rsid w:val="00905DC8"/>
    <w:rsid w:val="00905F4C"/>
    <w:rsid w:val="00906936"/>
    <w:rsid w:val="00906D07"/>
    <w:rsid w:val="0090773D"/>
    <w:rsid w:val="009104D1"/>
    <w:rsid w:val="00910C2A"/>
    <w:rsid w:val="00910C4C"/>
    <w:rsid w:val="0091110E"/>
    <w:rsid w:val="00911235"/>
    <w:rsid w:val="009127BA"/>
    <w:rsid w:val="009128BB"/>
    <w:rsid w:val="00912F59"/>
    <w:rsid w:val="00913383"/>
    <w:rsid w:val="00914BA8"/>
    <w:rsid w:val="0091509B"/>
    <w:rsid w:val="00915408"/>
    <w:rsid w:val="0091546E"/>
    <w:rsid w:val="009157F7"/>
    <w:rsid w:val="009179B6"/>
    <w:rsid w:val="00917CA5"/>
    <w:rsid w:val="0092031B"/>
    <w:rsid w:val="009203E7"/>
    <w:rsid w:val="009209AA"/>
    <w:rsid w:val="00920B7D"/>
    <w:rsid w:val="009210C8"/>
    <w:rsid w:val="009227A6"/>
    <w:rsid w:val="00922C8A"/>
    <w:rsid w:val="0092366F"/>
    <w:rsid w:val="0092391F"/>
    <w:rsid w:val="00925F89"/>
    <w:rsid w:val="009268CB"/>
    <w:rsid w:val="009269E1"/>
    <w:rsid w:val="00926C98"/>
    <w:rsid w:val="0092753D"/>
    <w:rsid w:val="00930F17"/>
    <w:rsid w:val="0093218B"/>
    <w:rsid w:val="00932372"/>
    <w:rsid w:val="00932EB5"/>
    <w:rsid w:val="00933EC1"/>
    <w:rsid w:val="009342BE"/>
    <w:rsid w:val="00936692"/>
    <w:rsid w:val="00936AB4"/>
    <w:rsid w:val="00936B02"/>
    <w:rsid w:val="0093708A"/>
    <w:rsid w:val="00937A43"/>
    <w:rsid w:val="0094021A"/>
    <w:rsid w:val="009404D5"/>
    <w:rsid w:val="009411B3"/>
    <w:rsid w:val="00941BB9"/>
    <w:rsid w:val="00941C5E"/>
    <w:rsid w:val="00941CF0"/>
    <w:rsid w:val="00941EF9"/>
    <w:rsid w:val="00942B4A"/>
    <w:rsid w:val="00943F43"/>
    <w:rsid w:val="00945F8B"/>
    <w:rsid w:val="009466D3"/>
    <w:rsid w:val="00946EF7"/>
    <w:rsid w:val="00947AED"/>
    <w:rsid w:val="009522F3"/>
    <w:rsid w:val="00952ABE"/>
    <w:rsid w:val="009530DB"/>
    <w:rsid w:val="00953676"/>
    <w:rsid w:val="00957840"/>
    <w:rsid w:val="00957E41"/>
    <w:rsid w:val="009602FC"/>
    <w:rsid w:val="009603AD"/>
    <w:rsid w:val="0096077F"/>
    <w:rsid w:val="0096080A"/>
    <w:rsid w:val="00961A8B"/>
    <w:rsid w:val="00962443"/>
    <w:rsid w:val="0096259C"/>
    <w:rsid w:val="009645E7"/>
    <w:rsid w:val="009647C9"/>
    <w:rsid w:val="0096491C"/>
    <w:rsid w:val="00964B83"/>
    <w:rsid w:val="00965325"/>
    <w:rsid w:val="00966C5D"/>
    <w:rsid w:val="00967F99"/>
    <w:rsid w:val="009705EE"/>
    <w:rsid w:val="0097373A"/>
    <w:rsid w:val="00975365"/>
    <w:rsid w:val="009762F8"/>
    <w:rsid w:val="00976BDA"/>
    <w:rsid w:val="00977927"/>
    <w:rsid w:val="0098009F"/>
    <w:rsid w:val="00980223"/>
    <w:rsid w:val="0098135C"/>
    <w:rsid w:val="0098156A"/>
    <w:rsid w:val="00983FE4"/>
    <w:rsid w:val="0098422A"/>
    <w:rsid w:val="00984347"/>
    <w:rsid w:val="00984351"/>
    <w:rsid w:val="0098537F"/>
    <w:rsid w:val="00985B99"/>
    <w:rsid w:val="00985CAD"/>
    <w:rsid w:val="00986135"/>
    <w:rsid w:val="009872A5"/>
    <w:rsid w:val="00990182"/>
    <w:rsid w:val="009921EB"/>
    <w:rsid w:val="0099584D"/>
    <w:rsid w:val="00996693"/>
    <w:rsid w:val="00996729"/>
    <w:rsid w:val="00997E65"/>
    <w:rsid w:val="009A02B2"/>
    <w:rsid w:val="009A16AA"/>
    <w:rsid w:val="009A203A"/>
    <w:rsid w:val="009A24B0"/>
    <w:rsid w:val="009A2819"/>
    <w:rsid w:val="009A34B2"/>
    <w:rsid w:val="009A40B0"/>
    <w:rsid w:val="009A4C7B"/>
    <w:rsid w:val="009A4E18"/>
    <w:rsid w:val="009A6736"/>
    <w:rsid w:val="009A792E"/>
    <w:rsid w:val="009B068E"/>
    <w:rsid w:val="009B1532"/>
    <w:rsid w:val="009B44E2"/>
    <w:rsid w:val="009B4CC8"/>
    <w:rsid w:val="009B5808"/>
    <w:rsid w:val="009B743A"/>
    <w:rsid w:val="009B75C1"/>
    <w:rsid w:val="009C0165"/>
    <w:rsid w:val="009C0FB5"/>
    <w:rsid w:val="009C1335"/>
    <w:rsid w:val="009C1AB2"/>
    <w:rsid w:val="009C22CC"/>
    <w:rsid w:val="009C3183"/>
    <w:rsid w:val="009C3B6E"/>
    <w:rsid w:val="009C3BE7"/>
    <w:rsid w:val="009C41DE"/>
    <w:rsid w:val="009C55CE"/>
    <w:rsid w:val="009C58E0"/>
    <w:rsid w:val="009C59D5"/>
    <w:rsid w:val="009C5DCB"/>
    <w:rsid w:val="009C7251"/>
    <w:rsid w:val="009C7F79"/>
    <w:rsid w:val="009D03BD"/>
    <w:rsid w:val="009D0E86"/>
    <w:rsid w:val="009D208E"/>
    <w:rsid w:val="009D2AD9"/>
    <w:rsid w:val="009D3868"/>
    <w:rsid w:val="009D3EFE"/>
    <w:rsid w:val="009D3FA5"/>
    <w:rsid w:val="009D48BF"/>
    <w:rsid w:val="009D4EB8"/>
    <w:rsid w:val="009D4ED8"/>
    <w:rsid w:val="009D5A59"/>
    <w:rsid w:val="009D5C73"/>
    <w:rsid w:val="009D7E71"/>
    <w:rsid w:val="009E085B"/>
    <w:rsid w:val="009E1846"/>
    <w:rsid w:val="009E19E6"/>
    <w:rsid w:val="009E1BA3"/>
    <w:rsid w:val="009E1D0F"/>
    <w:rsid w:val="009E2E91"/>
    <w:rsid w:val="009E5AE7"/>
    <w:rsid w:val="009E60C2"/>
    <w:rsid w:val="009E61CF"/>
    <w:rsid w:val="009E67BF"/>
    <w:rsid w:val="009E6CC1"/>
    <w:rsid w:val="009E708E"/>
    <w:rsid w:val="009E75FB"/>
    <w:rsid w:val="009E791B"/>
    <w:rsid w:val="009F0255"/>
    <w:rsid w:val="009F14DE"/>
    <w:rsid w:val="009F32DF"/>
    <w:rsid w:val="009F425E"/>
    <w:rsid w:val="009F46AA"/>
    <w:rsid w:val="009F4F4B"/>
    <w:rsid w:val="009F62B9"/>
    <w:rsid w:val="009F7688"/>
    <w:rsid w:val="009F7BAC"/>
    <w:rsid w:val="009F7FB9"/>
    <w:rsid w:val="00A00B1C"/>
    <w:rsid w:val="00A00B80"/>
    <w:rsid w:val="00A00D1C"/>
    <w:rsid w:val="00A0171D"/>
    <w:rsid w:val="00A021D1"/>
    <w:rsid w:val="00A02F3A"/>
    <w:rsid w:val="00A0402E"/>
    <w:rsid w:val="00A051E2"/>
    <w:rsid w:val="00A051F6"/>
    <w:rsid w:val="00A05903"/>
    <w:rsid w:val="00A068AA"/>
    <w:rsid w:val="00A06BD8"/>
    <w:rsid w:val="00A07F1D"/>
    <w:rsid w:val="00A07FB6"/>
    <w:rsid w:val="00A10289"/>
    <w:rsid w:val="00A11789"/>
    <w:rsid w:val="00A11D43"/>
    <w:rsid w:val="00A1251E"/>
    <w:rsid w:val="00A12E83"/>
    <w:rsid w:val="00A13211"/>
    <w:rsid w:val="00A13956"/>
    <w:rsid w:val="00A139F5"/>
    <w:rsid w:val="00A13D15"/>
    <w:rsid w:val="00A1570A"/>
    <w:rsid w:val="00A15E77"/>
    <w:rsid w:val="00A206F5"/>
    <w:rsid w:val="00A22043"/>
    <w:rsid w:val="00A223E6"/>
    <w:rsid w:val="00A2281C"/>
    <w:rsid w:val="00A22FE4"/>
    <w:rsid w:val="00A231F3"/>
    <w:rsid w:val="00A235A0"/>
    <w:rsid w:val="00A24EE1"/>
    <w:rsid w:val="00A25A93"/>
    <w:rsid w:val="00A25E14"/>
    <w:rsid w:val="00A266B5"/>
    <w:rsid w:val="00A268F8"/>
    <w:rsid w:val="00A26D58"/>
    <w:rsid w:val="00A26F5E"/>
    <w:rsid w:val="00A31325"/>
    <w:rsid w:val="00A31F84"/>
    <w:rsid w:val="00A321E4"/>
    <w:rsid w:val="00A32A72"/>
    <w:rsid w:val="00A32A86"/>
    <w:rsid w:val="00A336F9"/>
    <w:rsid w:val="00A33C43"/>
    <w:rsid w:val="00A33F4A"/>
    <w:rsid w:val="00A341BE"/>
    <w:rsid w:val="00A35935"/>
    <w:rsid w:val="00A35D5B"/>
    <w:rsid w:val="00A365F4"/>
    <w:rsid w:val="00A36A5C"/>
    <w:rsid w:val="00A36AF6"/>
    <w:rsid w:val="00A36BA6"/>
    <w:rsid w:val="00A36C7F"/>
    <w:rsid w:val="00A36EB7"/>
    <w:rsid w:val="00A36F79"/>
    <w:rsid w:val="00A3727D"/>
    <w:rsid w:val="00A4019F"/>
    <w:rsid w:val="00A422C5"/>
    <w:rsid w:val="00A44AB4"/>
    <w:rsid w:val="00A44F76"/>
    <w:rsid w:val="00A461E8"/>
    <w:rsid w:val="00A47D80"/>
    <w:rsid w:val="00A47FB5"/>
    <w:rsid w:val="00A50D17"/>
    <w:rsid w:val="00A510D2"/>
    <w:rsid w:val="00A5161A"/>
    <w:rsid w:val="00A521CD"/>
    <w:rsid w:val="00A5294B"/>
    <w:rsid w:val="00A52EA8"/>
    <w:rsid w:val="00A53132"/>
    <w:rsid w:val="00A543FD"/>
    <w:rsid w:val="00A54FE2"/>
    <w:rsid w:val="00A55245"/>
    <w:rsid w:val="00A55D19"/>
    <w:rsid w:val="00A563F2"/>
    <w:rsid w:val="00A566E8"/>
    <w:rsid w:val="00A56BA3"/>
    <w:rsid w:val="00A56FCB"/>
    <w:rsid w:val="00A57623"/>
    <w:rsid w:val="00A5782D"/>
    <w:rsid w:val="00A57A69"/>
    <w:rsid w:val="00A61A12"/>
    <w:rsid w:val="00A62657"/>
    <w:rsid w:val="00A63E3D"/>
    <w:rsid w:val="00A643BB"/>
    <w:rsid w:val="00A66A57"/>
    <w:rsid w:val="00A66C2E"/>
    <w:rsid w:val="00A66EAC"/>
    <w:rsid w:val="00A673EB"/>
    <w:rsid w:val="00A6778B"/>
    <w:rsid w:val="00A67A65"/>
    <w:rsid w:val="00A70B9B"/>
    <w:rsid w:val="00A71448"/>
    <w:rsid w:val="00A71ED5"/>
    <w:rsid w:val="00A72F76"/>
    <w:rsid w:val="00A7332B"/>
    <w:rsid w:val="00A7341B"/>
    <w:rsid w:val="00A7366D"/>
    <w:rsid w:val="00A73880"/>
    <w:rsid w:val="00A73A32"/>
    <w:rsid w:val="00A73ABE"/>
    <w:rsid w:val="00A73AE7"/>
    <w:rsid w:val="00A73B75"/>
    <w:rsid w:val="00A7422C"/>
    <w:rsid w:val="00A74B25"/>
    <w:rsid w:val="00A750E3"/>
    <w:rsid w:val="00A758C8"/>
    <w:rsid w:val="00A75F9D"/>
    <w:rsid w:val="00A76285"/>
    <w:rsid w:val="00A80CFB"/>
    <w:rsid w:val="00A810BB"/>
    <w:rsid w:val="00A811F0"/>
    <w:rsid w:val="00A852B4"/>
    <w:rsid w:val="00A86A42"/>
    <w:rsid w:val="00A86CFA"/>
    <w:rsid w:val="00A86ECC"/>
    <w:rsid w:val="00A86FCC"/>
    <w:rsid w:val="00A8706C"/>
    <w:rsid w:val="00A87B2A"/>
    <w:rsid w:val="00A90624"/>
    <w:rsid w:val="00A917F7"/>
    <w:rsid w:val="00A92431"/>
    <w:rsid w:val="00A93290"/>
    <w:rsid w:val="00A94A12"/>
    <w:rsid w:val="00A96559"/>
    <w:rsid w:val="00A96926"/>
    <w:rsid w:val="00A97C7D"/>
    <w:rsid w:val="00A97CB1"/>
    <w:rsid w:val="00AA011F"/>
    <w:rsid w:val="00AA0221"/>
    <w:rsid w:val="00AA04B6"/>
    <w:rsid w:val="00AA0C5A"/>
    <w:rsid w:val="00AA34FD"/>
    <w:rsid w:val="00AA6722"/>
    <w:rsid w:val="00AA705A"/>
    <w:rsid w:val="00AA710D"/>
    <w:rsid w:val="00AA7560"/>
    <w:rsid w:val="00AB01F1"/>
    <w:rsid w:val="00AB132A"/>
    <w:rsid w:val="00AB3317"/>
    <w:rsid w:val="00AB37B4"/>
    <w:rsid w:val="00AB37B7"/>
    <w:rsid w:val="00AB4A33"/>
    <w:rsid w:val="00AB5850"/>
    <w:rsid w:val="00AB62A0"/>
    <w:rsid w:val="00AB6B89"/>
    <w:rsid w:val="00AB6D25"/>
    <w:rsid w:val="00AB6D9B"/>
    <w:rsid w:val="00AB72CA"/>
    <w:rsid w:val="00AB7B3A"/>
    <w:rsid w:val="00AB7BE5"/>
    <w:rsid w:val="00AB7E3B"/>
    <w:rsid w:val="00AC13AF"/>
    <w:rsid w:val="00AC16C5"/>
    <w:rsid w:val="00AC2BAC"/>
    <w:rsid w:val="00AC3527"/>
    <w:rsid w:val="00AC4085"/>
    <w:rsid w:val="00AC4CDB"/>
    <w:rsid w:val="00AC5106"/>
    <w:rsid w:val="00AC7586"/>
    <w:rsid w:val="00AC7777"/>
    <w:rsid w:val="00AC7F81"/>
    <w:rsid w:val="00AD085B"/>
    <w:rsid w:val="00AD1E75"/>
    <w:rsid w:val="00AD2A26"/>
    <w:rsid w:val="00AD300C"/>
    <w:rsid w:val="00AD44DF"/>
    <w:rsid w:val="00AD4767"/>
    <w:rsid w:val="00AD6428"/>
    <w:rsid w:val="00AD699B"/>
    <w:rsid w:val="00AD7219"/>
    <w:rsid w:val="00AE0403"/>
    <w:rsid w:val="00AE0502"/>
    <w:rsid w:val="00AE1068"/>
    <w:rsid w:val="00AE110F"/>
    <w:rsid w:val="00AE14B1"/>
    <w:rsid w:val="00AE19FD"/>
    <w:rsid w:val="00AE269F"/>
    <w:rsid w:val="00AE2D4B"/>
    <w:rsid w:val="00AE464A"/>
    <w:rsid w:val="00AE4822"/>
    <w:rsid w:val="00AE4F99"/>
    <w:rsid w:val="00AE62E6"/>
    <w:rsid w:val="00AE6D71"/>
    <w:rsid w:val="00AF2781"/>
    <w:rsid w:val="00AF48F2"/>
    <w:rsid w:val="00AF4F89"/>
    <w:rsid w:val="00AF5350"/>
    <w:rsid w:val="00AF5E70"/>
    <w:rsid w:val="00AF6313"/>
    <w:rsid w:val="00B00EB5"/>
    <w:rsid w:val="00B00F58"/>
    <w:rsid w:val="00B01C23"/>
    <w:rsid w:val="00B030A8"/>
    <w:rsid w:val="00B03199"/>
    <w:rsid w:val="00B033BB"/>
    <w:rsid w:val="00B04B45"/>
    <w:rsid w:val="00B05A32"/>
    <w:rsid w:val="00B05B24"/>
    <w:rsid w:val="00B062C7"/>
    <w:rsid w:val="00B06AC7"/>
    <w:rsid w:val="00B074A1"/>
    <w:rsid w:val="00B0783E"/>
    <w:rsid w:val="00B10D73"/>
    <w:rsid w:val="00B1200C"/>
    <w:rsid w:val="00B12184"/>
    <w:rsid w:val="00B126B5"/>
    <w:rsid w:val="00B145E2"/>
    <w:rsid w:val="00B14952"/>
    <w:rsid w:val="00B1514F"/>
    <w:rsid w:val="00B15EBB"/>
    <w:rsid w:val="00B161C1"/>
    <w:rsid w:val="00B16943"/>
    <w:rsid w:val="00B16C73"/>
    <w:rsid w:val="00B16F73"/>
    <w:rsid w:val="00B172DF"/>
    <w:rsid w:val="00B200E7"/>
    <w:rsid w:val="00B200FA"/>
    <w:rsid w:val="00B210BF"/>
    <w:rsid w:val="00B211FA"/>
    <w:rsid w:val="00B2134C"/>
    <w:rsid w:val="00B21431"/>
    <w:rsid w:val="00B21986"/>
    <w:rsid w:val="00B221E5"/>
    <w:rsid w:val="00B23412"/>
    <w:rsid w:val="00B23D69"/>
    <w:rsid w:val="00B24A8B"/>
    <w:rsid w:val="00B24E11"/>
    <w:rsid w:val="00B24E62"/>
    <w:rsid w:val="00B25B97"/>
    <w:rsid w:val="00B261B5"/>
    <w:rsid w:val="00B2691D"/>
    <w:rsid w:val="00B26EB2"/>
    <w:rsid w:val="00B27092"/>
    <w:rsid w:val="00B27B75"/>
    <w:rsid w:val="00B31E5A"/>
    <w:rsid w:val="00B34383"/>
    <w:rsid w:val="00B350A0"/>
    <w:rsid w:val="00B35AB8"/>
    <w:rsid w:val="00B35DDE"/>
    <w:rsid w:val="00B35F4F"/>
    <w:rsid w:val="00B362F8"/>
    <w:rsid w:val="00B366F3"/>
    <w:rsid w:val="00B36FEF"/>
    <w:rsid w:val="00B37483"/>
    <w:rsid w:val="00B37F45"/>
    <w:rsid w:val="00B407A6"/>
    <w:rsid w:val="00B41A2C"/>
    <w:rsid w:val="00B42674"/>
    <w:rsid w:val="00B447C4"/>
    <w:rsid w:val="00B44F0A"/>
    <w:rsid w:val="00B45428"/>
    <w:rsid w:val="00B47305"/>
    <w:rsid w:val="00B47433"/>
    <w:rsid w:val="00B4786B"/>
    <w:rsid w:val="00B50344"/>
    <w:rsid w:val="00B511F2"/>
    <w:rsid w:val="00B51E9F"/>
    <w:rsid w:val="00B52697"/>
    <w:rsid w:val="00B52CD2"/>
    <w:rsid w:val="00B53BF2"/>
    <w:rsid w:val="00B55F11"/>
    <w:rsid w:val="00B560E4"/>
    <w:rsid w:val="00B562B0"/>
    <w:rsid w:val="00B56BFB"/>
    <w:rsid w:val="00B56C44"/>
    <w:rsid w:val="00B56D99"/>
    <w:rsid w:val="00B57E6A"/>
    <w:rsid w:val="00B6005B"/>
    <w:rsid w:val="00B607E7"/>
    <w:rsid w:val="00B60A9B"/>
    <w:rsid w:val="00B60BE8"/>
    <w:rsid w:val="00B60C8B"/>
    <w:rsid w:val="00B60CAA"/>
    <w:rsid w:val="00B60CAC"/>
    <w:rsid w:val="00B60EB4"/>
    <w:rsid w:val="00B62C22"/>
    <w:rsid w:val="00B63913"/>
    <w:rsid w:val="00B63A3C"/>
    <w:rsid w:val="00B653AB"/>
    <w:rsid w:val="00B653BB"/>
    <w:rsid w:val="00B653FD"/>
    <w:rsid w:val="00B65F9E"/>
    <w:rsid w:val="00B66839"/>
    <w:rsid w:val="00B66B19"/>
    <w:rsid w:val="00B70B43"/>
    <w:rsid w:val="00B71535"/>
    <w:rsid w:val="00B7359B"/>
    <w:rsid w:val="00B7448A"/>
    <w:rsid w:val="00B74F89"/>
    <w:rsid w:val="00B76EA1"/>
    <w:rsid w:val="00B805EF"/>
    <w:rsid w:val="00B80DCF"/>
    <w:rsid w:val="00B81944"/>
    <w:rsid w:val="00B81F95"/>
    <w:rsid w:val="00B847C2"/>
    <w:rsid w:val="00B85801"/>
    <w:rsid w:val="00B86633"/>
    <w:rsid w:val="00B8712B"/>
    <w:rsid w:val="00B87436"/>
    <w:rsid w:val="00B90948"/>
    <w:rsid w:val="00B914E9"/>
    <w:rsid w:val="00B92CDE"/>
    <w:rsid w:val="00B94373"/>
    <w:rsid w:val="00B9564E"/>
    <w:rsid w:val="00B956EE"/>
    <w:rsid w:val="00B95BFE"/>
    <w:rsid w:val="00B97210"/>
    <w:rsid w:val="00B97DCA"/>
    <w:rsid w:val="00B97E8A"/>
    <w:rsid w:val="00BA0245"/>
    <w:rsid w:val="00BA0895"/>
    <w:rsid w:val="00BA09FF"/>
    <w:rsid w:val="00BA1213"/>
    <w:rsid w:val="00BA1328"/>
    <w:rsid w:val="00BA272B"/>
    <w:rsid w:val="00BA2BA1"/>
    <w:rsid w:val="00BA3B38"/>
    <w:rsid w:val="00BA3E13"/>
    <w:rsid w:val="00BA437D"/>
    <w:rsid w:val="00BA4A82"/>
    <w:rsid w:val="00BA6475"/>
    <w:rsid w:val="00BA6E49"/>
    <w:rsid w:val="00BA6E7F"/>
    <w:rsid w:val="00BA7208"/>
    <w:rsid w:val="00BA73E2"/>
    <w:rsid w:val="00BB0131"/>
    <w:rsid w:val="00BB127F"/>
    <w:rsid w:val="00BB20E3"/>
    <w:rsid w:val="00BB2EB4"/>
    <w:rsid w:val="00BB2F29"/>
    <w:rsid w:val="00BB2FFB"/>
    <w:rsid w:val="00BB37E6"/>
    <w:rsid w:val="00BB3FFB"/>
    <w:rsid w:val="00BB4795"/>
    <w:rsid w:val="00BB67A7"/>
    <w:rsid w:val="00BB6EB5"/>
    <w:rsid w:val="00BB7375"/>
    <w:rsid w:val="00BB7783"/>
    <w:rsid w:val="00BB77CB"/>
    <w:rsid w:val="00BB7C37"/>
    <w:rsid w:val="00BC30E5"/>
    <w:rsid w:val="00BC3226"/>
    <w:rsid w:val="00BC32E1"/>
    <w:rsid w:val="00BC3899"/>
    <w:rsid w:val="00BC399A"/>
    <w:rsid w:val="00BC4B59"/>
    <w:rsid w:val="00BC4CA6"/>
    <w:rsid w:val="00BC4DE3"/>
    <w:rsid w:val="00BC512B"/>
    <w:rsid w:val="00BC62B2"/>
    <w:rsid w:val="00BC6B1C"/>
    <w:rsid w:val="00BC6C00"/>
    <w:rsid w:val="00BC6D91"/>
    <w:rsid w:val="00BC717A"/>
    <w:rsid w:val="00BC77E9"/>
    <w:rsid w:val="00BD0AF7"/>
    <w:rsid w:val="00BD0E36"/>
    <w:rsid w:val="00BD11FA"/>
    <w:rsid w:val="00BD26FA"/>
    <w:rsid w:val="00BD3265"/>
    <w:rsid w:val="00BD3AD3"/>
    <w:rsid w:val="00BD4458"/>
    <w:rsid w:val="00BD4BD5"/>
    <w:rsid w:val="00BD4E33"/>
    <w:rsid w:val="00BD5D93"/>
    <w:rsid w:val="00BD5F21"/>
    <w:rsid w:val="00BD6CBF"/>
    <w:rsid w:val="00BD6FA3"/>
    <w:rsid w:val="00BE0358"/>
    <w:rsid w:val="00BE25CD"/>
    <w:rsid w:val="00BE289F"/>
    <w:rsid w:val="00BE29A1"/>
    <w:rsid w:val="00BE49AD"/>
    <w:rsid w:val="00BE6128"/>
    <w:rsid w:val="00BE6264"/>
    <w:rsid w:val="00BE6E57"/>
    <w:rsid w:val="00BE7644"/>
    <w:rsid w:val="00BF1A32"/>
    <w:rsid w:val="00BF21DD"/>
    <w:rsid w:val="00BF2AF3"/>
    <w:rsid w:val="00BF2BE0"/>
    <w:rsid w:val="00BF2D3C"/>
    <w:rsid w:val="00BF2F2C"/>
    <w:rsid w:val="00BF3F8A"/>
    <w:rsid w:val="00BF4383"/>
    <w:rsid w:val="00BF5D18"/>
    <w:rsid w:val="00BF5F01"/>
    <w:rsid w:val="00BF7CA3"/>
    <w:rsid w:val="00C00040"/>
    <w:rsid w:val="00C0207B"/>
    <w:rsid w:val="00C02B99"/>
    <w:rsid w:val="00C030DE"/>
    <w:rsid w:val="00C040ED"/>
    <w:rsid w:val="00C04116"/>
    <w:rsid w:val="00C045D8"/>
    <w:rsid w:val="00C045E4"/>
    <w:rsid w:val="00C04CDF"/>
    <w:rsid w:val="00C053B3"/>
    <w:rsid w:val="00C064E4"/>
    <w:rsid w:val="00C06507"/>
    <w:rsid w:val="00C07F0B"/>
    <w:rsid w:val="00C116FD"/>
    <w:rsid w:val="00C12DDE"/>
    <w:rsid w:val="00C13BC5"/>
    <w:rsid w:val="00C14AAE"/>
    <w:rsid w:val="00C15E8A"/>
    <w:rsid w:val="00C163BD"/>
    <w:rsid w:val="00C16FE4"/>
    <w:rsid w:val="00C17BB9"/>
    <w:rsid w:val="00C20E2E"/>
    <w:rsid w:val="00C22105"/>
    <w:rsid w:val="00C22830"/>
    <w:rsid w:val="00C22ACA"/>
    <w:rsid w:val="00C2352A"/>
    <w:rsid w:val="00C23AAF"/>
    <w:rsid w:val="00C244B6"/>
    <w:rsid w:val="00C248C1"/>
    <w:rsid w:val="00C2702E"/>
    <w:rsid w:val="00C2740D"/>
    <w:rsid w:val="00C27648"/>
    <w:rsid w:val="00C27BE6"/>
    <w:rsid w:val="00C3244F"/>
    <w:rsid w:val="00C32A13"/>
    <w:rsid w:val="00C3598D"/>
    <w:rsid w:val="00C35FC8"/>
    <w:rsid w:val="00C36EA1"/>
    <w:rsid w:val="00C372D6"/>
    <w:rsid w:val="00C3739E"/>
    <w:rsid w:val="00C37609"/>
    <w:rsid w:val="00C40D4F"/>
    <w:rsid w:val="00C40E24"/>
    <w:rsid w:val="00C411ED"/>
    <w:rsid w:val="00C41277"/>
    <w:rsid w:val="00C412F7"/>
    <w:rsid w:val="00C417B2"/>
    <w:rsid w:val="00C42219"/>
    <w:rsid w:val="00C427AE"/>
    <w:rsid w:val="00C42B6B"/>
    <w:rsid w:val="00C42E05"/>
    <w:rsid w:val="00C43B21"/>
    <w:rsid w:val="00C4481B"/>
    <w:rsid w:val="00C45334"/>
    <w:rsid w:val="00C45FA6"/>
    <w:rsid w:val="00C465CF"/>
    <w:rsid w:val="00C46C22"/>
    <w:rsid w:val="00C4751D"/>
    <w:rsid w:val="00C4786E"/>
    <w:rsid w:val="00C47FC4"/>
    <w:rsid w:val="00C51A8A"/>
    <w:rsid w:val="00C51F98"/>
    <w:rsid w:val="00C5230F"/>
    <w:rsid w:val="00C537C3"/>
    <w:rsid w:val="00C5394E"/>
    <w:rsid w:val="00C548B8"/>
    <w:rsid w:val="00C549B0"/>
    <w:rsid w:val="00C5561A"/>
    <w:rsid w:val="00C5773C"/>
    <w:rsid w:val="00C579CE"/>
    <w:rsid w:val="00C60C4B"/>
    <w:rsid w:val="00C614D2"/>
    <w:rsid w:val="00C615DF"/>
    <w:rsid w:val="00C617A6"/>
    <w:rsid w:val="00C6198C"/>
    <w:rsid w:val="00C648ED"/>
    <w:rsid w:val="00C64A37"/>
    <w:rsid w:val="00C64D56"/>
    <w:rsid w:val="00C652B3"/>
    <w:rsid w:val="00C65676"/>
    <w:rsid w:val="00C6574D"/>
    <w:rsid w:val="00C668EA"/>
    <w:rsid w:val="00C67861"/>
    <w:rsid w:val="00C70AFF"/>
    <w:rsid w:val="00C7158E"/>
    <w:rsid w:val="00C715FF"/>
    <w:rsid w:val="00C7250B"/>
    <w:rsid w:val="00C7295D"/>
    <w:rsid w:val="00C7322A"/>
    <w:rsid w:val="00C7346B"/>
    <w:rsid w:val="00C73BAE"/>
    <w:rsid w:val="00C73C19"/>
    <w:rsid w:val="00C74257"/>
    <w:rsid w:val="00C75437"/>
    <w:rsid w:val="00C75940"/>
    <w:rsid w:val="00C75CAD"/>
    <w:rsid w:val="00C76242"/>
    <w:rsid w:val="00C76DB1"/>
    <w:rsid w:val="00C775FA"/>
    <w:rsid w:val="00C77C0E"/>
    <w:rsid w:val="00C8318C"/>
    <w:rsid w:val="00C839F0"/>
    <w:rsid w:val="00C850B6"/>
    <w:rsid w:val="00C90344"/>
    <w:rsid w:val="00C90C85"/>
    <w:rsid w:val="00C91687"/>
    <w:rsid w:val="00C91718"/>
    <w:rsid w:val="00C9206D"/>
    <w:rsid w:val="00C924A8"/>
    <w:rsid w:val="00C9305A"/>
    <w:rsid w:val="00C9373E"/>
    <w:rsid w:val="00C93EB3"/>
    <w:rsid w:val="00C942D0"/>
    <w:rsid w:val="00C945FE"/>
    <w:rsid w:val="00C94819"/>
    <w:rsid w:val="00C96473"/>
    <w:rsid w:val="00C96FAA"/>
    <w:rsid w:val="00C97A04"/>
    <w:rsid w:val="00C97D7D"/>
    <w:rsid w:val="00C97E85"/>
    <w:rsid w:val="00CA0495"/>
    <w:rsid w:val="00CA107B"/>
    <w:rsid w:val="00CA14E6"/>
    <w:rsid w:val="00CA23F5"/>
    <w:rsid w:val="00CA38AE"/>
    <w:rsid w:val="00CA484D"/>
    <w:rsid w:val="00CA4A38"/>
    <w:rsid w:val="00CA6407"/>
    <w:rsid w:val="00CA6856"/>
    <w:rsid w:val="00CA6E34"/>
    <w:rsid w:val="00CA6E97"/>
    <w:rsid w:val="00CA7E40"/>
    <w:rsid w:val="00CB047A"/>
    <w:rsid w:val="00CB0DAC"/>
    <w:rsid w:val="00CB2CE6"/>
    <w:rsid w:val="00CB3A5F"/>
    <w:rsid w:val="00CB43E1"/>
    <w:rsid w:val="00CB4742"/>
    <w:rsid w:val="00CB5572"/>
    <w:rsid w:val="00CB57DE"/>
    <w:rsid w:val="00CB61AE"/>
    <w:rsid w:val="00CB7623"/>
    <w:rsid w:val="00CB77D4"/>
    <w:rsid w:val="00CB7B94"/>
    <w:rsid w:val="00CC20A7"/>
    <w:rsid w:val="00CC25D0"/>
    <w:rsid w:val="00CC2DF1"/>
    <w:rsid w:val="00CC39DC"/>
    <w:rsid w:val="00CC4B15"/>
    <w:rsid w:val="00CC4D5F"/>
    <w:rsid w:val="00CC4F14"/>
    <w:rsid w:val="00CC57DD"/>
    <w:rsid w:val="00CC5A92"/>
    <w:rsid w:val="00CC6E4A"/>
    <w:rsid w:val="00CC739E"/>
    <w:rsid w:val="00CC7714"/>
    <w:rsid w:val="00CC7E7A"/>
    <w:rsid w:val="00CD0E16"/>
    <w:rsid w:val="00CD1BB3"/>
    <w:rsid w:val="00CD3020"/>
    <w:rsid w:val="00CD3028"/>
    <w:rsid w:val="00CD367F"/>
    <w:rsid w:val="00CD3F77"/>
    <w:rsid w:val="00CD44CC"/>
    <w:rsid w:val="00CD5579"/>
    <w:rsid w:val="00CD58B7"/>
    <w:rsid w:val="00CD6D4C"/>
    <w:rsid w:val="00CD790C"/>
    <w:rsid w:val="00CD7EAB"/>
    <w:rsid w:val="00CE06F1"/>
    <w:rsid w:val="00CE104F"/>
    <w:rsid w:val="00CE11EB"/>
    <w:rsid w:val="00CE2BA3"/>
    <w:rsid w:val="00CE469C"/>
    <w:rsid w:val="00CE479B"/>
    <w:rsid w:val="00CE4B17"/>
    <w:rsid w:val="00CE5119"/>
    <w:rsid w:val="00CE52D3"/>
    <w:rsid w:val="00CE5AE4"/>
    <w:rsid w:val="00CE69C6"/>
    <w:rsid w:val="00CE6A10"/>
    <w:rsid w:val="00CE6D4A"/>
    <w:rsid w:val="00CE738C"/>
    <w:rsid w:val="00CF0700"/>
    <w:rsid w:val="00CF0EB6"/>
    <w:rsid w:val="00CF1BCC"/>
    <w:rsid w:val="00CF3244"/>
    <w:rsid w:val="00CF354B"/>
    <w:rsid w:val="00CF3739"/>
    <w:rsid w:val="00CF3ABD"/>
    <w:rsid w:val="00CF3FF1"/>
    <w:rsid w:val="00CF4099"/>
    <w:rsid w:val="00CF40D2"/>
    <w:rsid w:val="00CF4ECC"/>
    <w:rsid w:val="00CF77E4"/>
    <w:rsid w:val="00CF787A"/>
    <w:rsid w:val="00CF78FE"/>
    <w:rsid w:val="00CF7B34"/>
    <w:rsid w:val="00D0156F"/>
    <w:rsid w:val="00D035ED"/>
    <w:rsid w:val="00D050BB"/>
    <w:rsid w:val="00D05162"/>
    <w:rsid w:val="00D05C62"/>
    <w:rsid w:val="00D06AC9"/>
    <w:rsid w:val="00D07944"/>
    <w:rsid w:val="00D07A39"/>
    <w:rsid w:val="00D10474"/>
    <w:rsid w:val="00D10529"/>
    <w:rsid w:val="00D10570"/>
    <w:rsid w:val="00D10C61"/>
    <w:rsid w:val="00D110BD"/>
    <w:rsid w:val="00D126C5"/>
    <w:rsid w:val="00D13E33"/>
    <w:rsid w:val="00D144D4"/>
    <w:rsid w:val="00D16814"/>
    <w:rsid w:val="00D16B1B"/>
    <w:rsid w:val="00D17D8C"/>
    <w:rsid w:val="00D208DD"/>
    <w:rsid w:val="00D20D4B"/>
    <w:rsid w:val="00D22A74"/>
    <w:rsid w:val="00D22F17"/>
    <w:rsid w:val="00D22F3C"/>
    <w:rsid w:val="00D23533"/>
    <w:rsid w:val="00D23A75"/>
    <w:rsid w:val="00D23A9D"/>
    <w:rsid w:val="00D248F4"/>
    <w:rsid w:val="00D24DFD"/>
    <w:rsid w:val="00D261A2"/>
    <w:rsid w:val="00D26424"/>
    <w:rsid w:val="00D26EC1"/>
    <w:rsid w:val="00D272B7"/>
    <w:rsid w:val="00D30038"/>
    <w:rsid w:val="00D30667"/>
    <w:rsid w:val="00D30873"/>
    <w:rsid w:val="00D30AB1"/>
    <w:rsid w:val="00D313B7"/>
    <w:rsid w:val="00D31EDD"/>
    <w:rsid w:val="00D32507"/>
    <w:rsid w:val="00D32E28"/>
    <w:rsid w:val="00D33600"/>
    <w:rsid w:val="00D33ADF"/>
    <w:rsid w:val="00D33AF1"/>
    <w:rsid w:val="00D33C0E"/>
    <w:rsid w:val="00D34790"/>
    <w:rsid w:val="00D34814"/>
    <w:rsid w:val="00D34B9C"/>
    <w:rsid w:val="00D350AE"/>
    <w:rsid w:val="00D35CA9"/>
    <w:rsid w:val="00D35FC9"/>
    <w:rsid w:val="00D3676A"/>
    <w:rsid w:val="00D36F49"/>
    <w:rsid w:val="00D377EE"/>
    <w:rsid w:val="00D378DC"/>
    <w:rsid w:val="00D37939"/>
    <w:rsid w:val="00D4076C"/>
    <w:rsid w:val="00D40BFF"/>
    <w:rsid w:val="00D4119F"/>
    <w:rsid w:val="00D41C37"/>
    <w:rsid w:val="00D423AF"/>
    <w:rsid w:val="00D424E9"/>
    <w:rsid w:val="00D42C69"/>
    <w:rsid w:val="00D42F89"/>
    <w:rsid w:val="00D43133"/>
    <w:rsid w:val="00D4442D"/>
    <w:rsid w:val="00D45562"/>
    <w:rsid w:val="00D45C50"/>
    <w:rsid w:val="00D46354"/>
    <w:rsid w:val="00D46AAD"/>
    <w:rsid w:val="00D46DAF"/>
    <w:rsid w:val="00D475CA"/>
    <w:rsid w:val="00D477D3"/>
    <w:rsid w:val="00D50F65"/>
    <w:rsid w:val="00D511A5"/>
    <w:rsid w:val="00D527B6"/>
    <w:rsid w:val="00D54E78"/>
    <w:rsid w:val="00D55234"/>
    <w:rsid w:val="00D5712F"/>
    <w:rsid w:val="00D608CF"/>
    <w:rsid w:val="00D61206"/>
    <w:rsid w:val="00D615C0"/>
    <w:rsid w:val="00D616D2"/>
    <w:rsid w:val="00D635A9"/>
    <w:rsid w:val="00D63B5F"/>
    <w:rsid w:val="00D63F51"/>
    <w:rsid w:val="00D648DE"/>
    <w:rsid w:val="00D64C6A"/>
    <w:rsid w:val="00D6714E"/>
    <w:rsid w:val="00D67785"/>
    <w:rsid w:val="00D70186"/>
    <w:rsid w:val="00D7099F"/>
    <w:rsid w:val="00D70EF7"/>
    <w:rsid w:val="00D7110A"/>
    <w:rsid w:val="00D715DF"/>
    <w:rsid w:val="00D71B34"/>
    <w:rsid w:val="00D72389"/>
    <w:rsid w:val="00D733F4"/>
    <w:rsid w:val="00D735C2"/>
    <w:rsid w:val="00D738D3"/>
    <w:rsid w:val="00D741A0"/>
    <w:rsid w:val="00D742B6"/>
    <w:rsid w:val="00D74A5A"/>
    <w:rsid w:val="00D76E82"/>
    <w:rsid w:val="00D77205"/>
    <w:rsid w:val="00D816EE"/>
    <w:rsid w:val="00D81C58"/>
    <w:rsid w:val="00D8319E"/>
    <w:rsid w:val="00D83308"/>
    <w:rsid w:val="00D83966"/>
    <w:rsid w:val="00D8397C"/>
    <w:rsid w:val="00D854A4"/>
    <w:rsid w:val="00D8754D"/>
    <w:rsid w:val="00D90208"/>
    <w:rsid w:val="00D91047"/>
    <w:rsid w:val="00D9133B"/>
    <w:rsid w:val="00D920F9"/>
    <w:rsid w:val="00D92B60"/>
    <w:rsid w:val="00D93376"/>
    <w:rsid w:val="00D94657"/>
    <w:rsid w:val="00D94BB0"/>
    <w:rsid w:val="00D94CE0"/>
    <w:rsid w:val="00D94EED"/>
    <w:rsid w:val="00D96026"/>
    <w:rsid w:val="00D96083"/>
    <w:rsid w:val="00D9640F"/>
    <w:rsid w:val="00D9643D"/>
    <w:rsid w:val="00D96619"/>
    <w:rsid w:val="00D97655"/>
    <w:rsid w:val="00D97F2A"/>
    <w:rsid w:val="00DA0110"/>
    <w:rsid w:val="00DA0179"/>
    <w:rsid w:val="00DA1044"/>
    <w:rsid w:val="00DA11F9"/>
    <w:rsid w:val="00DA1D07"/>
    <w:rsid w:val="00DA42BA"/>
    <w:rsid w:val="00DA5596"/>
    <w:rsid w:val="00DA5E0F"/>
    <w:rsid w:val="00DA70D1"/>
    <w:rsid w:val="00DB0097"/>
    <w:rsid w:val="00DB0B3F"/>
    <w:rsid w:val="00DB0C17"/>
    <w:rsid w:val="00DB147A"/>
    <w:rsid w:val="00DB159E"/>
    <w:rsid w:val="00DB1B7A"/>
    <w:rsid w:val="00DB1BA1"/>
    <w:rsid w:val="00DB29CE"/>
    <w:rsid w:val="00DB2D3A"/>
    <w:rsid w:val="00DB4EFB"/>
    <w:rsid w:val="00DB5158"/>
    <w:rsid w:val="00DB5613"/>
    <w:rsid w:val="00DB72F4"/>
    <w:rsid w:val="00DB778D"/>
    <w:rsid w:val="00DC0739"/>
    <w:rsid w:val="00DC09C3"/>
    <w:rsid w:val="00DC10F1"/>
    <w:rsid w:val="00DC1C11"/>
    <w:rsid w:val="00DC1DEC"/>
    <w:rsid w:val="00DC25CD"/>
    <w:rsid w:val="00DC3808"/>
    <w:rsid w:val="00DC4DDD"/>
    <w:rsid w:val="00DC5668"/>
    <w:rsid w:val="00DC5762"/>
    <w:rsid w:val="00DC58EC"/>
    <w:rsid w:val="00DC6708"/>
    <w:rsid w:val="00DC6F18"/>
    <w:rsid w:val="00DC77F9"/>
    <w:rsid w:val="00DD0693"/>
    <w:rsid w:val="00DD0C95"/>
    <w:rsid w:val="00DD112C"/>
    <w:rsid w:val="00DD1ABC"/>
    <w:rsid w:val="00DD2439"/>
    <w:rsid w:val="00DD25F7"/>
    <w:rsid w:val="00DD42AD"/>
    <w:rsid w:val="00DD45DC"/>
    <w:rsid w:val="00DD4D9D"/>
    <w:rsid w:val="00DD54A4"/>
    <w:rsid w:val="00DD6C42"/>
    <w:rsid w:val="00DD7469"/>
    <w:rsid w:val="00DD7C48"/>
    <w:rsid w:val="00DE0352"/>
    <w:rsid w:val="00DE0D53"/>
    <w:rsid w:val="00DE0DEE"/>
    <w:rsid w:val="00DE2DE3"/>
    <w:rsid w:val="00DE3D79"/>
    <w:rsid w:val="00DE5AB6"/>
    <w:rsid w:val="00DE5DF8"/>
    <w:rsid w:val="00DE6052"/>
    <w:rsid w:val="00DE6313"/>
    <w:rsid w:val="00DE6E09"/>
    <w:rsid w:val="00DE7698"/>
    <w:rsid w:val="00DE78B6"/>
    <w:rsid w:val="00DF013A"/>
    <w:rsid w:val="00DF065B"/>
    <w:rsid w:val="00DF16C0"/>
    <w:rsid w:val="00DF1D45"/>
    <w:rsid w:val="00DF2963"/>
    <w:rsid w:val="00DF39C9"/>
    <w:rsid w:val="00DF3B68"/>
    <w:rsid w:val="00DF3BFD"/>
    <w:rsid w:val="00DF4D04"/>
    <w:rsid w:val="00DF50C1"/>
    <w:rsid w:val="00DF542D"/>
    <w:rsid w:val="00DF543F"/>
    <w:rsid w:val="00E00026"/>
    <w:rsid w:val="00E00298"/>
    <w:rsid w:val="00E00F91"/>
    <w:rsid w:val="00E011CF"/>
    <w:rsid w:val="00E01436"/>
    <w:rsid w:val="00E01BC8"/>
    <w:rsid w:val="00E01EBF"/>
    <w:rsid w:val="00E020FD"/>
    <w:rsid w:val="00E0233B"/>
    <w:rsid w:val="00E03C52"/>
    <w:rsid w:val="00E03FF7"/>
    <w:rsid w:val="00E045BD"/>
    <w:rsid w:val="00E04FF2"/>
    <w:rsid w:val="00E0587B"/>
    <w:rsid w:val="00E06546"/>
    <w:rsid w:val="00E0664E"/>
    <w:rsid w:val="00E06DD1"/>
    <w:rsid w:val="00E10C95"/>
    <w:rsid w:val="00E10FCD"/>
    <w:rsid w:val="00E11664"/>
    <w:rsid w:val="00E130AD"/>
    <w:rsid w:val="00E130B3"/>
    <w:rsid w:val="00E1366D"/>
    <w:rsid w:val="00E144E4"/>
    <w:rsid w:val="00E14756"/>
    <w:rsid w:val="00E14EFF"/>
    <w:rsid w:val="00E163BB"/>
    <w:rsid w:val="00E16D71"/>
    <w:rsid w:val="00E17B77"/>
    <w:rsid w:val="00E206DA"/>
    <w:rsid w:val="00E21325"/>
    <w:rsid w:val="00E21369"/>
    <w:rsid w:val="00E22028"/>
    <w:rsid w:val="00E2213D"/>
    <w:rsid w:val="00E233B5"/>
    <w:rsid w:val="00E249C3"/>
    <w:rsid w:val="00E26825"/>
    <w:rsid w:val="00E26998"/>
    <w:rsid w:val="00E272AA"/>
    <w:rsid w:val="00E30A17"/>
    <w:rsid w:val="00E30AAF"/>
    <w:rsid w:val="00E3131F"/>
    <w:rsid w:val="00E31714"/>
    <w:rsid w:val="00E318F3"/>
    <w:rsid w:val="00E31A42"/>
    <w:rsid w:val="00E31B99"/>
    <w:rsid w:val="00E32061"/>
    <w:rsid w:val="00E32C96"/>
    <w:rsid w:val="00E33ED9"/>
    <w:rsid w:val="00E33FB2"/>
    <w:rsid w:val="00E3508C"/>
    <w:rsid w:val="00E35D77"/>
    <w:rsid w:val="00E36381"/>
    <w:rsid w:val="00E36AD5"/>
    <w:rsid w:val="00E36B28"/>
    <w:rsid w:val="00E36F46"/>
    <w:rsid w:val="00E37368"/>
    <w:rsid w:val="00E377B8"/>
    <w:rsid w:val="00E40336"/>
    <w:rsid w:val="00E407E2"/>
    <w:rsid w:val="00E40BBB"/>
    <w:rsid w:val="00E41760"/>
    <w:rsid w:val="00E42E54"/>
    <w:rsid w:val="00E42FF9"/>
    <w:rsid w:val="00E43A7E"/>
    <w:rsid w:val="00E43B1E"/>
    <w:rsid w:val="00E44307"/>
    <w:rsid w:val="00E44CEE"/>
    <w:rsid w:val="00E45327"/>
    <w:rsid w:val="00E454B8"/>
    <w:rsid w:val="00E458E1"/>
    <w:rsid w:val="00E45948"/>
    <w:rsid w:val="00E46438"/>
    <w:rsid w:val="00E4714C"/>
    <w:rsid w:val="00E47218"/>
    <w:rsid w:val="00E476A0"/>
    <w:rsid w:val="00E51242"/>
    <w:rsid w:val="00E517C2"/>
    <w:rsid w:val="00E5190C"/>
    <w:rsid w:val="00E51AD7"/>
    <w:rsid w:val="00E51AEB"/>
    <w:rsid w:val="00E51E90"/>
    <w:rsid w:val="00E522A7"/>
    <w:rsid w:val="00E5342D"/>
    <w:rsid w:val="00E5369D"/>
    <w:rsid w:val="00E53909"/>
    <w:rsid w:val="00E54452"/>
    <w:rsid w:val="00E54B98"/>
    <w:rsid w:val="00E5604E"/>
    <w:rsid w:val="00E561EE"/>
    <w:rsid w:val="00E568B2"/>
    <w:rsid w:val="00E606A7"/>
    <w:rsid w:val="00E6257D"/>
    <w:rsid w:val="00E62F8C"/>
    <w:rsid w:val="00E637E4"/>
    <w:rsid w:val="00E650CA"/>
    <w:rsid w:val="00E6622F"/>
    <w:rsid w:val="00E664C5"/>
    <w:rsid w:val="00E6655D"/>
    <w:rsid w:val="00E671A2"/>
    <w:rsid w:val="00E67F8A"/>
    <w:rsid w:val="00E7052E"/>
    <w:rsid w:val="00E70683"/>
    <w:rsid w:val="00E7165D"/>
    <w:rsid w:val="00E7180B"/>
    <w:rsid w:val="00E71CE1"/>
    <w:rsid w:val="00E72C42"/>
    <w:rsid w:val="00E7323D"/>
    <w:rsid w:val="00E7345B"/>
    <w:rsid w:val="00E74945"/>
    <w:rsid w:val="00E74B3C"/>
    <w:rsid w:val="00E761B5"/>
    <w:rsid w:val="00E76D26"/>
    <w:rsid w:val="00E76ECE"/>
    <w:rsid w:val="00E77CC5"/>
    <w:rsid w:val="00E80351"/>
    <w:rsid w:val="00E809A7"/>
    <w:rsid w:val="00E815DD"/>
    <w:rsid w:val="00E839A7"/>
    <w:rsid w:val="00E83F75"/>
    <w:rsid w:val="00E84352"/>
    <w:rsid w:val="00E8543C"/>
    <w:rsid w:val="00E861ED"/>
    <w:rsid w:val="00E86C4D"/>
    <w:rsid w:val="00E86E0C"/>
    <w:rsid w:val="00E86E99"/>
    <w:rsid w:val="00E910CE"/>
    <w:rsid w:val="00E9175F"/>
    <w:rsid w:val="00E9194D"/>
    <w:rsid w:val="00E91ADB"/>
    <w:rsid w:val="00E91EBC"/>
    <w:rsid w:val="00E92036"/>
    <w:rsid w:val="00E94A7F"/>
    <w:rsid w:val="00E95726"/>
    <w:rsid w:val="00E95DE6"/>
    <w:rsid w:val="00E966E0"/>
    <w:rsid w:val="00E97DA6"/>
    <w:rsid w:val="00EA0278"/>
    <w:rsid w:val="00EA1D9A"/>
    <w:rsid w:val="00EA2BF4"/>
    <w:rsid w:val="00EA2E62"/>
    <w:rsid w:val="00EA2FFC"/>
    <w:rsid w:val="00EA3343"/>
    <w:rsid w:val="00EA3376"/>
    <w:rsid w:val="00EA45BA"/>
    <w:rsid w:val="00EA471D"/>
    <w:rsid w:val="00EA505D"/>
    <w:rsid w:val="00EA505F"/>
    <w:rsid w:val="00EA6211"/>
    <w:rsid w:val="00EA6380"/>
    <w:rsid w:val="00EB1219"/>
    <w:rsid w:val="00EB1390"/>
    <w:rsid w:val="00EB2818"/>
    <w:rsid w:val="00EB2C71"/>
    <w:rsid w:val="00EB3DD7"/>
    <w:rsid w:val="00EB4340"/>
    <w:rsid w:val="00EB7AB1"/>
    <w:rsid w:val="00EB7FF2"/>
    <w:rsid w:val="00EC1598"/>
    <w:rsid w:val="00EC301F"/>
    <w:rsid w:val="00EC41F8"/>
    <w:rsid w:val="00EC48CD"/>
    <w:rsid w:val="00EC526F"/>
    <w:rsid w:val="00EC5695"/>
    <w:rsid w:val="00EC59AD"/>
    <w:rsid w:val="00EC5FFD"/>
    <w:rsid w:val="00EC6F1B"/>
    <w:rsid w:val="00EC71BC"/>
    <w:rsid w:val="00EC7DBE"/>
    <w:rsid w:val="00ED0A2A"/>
    <w:rsid w:val="00ED19AA"/>
    <w:rsid w:val="00ED19F1"/>
    <w:rsid w:val="00ED1FFF"/>
    <w:rsid w:val="00ED219C"/>
    <w:rsid w:val="00ED5262"/>
    <w:rsid w:val="00ED55C0"/>
    <w:rsid w:val="00ED682B"/>
    <w:rsid w:val="00ED6FDF"/>
    <w:rsid w:val="00ED710B"/>
    <w:rsid w:val="00ED7F3A"/>
    <w:rsid w:val="00EE0828"/>
    <w:rsid w:val="00EE08D1"/>
    <w:rsid w:val="00EE096A"/>
    <w:rsid w:val="00EE0F10"/>
    <w:rsid w:val="00EE2477"/>
    <w:rsid w:val="00EE3D78"/>
    <w:rsid w:val="00EE4180"/>
    <w:rsid w:val="00EE41D5"/>
    <w:rsid w:val="00EE432C"/>
    <w:rsid w:val="00EE4391"/>
    <w:rsid w:val="00EE4537"/>
    <w:rsid w:val="00EE4A24"/>
    <w:rsid w:val="00EE505A"/>
    <w:rsid w:val="00EE5ABA"/>
    <w:rsid w:val="00EE6647"/>
    <w:rsid w:val="00EE74A4"/>
    <w:rsid w:val="00EE7679"/>
    <w:rsid w:val="00EE7D11"/>
    <w:rsid w:val="00EF1AD5"/>
    <w:rsid w:val="00EF2A56"/>
    <w:rsid w:val="00EF5861"/>
    <w:rsid w:val="00EF6082"/>
    <w:rsid w:val="00EF6153"/>
    <w:rsid w:val="00EF7DE9"/>
    <w:rsid w:val="00F00A3C"/>
    <w:rsid w:val="00F02FC9"/>
    <w:rsid w:val="00F037A4"/>
    <w:rsid w:val="00F0474B"/>
    <w:rsid w:val="00F048E7"/>
    <w:rsid w:val="00F06B16"/>
    <w:rsid w:val="00F070E2"/>
    <w:rsid w:val="00F07A6E"/>
    <w:rsid w:val="00F07C17"/>
    <w:rsid w:val="00F07EE6"/>
    <w:rsid w:val="00F109B0"/>
    <w:rsid w:val="00F10EB2"/>
    <w:rsid w:val="00F10F98"/>
    <w:rsid w:val="00F11112"/>
    <w:rsid w:val="00F11A5C"/>
    <w:rsid w:val="00F11CDE"/>
    <w:rsid w:val="00F13DFD"/>
    <w:rsid w:val="00F14538"/>
    <w:rsid w:val="00F162AE"/>
    <w:rsid w:val="00F16874"/>
    <w:rsid w:val="00F213C1"/>
    <w:rsid w:val="00F23FA7"/>
    <w:rsid w:val="00F24FFC"/>
    <w:rsid w:val="00F2593A"/>
    <w:rsid w:val="00F25F27"/>
    <w:rsid w:val="00F25FD6"/>
    <w:rsid w:val="00F27C8F"/>
    <w:rsid w:val="00F31150"/>
    <w:rsid w:val="00F31C42"/>
    <w:rsid w:val="00F32749"/>
    <w:rsid w:val="00F33B6D"/>
    <w:rsid w:val="00F34843"/>
    <w:rsid w:val="00F34B38"/>
    <w:rsid w:val="00F352BC"/>
    <w:rsid w:val="00F3564D"/>
    <w:rsid w:val="00F358F8"/>
    <w:rsid w:val="00F35B45"/>
    <w:rsid w:val="00F364E6"/>
    <w:rsid w:val="00F37172"/>
    <w:rsid w:val="00F37483"/>
    <w:rsid w:val="00F3796B"/>
    <w:rsid w:val="00F37D5F"/>
    <w:rsid w:val="00F4061B"/>
    <w:rsid w:val="00F410E9"/>
    <w:rsid w:val="00F41A30"/>
    <w:rsid w:val="00F439E7"/>
    <w:rsid w:val="00F4477E"/>
    <w:rsid w:val="00F45642"/>
    <w:rsid w:val="00F460CA"/>
    <w:rsid w:val="00F47224"/>
    <w:rsid w:val="00F47508"/>
    <w:rsid w:val="00F5003E"/>
    <w:rsid w:val="00F525A4"/>
    <w:rsid w:val="00F52D34"/>
    <w:rsid w:val="00F533A8"/>
    <w:rsid w:val="00F54937"/>
    <w:rsid w:val="00F579C5"/>
    <w:rsid w:val="00F601A3"/>
    <w:rsid w:val="00F60387"/>
    <w:rsid w:val="00F61164"/>
    <w:rsid w:val="00F64978"/>
    <w:rsid w:val="00F64A02"/>
    <w:rsid w:val="00F64AB0"/>
    <w:rsid w:val="00F64E8F"/>
    <w:rsid w:val="00F65C01"/>
    <w:rsid w:val="00F67B9B"/>
    <w:rsid w:val="00F67D8F"/>
    <w:rsid w:val="00F70A4C"/>
    <w:rsid w:val="00F71749"/>
    <w:rsid w:val="00F731DE"/>
    <w:rsid w:val="00F734CF"/>
    <w:rsid w:val="00F746A9"/>
    <w:rsid w:val="00F74CAC"/>
    <w:rsid w:val="00F7650F"/>
    <w:rsid w:val="00F76BAA"/>
    <w:rsid w:val="00F76BFB"/>
    <w:rsid w:val="00F777FE"/>
    <w:rsid w:val="00F7783D"/>
    <w:rsid w:val="00F82B38"/>
    <w:rsid w:val="00F83140"/>
    <w:rsid w:val="00F8334D"/>
    <w:rsid w:val="00F83A28"/>
    <w:rsid w:val="00F83A51"/>
    <w:rsid w:val="00F84F00"/>
    <w:rsid w:val="00F8532E"/>
    <w:rsid w:val="00F8588F"/>
    <w:rsid w:val="00F86024"/>
    <w:rsid w:val="00F8611A"/>
    <w:rsid w:val="00F865C6"/>
    <w:rsid w:val="00F86708"/>
    <w:rsid w:val="00F86787"/>
    <w:rsid w:val="00F8700B"/>
    <w:rsid w:val="00F87F12"/>
    <w:rsid w:val="00F911CC"/>
    <w:rsid w:val="00F91C3A"/>
    <w:rsid w:val="00F9212F"/>
    <w:rsid w:val="00F92EF8"/>
    <w:rsid w:val="00F931BE"/>
    <w:rsid w:val="00F93588"/>
    <w:rsid w:val="00F93ADE"/>
    <w:rsid w:val="00F94BC4"/>
    <w:rsid w:val="00F9534F"/>
    <w:rsid w:val="00F9600A"/>
    <w:rsid w:val="00F97D78"/>
    <w:rsid w:val="00FA05E8"/>
    <w:rsid w:val="00FA0A80"/>
    <w:rsid w:val="00FA0AAF"/>
    <w:rsid w:val="00FA0FA3"/>
    <w:rsid w:val="00FA1F50"/>
    <w:rsid w:val="00FA2205"/>
    <w:rsid w:val="00FA2604"/>
    <w:rsid w:val="00FA2EB5"/>
    <w:rsid w:val="00FA31B9"/>
    <w:rsid w:val="00FA3205"/>
    <w:rsid w:val="00FA3557"/>
    <w:rsid w:val="00FA41AA"/>
    <w:rsid w:val="00FA4459"/>
    <w:rsid w:val="00FA50A8"/>
    <w:rsid w:val="00FA5128"/>
    <w:rsid w:val="00FA5552"/>
    <w:rsid w:val="00FA58B6"/>
    <w:rsid w:val="00FA6D8E"/>
    <w:rsid w:val="00FA733A"/>
    <w:rsid w:val="00FB267F"/>
    <w:rsid w:val="00FB401D"/>
    <w:rsid w:val="00FB42D4"/>
    <w:rsid w:val="00FB53C8"/>
    <w:rsid w:val="00FB546C"/>
    <w:rsid w:val="00FB565B"/>
    <w:rsid w:val="00FB5906"/>
    <w:rsid w:val="00FB5EFD"/>
    <w:rsid w:val="00FB6886"/>
    <w:rsid w:val="00FB762F"/>
    <w:rsid w:val="00FB7F7F"/>
    <w:rsid w:val="00FC1932"/>
    <w:rsid w:val="00FC2562"/>
    <w:rsid w:val="00FC2847"/>
    <w:rsid w:val="00FC2A10"/>
    <w:rsid w:val="00FC2AED"/>
    <w:rsid w:val="00FC4A0F"/>
    <w:rsid w:val="00FC50D1"/>
    <w:rsid w:val="00FC58C4"/>
    <w:rsid w:val="00FC5C06"/>
    <w:rsid w:val="00FC5EA6"/>
    <w:rsid w:val="00FC605A"/>
    <w:rsid w:val="00FC6141"/>
    <w:rsid w:val="00FC7A0F"/>
    <w:rsid w:val="00FD0C73"/>
    <w:rsid w:val="00FD1DD9"/>
    <w:rsid w:val="00FD2760"/>
    <w:rsid w:val="00FD27DF"/>
    <w:rsid w:val="00FD368A"/>
    <w:rsid w:val="00FD36B3"/>
    <w:rsid w:val="00FD3753"/>
    <w:rsid w:val="00FD3D1E"/>
    <w:rsid w:val="00FD3DD3"/>
    <w:rsid w:val="00FD459D"/>
    <w:rsid w:val="00FD470C"/>
    <w:rsid w:val="00FD4C00"/>
    <w:rsid w:val="00FD52C7"/>
    <w:rsid w:val="00FD635D"/>
    <w:rsid w:val="00FD6E64"/>
    <w:rsid w:val="00FE0B7F"/>
    <w:rsid w:val="00FE0C96"/>
    <w:rsid w:val="00FE1081"/>
    <w:rsid w:val="00FE1393"/>
    <w:rsid w:val="00FE1A8E"/>
    <w:rsid w:val="00FE2B04"/>
    <w:rsid w:val="00FE2DD1"/>
    <w:rsid w:val="00FE3A4F"/>
    <w:rsid w:val="00FE449D"/>
    <w:rsid w:val="00FE489B"/>
    <w:rsid w:val="00FE6D85"/>
    <w:rsid w:val="00FE7441"/>
    <w:rsid w:val="00FE79AB"/>
    <w:rsid w:val="00FF0B7C"/>
    <w:rsid w:val="00FF0DFB"/>
    <w:rsid w:val="00FF1E43"/>
    <w:rsid w:val="00FF48A8"/>
    <w:rsid w:val="00FF52F5"/>
    <w:rsid w:val="00FF5373"/>
    <w:rsid w:val="00FF57B6"/>
    <w:rsid w:val="00FF5B4F"/>
    <w:rsid w:val="00FF67F0"/>
    <w:rsid w:val="00FF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2"/>
    </o:shapelayout>
  </w:shapeDefaults>
  <w:decimalSymbol w:val=","/>
  <w:listSeparator w:val=";"/>
  <w14:docId w14:val="7DF00D21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rsid w:val="00633014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E761B5"/>
    <w:pPr>
      <w:autoSpaceDE w:val="0"/>
      <w:autoSpaceDN w:val="0"/>
      <w:adjustRightInd w:val="0"/>
      <w:spacing w:before="12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E761B5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E761B5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Normalny"/>
    <w:link w:val="OpiswskanikaZnak"/>
    <w:qFormat/>
    <w:rsid w:val="00E761B5"/>
    <w:pPr>
      <w:spacing w:after="0" w:line="240" w:lineRule="auto"/>
    </w:pPr>
    <w:rPr>
      <w:rFonts w:ascii="Fira Sans" w:hAnsi="Fira Sans"/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E761B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E761B5"/>
    <w:rPr>
      <w:rFonts w:ascii="Fira Sans" w:hAnsi="Fira Sans"/>
      <w:color w:val="FFFFFF" w:themeColor="background1"/>
      <w:sz w:val="20"/>
    </w:rPr>
  </w:style>
  <w:style w:type="table" w:customStyle="1" w:styleId="Tabela-Siatka1">
    <w:name w:val="Tabela - Siatka1"/>
    <w:basedOn w:val="Standardowy"/>
    <w:next w:val="Tabela-Siatka"/>
    <w:uiPriority w:val="39"/>
    <w:rsid w:val="00FF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404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04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04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04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0437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941EF9"/>
  </w:style>
  <w:style w:type="character" w:customStyle="1" w:styleId="LIDZnak">
    <w:name w:val="LID Znak"/>
    <w:basedOn w:val="Domylnaczcionkaakapitu"/>
    <w:link w:val="LID"/>
    <w:rsid w:val="00E70683"/>
    <w:rPr>
      <w:rFonts w:ascii="Fira Sans" w:hAnsi="Fira Sans"/>
      <w:b/>
      <w:noProof/>
      <w:sz w:val="19"/>
      <w:szCs w:val="19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742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hyperlink" Target="mailto:obslugaprasowa@stat.gov.pl" TargetMode="External"/><Relationship Id="rId39" Type="http://schemas.openxmlformats.org/officeDocument/2006/relationships/header" Target="header4.xml"/><Relationship Id="rId21" Type="http://schemas.openxmlformats.org/officeDocument/2006/relationships/chart" Target="charts/chart6.xml"/><Relationship Id="rId34" Type="http://schemas.openxmlformats.org/officeDocument/2006/relationships/hyperlink" Target="https://stat.gov.pl/obszary-tematyczne/koniunktura/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chart" Target="charts/chart9.xml"/><Relationship Id="rId32" Type="http://schemas.openxmlformats.org/officeDocument/2006/relationships/image" Target="media/image10.png"/><Relationship Id="rId37" Type="http://schemas.openxmlformats.org/officeDocument/2006/relationships/hyperlink" Target="http://stat.gov.pl/metainformacje/slownik-pojec/pojecia-stosowane-w-statystyce-publicznej/2076,pojecie.html" TargetMode="External"/><Relationship Id="rId40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chart" Target="charts/chart8.xml"/><Relationship Id="rId28" Type="http://schemas.openxmlformats.org/officeDocument/2006/relationships/image" Target="media/image6.png"/><Relationship Id="rId36" Type="http://schemas.openxmlformats.org/officeDocument/2006/relationships/hyperlink" Target="http://stat.gov.pl/metainformacje/slownik-pojec/pojecia-stosowane-w-statystyce-publicznej/1064,pojecie.html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31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chart" Target="charts/chart7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yperlink" Target="http://stat.gov.pl/metainformacje/slownik-pojec/pojecia-stosowane-w-statystyce-publicznej/3137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hyperlink" Target="https://stat.gov.pl/obszary-tematyczne/rolnictwo-lesnictwo/rolnictwo/koniunktura-w-gospodarstwach-rolnych-w-drugim-polroczu-2023-roku,10,23.html" TargetMode="External"/><Relationship Id="rId38" Type="http://schemas.openxmlformats.org/officeDocument/2006/relationships/hyperlink" Target="http://stat.gov.pl/metainformacje/slownik-pojec/pojecia-stosowane-w-statystyce-publicznej/313,pojecie.htm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460996438293856E-2"/>
          <c:y val="0.15160454534124368"/>
          <c:w val="0.9441400709998643"/>
          <c:h val="0.57602116305933582"/>
        </c:manualLayout>
      </c:layout>
      <c:lineChart>
        <c:grouping val="standard"/>
        <c:varyColors val="0"/>
        <c:ser>
          <c:idx val="0"/>
          <c:order val="0"/>
          <c:tx>
            <c:strRef>
              <c:f>WSK_P!$P$3</c:f>
              <c:strCache>
                <c:ptCount val="1"/>
                <c:pt idx="0">
                  <c:v>Wskaźnik zmiany sytuacji ogólnej gospodarstwa rolnego POLSKA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Pt>
            <c:idx val="19"/>
            <c:marker>
              <c:symbol val="circle"/>
              <c:size val="5"/>
              <c:spPr>
                <a:solidFill>
                  <a:schemeClr val="accent6"/>
                </a:solidFill>
                <a:ln w="9525">
                  <a:solidFill>
                    <a:schemeClr val="accent6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rgbClr val="69BE28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9C5-452B-BE8F-4B08B274700D}"/>
              </c:ext>
            </c:extLst>
          </c:dPt>
          <c:dLbls>
            <c:dLbl>
              <c:idx val="1"/>
              <c:layout>
                <c:manualLayout>
                  <c:x val="-3.6624568451814492E-2"/>
                  <c:y val="4.0339216135686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C5-452B-BE8F-4B08B274700D}"/>
                </c:ext>
              </c:extLst>
            </c:dLbl>
            <c:dLbl>
              <c:idx val="2"/>
              <c:layout>
                <c:manualLayout>
                  <c:x val="-5.4524655225088307E-2"/>
                  <c:y val="-5.13408205363282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C5-452B-BE8F-4B08B274700D}"/>
                </c:ext>
              </c:extLst>
            </c:dLbl>
            <c:dLbl>
              <c:idx val="4"/>
              <c:layout>
                <c:manualLayout>
                  <c:x val="-1.3449955051639371E-2"/>
                  <c:y val="-2.842081136832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C5-452B-BE8F-4B08B274700D}"/>
                </c:ext>
              </c:extLst>
            </c:dLbl>
            <c:dLbl>
              <c:idx val="5"/>
              <c:layout>
                <c:manualLayout>
                  <c:x val="-6.7329813598514018E-2"/>
                  <c:y val="3.667201466880502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C5-452B-BE8F-4B08B274700D}"/>
                </c:ext>
              </c:extLst>
            </c:dLbl>
            <c:dLbl>
              <c:idx val="6"/>
              <c:layout>
                <c:manualLayout>
                  <c:x val="-4.2859750377985943E-2"/>
                  <c:y val="4.0339216135686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9C5-452B-BE8F-4B08B274700D}"/>
                </c:ext>
              </c:extLst>
            </c:dLbl>
            <c:dLbl>
              <c:idx val="7"/>
              <c:layout>
                <c:manualLayout>
                  <c:x val="-5.7189736742185818E-2"/>
                  <c:y val="-3.7588815035526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9C5-452B-BE8F-4B08B274700D}"/>
                </c:ext>
              </c:extLst>
            </c:dLbl>
            <c:dLbl>
              <c:idx val="8"/>
              <c:layout>
                <c:manualLayout>
                  <c:x val="-5.1214777029777191E-2"/>
                  <c:y val="-2.8420811368324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9C5-452B-BE8F-4B08B274700D}"/>
                </c:ext>
              </c:extLst>
            </c:dLbl>
            <c:dLbl>
              <c:idx val="9"/>
              <c:layout>
                <c:manualLayout>
                  <c:x val="-3.8150990773130652E-2"/>
                  <c:y val="-1.874449359213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9C5-452B-BE8F-4B08B274700D}"/>
                </c:ext>
              </c:extLst>
            </c:dLbl>
            <c:dLbl>
              <c:idx val="11"/>
              <c:layout>
                <c:manualLayout>
                  <c:x val="7.6778242065223435E-4"/>
                  <c:y val="-1.21187292569405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9C5-452B-BE8F-4B08B274700D}"/>
                </c:ext>
              </c:extLst>
            </c:dLbl>
            <c:dLbl>
              <c:idx val="12"/>
              <c:layout>
                <c:manualLayout>
                  <c:x val="-3.0089195937774271E-2"/>
                  <c:y val="4.074643530922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9C5-452B-BE8F-4B08B274700D}"/>
                </c:ext>
              </c:extLst>
            </c:dLbl>
            <c:dLbl>
              <c:idx val="13"/>
              <c:layout>
                <c:manualLayout>
                  <c:x val="-3.958715833633477E-2"/>
                  <c:y val="-3.7588815035526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9C5-452B-BE8F-4B08B274700D}"/>
                </c:ext>
              </c:extLst>
            </c:dLbl>
            <c:dLbl>
              <c:idx val="14"/>
              <c:layout>
                <c:manualLayout>
                  <c:x val="-3.7430222672519227E-2"/>
                  <c:y val="4.0339216135686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9C5-452B-BE8F-4B08B274700D}"/>
                </c:ext>
              </c:extLst>
            </c:dLbl>
            <c:dLbl>
              <c:idx val="15"/>
              <c:layout>
                <c:manualLayout>
                  <c:x val="-4.724799879747283E-2"/>
                  <c:y val="-3.7588815035526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9C5-452B-BE8F-4B08B274700D}"/>
                </c:ext>
              </c:extLst>
            </c:dLbl>
            <c:dLbl>
              <c:idx val="18"/>
              <c:layout>
                <c:manualLayout>
                  <c:x val="-2.0286400607510434E-2"/>
                  <c:y val="-3.3004813201925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9C5-452B-BE8F-4B08B274700D}"/>
                </c:ext>
              </c:extLst>
            </c:dLbl>
            <c:dLbl>
              <c:idx val="19"/>
              <c:layout>
                <c:manualLayout>
                  <c:x val="-5.0601363634087723E-2"/>
                  <c:y val="2.66959403750099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C5-452B-BE8F-4B08B274700D}"/>
                </c:ext>
              </c:extLst>
            </c:dLbl>
            <c:dLbl>
              <c:idx val="22"/>
              <c:layout>
                <c:manualLayout>
                  <c:x val="-3.9835081975853802E-2"/>
                  <c:y val="4.03392161356863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9C5-452B-BE8F-4B08B274700D}"/>
                </c:ext>
              </c:extLst>
            </c:dLbl>
            <c:dLbl>
              <c:idx val="23"/>
              <c:layout>
                <c:manualLayout>
                  <c:x val="-1.6983745384374369E-3"/>
                  <c:y val="4.4923217969287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9C5-452B-BE8F-4B08B27470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WSK_P!$A$5:$B$29</c:f>
              <c:multiLvlStrCache>
                <c:ptCount val="25"/>
                <c:lvl>
                  <c:pt idx="0">
                    <c:v>01-06</c:v>
                  </c:pt>
                  <c:pt idx="1">
                    <c:v>07-12</c:v>
                  </c:pt>
                  <c:pt idx="2">
                    <c:v>01-06</c:v>
                  </c:pt>
                  <c:pt idx="3">
                    <c:v>07-12</c:v>
                  </c:pt>
                  <c:pt idx="4">
                    <c:v>01-06</c:v>
                  </c:pt>
                  <c:pt idx="5">
                    <c:v>07-12</c:v>
                  </c:pt>
                  <c:pt idx="6">
                    <c:v>01-06</c:v>
                  </c:pt>
                  <c:pt idx="7">
                    <c:v>07-12</c:v>
                  </c:pt>
                  <c:pt idx="8">
                    <c:v>01-06</c:v>
                  </c:pt>
                  <c:pt idx="9">
                    <c:v>07-12</c:v>
                  </c:pt>
                  <c:pt idx="10">
                    <c:v>01-06</c:v>
                  </c:pt>
                  <c:pt idx="11">
                    <c:v>07-12</c:v>
                  </c:pt>
                  <c:pt idx="12">
                    <c:v>01-06</c:v>
                  </c:pt>
                  <c:pt idx="13">
                    <c:v>07-12</c:v>
                  </c:pt>
                  <c:pt idx="14">
                    <c:v>01-06</c:v>
                  </c:pt>
                  <c:pt idx="15">
                    <c:v>07-12</c:v>
                  </c:pt>
                  <c:pt idx="16">
                    <c:v>01-06</c:v>
                  </c:pt>
                  <c:pt idx="17">
                    <c:v>07-12</c:v>
                  </c:pt>
                  <c:pt idx="18">
                    <c:v>01-06</c:v>
                  </c:pt>
                  <c:pt idx="19">
                    <c:v>07-12</c:v>
                  </c:pt>
                  <c:pt idx="20">
                    <c:v>01-06</c:v>
                  </c:pt>
                  <c:pt idx="21">
                    <c:v>07-12</c:v>
                  </c:pt>
                  <c:pt idx="22">
                    <c:v>01-06</c:v>
                  </c:pt>
                  <c:pt idx="23">
                    <c:v>07-12</c:v>
                  </c:pt>
                  <c:pt idx="24">
                    <c:v>01-06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  <c:pt idx="8">
                    <c:v>2016</c:v>
                  </c:pt>
                  <c:pt idx="10">
                    <c:v>2017</c:v>
                  </c:pt>
                  <c:pt idx="12">
                    <c:v>2018</c:v>
                  </c:pt>
                  <c:pt idx="14">
                    <c:v>2019</c:v>
                  </c:pt>
                  <c:pt idx="16">
                    <c:v>2020</c:v>
                  </c:pt>
                  <c:pt idx="18">
                    <c:v>2021</c:v>
                  </c:pt>
                  <c:pt idx="20">
                    <c:v>2022</c:v>
                  </c:pt>
                  <c:pt idx="2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WSK_P!$P$5:$P$29</c:f>
              <c:numCache>
                <c:formatCode>0.0</c:formatCode>
                <c:ptCount val="25"/>
                <c:pt idx="0">
                  <c:v>-16</c:v>
                </c:pt>
                <c:pt idx="1">
                  <c:v>-16.95</c:v>
                </c:pt>
                <c:pt idx="2">
                  <c:v>-14.600000000000001</c:v>
                </c:pt>
                <c:pt idx="3">
                  <c:v>-10.25</c:v>
                </c:pt>
                <c:pt idx="4">
                  <c:v>-8.25</c:v>
                </c:pt>
                <c:pt idx="5">
                  <c:v>-23.75</c:v>
                </c:pt>
                <c:pt idx="6">
                  <c:v>-30.9</c:v>
                </c:pt>
                <c:pt idx="7">
                  <c:v>-23.85</c:v>
                </c:pt>
                <c:pt idx="8">
                  <c:v>-19.7</c:v>
                </c:pt>
                <c:pt idx="9">
                  <c:v>-5.95</c:v>
                </c:pt>
                <c:pt idx="10">
                  <c:v>-4.45</c:v>
                </c:pt>
                <c:pt idx="11">
                  <c:v>-6.55</c:v>
                </c:pt>
                <c:pt idx="12">
                  <c:v>-27.650000000000002</c:v>
                </c:pt>
                <c:pt idx="13">
                  <c:v>-16.899999999999999</c:v>
                </c:pt>
                <c:pt idx="14">
                  <c:v>-24.45</c:v>
                </c:pt>
                <c:pt idx="15">
                  <c:v>-18.600000000000001</c:v>
                </c:pt>
                <c:pt idx="16">
                  <c:v>-15.850000000000001</c:v>
                </c:pt>
                <c:pt idx="17">
                  <c:v>-17.5</c:v>
                </c:pt>
                <c:pt idx="18">
                  <c:v>-20.3</c:v>
                </c:pt>
                <c:pt idx="19">
                  <c:v>-42.25</c:v>
                </c:pt>
                <c:pt idx="20">
                  <c:v>-42.8</c:v>
                </c:pt>
                <c:pt idx="21">
                  <c:v>-36.25</c:v>
                </c:pt>
                <c:pt idx="22">
                  <c:v>-39.15</c:v>
                </c:pt>
                <c:pt idx="23">
                  <c:v>-35.549999999999997</c:v>
                </c:pt>
                <c:pt idx="24">
                  <c:v>-35.5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D9C5-452B-BE8F-4B08B27470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2571624"/>
        <c:axId val="512572016"/>
        <c:extLst/>
      </c:lineChart>
      <c:catAx>
        <c:axId val="512571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2572016"/>
        <c:crosses val="autoZero"/>
        <c:auto val="1"/>
        <c:lblAlgn val="ctr"/>
        <c:lblOffset val="100"/>
        <c:noMultiLvlLbl val="0"/>
      </c:catAx>
      <c:valAx>
        <c:axId val="512572016"/>
        <c:scaling>
          <c:orientation val="minMax"/>
          <c:max val="0"/>
          <c:min val="-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257162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614535252059014E-2"/>
          <c:y val="4.7948674658112443E-2"/>
          <c:w val="0.8953289513379793"/>
          <c:h val="0.755680616977672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Arkusz1!$B$2</c:f>
              <c:strCache>
                <c:ptCount val="1"/>
                <c:pt idx="0">
                  <c:v>brak negatywnych skutków </c:v>
                </c:pt>
              </c:strCache>
            </c:strRef>
          </c:tx>
          <c:spPr>
            <a:solidFill>
              <a:srgbClr val="BFC1C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Arkusz1!$A$3:$A$5</c:f>
              <c:strCache>
                <c:ptCount val="3"/>
                <c:pt idx="0">
                  <c:v>gospodarstwa ukierunkowane na produkcję roślinną</c:v>
                </c:pt>
                <c:pt idx="1">
                  <c:v>gospodarstwa ukierunkowane na produkcję zwierzęcą</c:v>
                </c:pt>
                <c:pt idx="2">
                  <c:v>gospodarstwa wielokierunkowe</c:v>
                </c:pt>
              </c:strCache>
            </c:strRef>
          </c:cat>
          <c:val>
            <c:numRef>
              <c:f>Arkusz1!$B$3:$B$5</c:f>
              <c:numCache>
                <c:formatCode>0.0</c:formatCode>
                <c:ptCount val="3"/>
                <c:pt idx="0" formatCode="@">
                  <c:v>19.399999999999999</c:v>
                </c:pt>
                <c:pt idx="1">
                  <c:v>31</c:v>
                </c:pt>
                <c:pt idx="2">
                  <c:v>21.8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DA-4C85-B1D7-94DC51628FCC}"/>
            </c:ext>
          </c:extLst>
        </c:ser>
        <c:ser>
          <c:idx val="1"/>
          <c:order val="1"/>
          <c:tx>
            <c:strRef>
              <c:f>Arkusz1!$C$2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Arkusz1!$A$3:$A$5</c:f>
              <c:strCache>
                <c:ptCount val="3"/>
                <c:pt idx="0">
                  <c:v>gospodarstwa ukierunkowane na produkcję roślinną</c:v>
                </c:pt>
                <c:pt idx="1">
                  <c:v>gospodarstwa ukierunkowane na produkcję zwierzęcą</c:v>
                </c:pt>
                <c:pt idx="2">
                  <c:v>gospodarstwa wielokierunkowe</c:v>
                </c:pt>
              </c:strCache>
            </c:strRef>
          </c:cat>
          <c:val>
            <c:numRef>
              <c:f>Arkusz1!$C$3:$C$5</c:f>
              <c:numCache>
                <c:formatCode>0.0</c:formatCode>
                <c:ptCount val="3"/>
                <c:pt idx="0">
                  <c:v>27.6</c:v>
                </c:pt>
                <c:pt idx="1">
                  <c:v>30</c:v>
                </c:pt>
                <c:pt idx="2">
                  <c:v>28.4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DA-4C85-B1D7-94DC51628FCC}"/>
            </c:ext>
          </c:extLst>
        </c:ser>
        <c:ser>
          <c:idx val="2"/>
          <c:order val="2"/>
          <c:tx>
            <c:strRef>
              <c:f>Arkusz1!$D$2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Arkusz1!$A$3:$A$5</c:f>
              <c:strCache>
                <c:ptCount val="3"/>
                <c:pt idx="0">
                  <c:v>gospodarstwa ukierunkowane na produkcję roślinną</c:v>
                </c:pt>
                <c:pt idx="1">
                  <c:v>gospodarstwa ukierunkowane na produkcję zwierzęcą</c:v>
                </c:pt>
                <c:pt idx="2">
                  <c:v>gospodarstwa wielokierunkowe</c:v>
                </c:pt>
              </c:strCache>
            </c:strRef>
          </c:cat>
          <c:val>
            <c:numRef>
              <c:f>Arkusz1!$D$3:$D$5</c:f>
              <c:numCache>
                <c:formatCode>0.0</c:formatCode>
                <c:ptCount val="3"/>
                <c:pt idx="0">
                  <c:v>29.4</c:v>
                </c:pt>
                <c:pt idx="1">
                  <c:v>20.8</c:v>
                </c:pt>
                <c:pt idx="2">
                  <c:v>28.2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DA-4C85-B1D7-94DC51628FCC}"/>
            </c:ext>
          </c:extLst>
        </c:ser>
        <c:ser>
          <c:idx val="3"/>
          <c:order val="3"/>
          <c:tx>
            <c:strRef>
              <c:f>Arkusz1!$E$2</c:f>
              <c:strCache>
                <c:ptCount val="1"/>
                <c:pt idx="0">
                  <c:v>zagrażające stabilności gospodarstwa rolnego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797-44C2-92EA-124F95D64BB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797-44C2-92EA-124F95D64BB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797-44C2-92EA-124F95D64B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Arkusz1!$A$3:$A$5</c:f>
              <c:strCache>
                <c:ptCount val="3"/>
                <c:pt idx="0">
                  <c:v>gospodarstwa ukierunkowane na produkcję roślinną</c:v>
                </c:pt>
                <c:pt idx="1">
                  <c:v>gospodarstwa ukierunkowane na produkcję zwierzęcą</c:v>
                </c:pt>
                <c:pt idx="2">
                  <c:v>gospodarstwa wielokierunkowe</c:v>
                </c:pt>
              </c:strCache>
            </c:strRef>
          </c:cat>
          <c:val>
            <c:numRef>
              <c:f>Arkusz1!$E$3:$E$5</c:f>
              <c:numCache>
                <c:formatCode>0.0</c:formatCode>
                <c:ptCount val="3"/>
                <c:pt idx="0">
                  <c:v>23.6</c:v>
                </c:pt>
                <c:pt idx="1">
                  <c:v>18.2</c:v>
                </c:pt>
                <c:pt idx="2">
                  <c:v>21.6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DA-4C85-B1D7-94DC51628FC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673824720"/>
        <c:axId val="1673825680"/>
      </c:barChart>
      <c:catAx>
        <c:axId val="167382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3825680"/>
        <c:crosses val="autoZero"/>
        <c:auto val="1"/>
        <c:lblAlgn val="ctr"/>
        <c:lblOffset val="100"/>
        <c:noMultiLvlLbl val="0"/>
      </c:catAx>
      <c:valAx>
        <c:axId val="1673825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382472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531118954958227E-2"/>
          <c:y val="0.9105239456369324"/>
          <c:w val="0.80530609859112434"/>
          <c:h val="4.43287278605622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-5400000" vert="horz" anchor="ctr" anchorCtr="1"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460996438293856E-2"/>
          <c:y val="0.11665559309574633"/>
          <c:w val="0.92540699984089936"/>
          <c:h val="0.51942846237577578"/>
        </c:manualLayout>
      </c:layout>
      <c:lineChart>
        <c:grouping val="standard"/>
        <c:varyColors val="0"/>
        <c:ser>
          <c:idx val="0"/>
          <c:order val="0"/>
          <c:tx>
            <c:strRef>
              <c:f>'wykres2-4-5'!$A$32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ln w="25400" cmpd="sng">
              <a:solidFill>
                <a:srgbClr val="001D77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multiLvlStrRef>
              <c:f>'wykres2-4-5'!$Q$30:$Z$31</c:f>
              <c:multiLvlStrCache>
                <c:ptCount val="10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  <c:pt idx="4">
                    <c:v>07-12</c:v>
                  </c:pt>
                  <c:pt idx="5">
                    <c:v>01-06</c:v>
                  </c:pt>
                  <c:pt idx="6">
                    <c:v>07-12</c:v>
                  </c:pt>
                  <c:pt idx="7">
                    <c:v>01-06</c:v>
                  </c:pt>
                  <c:pt idx="8">
                    <c:v>07-12</c:v>
                  </c:pt>
                  <c:pt idx="9">
                    <c:v>01-06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3">
                    <c:v>2021</c:v>
                  </c:pt>
                  <c:pt idx="5">
                    <c:v>2022</c:v>
                  </c:pt>
                  <c:pt idx="7">
                    <c:v>2023</c:v>
                  </c:pt>
                  <c:pt idx="9">
                    <c:v>2024</c:v>
                  </c:pt>
                </c:lvl>
              </c:multiLvlStrCache>
            </c:multiLvlStrRef>
          </c:cat>
          <c:val>
            <c:numRef>
              <c:f>'wykres2-4-5'!$Q$32:$Z$32</c:f>
              <c:numCache>
                <c:formatCode>General</c:formatCode>
                <c:ptCount val="10"/>
                <c:pt idx="0">
                  <c:v>-25.5</c:v>
                </c:pt>
                <c:pt idx="1">
                  <c:v>-23.8</c:v>
                </c:pt>
                <c:pt idx="2">
                  <c:v>-25.9</c:v>
                </c:pt>
                <c:pt idx="3" formatCode="0.0">
                  <c:v>-25.2</c:v>
                </c:pt>
                <c:pt idx="4" formatCode="0.0">
                  <c:v>-37.300000000000004</c:v>
                </c:pt>
                <c:pt idx="5">
                  <c:v>-46.199999999999996</c:v>
                </c:pt>
                <c:pt idx="6">
                  <c:v>-37.700000000000003</c:v>
                </c:pt>
                <c:pt idx="7">
                  <c:v>-48.9</c:v>
                </c:pt>
                <c:pt idx="8" formatCode="0.0">
                  <c:v>-45.5</c:v>
                </c:pt>
                <c:pt idx="9">
                  <c:v>-43.2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C4-4019-AFF0-1BFA10EDB0A4}"/>
            </c:ext>
          </c:extLst>
        </c:ser>
        <c:ser>
          <c:idx val="1"/>
          <c:order val="1"/>
          <c:tx>
            <c:strRef>
              <c:f>'wykres2-4-5'!$A$33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ln w="25400">
              <a:solidFill>
                <a:srgbClr val="A5D87E"/>
              </a:solidFill>
            </a:ln>
          </c:spPr>
          <c:marker>
            <c:symbol val="none"/>
          </c:marker>
          <c:dLbls>
            <c:delete val="1"/>
          </c:dLbls>
          <c:cat>
            <c:multiLvlStrRef>
              <c:f>'wykres2-4-5'!$Q$30:$Z$31</c:f>
              <c:multiLvlStrCache>
                <c:ptCount val="10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  <c:pt idx="4">
                    <c:v>07-12</c:v>
                  </c:pt>
                  <c:pt idx="5">
                    <c:v>01-06</c:v>
                  </c:pt>
                  <c:pt idx="6">
                    <c:v>07-12</c:v>
                  </c:pt>
                  <c:pt idx="7">
                    <c:v>01-06</c:v>
                  </c:pt>
                  <c:pt idx="8">
                    <c:v>07-12</c:v>
                  </c:pt>
                  <c:pt idx="9">
                    <c:v>01-06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3">
                    <c:v>2021</c:v>
                  </c:pt>
                  <c:pt idx="5">
                    <c:v>2022</c:v>
                  </c:pt>
                  <c:pt idx="7">
                    <c:v>2023</c:v>
                  </c:pt>
                  <c:pt idx="9">
                    <c:v>2024</c:v>
                  </c:pt>
                </c:lvl>
              </c:multiLvlStrCache>
            </c:multiLvlStrRef>
          </c:cat>
          <c:val>
            <c:numRef>
              <c:f>'wykres2-4-5'!$Q$33:$Z$33</c:f>
              <c:numCache>
                <c:formatCode>General</c:formatCode>
                <c:ptCount val="10"/>
                <c:pt idx="0" formatCode="0.0">
                  <c:v>-34.300000000000004</c:v>
                </c:pt>
                <c:pt idx="1">
                  <c:v>-36.5</c:v>
                </c:pt>
                <c:pt idx="2">
                  <c:v>-35.1</c:v>
                </c:pt>
                <c:pt idx="3" formatCode="0.0">
                  <c:v>-38.6</c:v>
                </c:pt>
                <c:pt idx="4" formatCode="0.0">
                  <c:v>-47</c:v>
                </c:pt>
                <c:pt idx="5">
                  <c:v>-54.4</c:v>
                </c:pt>
                <c:pt idx="6">
                  <c:v>-51.3</c:v>
                </c:pt>
                <c:pt idx="7">
                  <c:v>-66.599999999999994</c:v>
                </c:pt>
                <c:pt idx="8" formatCode="0.0">
                  <c:v>-61</c:v>
                </c:pt>
                <c:pt idx="9">
                  <c:v>-60.2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FC4-4019-AFF0-1BFA10EDB0A4}"/>
            </c:ext>
          </c:extLst>
        </c:ser>
        <c:ser>
          <c:idx val="2"/>
          <c:order val="2"/>
          <c:tx>
            <c:strRef>
              <c:f>'wykres2-4-5'!$A$34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ln w="25400" cmpd="sng">
              <a:solidFill>
                <a:srgbClr val="9D9E9E"/>
              </a:solidFill>
              <a:prstDash val="solid"/>
            </a:ln>
          </c:spPr>
          <c:marker>
            <c:symbol val="none"/>
          </c:marker>
          <c:dLbls>
            <c:delete val="1"/>
          </c:dLbls>
          <c:cat>
            <c:multiLvlStrRef>
              <c:f>'wykres2-4-5'!$Q$30:$Z$31</c:f>
              <c:multiLvlStrCache>
                <c:ptCount val="10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  <c:pt idx="4">
                    <c:v>07-12</c:v>
                  </c:pt>
                  <c:pt idx="5">
                    <c:v>01-06</c:v>
                  </c:pt>
                  <c:pt idx="6">
                    <c:v>07-12</c:v>
                  </c:pt>
                  <c:pt idx="7">
                    <c:v>01-06</c:v>
                  </c:pt>
                  <c:pt idx="8">
                    <c:v>07-12</c:v>
                  </c:pt>
                  <c:pt idx="9">
                    <c:v>01-06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3">
                    <c:v>2021</c:v>
                  </c:pt>
                  <c:pt idx="5">
                    <c:v>2022</c:v>
                  </c:pt>
                  <c:pt idx="7">
                    <c:v>2023</c:v>
                  </c:pt>
                  <c:pt idx="9">
                    <c:v>2024</c:v>
                  </c:pt>
                </c:lvl>
              </c:multiLvlStrCache>
            </c:multiLvlStrRef>
          </c:cat>
          <c:val>
            <c:numRef>
              <c:f>'wykres2-4-5'!$Q$34:$Z$34</c:f>
              <c:numCache>
                <c:formatCode>General</c:formatCode>
                <c:ptCount val="10"/>
                <c:pt idx="0" formatCode="0.0">
                  <c:v>-9.4</c:v>
                </c:pt>
                <c:pt idx="1">
                  <c:v>-16.100000000000001</c:v>
                </c:pt>
                <c:pt idx="2">
                  <c:v>-15.7</c:v>
                </c:pt>
                <c:pt idx="3" formatCode="0.0">
                  <c:v>-7.3999999999999986</c:v>
                </c:pt>
                <c:pt idx="4" formatCode="0.0">
                  <c:v>-6</c:v>
                </c:pt>
                <c:pt idx="5">
                  <c:v>-9.5</c:v>
                </c:pt>
                <c:pt idx="6">
                  <c:v>-23.3</c:v>
                </c:pt>
                <c:pt idx="7">
                  <c:v>-33.4</c:v>
                </c:pt>
                <c:pt idx="8" formatCode="0.0">
                  <c:v>-30.3</c:v>
                </c:pt>
                <c:pt idx="9">
                  <c:v>-25.4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C4-4019-AFF0-1BFA10EDB0A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26032336"/>
        <c:axId val="226031944"/>
      </c:lineChart>
      <c:catAx>
        <c:axId val="226032336"/>
        <c:scaling>
          <c:orientation val="minMax"/>
        </c:scaling>
        <c:delete val="0"/>
        <c:axPos val="b"/>
        <c:numFmt formatCode="General" sourceLinked="1"/>
        <c:majorTickMark val="out"/>
        <c:minorTickMark val="out"/>
        <c:tickLblPos val="low"/>
        <c:spPr>
          <a:noFill/>
          <a:ln/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226031944"/>
        <c:crosses val="autoZero"/>
        <c:auto val="1"/>
        <c:lblAlgn val="ctr"/>
        <c:lblOffset val="100"/>
        <c:noMultiLvlLbl val="0"/>
      </c:catAx>
      <c:valAx>
        <c:axId val="226031944"/>
        <c:scaling>
          <c:orientation val="minMax"/>
          <c:max val="10"/>
          <c:min val="-80"/>
        </c:scaling>
        <c:delete val="0"/>
        <c:axPos val="l"/>
        <c:majorGridlines>
          <c:spPr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2260323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140504378194823E-2"/>
          <c:y val="0.83450506858044038"/>
          <c:w val="0.93814832275753557"/>
          <c:h val="0.1071463882722465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770998595424738E-2"/>
          <c:y val="0.10834673740648729"/>
          <c:w val="0.95422900140457523"/>
          <c:h val="0.703110867826013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Wykres_3!$A$4:$A$7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Wykres_3!$B$4:$B$7</c:f>
              <c:numCache>
                <c:formatCode>0.0</c:formatCode>
                <c:ptCount val="4"/>
                <c:pt idx="0">
                  <c:v>-43.2</c:v>
                </c:pt>
                <c:pt idx="1">
                  <c:v>-43</c:v>
                </c:pt>
                <c:pt idx="2">
                  <c:v>-37.299999999999997</c:v>
                </c:pt>
                <c:pt idx="3">
                  <c:v>-45.2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52-460C-8435-22B4BD982E9E}"/>
            </c:ext>
          </c:extLst>
        </c:ser>
        <c:ser>
          <c:idx val="1"/>
          <c:order val="1"/>
          <c:tx>
            <c:strRef>
              <c:f>Wykres_3!$C$3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A5D87E"/>
            </a:solidFill>
            <a:ln>
              <a:solidFill>
                <a:srgbClr val="A5D87E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Wykres_3!$A$4:$A$7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Wykres_3!$C$4:$C$7</c:f>
              <c:numCache>
                <c:formatCode>0.0</c:formatCode>
                <c:ptCount val="4"/>
                <c:pt idx="0">
                  <c:v>-60.2</c:v>
                </c:pt>
                <c:pt idx="1">
                  <c:v>-58.9</c:v>
                </c:pt>
                <c:pt idx="2">
                  <c:v>-57</c:v>
                </c:pt>
                <c:pt idx="3">
                  <c:v>-63.7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52-460C-8435-22B4BD982E9E}"/>
            </c:ext>
          </c:extLst>
        </c:ser>
        <c:ser>
          <c:idx val="2"/>
          <c:order val="2"/>
          <c:tx>
            <c:strRef>
              <c:f>Wykres_3!$D$3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Wykres_3!$A$4:$A$7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Wykres_3!$D$4:$D$7</c:f>
              <c:numCache>
                <c:formatCode>0.0</c:formatCode>
                <c:ptCount val="4"/>
                <c:pt idx="0">
                  <c:v>-25.4</c:v>
                </c:pt>
                <c:pt idx="1">
                  <c:v>-26.1</c:v>
                </c:pt>
                <c:pt idx="2">
                  <c:v>-19.100000000000001</c:v>
                </c:pt>
                <c:pt idx="3">
                  <c:v>-25.7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52-460C-8435-22B4BD982E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6033120"/>
        <c:axId val="226030376"/>
      </c:barChart>
      <c:catAx>
        <c:axId val="226033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700" b="0" baseline="0">
                <a:solidFill>
                  <a:sysClr val="windowText" lastClr="000000"/>
                </a:solidFill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226030376"/>
        <c:crosses val="autoZero"/>
        <c:auto val="1"/>
        <c:lblAlgn val="ctr"/>
        <c:lblOffset val="0"/>
        <c:noMultiLvlLbl val="0"/>
      </c:catAx>
      <c:valAx>
        <c:axId val="226030376"/>
        <c:scaling>
          <c:orientation val="minMax"/>
          <c:max val="0"/>
          <c:min val="-8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226033120"/>
        <c:crosses val="autoZero"/>
        <c:crossBetween val="between"/>
        <c:majorUnit val="20"/>
      </c:valAx>
    </c:plotArea>
    <c:legend>
      <c:legendPos val="b"/>
      <c:overlay val="0"/>
      <c:txPr>
        <a:bodyPr/>
        <a:lstStyle/>
        <a:p>
          <a:pPr>
            <a:defRPr sz="650" b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070779270850723E-2"/>
          <c:y val="7.5784243547096716E-2"/>
          <c:w val="0.9154900542601383"/>
          <c:h val="0.5602999825556565"/>
        </c:manualLayout>
      </c:layout>
      <c:lineChart>
        <c:grouping val="standard"/>
        <c:varyColors val="0"/>
        <c:ser>
          <c:idx val="0"/>
          <c:order val="0"/>
          <c:tx>
            <c:strRef>
              <c:f>'wykres2-4-5'!$A$5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ln w="25400" cmpd="sng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'wykres2-4-5'!$Q$3:$Z$4</c:f>
              <c:multiLvlStrCache>
                <c:ptCount val="10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  <c:pt idx="4">
                    <c:v>07-12</c:v>
                  </c:pt>
                  <c:pt idx="5">
                    <c:v>01-06</c:v>
                  </c:pt>
                  <c:pt idx="6">
                    <c:v>07-12</c:v>
                  </c:pt>
                  <c:pt idx="7">
                    <c:v>01-06</c:v>
                  </c:pt>
                  <c:pt idx="8">
                    <c:v>07-12</c:v>
                  </c:pt>
                  <c:pt idx="9">
                    <c:v>01-06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3">
                    <c:v>2021</c:v>
                  </c:pt>
                  <c:pt idx="5">
                    <c:v>2022</c:v>
                  </c:pt>
                  <c:pt idx="7">
                    <c:v>2023</c:v>
                  </c:pt>
                  <c:pt idx="9">
                    <c:v>2024</c:v>
                  </c:pt>
                </c:lvl>
              </c:multiLvlStrCache>
            </c:multiLvlStrRef>
          </c:cat>
          <c:val>
            <c:numRef>
              <c:f>'wykres2-4-5'!$Q$5:$Z$5</c:f>
              <c:numCache>
                <c:formatCode>General</c:formatCode>
                <c:ptCount val="10"/>
                <c:pt idx="0">
                  <c:v>-8.4</c:v>
                </c:pt>
                <c:pt idx="1">
                  <c:v>-10.3</c:v>
                </c:pt>
                <c:pt idx="2">
                  <c:v>-12.5</c:v>
                </c:pt>
                <c:pt idx="3" formatCode="0.0">
                  <c:v>-9</c:v>
                </c:pt>
                <c:pt idx="4" formatCode="0.0">
                  <c:v>-18</c:v>
                </c:pt>
                <c:pt idx="5">
                  <c:v>-24.9</c:v>
                </c:pt>
                <c:pt idx="6">
                  <c:v>-16.2</c:v>
                </c:pt>
                <c:pt idx="7">
                  <c:v>-31.1</c:v>
                </c:pt>
                <c:pt idx="8">
                  <c:v>-24.2</c:v>
                </c:pt>
                <c:pt idx="9">
                  <c:v>-24.4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BC-49A4-8773-F1B8ABA655B5}"/>
            </c:ext>
          </c:extLst>
        </c:ser>
        <c:ser>
          <c:idx val="1"/>
          <c:order val="1"/>
          <c:tx>
            <c:strRef>
              <c:f>'wykres2-4-5'!$A$6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ln w="25400" cmpd="sng">
              <a:solidFill>
                <a:srgbClr val="A5D87E"/>
              </a:solidFill>
            </a:ln>
          </c:spPr>
          <c:marker>
            <c:symbol val="none"/>
          </c:marker>
          <c:cat>
            <c:multiLvlStrRef>
              <c:f>'wykres2-4-5'!$Q$3:$Z$4</c:f>
              <c:multiLvlStrCache>
                <c:ptCount val="10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  <c:pt idx="4">
                    <c:v>07-12</c:v>
                  </c:pt>
                  <c:pt idx="5">
                    <c:v>01-06</c:v>
                  </c:pt>
                  <c:pt idx="6">
                    <c:v>07-12</c:v>
                  </c:pt>
                  <c:pt idx="7">
                    <c:v>01-06</c:v>
                  </c:pt>
                  <c:pt idx="8">
                    <c:v>07-12</c:v>
                  </c:pt>
                  <c:pt idx="9">
                    <c:v>01-06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3">
                    <c:v>2021</c:v>
                  </c:pt>
                  <c:pt idx="5">
                    <c:v>2022</c:v>
                  </c:pt>
                  <c:pt idx="7">
                    <c:v>2023</c:v>
                  </c:pt>
                  <c:pt idx="9">
                    <c:v>2024</c:v>
                  </c:pt>
                </c:lvl>
              </c:multiLvlStrCache>
            </c:multiLvlStrRef>
          </c:cat>
          <c:val>
            <c:numRef>
              <c:f>'wykres2-4-5'!$Q$6:$Z$6</c:f>
              <c:numCache>
                <c:formatCode>General</c:formatCode>
                <c:ptCount val="10"/>
                <c:pt idx="0" formatCode="0.0">
                  <c:v>-7</c:v>
                </c:pt>
                <c:pt idx="1">
                  <c:v>-7.3</c:v>
                </c:pt>
                <c:pt idx="2">
                  <c:v>-7.1</c:v>
                </c:pt>
                <c:pt idx="3" formatCode="0.0">
                  <c:v>-11.6</c:v>
                </c:pt>
                <c:pt idx="4" formatCode="0.0">
                  <c:v>-18.7</c:v>
                </c:pt>
                <c:pt idx="5">
                  <c:v>-18.899999999999999</c:v>
                </c:pt>
                <c:pt idx="6">
                  <c:v>-14.3</c:v>
                </c:pt>
                <c:pt idx="7">
                  <c:v>-30.8</c:v>
                </c:pt>
                <c:pt idx="8">
                  <c:v>-28.7</c:v>
                </c:pt>
                <c:pt idx="9">
                  <c:v>-28.1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BC-49A4-8773-F1B8ABA655B5}"/>
            </c:ext>
          </c:extLst>
        </c:ser>
        <c:ser>
          <c:idx val="2"/>
          <c:order val="2"/>
          <c:tx>
            <c:strRef>
              <c:f>'wykres2-4-5'!$A$7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ln w="25400" cmpd="sng">
              <a:solidFill>
                <a:srgbClr val="9D9E9E"/>
              </a:solidFill>
              <a:prstDash val="solid"/>
            </a:ln>
          </c:spPr>
          <c:marker>
            <c:symbol val="none"/>
          </c:marker>
          <c:cat>
            <c:multiLvlStrRef>
              <c:f>'wykres2-4-5'!$Q$3:$Z$4</c:f>
              <c:multiLvlStrCache>
                <c:ptCount val="10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  <c:pt idx="4">
                    <c:v>07-12</c:v>
                  </c:pt>
                  <c:pt idx="5">
                    <c:v>01-06</c:v>
                  </c:pt>
                  <c:pt idx="6">
                    <c:v>07-12</c:v>
                  </c:pt>
                  <c:pt idx="7">
                    <c:v>01-06</c:v>
                  </c:pt>
                  <c:pt idx="8">
                    <c:v>07-12</c:v>
                  </c:pt>
                  <c:pt idx="9">
                    <c:v>01-06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3">
                    <c:v>2021</c:v>
                  </c:pt>
                  <c:pt idx="5">
                    <c:v>2022</c:v>
                  </c:pt>
                  <c:pt idx="7">
                    <c:v>2023</c:v>
                  </c:pt>
                  <c:pt idx="9">
                    <c:v>2024</c:v>
                  </c:pt>
                </c:lvl>
              </c:multiLvlStrCache>
            </c:multiLvlStrRef>
          </c:cat>
          <c:val>
            <c:numRef>
              <c:f>'wykres2-4-5'!$Q$7:$Z$7</c:f>
              <c:numCache>
                <c:formatCode>General</c:formatCode>
                <c:ptCount val="10"/>
                <c:pt idx="0" formatCode="0.0">
                  <c:v>-28</c:v>
                </c:pt>
                <c:pt idx="1">
                  <c:v>-29.3</c:v>
                </c:pt>
                <c:pt idx="2">
                  <c:v>-29.8</c:v>
                </c:pt>
                <c:pt idx="3" formatCode="0.0">
                  <c:v>-25.4</c:v>
                </c:pt>
                <c:pt idx="4" formatCode="0.0">
                  <c:v>-25.1</c:v>
                </c:pt>
                <c:pt idx="5">
                  <c:v>-27.8</c:v>
                </c:pt>
                <c:pt idx="6">
                  <c:v>-36.9</c:v>
                </c:pt>
                <c:pt idx="7">
                  <c:v>-45.4</c:v>
                </c:pt>
                <c:pt idx="8">
                  <c:v>-44.3</c:v>
                </c:pt>
                <c:pt idx="9">
                  <c:v>-41.6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FBC-49A4-8773-F1B8ABA65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6029592"/>
        <c:axId val="226030768"/>
      </c:lineChart>
      <c:catAx>
        <c:axId val="226029592"/>
        <c:scaling>
          <c:orientation val="minMax"/>
        </c:scaling>
        <c:delete val="0"/>
        <c:axPos val="b"/>
        <c:numFmt formatCode="General" sourceLinked="1"/>
        <c:majorTickMark val="out"/>
        <c:minorTickMark val="out"/>
        <c:tickLblPos val="low"/>
        <c:spPr>
          <a:noFill/>
          <a:ln/>
          <a:effectLst/>
        </c:spPr>
        <c:txPr>
          <a:bodyPr rot="-60000000" vert="horz"/>
          <a:lstStyle/>
          <a:p>
            <a:pPr>
              <a:defRPr sz="700"/>
            </a:pPr>
            <a:endParaRPr lang="pl-PL"/>
          </a:p>
        </c:txPr>
        <c:crossAx val="226030768"/>
        <c:crosses val="autoZero"/>
        <c:auto val="1"/>
        <c:lblAlgn val="ctr"/>
        <c:lblOffset val="100"/>
        <c:tickMarkSkip val="1"/>
        <c:noMultiLvlLbl val="0"/>
      </c:catAx>
      <c:valAx>
        <c:axId val="226030768"/>
        <c:scaling>
          <c:orientation val="minMax"/>
          <c:max val="10"/>
          <c:min val="-60"/>
        </c:scaling>
        <c:delete val="0"/>
        <c:axPos val="l"/>
        <c:majorGridlines>
          <c:spPr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 sz="700"/>
            </a:pPr>
            <a:endParaRPr lang="pl-PL"/>
          </a:p>
        </c:txPr>
        <c:crossAx val="22602959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56911814329989E-2"/>
          <c:y val="0.79667504797194466"/>
          <c:w val="0.95482860863214625"/>
          <c:h val="9.6373080370301303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600"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440250890914578E-2"/>
          <c:y val="0.1070203298196343"/>
          <c:w val="0.92830224039027476"/>
          <c:h val="0.672500937382827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'wykres2-4-5'!$B$58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'wykres2-4-5'!$A$59:$A$62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'wykres2-4-5'!$B$59:$B$62</c:f>
              <c:numCache>
                <c:formatCode>0.0</c:formatCode>
                <c:ptCount val="4"/>
                <c:pt idx="0">
                  <c:v>-24.4</c:v>
                </c:pt>
                <c:pt idx="1">
                  <c:v>-25.3</c:v>
                </c:pt>
                <c:pt idx="2">
                  <c:v>-17.399999999999999</c:v>
                </c:pt>
                <c:pt idx="3">
                  <c:v>-24.7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CA-4F14-98AE-B23D231222DF}"/>
            </c:ext>
          </c:extLst>
        </c:ser>
        <c:ser>
          <c:idx val="1"/>
          <c:order val="1"/>
          <c:tx>
            <c:strRef>
              <c:f>'wykres2-4-5'!$C$58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A5D87E"/>
            </a:solidFill>
            <a:ln>
              <a:solidFill>
                <a:srgbClr val="A5D87E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'wykres2-4-5'!$A$59:$A$62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'wykres2-4-5'!$C$59:$C$62</c:f>
              <c:numCache>
                <c:formatCode>0.0</c:formatCode>
                <c:ptCount val="4"/>
                <c:pt idx="0">
                  <c:v>-28.1</c:v>
                </c:pt>
                <c:pt idx="1">
                  <c:v>-29.3</c:v>
                </c:pt>
                <c:pt idx="2">
                  <c:v>-20.100000000000001</c:v>
                </c:pt>
                <c:pt idx="3">
                  <c:v>-28.1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CA-4F14-98AE-B23D231222DF}"/>
            </c:ext>
          </c:extLst>
        </c:ser>
        <c:ser>
          <c:idx val="2"/>
          <c:order val="2"/>
          <c:tx>
            <c:strRef>
              <c:f>'wykres2-4-5'!$D$58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'wykres2-4-5'!$A$59:$A$62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'wykres2-4-5'!$D$59:$D$62</c:f>
              <c:numCache>
                <c:formatCode>0.0</c:formatCode>
                <c:ptCount val="4"/>
                <c:pt idx="0">
                  <c:v>-41.6</c:v>
                </c:pt>
                <c:pt idx="1">
                  <c:v>-42.5</c:v>
                </c:pt>
                <c:pt idx="2">
                  <c:v>-34.5</c:v>
                </c:pt>
                <c:pt idx="3">
                  <c:v>-42.1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CA-4F14-98AE-B23D231222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8405920"/>
        <c:axId val="508406704"/>
      </c:barChart>
      <c:catAx>
        <c:axId val="508405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600" b="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508406704"/>
        <c:crosses val="autoZero"/>
        <c:auto val="1"/>
        <c:lblAlgn val="ctr"/>
        <c:lblOffset val="0"/>
        <c:noMultiLvlLbl val="0"/>
      </c:catAx>
      <c:valAx>
        <c:axId val="508406704"/>
        <c:scaling>
          <c:orientation val="minMax"/>
          <c:max val="0"/>
          <c:min val="-6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508405920"/>
        <c:crosses val="autoZero"/>
        <c:crossBetween val="between"/>
        <c:majorUnit val="20"/>
      </c:valAx>
    </c:plotArea>
    <c:legend>
      <c:legendPos val="b"/>
      <c:overlay val="0"/>
      <c:txPr>
        <a:bodyPr/>
        <a:lstStyle/>
        <a:p>
          <a:pPr>
            <a:defRPr sz="6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14047539832169"/>
          <c:y val="5.146198830409357E-2"/>
          <c:w val="0.67944752504528483"/>
          <c:h val="0.4545471289772988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'batony (2)'!$B$14</c:f>
              <c:strCache>
                <c:ptCount val="1"/>
                <c:pt idx="0">
                  <c:v>zwiększy się</c:v>
                </c:pt>
              </c:strCache>
            </c:strRef>
          </c:tx>
          <c:spPr>
            <a:solidFill>
              <a:srgbClr val="001D77"/>
            </a:solidFill>
            <a:ln w="6350"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(2)'!$A$16</c:f>
              <c:strCache>
                <c:ptCount val="1"/>
                <c:pt idx="0">
                  <c:v>popyt na produkty rolne</c:v>
                </c:pt>
              </c:strCache>
            </c:strRef>
          </c:cat>
          <c:val>
            <c:numRef>
              <c:f>'batony (2)'!$B$16</c:f>
              <c:numCache>
                <c:formatCode>General</c:formatCode>
                <c:ptCount val="1"/>
                <c:pt idx="0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6F-4648-84F7-EE13DFD20255}"/>
            </c:ext>
          </c:extLst>
        </c:ser>
        <c:ser>
          <c:idx val="1"/>
          <c:order val="1"/>
          <c:tx>
            <c:strRef>
              <c:f>'batony (2)'!$C$14</c:f>
              <c:strCache>
                <c:ptCount val="1"/>
                <c:pt idx="0">
                  <c:v>pozostanie bez zmian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solidFill>
                  <a:srgbClr val="99A5C9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6F-4648-84F7-EE13DFD202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(2)'!$A$16</c:f>
              <c:strCache>
                <c:ptCount val="1"/>
                <c:pt idx="0">
                  <c:v>popyt na produkty rolne</c:v>
                </c:pt>
              </c:strCache>
            </c:strRef>
          </c:cat>
          <c:val>
            <c:numRef>
              <c:f>'batony (2)'!$C$16</c:f>
              <c:numCache>
                <c:formatCode>General</c:formatCode>
                <c:ptCount val="1"/>
                <c:pt idx="0">
                  <c:v>71.2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6F-4648-84F7-EE13DFD20255}"/>
            </c:ext>
          </c:extLst>
        </c:ser>
        <c:ser>
          <c:idx val="2"/>
          <c:order val="2"/>
          <c:tx>
            <c:strRef>
              <c:f>'batony (2)'!$D$14</c:f>
              <c:strCache>
                <c:ptCount val="1"/>
                <c:pt idx="0">
                  <c:v>zmniejszy się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(2)'!$A$16</c:f>
              <c:strCache>
                <c:ptCount val="1"/>
                <c:pt idx="0">
                  <c:v>popyt na produkty rolne</c:v>
                </c:pt>
              </c:strCache>
            </c:strRef>
          </c:cat>
          <c:val>
            <c:numRef>
              <c:f>'batony (2)'!$D$16</c:f>
              <c:numCache>
                <c:formatCode>0.0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6F-4648-84F7-EE13DFD20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508407488"/>
        <c:axId val="508405136"/>
      </c:barChart>
      <c:catAx>
        <c:axId val="508407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405136"/>
        <c:crosses val="autoZero"/>
        <c:auto val="1"/>
        <c:lblAlgn val="ctr"/>
        <c:lblOffset val="100"/>
        <c:noMultiLvlLbl val="0"/>
      </c:catAx>
      <c:valAx>
        <c:axId val="508405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4074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45739861728882"/>
          <c:y val="0.76657837495083769"/>
          <c:w val="0.60694713272406586"/>
          <c:h val="0.215244768715837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9403621916617"/>
          <c:y val="3.1213865920518478E-2"/>
          <c:w val="0.67385619634374716"/>
          <c:h val="0.627795614386470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'batony (2)'!$B$10</c:f>
              <c:strCache>
                <c:ptCount val="1"/>
                <c:pt idx="0">
                  <c:v>poprawi się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(2)'!$A$11:$A$12</c:f>
              <c:strCache>
                <c:ptCount val="2"/>
                <c:pt idx="0">
                  <c:v>opłacalność produkcji rolniczej</c:v>
                </c:pt>
                <c:pt idx="1">
                  <c:v>ogólna sytuacja gospodarstwa rolnego</c:v>
                </c:pt>
              </c:strCache>
            </c:strRef>
          </c:cat>
          <c:val>
            <c:numRef>
              <c:f>'batony (2)'!$B$11:$B$12</c:f>
              <c:numCache>
                <c:formatCode>0.0</c:formatCode>
                <c:ptCount val="2"/>
                <c:pt idx="0">
                  <c:v>5.3</c:v>
                </c:pt>
                <c:pt idx="1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82-461D-B92D-F76B78F4612A}"/>
            </c:ext>
          </c:extLst>
        </c:ser>
        <c:ser>
          <c:idx val="1"/>
          <c:order val="1"/>
          <c:tx>
            <c:strRef>
              <c:f>'batony (2)'!$C$10</c:f>
              <c:strCache>
                <c:ptCount val="1"/>
                <c:pt idx="0">
                  <c:v>pozostanie bez zmian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(2)'!$A$11:$A$12</c:f>
              <c:strCache>
                <c:ptCount val="2"/>
                <c:pt idx="0">
                  <c:v>opłacalność produkcji rolniczej</c:v>
                </c:pt>
                <c:pt idx="1">
                  <c:v>ogólna sytuacja gospodarstwa rolnego</c:v>
                </c:pt>
              </c:strCache>
            </c:strRef>
          </c:cat>
          <c:val>
            <c:numRef>
              <c:f>'batony (2)'!$C$11:$C$12</c:f>
              <c:numCache>
                <c:formatCode>0.0</c:formatCode>
                <c:ptCount val="2"/>
                <c:pt idx="0">
                  <c:v>52.9</c:v>
                </c:pt>
                <c:pt idx="1">
                  <c:v>59.2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82-461D-B92D-F76B78F4612A}"/>
            </c:ext>
          </c:extLst>
        </c:ser>
        <c:ser>
          <c:idx val="2"/>
          <c:order val="2"/>
          <c:tx>
            <c:strRef>
              <c:f>'batony (2)'!$D$10</c:f>
              <c:strCache>
                <c:ptCount val="1"/>
                <c:pt idx="0">
                  <c:v>pogorszy się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'batony (2)'!$A$11:$A$12</c:f>
              <c:strCache>
                <c:ptCount val="2"/>
                <c:pt idx="0">
                  <c:v>opłacalność produkcji rolniczej</c:v>
                </c:pt>
                <c:pt idx="1">
                  <c:v>ogólna sytuacja gospodarstwa rolnego</c:v>
                </c:pt>
              </c:strCache>
            </c:strRef>
          </c:cat>
          <c:val>
            <c:numRef>
              <c:f>'batony (2)'!$D$11:$D$12</c:f>
              <c:numCache>
                <c:formatCode>0.0</c:formatCode>
                <c:ptCount val="2"/>
                <c:pt idx="0">
                  <c:v>41.8</c:v>
                </c:pt>
                <c:pt idx="1">
                  <c:v>34.299999999999997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82-461D-B92D-F76B78F461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26032728"/>
        <c:axId val="220900328"/>
      </c:barChart>
      <c:catAx>
        <c:axId val="226032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0900328"/>
        <c:crosses val="autoZero"/>
        <c:auto val="1"/>
        <c:lblAlgn val="ctr"/>
        <c:lblOffset val="100"/>
        <c:noMultiLvlLbl val="0"/>
      </c:catAx>
      <c:valAx>
        <c:axId val="220900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6032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384788286106965"/>
          <c:y val="0.74941059474627181"/>
          <c:w val="0.54455905418505945"/>
          <c:h val="7.84810782479069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440250890914578E-2"/>
          <c:y val="9.6230560756452671E-2"/>
          <c:w val="0.94855974910908547"/>
          <c:h val="0.67981738439046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Wykres_3!$A$4:$A$7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Wykres_3!$B$4:$B$7</c:f>
              <c:numCache>
                <c:formatCode>0.0</c:formatCode>
                <c:ptCount val="4"/>
                <c:pt idx="0">
                  <c:v>-43.2</c:v>
                </c:pt>
                <c:pt idx="1">
                  <c:v>-43</c:v>
                </c:pt>
                <c:pt idx="2">
                  <c:v>-37.299999999999997</c:v>
                </c:pt>
                <c:pt idx="3">
                  <c:v>-45.2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06-4492-8F83-9A9D3950E203}"/>
            </c:ext>
          </c:extLst>
        </c:ser>
        <c:ser>
          <c:idx val="1"/>
          <c:order val="1"/>
          <c:tx>
            <c:strRef>
              <c:f>Wykres_3!$C$3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A5D87E"/>
            </a:solidFill>
            <a:ln>
              <a:solidFill>
                <a:srgbClr val="A5D87E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Wykres_3!$A$4:$A$7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Wykres_3!$C$4:$C$7</c:f>
              <c:numCache>
                <c:formatCode>0.0</c:formatCode>
                <c:ptCount val="4"/>
                <c:pt idx="0">
                  <c:v>-60.2</c:v>
                </c:pt>
                <c:pt idx="1">
                  <c:v>-58.9</c:v>
                </c:pt>
                <c:pt idx="2">
                  <c:v>-57</c:v>
                </c:pt>
                <c:pt idx="3">
                  <c:v>-63.7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06-4492-8F83-9A9D3950E203}"/>
            </c:ext>
          </c:extLst>
        </c:ser>
        <c:ser>
          <c:idx val="2"/>
          <c:order val="2"/>
          <c:tx>
            <c:strRef>
              <c:f>Wykres_3!$D$3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Wykres_3!$A$4:$A$7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Wykres_3!$D$4:$D$7</c:f>
              <c:numCache>
                <c:formatCode>0.0</c:formatCode>
                <c:ptCount val="4"/>
                <c:pt idx="0">
                  <c:v>-25.4</c:v>
                </c:pt>
                <c:pt idx="1">
                  <c:v>-26.1</c:v>
                </c:pt>
                <c:pt idx="2">
                  <c:v>-19.100000000000001</c:v>
                </c:pt>
                <c:pt idx="3">
                  <c:v>-25.7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06-4492-8F83-9A9D3950E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901504"/>
        <c:axId val="220903072"/>
      </c:barChart>
      <c:catAx>
        <c:axId val="220901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700" b="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220903072"/>
        <c:crosses val="autoZero"/>
        <c:auto val="1"/>
        <c:lblAlgn val="ctr"/>
        <c:lblOffset val="0"/>
        <c:noMultiLvlLbl val="0"/>
      </c:catAx>
      <c:valAx>
        <c:axId val="220903072"/>
        <c:scaling>
          <c:orientation val="minMax"/>
          <c:max val="0"/>
          <c:min val="-7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220901504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4.7520714800943678E-2"/>
          <c:y val="0.91784665889573469"/>
          <c:w val="0.8999999023922679"/>
          <c:h val="4.5425937654984941E-2"/>
        </c:manualLayout>
      </c:layout>
      <c:overlay val="0"/>
      <c:txPr>
        <a:bodyPr/>
        <a:lstStyle/>
        <a:p>
          <a:pPr>
            <a:defRPr sz="7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502193732139926E-2"/>
          <c:y val="9.3617369287085889E-2"/>
          <c:w val="0.87617302814360964"/>
          <c:h val="0.7565915312088135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Ukraina!$A$35</c:f>
              <c:strCache>
                <c:ptCount val="1"/>
                <c:pt idx="0">
                  <c:v>brak negatywnych skutków </c:v>
                </c:pt>
              </c:strCache>
            </c:strRef>
          </c:tx>
          <c:spPr>
            <a:solidFill>
              <a:srgbClr val="BFC1C1"/>
            </a:solidFill>
            <a:ln w="63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Ukraina!$B$33:$E$34</c:f>
              <c:multiLvlStrCache>
                <c:ptCount val="4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</c:lvl>
                <c:lvl>
                  <c:pt idx="0">
                    <c:v>2022</c:v>
                  </c:pt>
                  <c:pt idx="1">
                    <c:v>2023</c:v>
                  </c:pt>
                  <c:pt idx="2">
                    <c:v>2023</c:v>
                  </c:pt>
                  <c:pt idx="3">
                    <c:v>2024</c:v>
                  </c:pt>
                </c:lvl>
              </c:multiLvlStrCache>
            </c:multiLvlStrRef>
          </c:cat>
          <c:val>
            <c:numRef>
              <c:f>Ukraina!$B$35:$E$35</c:f>
              <c:numCache>
                <c:formatCode>0.0</c:formatCode>
                <c:ptCount val="4"/>
                <c:pt idx="0">
                  <c:v>24.9</c:v>
                </c:pt>
                <c:pt idx="1">
                  <c:v>19.8</c:v>
                </c:pt>
                <c:pt idx="2">
                  <c:v>17.7</c:v>
                </c:pt>
                <c:pt idx="3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4-42EC-BB5C-15CC24ED3FA2}"/>
            </c:ext>
          </c:extLst>
        </c:ser>
        <c:ser>
          <c:idx val="1"/>
          <c:order val="1"/>
          <c:tx>
            <c:strRef>
              <c:f>Ukraina!$A$36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Ukraina!$B$33:$E$34</c:f>
              <c:multiLvlStrCache>
                <c:ptCount val="4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</c:lvl>
                <c:lvl>
                  <c:pt idx="0">
                    <c:v>2022</c:v>
                  </c:pt>
                  <c:pt idx="1">
                    <c:v>2023</c:v>
                  </c:pt>
                  <c:pt idx="2">
                    <c:v>2023</c:v>
                  </c:pt>
                  <c:pt idx="3">
                    <c:v>2024</c:v>
                  </c:pt>
                </c:lvl>
              </c:multiLvlStrCache>
            </c:multiLvlStrRef>
          </c:cat>
          <c:val>
            <c:numRef>
              <c:f>Ukraina!$B$36:$E$36</c:f>
              <c:numCache>
                <c:formatCode>0.0</c:formatCode>
                <c:ptCount val="4"/>
                <c:pt idx="0">
                  <c:v>33.9</c:v>
                </c:pt>
                <c:pt idx="1">
                  <c:v>28.6</c:v>
                </c:pt>
                <c:pt idx="2">
                  <c:v>30.6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F4-42EC-BB5C-15CC24ED3FA2}"/>
            </c:ext>
          </c:extLst>
        </c:ser>
        <c:ser>
          <c:idx val="2"/>
          <c:order val="2"/>
          <c:tx>
            <c:strRef>
              <c:f>Ukraina!$A$37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Ukraina!$B$33:$E$34</c:f>
              <c:multiLvlStrCache>
                <c:ptCount val="4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</c:lvl>
                <c:lvl>
                  <c:pt idx="0">
                    <c:v>2022</c:v>
                  </c:pt>
                  <c:pt idx="1">
                    <c:v>2023</c:v>
                  </c:pt>
                  <c:pt idx="2">
                    <c:v>2023</c:v>
                  </c:pt>
                  <c:pt idx="3">
                    <c:v>2024</c:v>
                  </c:pt>
                </c:lvl>
              </c:multiLvlStrCache>
            </c:multiLvlStrRef>
          </c:cat>
          <c:val>
            <c:numRef>
              <c:f>Ukraina!$B$37:$E$37</c:f>
              <c:numCache>
                <c:formatCode>0.0</c:formatCode>
                <c:ptCount val="4"/>
                <c:pt idx="0">
                  <c:v>24.3</c:v>
                </c:pt>
                <c:pt idx="1">
                  <c:v>32.1</c:v>
                </c:pt>
                <c:pt idx="2">
                  <c:v>30.7</c:v>
                </c:pt>
                <c:pt idx="3">
                  <c:v>28.4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F4-42EC-BB5C-15CC24ED3FA2}"/>
            </c:ext>
          </c:extLst>
        </c:ser>
        <c:ser>
          <c:idx val="3"/>
          <c:order val="3"/>
          <c:tx>
            <c:strRef>
              <c:f>Ukraina!$A$38</c:f>
              <c:strCache>
                <c:ptCount val="1"/>
                <c:pt idx="0">
                  <c:v>zagrażające stabilności gospodarstwa rolnego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Ukraina!$B$33:$E$34</c:f>
              <c:multiLvlStrCache>
                <c:ptCount val="4"/>
                <c:lvl>
                  <c:pt idx="0">
                    <c:v>07-12</c:v>
                  </c:pt>
                  <c:pt idx="1">
                    <c:v>01-06</c:v>
                  </c:pt>
                  <c:pt idx="2">
                    <c:v>07-12</c:v>
                  </c:pt>
                  <c:pt idx="3">
                    <c:v>01-06</c:v>
                  </c:pt>
                </c:lvl>
                <c:lvl>
                  <c:pt idx="0">
                    <c:v>2022</c:v>
                  </c:pt>
                  <c:pt idx="1">
                    <c:v>2023</c:v>
                  </c:pt>
                  <c:pt idx="2">
                    <c:v>2023</c:v>
                  </c:pt>
                  <c:pt idx="3">
                    <c:v>2024</c:v>
                  </c:pt>
                </c:lvl>
              </c:multiLvlStrCache>
            </c:multiLvlStrRef>
          </c:cat>
          <c:val>
            <c:numRef>
              <c:f>Ukraina!$B$38:$E$38</c:f>
              <c:numCache>
                <c:formatCode>0.0</c:formatCode>
                <c:ptCount val="4"/>
                <c:pt idx="0">
                  <c:v>16.899999999999999</c:v>
                </c:pt>
                <c:pt idx="1">
                  <c:v>19.5</c:v>
                </c:pt>
                <c:pt idx="2">
                  <c:v>21</c:v>
                </c:pt>
                <c:pt idx="3">
                  <c:v>22.5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F4-42EC-BB5C-15CC24ED3F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73824720"/>
        <c:axId val="1673825680"/>
      </c:barChart>
      <c:catAx>
        <c:axId val="1673824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3825680"/>
        <c:crosses val="autoZero"/>
        <c:auto val="1"/>
        <c:lblAlgn val="ctr"/>
        <c:lblOffset val="100"/>
        <c:noMultiLvlLbl val="0"/>
      </c:catAx>
      <c:valAx>
        <c:axId val="1673825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382472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265062903356797"/>
          <c:y val="0.9088276799051217"/>
          <c:w val="0.80665825562881632"/>
          <c:h val="6.25736546992636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0.09235</cdr:x>
      <cdr:y>0.11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-457200" y="0"/>
          <a:ext cx="473059" cy="2694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</a:rPr>
            <a:t>p.proc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0.09402</cdr:x>
      <cdr:y>0.08187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81626" cy="231668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0.02139</cdr:y>
    </cdr:from>
    <cdr:to>
      <cdr:x>0.12828</cdr:x>
      <cdr:y>0.08378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-457200" y="76201"/>
          <a:ext cx="676914" cy="2222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</a:rPr>
            <a:t>p. proc.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0.18321</cdr:x>
      <cdr:y>0.07143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0"/>
          <a:ext cx="938492" cy="2375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p.proc</a:t>
          </a:r>
          <a:r>
            <a:rPr lang="pl-PL" sz="8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.</a:t>
          </a:r>
        </a:p>
        <a:p xmlns:a="http://schemas.openxmlformats.org/drawingml/2006/main">
          <a:endParaRPr lang="pl-PL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0.00231</cdr:x>
      <cdr:y>0</cdr:y>
    </cdr:from>
    <cdr:to>
      <cdr:x>0.12272</cdr:x>
      <cdr:y>0.08046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1833" y="-6600825"/>
          <a:ext cx="616806" cy="256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p. proc.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0.1097</cdr:x>
      <cdr:y>0.1122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-457200" y="-7181850"/>
          <a:ext cx="561943" cy="3174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p</a:t>
          </a:r>
          <a:r>
            <a:rPr lang="pl-PL" sz="700">
              <a:latin typeface="Fira Sans" panose="020B0503050000020004" pitchFamily="34" charset="0"/>
              <a:ea typeface="Fira Sans" panose="020B0503050000020004" pitchFamily="34" charset="0"/>
            </a:rPr>
            <a:t>. </a:t>
          </a:r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proc</a:t>
          </a:r>
          <a:r>
            <a:rPr lang="pl-PL" sz="1100"/>
            <a:t>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0x00B44136ADD9233645AF9E7D0EADDEB824</ContentTypeId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NazwaPliku xmlns="1E9983FF-DC4B-4F4E-A072-0441E2B88E6D">Koniunktura w gospodarstwach rolnym w pierwszym półroczu 2024 roku.docx</NazwaPliku>
    <Osoba xmlns="1E9983FF-DC4B-4F4E-A072-0441E2B88E6D">STAT\JANKOWSKAA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DD1016-7556-4CA1-AB2A-B8B3495920CB}"/>
</file>

<file path=customXml/itemProps2.xml><?xml version="1.0" encoding="utf-8"?>
<ds:datastoreItem xmlns:ds="http://schemas.openxmlformats.org/officeDocument/2006/customXml" ds:itemID="{13F373B0-EED0-4D7A-8F82-AEEE10E26278}"/>
</file>

<file path=customXml/itemProps3.xml><?xml version="1.0" encoding="utf-8"?>
<ds:datastoreItem xmlns:ds="http://schemas.openxmlformats.org/officeDocument/2006/customXml" ds:itemID="{F0E2DEDA-484A-42F0-88A5-DA26377E41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2389</Words>
  <Characters>14337</Characters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2024-09-20T09:47:00Z</cp:lastPrinted>
  <dcterms:created xsi:type="dcterms:W3CDTF">2024-09-20T08:44:00Z</dcterms:created>
  <dcterms:modified xsi:type="dcterms:W3CDTF">2024-09-25T08:22:00Z</dcterms:modified>
</cp:coreProperties>
</file>