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42cc168ddae497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76D26" w:rsidR="00C7346B" w:rsidP="00633014" w:rsidRDefault="00276811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Pr="00E76D26" w:rsidR="00E76D26">
        <w:t xml:space="preserve">udownictwie, handlu i usługach </w:t>
      </w:r>
      <w:r w:rsidR="00F601A3">
        <w:t xml:space="preserve">– </w:t>
      </w:r>
      <w:r w:rsidR="00194B6A">
        <w:t>styczeń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Pr="001E196E" w:rsidR="0098135C" w:rsidP="00E76D26" w:rsidRDefault="000E0C8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E33B50" w:rsidP="00E33B50" w:rsidRDefault="0091017C">
      <w:pPr>
        <w:pStyle w:val="LID"/>
      </w:pPr>
      <w:r>
        <w:drawing>
          <wp:anchor distT="0" distB="0" distL="114300" distR="114300" simplePos="0" relativeHeight="252268544" behindDoc="0" locked="0" layoutInCell="1" allowOverlap="1" wp14:editId="24CB29EC" wp14:anchorId="5C3E06CB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C5B" w:rsidR="00BB112E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16231DE1" wp14:anchorId="7F1CFD0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66B19" w:rsidR="00163DA1" w:rsidP="00633014" w:rsidRDefault="00163DA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-9,9</w:t>
                            </w:r>
                          </w:p>
                          <w:p w:rsidRPr="007D3319" w:rsidR="00163DA1" w:rsidP="00F601A3" w:rsidRDefault="00163DA1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Pr="007D3319" w:rsidR="00163DA1" w:rsidP="00F601A3" w:rsidRDefault="00163DA1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1CFD01">
                <v:stroke joinstyle="miter"/>
                <v:path gradientshapeok="t" o:connecttype="rect"/>
              </v:shapetype>
              <v:shape id="Pole tekstowe 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>
                <v:textbox>
                  <w:txbxContent>
                    <w:p w:rsidRPr="00B66B19" w:rsidR="00163DA1" w:rsidP="00633014" w:rsidRDefault="00163DA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-9,9</w:t>
                      </w:r>
                    </w:p>
                    <w:p w:rsidRPr="007D3319" w:rsidR="00163DA1" w:rsidP="00F601A3" w:rsidRDefault="00163DA1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Pr="007D3319" w:rsidR="00163DA1" w:rsidP="00F601A3" w:rsidRDefault="00163DA1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196E" w:rsidR="00CF75EC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editId="40BF1F35" wp14:anchorId="129D89E0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22FBF" w:rsidR="00163DA1" w:rsidP="00F22FBF" w:rsidRDefault="00163DA1">
                            <w:pPr>
                              <w:spacing w:after="0"/>
                              <w:rPr>
                                <w:rFonts w:ascii="Fira Sans" w:hAnsi="Fira Sans"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hAnsi="Fira Sans"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hAnsi="Fira Sans"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hAnsi="Fira Sans"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w14:anchorId="129D89E0">
                <v:textbox>
                  <w:txbxContent>
                    <w:p w:rsidRPr="00F22FBF" w:rsidR="00163DA1" w:rsidP="00F22FBF" w:rsidRDefault="00163DA1">
                      <w:pPr>
                        <w:spacing w:after="0"/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hAnsi="Fira Sans"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37F05" w:rsidR="00537F05">
        <w:t xml:space="preserve">W </w:t>
      </w:r>
      <w:r w:rsidR="00F01D13">
        <w:t>styczniu br. odnotowywana jest poprawa</w:t>
      </w:r>
      <w:r w:rsidRPr="00537F05" w:rsidR="00537F05">
        <w:t xml:space="preserve"> koniunktury w</w:t>
      </w:r>
      <w:r w:rsidR="00455943">
        <w:t>e wszystkich (poza sekcją finanse i ubezpieczenia)</w:t>
      </w:r>
      <w:r w:rsidRPr="00537F05" w:rsidR="00455943">
        <w:t xml:space="preserve"> </w:t>
      </w:r>
      <w:r w:rsidRPr="00537F05" w:rsidR="00537F05">
        <w:t>preze</w:t>
      </w:r>
      <w:r w:rsidR="00F01D13">
        <w:t>ntowanych obszarach gospodarki</w:t>
      </w:r>
      <w:r w:rsidR="00455943">
        <w:t xml:space="preserve">, </w:t>
      </w:r>
      <w:r w:rsidRPr="00537F05" w:rsidR="00537F05">
        <w:t>choć w większości z nich wskaźnik ogólnego klimatu koniunktury pozostaje nadal na ujemnym poziomie</w:t>
      </w:r>
      <w:r w:rsidR="007A583B">
        <w:rPr>
          <w:rStyle w:val="Odwoanieprzypisudolnego"/>
        </w:rPr>
        <w:footnoteReference w:id="1"/>
      </w:r>
      <w:r w:rsidR="007A583B">
        <w:t>. N</w:t>
      </w:r>
      <w:r w:rsidRPr="00537F05" w:rsidR="00537F05">
        <w:t xml:space="preserve">ajbardziej pesymistyczne oceny zgłaszają podmioty z sekcji </w:t>
      </w:r>
      <w:bookmarkStart w:name="_GoBack" w:id="0"/>
      <w:bookmarkEnd w:id="0"/>
      <w:r w:rsidR="005A6368">
        <w:t>zakwaterowanie i gastronomia. W</w:t>
      </w:r>
      <w:r w:rsidRPr="00537F05" w:rsidR="00537F05">
        <w:t xml:space="preserve"> </w:t>
      </w:r>
      <w:r w:rsidR="005A6368">
        <w:t>większości badanych obszarów</w:t>
      </w:r>
      <w:r w:rsidRPr="00537F05" w:rsidR="00537F05">
        <w:t xml:space="preserve"> odnotowuje się poprawę </w:t>
      </w:r>
      <w:r w:rsidR="007A583B">
        <w:t>w </w:t>
      </w:r>
      <w:r w:rsidR="00E33B50">
        <w:t xml:space="preserve">stosunku do grudnia ub.r. </w:t>
      </w:r>
      <w:r w:rsidR="005A6368">
        <w:t>zarówno składowych „diagnostycznych”</w:t>
      </w:r>
      <w:r w:rsidR="00375B14">
        <w:t>,</w:t>
      </w:r>
      <w:r w:rsidR="00A263B2">
        <w:t xml:space="preserve"> jak i </w:t>
      </w:r>
      <w:r w:rsidR="005A6368">
        <w:t>„prognostycznych”</w:t>
      </w:r>
      <w:r w:rsidR="00E33B50">
        <w:t xml:space="preserve">. </w:t>
      </w:r>
    </w:p>
    <w:p w:rsidR="009573A7" w:rsidP="0036698B" w:rsidRDefault="0029717B">
      <w:pPr>
        <w:pStyle w:val="LID"/>
      </w:pPr>
      <w:r>
        <w:t xml:space="preserve">Do badania za </w:t>
      </w:r>
      <w:r w:rsidR="00E33B50">
        <w:t>styczeń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E33B50">
        <w:t>stycznia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Pr="008D372E" w:rsidR="004257A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Pr="00083125" w:rsidR="00E011CF" w:rsidP="00A82134" w:rsidRDefault="001E3B78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editId="25C104D1" wp14:anchorId="49D93AF4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 w:rsidR="00E011CF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Pr="00083125" w:rsidR="00D46DAF">
        <w:rPr>
          <w:spacing w:val="-2"/>
          <w:szCs w:val="19"/>
        </w:rPr>
        <w:t>(wykres 1)</w:t>
      </w:r>
    </w:p>
    <w:p w:rsidR="004A1693" w:rsidP="00C33ADA" w:rsidRDefault="00DE1C3D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DE1C3D">
        <w:rPr>
          <w:noProof/>
          <w:lang w:eastAsia="pl-PL"/>
        </w:rPr>
        <w:drawing>
          <wp:anchor distT="0" distB="0" distL="114300" distR="114300" simplePos="0" relativeHeight="252717056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371475</wp:posOffset>
            </wp:positionV>
            <wp:extent cx="1573200" cy="1839600"/>
            <wp:effectExtent l="0" t="0" r="8255" b="8255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C3D">
        <w:rPr>
          <w:noProof/>
          <w:lang w:eastAsia="pl-PL"/>
        </w:rPr>
        <w:drawing>
          <wp:anchor distT="0" distB="0" distL="114300" distR="114300" simplePos="0" relativeHeight="252716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450685</wp:posOffset>
            </wp:positionV>
            <wp:extent cx="5122800" cy="1656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0E19EE">
        <w:rPr>
          <w:rFonts w:ascii="Fira Sans" w:hAnsi="Fira Sans"/>
          <w:noProof/>
          <w:spacing w:val="-4"/>
          <w:sz w:val="19"/>
          <w:szCs w:val="19"/>
          <w:lang w:eastAsia="pl-PL"/>
        </w:rPr>
        <w:t>styczniu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6B71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br. </w:t>
      </w:r>
      <w:r w:rsidRPr="005719B3" w:rsid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0E19EE">
        <w:rPr>
          <w:rFonts w:ascii="Fira Sans" w:hAnsi="Fira Sans"/>
          <w:noProof/>
          <w:spacing w:val="-4"/>
          <w:sz w:val="19"/>
          <w:szCs w:val="19"/>
          <w:lang w:eastAsia="pl-PL"/>
        </w:rPr>
        <w:t>9,9</w:t>
      </w:r>
      <w:r w:rsidRPr="005719B3" w:rsid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Pr="005F2ED2" w:rsidR="0070214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A263B2">
        <w:rPr>
          <w:rFonts w:ascii="Fira Sans" w:hAnsi="Fira Sans"/>
          <w:noProof/>
          <w:spacing w:val="-4"/>
          <w:sz w:val="19"/>
          <w:szCs w:val="19"/>
          <w:lang w:eastAsia="pl-PL"/>
        </w:rPr>
        <w:t>grudniu</w:t>
      </w:r>
      <w:r w:rsidR="006B71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ub.r.</w:t>
      </w:r>
      <w:r w:rsidR="00A263B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Pr="005719B3" w:rsid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0E19EE">
        <w:rPr>
          <w:rFonts w:ascii="Fira Sans" w:hAnsi="Fira Sans"/>
          <w:noProof/>
          <w:spacing w:val="-4"/>
          <w:sz w:val="19"/>
          <w:szCs w:val="19"/>
          <w:lang w:eastAsia="pl-PL"/>
        </w:rPr>
        <w:t>14,8</w:t>
      </w:r>
      <w:r w:rsidRPr="005719B3" w:rsid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Pr="005719B3" w:rsidR="005719B3">
        <w:t xml:space="preserve"> </w:t>
      </w:r>
    </w:p>
    <w:p w:rsidRPr="00083125" w:rsidR="00E011CF" w:rsidP="00E011CF" w:rsidRDefault="00537F05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editId="28F1B65D" wp14:anchorId="746015A6">
            <wp:simplePos x="0" y="0"/>
            <wp:positionH relativeFrom="margin">
              <wp:align>left</wp:align>
            </wp:positionH>
            <wp:positionV relativeFrom="paragraph">
              <wp:posOffset>1819017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Pr="00083125" w:rsidR="00D46DAF">
        <w:rPr>
          <w:spacing w:val="-2"/>
          <w:szCs w:val="19"/>
        </w:rPr>
        <w:t>(wykres 2)</w:t>
      </w:r>
      <w:r w:rsidRPr="006903BA" w:rsidR="006903BA">
        <w:rPr>
          <w:bCs w:val="0"/>
          <w:spacing w:val="-2"/>
          <w:szCs w:val="19"/>
        </w:rPr>
        <w:t xml:space="preserve"> </w:t>
      </w:r>
    </w:p>
    <w:p w:rsidRPr="00AC619B" w:rsidR="00AC619B" w:rsidP="00AC619B" w:rsidRDefault="00366438">
      <w:pPr>
        <w:spacing w:before="120" w:after="120"/>
        <w:rPr>
          <w:noProof/>
        </w:rPr>
      </w:pPr>
      <w:r w:rsidRPr="00366438">
        <w:rPr>
          <w:noProof/>
          <w:lang w:eastAsia="pl-PL"/>
        </w:rPr>
        <w:drawing>
          <wp:anchor distT="0" distB="0" distL="114300" distR="114300" simplePos="0" relativeHeight="252718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491262</wp:posOffset>
            </wp:positionV>
            <wp:extent cx="5122800" cy="1656000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F10F2">
        <w:rPr>
          <w:rFonts w:ascii="Fira Sans" w:hAnsi="Fira Sans"/>
          <w:noProof/>
          <w:spacing w:val="-4"/>
          <w:sz w:val="19"/>
          <w:szCs w:val="19"/>
          <w:lang w:eastAsia="pl-PL"/>
        </w:rPr>
        <w:t>styczniu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6B71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br. </w:t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2F10F2">
        <w:rPr>
          <w:rFonts w:ascii="Fira Sans" w:hAnsi="Fira Sans"/>
          <w:noProof/>
          <w:spacing w:val="-4"/>
          <w:sz w:val="19"/>
          <w:szCs w:val="19"/>
          <w:lang w:eastAsia="pl-PL"/>
        </w:rPr>
        <w:t>18,7</w:t>
      </w:r>
      <w:r w:rsidR="00BF75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C1653">
        <w:rPr>
          <w:rFonts w:ascii="Fira Sans" w:hAnsi="Fira Sans"/>
          <w:noProof/>
          <w:spacing w:val="-4"/>
          <w:sz w:val="19"/>
          <w:szCs w:val="19"/>
          <w:lang w:eastAsia="pl-PL"/>
        </w:rPr>
        <w:t>–</w:t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97718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w </w:t>
      </w:r>
      <w:r w:rsidR="002F10F2">
        <w:rPr>
          <w:rFonts w:ascii="Fira Sans" w:hAnsi="Fira Sans"/>
          <w:noProof/>
          <w:spacing w:val="-4"/>
          <w:sz w:val="19"/>
          <w:szCs w:val="19"/>
          <w:lang w:eastAsia="pl-PL"/>
        </w:rPr>
        <w:t>grudniu</w:t>
      </w:r>
      <w:r w:rsidR="006B71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ub.r.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2F10F2">
        <w:rPr>
          <w:rFonts w:ascii="Fira Sans" w:hAnsi="Fira Sans"/>
          <w:noProof/>
          <w:spacing w:val="-4"/>
          <w:sz w:val="19"/>
          <w:szCs w:val="19"/>
          <w:lang w:eastAsia="pl-PL"/>
        </w:rPr>
        <w:t>22,6</w:t>
      </w:r>
      <w:r w:rsidRPr="005F2ED2"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Pr="00506FD7" w:rsidR="00E011CF" w:rsidP="00E011CF" w:rsidRDefault="00366438">
      <w:pPr>
        <w:pStyle w:val="tytuwykresu"/>
      </w:pPr>
      <w:r w:rsidRPr="00366438">
        <w:rPr>
          <w:noProof/>
          <w:lang w:eastAsia="pl-PL"/>
        </w:rPr>
        <w:drawing>
          <wp:anchor distT="0" distB="0" distL="114300" distR="114300" simplePos="0" relativeHeight="252719104" behindDoc="0" locked="0" layoutInCell="1" allowOverlap="1">
            <wp:simplePos x="0" y="0"/>
            <wp:positionH relativeFrom="page">
              <wp:posOffset>5771515</wp:posOffset>
            </wp:positionH>
            <wp:positionV relativeFrom="paragraph">
              <wp:posOffset>9525</wp:posOffset>
            </wp:positionV>
            <wp:extent cx="1573200" cy="1839600"/>
            <wp:effectExtent l="0" t="0" r="8255" b="8255"/>
            <wp:wrapTopAndBottom/>
            <wp:docPr id="52" name="Obraz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83125" w:rsidR="00E011CF" w:rsidP="00E011CF" w:rsidRDefault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editId="4078084F" wp14:anchorId="65891080">
            <wp:simplePos x="0" y="0"/>
            <wp:positionH relativeFrom="margin">
              <wp:align>left</wp:align>
            </wp:positionH>
            <wp:positionV relativeFrom="paragraph">
              <wp:posOffset>80382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Pr="00083125" w:rsidR="00D46DAF">
        <w:rPr>
          <w:spacing w:val="-2"/>
          <w:szCs w:val="19"/>
        </w:rPr>
        <w:t>(wykres 3)</w:t>
      </w:r>
    </w:p>
    <w:p w:rsidRPr="009E4ACC" w:rsidR="00E011CF" w:rsidP="00C33455" w:rsidRDefault="00340C09">
      <w:pPr>
        <w:spacing w:before="120" w:after="120"/>
        <w:ind w:left="1134"/>
        <w:rPr>
          <w:lang w:eastAsia="pl-PL"/>
        </w:rPr>
      </w:pPr>
      <w:r w:rsidRPr="00340C09">
        <w:rPr>
          <w:noProof/>
          <w:lang w:eastAsia="pl-PL"/>
        </w:rPr>
        <w:drawing>
          <wp:anchor distT="0" distB="0" distL="114300" distR="114300" simplePos="0" relativeHeight="252721152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399415</wp:posOffset>
            </wp:positionV>
            <wp:extent cx="1569600" cy="1839600"/>
            <wp:effectExtent l="0" t="0" r="0" b="8255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C09">
        <w:rPr>
          <w:noProof/>
          <w:lang w:eastAsia="pl-PL"/>
        </w:rPr>
        <w:drawing>
          <wp:anchor distT="0" distB="0" distL="114300" distR="114300" simplePos="0" relativeHeight="252720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486386</wp:posOffset>
            </wp:positionV>
            <wp:extent cx="5122800" cy="1656000"/>
            <wp:effectExtent l="0" t="0" r="0" b="0"/>
            <wp:wrapTopAndBottom/>
            <wp:docPr id="54" name="Obraz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hAnsi="Fira Sans"/>
          <w:spacing w:val="-4"/>
          <w:sz w:val="19"/>
          <w:szCs w:val="19"/>
        </w:rPr>
        <w:t>W</w:t>
      </w:r>
      <w:r w:rsidRPr="007F08AD">
        <w:rPr>
          <w:rFonts w:ascii="Fira Sans" w:hAnsi="Fira Sans"/>
          <w:spacing w:val="-4"/>
          <w:sz w:val="19"/>
          <w:szCs w:val="19"/>
        </w:rPr>
        <w:t xml:space="preserve"> </w:t>
      </w:r>
      <w:r w:rsidRPr="006451FC">
        <w:rPr>
          <w:rFonts w:ascii="Fira Sans" w:hAnsi="Fira Sans"/>
          <w:spacing w:val="-4"/>
          <w:sz w:val="19"/>
          <w:szCs w:val="19"/>
        </w:rPr>
        <w:t xml:space="preserve">styczniu br. </w:t>
      </w:r>
      <w:r w:rsidRPr="006451FC" w:rsidR="006451FC">
        <w:rPr>
          <w:rFonts w:ascii="Fira Sans" w:hAnsi="Fira Sans"/>
          <w:spacing w:val="-4"/>
          <w:sz w:val="19"/>
          <w:szCs w:val="19"/>
        </w:rPr>
        <w:t>wskaźnik ogólnego klimatu koniunktury (NSA) kształtuje się na poziomie minus 4,2 – wyższym niż w grudniu ub.r. (minus 11,1).</w:t>
      </w:r>
      <w:r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P="00E011CF" w:rsidRDefault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Pr="00083125" w:rsidR="00E011CF" w:rsidP="009205C5" w:rsidRDefault="00340C09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editId="17A01C81" wp14:anchorId="22CD26FD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 w:rsidR="00E011CF">
        <w:t>Handel detalicz</w:t>
      </w:r>
      <w:r w:rsidR="00CB6289">
        <w:t xml:space="preserve">ny </w:t>
      </w:r>
      <w:r w:rsidRPr="00083125" w:rsidR="00D46DAF">
        <w:t>(wykres 4)</w:t>
      </w:r>
    </w:p>
    <w:p w:rsidR="000F4EBC" w:rsidP="00C36D96" w:rsidRDefault="00CF1622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CF1622">
        <w:rPr>
          <w:noProof/>
          <w:lang w:eastAsia="pl-PL"/>
        </w:rPr>
        <w:drawing>
          <wp:anchor distT="0" distB="0" distL="114300" distR="114300" simplePos="0" relativeHeight="252723200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321945</wp:posOffset>
            </wp:positionV>
            <wp:extent cx="1569600" cy="1839600"/>
            <wp:effectExtent l="0" t="0" r="0" b="8255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622">
        <w:rPr>
          <w:noProof/>
          <w:lang w:eastAsia="pl-PL"/>
        </w:rPr>
        <w:drawing>
          <wp:anchor distT="0" distB="0" distL="114300" distR="114300" simplePos="0" relativeHeight="252722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392166</wp:posOffset>
            </wp:positionV>
            <wp:extent cx="5122800" cy="1656000"/>
            <wp:effectExtent l="0" t="0" r="0" b="0"/>
            <wp:wrapTopAndBottom/>
            <wp:docPr id="59" name="Obraz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8AD">
        <w:rPr>
          <w:rFonts w:ascii="Fira Sans" w:hAnsi="Fira Sans"/>
          <w:spacing w:val="-4"/>
          <w:sz w:val="19"/>
          <w:szCs w:val="19"/>
        </w:rPr>
        <w:t>W</w:t>
      </w:r>
      <w:r w:rsidRPr="007F08AD" w:rsidR="007F08AD">
        <w:rPr>
          <w:rFonts w:ascii="Fira Sans" w:hAnsi="Fira Sans"/>
          <w:spacing w:val="-4"/>
          <w:sz w:val="19"/>
          <w:szCs w:val="19"/>
        </w:rPr>
        <w:t xml:space="preserve"> </w:t>
      </w:r>
      <w:r w:rsidRPr="006451FC" w:rsidR="006451FC">
        <w:rPr>
          <w:rFonts w:ascii="Fira Sans" w:hAnsi="Fira Sans"/>
          <w:spacing w:val="-4"/>
          <w:sz w:val="19"/>
          <w:szCs w:val="19"/>
        </w:rPr>
        <w:t>styczniu br. wskaźnik ogólnego klimatu koniunktury (NSA) kształtuje się na poziomie minus 13,9 – wyższym niż przed miesiącem (minus 19,1).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P="00E011CF" w:rsidRDefault="005F2ED2">
      <w:pPr>
        <w:spacing w:before="120" w:after="120"/>
        <w:rPr>
          <w:rFonts w:ascii="Fira Sans SemiBold" w:hAnsi="Fira Sans SemiBold" w:eastAsia="Times New Roman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Pr="00083125" w:rsidR="00E011CF" w:rsidP="009205C5" w:rsidRDefault="00E011CF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editId="005CBB75" wp14:anchorId="53EC5C07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Pr="00673FB6" w:rsidR="00CB6289">
        <w:rPr>
          <w:rStyle w:val="Nagwek1Znak"/>
          <w:rFonts w:eastAsiaTheme="minorHAnsi"/>
        </w:rPr>
        <w:t>magazynowa</w:t>
      </w:r>
      <w:r w:rsidR="00CB6289">
        <w:t xml:space="preserve"> </w:t>
      </w:r>
      <w:r w:rsidRPr="00083125" w:rsidR="00D46DAF">
        <w:t>(wykres 5)</w:t>
      </w:r>
    </w:p>
    <w:p w:rsidRPr="001857EF" w:rsidR="001857EF" w:rsidP="000B24BC" w:rsidRDefault="00BA3E41">
      <w:pPr>
        <w:spacing w:before="120" w:after="120"/>
        <w:ind w:left="1134" w:hanging="1134"/>
        <w:rPr>
          <w:noProof/>
        </w:rPr>
      </w:pPr>
      <w:r w:rsidRPr="00BA3E41">
        <w:rPr>
          <w:noProof/>
          <w:lang w:eastAsia="pl-PL"/>
        </w:rPr>
        <w:drawing>
          <wp:anchor distT="0" distB="0" distL="114300" distR="114300" simplePos="0" relativeHeight="252725248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345440</wp:posOffset>
            </wp:positionV>
            <wp:extent cx="1569600" cy="1839600"/>
            <wp:effectExtent l="0" t="0" r="0" b="8255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E41">
        <w:rPr>
          <w:noProof/>
          <w:lang w:eastAsia="pl-PL"/>
        </w:rPr>
        <w:drawing>
          <wp:anchor distT="0" distB="0" distL="114300" distR="114300" simplePos="0" relativeHeight="252724224" behindDoc="0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424767</wp:posOffset>
            </wp:positionV>
            <wp:extent cx="5122800" cy="1656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7EF" w:rsidR="001857EF">
        <w:rPr>
          <w:rFonts w:ascii="Fira Sans" w:hAnsi="Fira Sans"/>
          <w:spacing w:val="-4"/>
          <w:sz w:val="19"/>
          <w:szCs w:val="19"/>
        </w:rPr>
        <w:t xml:space="preserve">W </w:t>
      </w:r>
      <w:r w:rsidRPr="006451FC" w:rsidR="00002987">
        <w:rPr>
          <w:rFonts w:ascii="Fira Sans" w:hAnsi="Fira Sans"/>
          <w:spacing w:val="-4"/>
          <w:sz w:val="19"/>
          <w:szCs w:val="19"/>
        </w:rPr>
        <w:t xml:space="preserve">styczniu br. </w:t>
      </w:r>
      <w:r w:rsidRPr="001857EF" w:rsid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002987">
        <w:rPr>
          <w:rFonts w:ascii="Fira Sans" w:hAnsi="Fira Sans"/>
          <w:spacing w:val="-4"/>
          <w:sz w:val="19"/>
          <w:szCs w:val="19"/>
        </w:rPr>
        <w:t>7,8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Pr="005E0B7C" w:rsidR="009C1653">
        <w:rPr>
          <w:rFonts w:ascii="Fira Sans" w:hAnsi="Fira Sans"/>
          <w:spacing w:val="-4"/>
          <w:sz w:val="19"/>
          <w:szCs w:val="19"/>
        </w:rPr>
        <w:t>–</w:t>
      </w:r>
      <w:r w:rsidRPr="005719B3"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12A11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146E3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B87CDF">
        <w:rPr>
          <w:rFonts w:ascii="Fira Sans" w:hAnsi="Fira Sans"/>
          <w:noProof/>
          <w:spacing w:val="-4"/>
          <w:sz w:val="19"/>
          <w:szCs w:val="19"/>
          <w:lang w:eastAsia="pl-PL"/>
        </w:rPr>
        <w:t>grudniu ub.r.</w:t>
      </w:r>
      <w:r w:rsidRPr="005719B3" w:rsidR="00E1662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12A11">
        <w:rPr>
          <w:rFonts w:ascii="Fira Sans" w:hAnsi="Fira Sans"/>
          <w:spacing w:val="-4"/>
          <w:sz w:val="19"/>
          <w:szCs w:val="19"/>
        </w:rPr>
        <w:t xml:space="preserve">minus </w:t>
      </w:r>
      <w:r w:rsidR="00002987">
        <w:rPr>
          <w:rFonts w:ascii="Fira Sans" w:hAnsi="Fira Sans"/>
          <w:spacing w:val="-4"/>
          <w:sz w:val="19"/>
          <w:szCs w:val="19"/>
        </w:rPr>
        <w:t>11,5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Pr="00695FFB" w:rsidR="004F5A7C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P="00E011CF" w:rsidRDefault="00F1718D">
      <w:pPr>
        <w:spacing w:before="120" w:after="120"/>
        <w:rPr>
          <w:rFonts w:ascii="Fira Sans" w:hAnsi="Fira Sans" w:eastAsia="Times New Roman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Pr="00083125" w:rsidR="00E011CF" w:rsidP="00642AE9" w:rsidRDefault="00E011CF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lastRenderedPageBreak/>
        <w:t>Zakwaterowanie i g</w:t>
      </w:r>
      <w:r w:rsidR="00CB6289">
        <w:t xml:space="preserve">astronomia </w:t>
      </w:r>
      <w:r w:rsidRPr="00083125" w:rsidR="00D46DAF">
        <w:t>(wykres 6)</w:t>
      </w:r>
    </w:p>
    <w:p w:rsidRPr="00C72CB8" w:rsidR="009F66B2" w:rsidP="009F66B2" w:rsidRDefault="009F2748">
      <w:pPr>
        <w:spacing w:before="120" w:after="120"/>
        <w:rPr>
          <w:noProof/>
        </w:rPr>
      </w:pPr>
      <w:r w:rsidRPr="009F2748">
        <w:rPr>
          <w:noProof/>
          <w:lang w:eastAsia="pl-PL"/>
        </w:rPr>
        <w:drawing>
          <wp:anchor distT="0" distB="0" distL="114300" distR="114300" simplePos="0" relativeHeight="252727296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598170</wp:posOffset>
            </wp:positionV>
            <wp:extent cx="1569600" cy="1839600"/>
            <wp:effectExtent l="0" t="0" r="0" b="8255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48">
        <w:rPr>
          <w:noProof/>
          <w:lang w:eastAsia="pl-PL"/>
        </w:rPr>
        <w:drawing>
          <wp:anchor distT="0" distB="0" distL="114300" distR="114300" simplePos="0" relativeHeight="2527262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710673</wp:posOffset>
            </wp:positionV>
            <wp:extent cx="5122800" cy="1656000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 w:rsidR="00A82134">
        <w:rPr>
          <w:noProof/>
          <w:lang w:eastAsia="pl-PL"/>
        </w:rPr>
        <w:drawing>
          <wp:anchor distT="0" distB="0" distL="114300" distR="114300" simplePos="0" relativeHeight="252247040" behindDoc="1" locked="0" layoutInCell="1" allowOverlap="1" wp14:editId="30634BA0" wp14:anchorId="19EB237E">
            <wp:simplePos x="0" y="0"/>
            <wp:positionH relativeFrom="margin">
              <wp:posOffset>20955</wp:posOffset>
            </wp:positionH>
            <wp:positionV relativeFrom="paragraph">
              <wp:posOffset>10160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6B2" w:rsid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Pr="009F66B2" w:rsidR="00FF796D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451A8D">
        <w:rPr>
          <w:rFonts w:ascii="Fira Sans" w:hAnsi="Fira Sans"/>
          <w:spacing w:val="-4"/>
          <w:sz w:val="19"/>
          <w:szCs w:val="19"/>
        </w:rPr>
        <w:t>styczniu br.</w:t>
      </w:r>
      <w:r w:rsidR="00FF796D">
        <w:rPr>
          <w:rFonts w:ascii="Fira Sans" w:hAnsi="Fira Sans"/>
          <w:spacing w:val="-4"/>
          <w:sz w:val="19"/>
          <w:szCs w:val="19"/>
        </w:rPr>
        <w:t xml:space="preserve"> na poziomie minus </w:t>
      </w:r>
      <w:r w:rsidR="009A0F57">
        <w:rPr>
          <w:rFonts w:ascii="Fira Sans" w:hAnsi="Fira Sans"/>
          <w:spacing w:val="-4"/>
          <w:sz w:val="19"/>
          <w:szCs w:val="19"/>
        </w:rPr>
        <w:t>5</w:t>
      </w:r>
      <w:r w:rsidR="00451A8D">
        <w:rPr>
          <w:rFonts w:ascii="Fira Sans" w:hAnsi="Fira Sans"/>
          <w:spacing w:val="-4"/>
          <w:sz w:val="19"/>
          <w:szCs w:val="19"/>
        </w:rPr>
        <w:t>2,1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9A0F57">
        <w:rPr>
          <w:rFonts w:ascii="Fira Sans" w:hAnsi="Fira Sans"/>
          <w:spacing w:val="-4"/>
          <w:sz w:val="19"/>
          <w:szCs w:val="19"/>
        </w:rPr>
        <w:t xml:space="preserve">minus </w:t>
      </w:r>
      <w:r w:rsidR="00451A8D">
        <w:rPr>
          <w:rFonts w:ascii="Fira Sans" w:hAnsi="Fira Sans"/>
          <w:spacing w:val="-4"/>
          <w:sz w:val="19"/>
          <w:szCs w:val="19"/>
        </w:rPr>
        <w:t xml:space="preserve">56,9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451A8D">
        <w:rPr>
          <w:rFonts w:ascii="Fira Sans" w:hAnsi="Fira Sans"/>
          <w:spacing w:val="-4"/>
          <w:sz w:val="19"/>
          <w:szCs w:val="19"/>
        </w:rPr>
        <w:t>grudniu</w:t>
      </w:r>
      <w:r w:rsidR="000B51A7">
        <w:rPr>
          <w:rFonts w:ascii="Fira Sans" w:hAnsi="Fira Sans"/>
          <w:spacing w:val="-4"/>
          <w:sz w:val="19"/>
          <w:szCs w:val="19"/>
        </w:rPr>
        <w:t xml:space="preserve"> ub.r</w:t>
      </w:r>
      <w:r w:rsidRPr="00C72CB8" w:rsidR="00FF796D">
        <w:rPr>
          <w:rFonts w:ascii="Fira Sans" w:hAnsi="Fira Sans"/>
          <w:spacing w:val="-4"/>
          <w:sz w:val="19"/>
          <w:szCs w:val="19"/>
        </w:rPr>
        <w:t xml:space="preserve">. Podmioty </w:t>
      </w:r>
      <w:r w:rsidR="00FF796D">
        <w:rPr>
          <w:rFonts w:ascii="Fira Sans" w:hAnsi="Fira Sans"/>
          <w:spacing w:val="-4"/>
          <w:sz w:val="19"/>
          <w:szCs w:val="19"/>
        </w:rPr>
        <w:t>prowadzące działalność w </w:t>
      </w:r>
      <w:r w:rsidRPr="00C72CB8" w:rsidR="00FF796D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455D21">
        <w:rPr>
          <w:rFonts w:ascii="Fira Sans" w:hAnsi="Fira Sans"/>
          <w:spacing w:val="-4"/>
          <w:sz w:val="19"/>
          <w:szCs w:val="19"/>
        </w:rPr>
        <w:t>6</w:t>
      </w:r>
      <w:r w:rsidR="00451A8D">
        <w:rPr>
          <w:rFonts w:ascii="Fira Sans" w:hAnsi="Fira Sans"/>
          <w:spacing w:val="-4"/>
          <w:sz w:val="19"/>
          <w:szCs w:val="19"/>
        </w:rPr>
        <w:t>4,5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Pr="00C72CB8" w:rsidR="00FF796D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451A8D">
        <w:rPr>
          <w:rFonts w:ascii="Fira Sans" w:hAnsi="Fira Sans"/>
          <w:spacing w:val="-4"/>
          <w:sz w:val="19"/>
          <w:szCs w:val="19"/>
        </w:rPr>
        <w:t>44,9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Pr="00C72CB8" w:rsidR="00795CEE">
        <w:rPr>
          <w:rFonts w:ascii="Fira Sans" w:hAnsi="Fira Sans"/>
          <w:spacing w:val="-4"/>
          <w:sz w:val="19"/>
          <w:szCs w:val="19"/>
        </w:rPr>
        <w:t>.</w:t>
      </w:r>
      <w:r w:rsidRPr="00C72CB8" w:rsidR="002C3C20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P="00FF796D" w:rsidRDefault="00F64CF2">
      <w:pPr>
        <w:spacing w:before="360" w:after="120"/>
        <w:ind w:firstLine="1134"/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</w:pPr>
      <w:r w:rsidRPr="00F64CF2">
        <w:rPr>
          <w:noProof/>
          <w:lang w:eastAsia="pl-PL"/>
        </w:rPr>
        <w:drawing>
          <wp:anchor distT="0" distB="0" distL="114300" distR="114300" simplePos="0" relativeHeight="252729344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1984375</wp:posOffset>
            </wp:positionV>
            <wp:extent cx="1580400" cy="1839600"/>
            <wp:effectExtent l="0" t="0" r="0" b="8255"/>
            <wp:wrapTopAndBottom/>
            <wp:docPr id="195" name="Obraz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CF2">
        <w:rPr>
          <w:noProof/>
          <w:lang w:eastAsia="pl-PL"/>
        </w:rPr>
        <w:drawing>
          <wp:anchor distT="0" distB="0" distL="114300" distR="114300" simplePos="0" relativeHeight="252728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2044987</wp:posOffset>
            </wp:positionV>
            <wp:extent cx="5122800" cy="1656000"/>
            <wp:effectExtent l="0" t="0" r="0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7CB" w:rsidR="00E427CB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>a</w:t>
      </w:r>
      <w:r w:rsidRPr="00E427CB" w:rsidR="00E427CB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>)</w:t>
      </w:r>
      <w:r w:rsidRPr="00812DFA" w:rsidR="00812DFA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P="00FF796D" w:rsidRDefault="00900071">
      <w:pPr>
        <w:spacing w:before="360" w:after="120"/>
        <w:ind w:firstLine="1134"/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</w:pPr>
      <w:r w:rsidRPr="00900071">
        <w:rPr>
          <w:noProof/>
          <w:lang w:eastAsia="pl-PL"/>
        </w:rPr>
        <w:drawing>
          <wp:anchor distT="0" distB="0" distL="114300" distR="114300" simplePos="0" relativeHeight="252731392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1950085</wp:posOffset>
            </wp:positionV>
            <wp:extent cx="1580400" cy="1839600"/>
            <wp:effectExtent l="0" t="0" r="0" b="8255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071">
        <w:rPr>
          <w:noProof/>
          <w:lang w:eastAsia="pl-PL"/>
        </w:rPr>
        <w:drawing>
          <wp:anchor distT="0" distB="0" distL="114300" distR="114300" simplePos="0" relativeHeight="252730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2019887</wp:posOffset>
            </wp:positionV>
            <wp:extent cx="5122800" cy="165600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66B" w:rsidR="007A666B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Pr="00812DFA" w:rsidR="00812DFA"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P="00E427CB" w:rsidRDefault="005073E8">
      <w:pPr>
        <w:spacing w:before="120" w:after="120"/>
        <w:ind w:firstLine="1134"/>
        <w:rPr>
          <w:rFonts w:ascii="Fira Sans SemiBold" w:hAnsi="Fira Sans SemiBold" w:eastAsia="Times New Roman" w:cs="Times New Roman"/>
          <w:bCs/>
          <w:color w:val="001D77"/>
          <w:sz w:val="19"/>
          <w:szCs w:val="24"/>
          <w:lang w:eastAsia="pl-PL"/>
        </w:rPr>
      </w:pPr>
    </w:p>
    <w:p w:rsidR="00916664" w:rsidP="009205C5" w:rsidRDefault="00916664">
      <w:pPr>
        <w:pStyle w:val="Nagwek1"/>
      </w:pPr>
      <w:r>
        <w:br w:type="page"/>
      </w:r>
    </w:p>
    <w:p w:rsidRPr="00083125" w:rsidR="00E011CF" w:rsidP="009205C5" w:rsidRDefault="00E011CF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editId="41B01C5D" wp14:anchorId="0CD4389E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Pr="00083125" w:rsidR="00D46DAF">
        <w:t>(wykres 7)</w:t>
      </w:r>
    </w:p>
    <w:p w:rsidR="00981685" w:rsidP="00981685" w:rsidRDefault="00414D7B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414D7B">
        <w:rPr>
          <w:noProof/>
          <w:lang w:eastAsia="pl-PL"/>
        </w:rPr>
        <w:drawing>
          <wp:anchor distT="0" distB="0" distL="114300" distR="114300" simplePos="0" relativeHeight="252733440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443230</wp:posOffset>
            </wp:positionV>
            <wp:extent cx="1580400" cy="1839600"/>
            <wp:effectExtent l="0" t="0" r="1270" b="8255"/>
            <wp:wrapTopAndBottom/>
            <wp:docPr id="199" name="Obraz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D7B">
        <w:rPr>
          <w:noProof/>
          <w:lang w:eastAsia="pl-PL"/>
        </w:rPr>
        <w:drawing>
          <wp:anchor distT="0" distB="0" distL="114300" distR="114300" simplePos="0" relativeHeight="252732416" behindDoc="0" locked="0" layoutInCell="1" allowOverlap="1">
            <wp:simplePos x="0" y="0"/>
            <wp:positionH relativeFrom="column">
              <wp:posOffset>51759</wp:posOffset>
            </wp:positionH>
            <wp:positionV relativeFrom="paragraph">
              <wp:posOffset>512266</wp:posOffset>
            </wp:positionV>
            <wp:extent cx="5122800" cy="1656000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3C6AF9">
        <w:rPr>
          <w:rFonts w:ascii="Fira Sans" w:hAnsi="Fira Sans"/>
          <w:spacing w:val="-4"/>
          <w:sz w:val="19"/>
          <w:szCs w:val="19"/>
        </w:rPr>
        <w:t>styczniu br.</w:t>
      </w:r>
      <w:r w:rsidR="00580841">
        <w:rPr>
          <w:rFonts w:ascii="Fira Sans" w:hAnsi="Fira Sans"/>
          <w:spacing w:val="-4"/>
          <w:sz w:val="19"/>
          <w:szCs w:val="19"/>
        </w:rPr>
        <w:t xml:space="preserve"> </w:t>
      </w:r>
      <w:r w:rsidRPr="00981685" w:rsid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3C6AF9">
        <w:rPr>
          <w:rFonts w:ascii="Fira Sans" w:hAnsi="Fira Sans"/>
          <w:spacing w:val="-4"/>
          <w:sz w:val="19"/>
          <w:szCs w:val="19"/>
        </w:rPr>
        <w:t xml:space="preserve">7,4 </w:t>
      </w:r>
      <w:r w:rsidRPr="005E0B7C" w:rsidR="009C1653">
        <w:rPr>
          <w:rFonts w:ascii="Fira Sans" w:hAnsi="Fira Sans"/>
          <w:spacing w:val="-4"/>
          <w:sz w:val="19"/>
          <w:szCs w:val="19"/>
        </w:rPr>
        <w:t>–</w:t>
      </w:r>
      <w:r w:rsidRPr="005719B3" w:rsidR="005306A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326AD1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5306A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niż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>
        <w:rPr>
          <w:rFonts w:ascii="Fira Sans" w:hAnsi="Fira Sans"/>
          <w:spacing w:val="-4"/>
          <w:sz w:val="19"/>
          <w:szCs w:val="19"/>
        </w:rPr>
        <w:t>plus 5,8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P="00981685" w:rsidRDefault="001E5FEF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P="00E011CF" w:rsidRDefault="00E011CF">
      <w:pPr>
        <w:spacing w:before="120" w:after="120"/>
        <w:rPr>
          <w:rFonts w:ascii="Fira Sans SemiBold" w:hAnsi="Fira Sans SemiBold" w:eastAsia="Times New Roman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Pr="00083125" w:rsidR="00E011CF" w:rsidP="00E011CF" w:rsidRDefault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editId="0820093F" wp14:anchorId="744D4FFE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Pr="00C40E96" w:rsidR="00D46DAF">
        <w:rPr>
          <w:rStyle w:val="Nagwek1Znak"/>
          <w:rFonts w:eastAsiaTheme="minorHAnsi"/>
        </w:rPr>
        <w:t>(wykres 8</w:t>
      </w:r>
      <w:r w:rsidRPr="009205C5" w:rsidR="00D46DAF">
        <w:rPr>
          <w:rStyle w:val="Nagwek1Znak"/>
          <w:rFonts w:eastAsiaTheme="minorHAnsi"/>
        </w:rPr>
        <w:t>)</w:t>
      </w:r>
      <w:r w:rsidRPr="004F030C" w:rsid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Pr="004F030C" w:rsid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P="00641278" w:rsidRDefault="00B6272D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B6272D">
        <w:rPr>
          <w:noProof/>
          <w:lang w:eastAsia="pl-PL"/>
        </w:rPr>
        <w:drawing>
          <wp:anchor distT="0" distB="0" distL="114300" distR="114300" simplePos="0" relativeHeight="252735488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412115</wp:posOffset>
            </wp:positionV>
            <wp:extent cx="1569600" cy="1839600"/>
            <wp:effectExtent l="0" t="0" r="0" b="8255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72D">
        <w:rPr>
          <w:noProof/>
          <w:lang w:eastAsia="pl-PL"/>
        </w:rPr>
        <w:drawing>
          <wp:anchor distT="0" distB="0" distL="114300" distR="114300" simplePos="0" relativeHeight="2527344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507581</wp:posOffset>
            </wp:positionV>
            <wp:extent cx="5122800" cy="1656000"/>
            <wp:effectExtent l="0" t="0" r="0" b="0"/>
            <wp:wrapTopAndBottom/>
            <wp:docPr id="206" name="Obraz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278" w:rsid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Pr="00981685" w:rsidR="00A44E2F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4A5BD9">
        <w:rPr>
          <w:rFonts w:ascii="Fira Sans" w:hAnsi="Fira Sans"/>
          <w:spacing w:val="-4"/>
          <w:sz w:val="19"/>
          <w:szCs w:val="19"/>
        </w:rPr>
        <w:t>styczniu br.</w:t>
      </w:r>
      <w:r w:rsidR="002D5173">
        <w:rPr>
          <w:rFonts w:ascii="Fira Sans" w:hAnsi="Fira Sans"/>
          <w:spacing w:val="-4"/>
          <w:sz w:val="19"/>
          <w:szCs w:val="19"/>
        </w:rPr>
        <w:t xml:space="preserve"> </w:t>
      </w:r>
      <w:r w:rsidRPr="00981685" w:rsidR="00A44E2F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4A5BD9">
        <w:rPr>
          <w:rFonts w:ascii="Fira Sans" w:hAnsi="Fira Sans"/>
          <w:spacing w:val="-4"/>
          <w:sz w:val="19"/>
          <w:szCs w:val="19"/>
        </w:rPr>
        <w:t>minus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4A5BD9">
        <w:rPr>
          <w:rFonts w:ascii="Fira Sans" w:hAnsi="Fira Sans"/>
          <w:spacing w:val="-4"/>
          <w:sz w:val="19"/>
          <w:szCs w:val="19"/>
        </w:rPr>
        <w:t>3,6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 xml:space="preserve">– </w:t>
      </w:r>
      <w:r w:rsidR="006D74CE">
        <w:rPr>
          <w:rFonts w:ascii="Fira Sans" w:hAnsi="Fira Sans"/>
          <w:spacing w:val="-4"/>
          <w:sz w:val="19"/>
          <w:szCs w:val="19"/>
        </w:rPr>
        <w:t>niższym</w:t>
      </w:r>
      <w:r w:rsidR="001E3F3F">
        <w:rPr>
          <w:rFonts w:ascii="Fira Sans" w:hAnsi="Fira Sans"/>
          <w:spacing w:val="-4"/>
          <w:sz w:val="19"/>
          <w:szCs w:val="19"/>
        </w:rPr>
        <w:t xml:space="preserve"> niż</w:t>
      </w:r>
      <w:r w:rsidR="00A44E2F">
        <w:rPr>
          <w:rFonts w:ascii="Fira Sans" w:hAnsi="Fira Sans"/>
          <w:spacing w:val="-4"/>
          <w:sz w:val="19"/>
          <w:szCs w:val="19"/>
        </w:rPr>
        <w:t xml:space="preserve"> przed miesiącem (</w:t>
      </w:r>
      <w:r w:rsidR="003C6AF9">
        <w:rPr>
          <w:rFonts w:ascii="Fira Sans" w:hAnsi="Fira Sans"/>
          <w:spacing w:val="-4"/>
          <w:sz w:val="19"/>
          <w:szCs w:val="19"/>
        </w:rPr>
        <w:t>plus 0,4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Pr="004609F2" w:rsid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Pr="00641278" w:rsidR="00641278" w:rsidP="00641278" w:rsidRDefault="00641278">
      <w:pPr>
        <w:spacing w:before="120" w:after="120"/>
        <w:ind w:left="1134" w:hanging="1134"/>
        <w:rPr>
          <w:noProof/>
        </w:rPr>
      </w:pPr>
    </w:p>
    <w:p w:rsidRPr="0009541F" w:rsidR="00E011CF" w:rsidP="00E011CF" w:rsidRDefault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P="004F030C" w:rsidRDefault="00CC4D5F">
      <w:pPr>
        <w:spacing w:before="120" w:after="120"/>
        <w:rPr>
          <w:rFonts w:ascii="Fira Sans" w:hAnsi="Fira Sans" w:eastAsia="Times New Roman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 w:eastAsia="Times New Roman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Pr="00083125" w:rsidR="00A4707B" w:rsidP="00A4707B" w:rsidRDefault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Pr="006D7274" w:rsidR="00A4707B" w:rsidTr="00025D3B">
        <w:tc>
          <w:tcPr>
            <w:tcW w:w="4253" w:type="dxa"/>
            <w:gridSpan w:val="2"/>
            <w:tcBorders>
              <w:top w:val="nil"/>
              <w:left w:val="nil"/>
              <w:bottom w:val="single" w:color="001D77" w:sz="12" w:space="0"/>
              <w:right w:val="single" w:color="001D77" w:sz="4" w:space="0"/>
            </w:tcBorders>
            <w:shd w:val="clear" w:color="auto" w:fill="auto"/>
            <w:vAlign w:val="center"/>
          </w:tcPr>
          <w:p w:rsidRPr="006D7274" w:rsidR="00A4707B" w:rsidP="00025D3B" w:rsidRDefault="00A4707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</w:tcPr>
          <w:p w:rsidRPr="006D7274" w:rsidR="00A4707B" w:rsidP="00025D3B" w:rsidRDefault="00A4707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</w:tcPr>
          <w:p w:rsidRPr="006D7274" w:rsidR="00A4707B" w:rsidP="00025D3B" w:rsidRDefault="00A4707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color="001D77" w:sz="4" w:space="0"/>
              <w:bottom w:val="single" w:color="001D77" w:sz="12" w:space="0"/>
              <w:right w:val="single" w:color="001D77" w:sz="4" w:space="0"/>
            </w:tcBorders>
            <w:shd w:val="clear" w:color="auto" w:fill="auto"/>
          </w:tcPr>
          <w:p w:rsidRPr="006D7274" w:rsidR="00A4707B" w:rsidP="00025D3B" w:rsidRDefault="00A4707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color="001D77" w:sz="4" w:space="0"/>
              <w:bottom w:val="single" w:color="001D77" w:sz="12" w:space="0"/>
              <w:right w:val="nil"/>
            </w:tcBorders>
            <w:shd w:val="clear" w:color="auto" w:fill="auto"/>
          </w:tcPr>
          <w:p w:rsidRPr="006D7274" w:rsidR="00A4707B" w:rsidP="00025D3B" w:rsidRDefault="00A4707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 w:val="restart"/>
            <w:tcBorders>
              <w:top w:val="single" w:color="001D77" w:sz="12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37536" behindDoc="0" locked="0" layoutInCell="1" allowOverlap="1" wp14:editId="5BB56F98" wp14:anchorId="1A8782E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12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851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850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-8,7</w:t>
            </w:r>
          </w:p>
        </w:tc>
        <w:tc>
          <w:tcPr>
            <w:tcW w:w="1276" w:type="dxa"/>
            <w:tcBorders>
              <w:top w:val="single" w:color="001D77" w:sz="12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-14,8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-9,9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-6,0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-1,0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-4,3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-22,1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-13,8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6,9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38560" behindDoc="0" locked="0" layoutInCell="1" allowOverlap="1" wp14:editId="08981ABE" wp14:anchorId="5A87035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-16,3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-2,1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-22,6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-18,7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-2,0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-13,9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-10,3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-5,7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-11,0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-31,3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-27,0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1,7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39584" behindDoc="0" locked="0" layoutInCell="1" allowOverlap="1" wp14:editId="06A8A143" wp14:anchorId="4E46A15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-7,3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-3,0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-4,2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7,6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9,0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-6,2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-22,5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-15,9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0608" behindDoc="0" locked="0" layoutInCell="1" allowOverlap="1" wp14:editId="2A363BCF" wp14:anchorId="0E3F37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-18,2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-13,4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-19,1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-13,9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-4,1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-13,1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-4,8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Pr="006D7274" w:rsidR="008E78DE" w:rsidTr="008E78DE">
        <w:trPr>
          <w:trHeight w:val="369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-9,7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-25,1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-23,0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-4,5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1632" behindDoc="0" locked="0" layoutInCell="1" allowOverlap="1" wp14:editId="2B509FF3" wp14:anchorId="7DA12D3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-8,1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-11,5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-7,8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-2,9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-7,5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-20,1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-15,7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2656" behindDoc="0" locked="0" layoutInCell="1" allowOverlap="1" wp14:editId="74F858FB" wp14:anchorId="4F15089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-49,7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-48,7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-56,9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-52,1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-51,8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-59,2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top w:val="single" w:color="001D77" w:sz="4" w:space="0"/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auto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auto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-62,0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auto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-45,0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auto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3680" behindDoc="0" locked="0" layoutInCell="1" allowOverlap="1" wp14:editId="56D61351" wp14:anchorId="767A8F3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17,7</w:t>
            </w:r>
          </w:p>
        </w:tc>
        <w:tc>
          <w:tcPr>
            <w:tcW w:w="851" w:type="dxa"/>
            <w:tcBorders>
              <w:left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850" w:type="dxa"/>
            <w:tcBorders>
              <w:left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5,7</w:t>
            </w:r>
          </w:p>
        </w:tc>
        <w:tc>
          <w:tcPr>
            <w:tcW w:w="1276" w:type="dxa"/>
            <w:tcBorders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19,0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19,7</w:t>
            </w:r>
          </w:p>
        </w:tc>
        <w:tc>
          <w:tcPr>
            <w:tcW w:w="851" w:type="dxa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850" w:type="dxa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7,4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19,0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33,7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24,6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bottom w:val="single" w:color="001D77" w:sz="4" w:space="0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-9,9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12,1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 w:val="restart"/>
            <w:tcBorders>
              <w:top w:val="single" w:color="001D77" w:sz="4" w:space="0"/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44704" behindDoc="0" locked="0" layoutInCell="1" allowOverlap="1" wp14:editId="0FB817AC" wp14:anchorId="6DAFE38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25,7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27,7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single" w:color="001D77" w:sz="4" w:space="0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42,1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33,9</w:t>
            </w:r>
          </w:p>
        </w:tc>
      </w:tr>
      <w:tr w:rsidRPr="006D7274" w:rsidR="008E78DE" w:rsidTr="008E78DE">
        <w:trPr>
          <w:trHeight w:val="369" w:hRule="exact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Pr="006D7274" w:rsidR="008E78DE" w:rsidP="008E78DE" w:rsidRDefault="008E78DE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color="001D77" w:sz="4" w:space="0"/>
              <w:left w:val="nil"/>
              <w:bottom w:val="nil"/>
              <w:right w:val="single" w:color="001D77" w:sz="4" w:space="0"/>
            </w:tcBorders>
            <w:vAlign w:val="center"/>
          </w:tcPr>
          <w:p w:rsidRPr="00445A7C" w:rsidR="008E78DE" w:rsidP="008E78DE" w:rsidRDefault="008E78DE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color="001D77" w:sz="4" w:space="0"/>
              <w:left w:val="single" w:color="001D77" w:sz="4" w:space="0"/>
              <w:bottom w:val="nil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851" w:type="dxa"/>
            <w:tcBorders>
              <w:top w:val="single" w:color="001D77" w:sz="4" w:space="0"/>
              <w:left w:val="single" w:color="001D77" w:sz="4" w:space="0"/>
              <w:bottom w:val="nil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-19,8</w:t>
            </w:r>
          </w:p>
        </w:tc>
        <w:tc>
          <w:tcPr>
            <w:tcW w:w="850" w:type="dxa"/>
            <w:tcBorders>
              <w:top w:val="single" w:color="001D77" w:sz="4" w:space="0"/>
              <w:left w:val="single" w:color="001D77" w:sz="4" w:space="0"/>
              <w:bottom w:val="nil"/>
              <w:right w:val="single" w:color="001D77" w:sz="4" w:space="0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-19,6</w:t>
            </w:r>
          </w:p>
        </w:tc>
        <w:tc>
          <w:tcPr>
            <w:tcW w:w="1276" w:type="dxa"/>
            <w:tcBorders>
              <w:top w:val="single" w:color="001D77" w:sz="4" w:space="0"/>
              <w:left w:val="single" w:color="001D77" w:sz="4" w:space="0"/>
              <w:bottom w:val="nil"/>
              <w:right w:val="nil"/>
            </w:tcBorders>
            <w:vAlign w:val="center"/>
          </w:tcPr>
          <w:p w:rsidRPr="008E78DE" w:rsidR="008E78DE" w:rsidP="004432D9" w:rsidRDefault="008E78DE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8E78DE">
              <w:rPr>
                <w:rFonts w:ascii="Fira Sans" w:hAnsi="Fira Sans" w:cs="Calibri"/>
                <w:color w:val="000000"/>
                <w:sz w:val="14"/>
                <w:szCs w:val="14"/>
              </w:rPr>
              <w:t>21,5</w:t>
            </w:r>
          </w:p>
        </w:tc>
      </w:tr>
    </w:tbl>
    <w:p w:rsidR="00A4707B" w:rsidP="00A4707B" w:rsidRDefault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Pr="0027001B" w:rsidR="0065786D" w:rsidP="00025D3B" w:rsidRDefault="0065786D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Pr="0027001B" w:rsidR="003F106B" w:rsidP="00401A0F" w:rsidRDefault="00B85914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Pr="0027001B" w:rsidR="003B6061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color="auto" w:sz="0" w:space="0"/>
          <w:left w:val="single" w:color="001D77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color="001D77" w:sz="18" w:space="0"/>
            </w:tcBorders>
            <w:shd w:val="clear" w:color="auto" w:fill="C4CBF5"/>
          </w:tcPr>
          <w:p w:rsidRPr="0027001B" w:rsidR="003A76AB" w:rsidP="003627E4" w:rsidRDefault="003911BB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6"/>
                <w:szCs w:val="16"/>
              </w:rPr>
            </w:pP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Badanie zostało przeprowadzone w </w:t>
            </w:r>
            <w:r w:rsidRPr="0027001B" w:rsidR="00DC0BBB">
              <w:rPr>
                <w:rFonts w:ascii="Fira Sans" w:hAnsi="Fira Sans"/>
                <w:noProof/>
                <w:sz w:val="16"/>
                <w:szCs w:val="16"/>
              </w:rPr>
              <w:t xml:space="preserve">dniach od 1 do 10 </w:t>
            </w:r>
            <w:r w:rsidR="003627E4">
              <w:rPr>
                <w:rFonts w:ascii="Fira Sans" w:hAnsi="Fira Sans"/>
                <w:noProof/>
                <w:sz w:val="16"/>
                <w:szCs w:val="16"/>
              </w:rPr>
              <w:t>stycznia</w:t>
            </w:r>
            <w:r w:rsidR="00DF5457">
              <w:rPr>
                <w:rFonts w:ascii="Fira Sans" w:hAnsi="Fira Sans"/>
                <w:noProof/>
                <w:sz w:val="16"/>
                <w:szCs w:val="16"/>
              </w:rPr>
              <w:t xml:space="preserve"> 2021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Pr="0027001B" w:rsidR="002E1391">
              <w:rPr>
                <w:rFonts w:ascii="Fira Sans" w:hAnsi="Fira Sans"/>
                <w:noProof/>
                <w:sz w:val="16"/>
                <w:szCs w:val="16"/>
              </w:rPr>
              <w:t>lane na zasadzie dobrowolności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 w:rsidR="00B91165">
              <w:rPr>
                <w:rFonts w:ascii="Fira Sans" w:hAnsi="Fira Sans"/>
                <w:noProof/>
                <w:sz w:val="16"/>
                <w:szCs w:val="16"/>
              </w:rPr>
              <w:t xml:space="preserve"> W pytaniach 1</w:t>
            </w:r>
            <w:r w:rsidRPr="0027001B" w:rsidR="0027001B">
              <w:rPr>
                <w:rFonts w:ascii="Fira Sans" w:hAnsi="Fira Sans"/>
                <w:noProof/>
                <w:sz w:val="16"/>
                <w:szCs w:val="16"/>
              </w:rPr>
              <w:t xml:space="preserve">, </w:t>
            </w:r>
            <w:r w:rsidRPr="0027001B" w:rsidR="00FA22C3">
              <w:rPr>
                <w:rFonts w:ascii="Fira Sans" w:hAnsi="Fira Sans"/>
                <w:noProof/>
                <w:sz w:val="16"/>
                <w:szCs w:val="16"/>
              </w:rPr>
              <w:t>4</w:t>
            </w:r>
            <w:r w:rsidRPr="0027001B" w:rsidR="00F447C8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Pr="0027001B" w:rsidR="0027001B">
              <w:rPr>
                <w:rFonts w:ascii="Fira Sans" w:hAnsi="Fira Sans"/>
                <w:noProof/>
                <w:sz w:val="16"/>
                <w:szCs w:val="16"/>
              </w:rPr>
              <w:t xml:space="preserve">i 5 </w:t>
            </w:r>
            <w:r w:rsidRPr="0027001B" w:rsidR="00F447C8">
              <w:rPr>
                <w:rFonts w:ascii="Fira Sans" w:hAnsi="Fira Sans"/>
                <w:noProof/>
                <w:sz w:val="16"/>
                <w:szCs w:val="16"/>
              </w:rPr>
              <w:t>zaprezentowany</w:t>
            </w:r>
            <w:r w:rsidRPr="0027001B" w:rsidR="002E1391">
              <w:rPr>
                <w:rFonts w:ascii="Fira Sans" w:hAnsi="Fira Sans"/>
                <w:noProof/>
                <w:sz w:val="16"/>
                <w:szCs w:val="16"/>
              </w:rPr>
              <w:t xml:space="preserve"> jest </w:t>
            </w:r>
            <w:r w:rsidRPr="0027001B" w:rsidR="00F447C8">
              <w:rPr>
                <w:rFonts w:ascii="Fira Sans" w:hAnsi="Fira Sans"/>
                <w:noProof/>
                <w:sz w:val="16"/>
                <w:szCs w:val="16"/>
              </w:rPr>
              <w:t xml:space="preserve">procent odpowiedzi </w:t>
            </w:r>
            <w:r w:rsidRPr="0027001B" w:rsidR="002E1391">
              <w:rPr>
                <w:rFonts w:ascii="Fira Sans" w:hAnsi="Fira Sans"/>
                <w:noProof/>
                <w:sz w:val="16"/>
                <w:szCs w:val="16"/>
              </w:rPr>
              <w:t>respondentów na dany wariant, a w pytaniach</w:t>
            </w:r>
            <w:r w:rsidRPr="0027001B" w:rsidR="00F447C8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Pr="0027001B" w:rsidR="00D54462">
              <w:rPr>
                <w:rFonts w:ascii="Fira Sans" w:hAnsi="Fira Sans"/>
                <w:noProof/>
                <w:sz w:val="16"/>
                <w:szCs w:val="16"/>
              </w:rPr>
              <w:t xml:space="preserve">2, </w:t>
            </w:r>
            <w:r w:rsidRPr="0027001B" w:rsidR="00FA22C3">
              <w:rPr>
                <w:rFonts w:ascii="Fira Sans" w:hAnsi="Fira Sans"/>
                <w:noProof/>
                <w:sz w:val="16"/>
                <w:szCs w:val="16"/>
              </w:rPr>
              <w:t>3</w:t>
            </w:r>
            <w:r w:rsidRPr="0027001B" w:rsidR="00D54462">
              <w:rPr>
                <w:rFonts w:ascii="Fira Sans" w:hAnsi="Fira Sans"/>
                <w:noProof/>
                <w:sz w:val="16"/>
                <w:szCs w:val="16"/>
              </w:rPr>
              <w:t xml:space="preserve"> i 6</w:t>
            </w:r>
            <w:r w:rsidRPr="0027001B" w:rsidR="00FA22C3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Pr="0027001B" w:rsidR="002E1391">
              <w:rPr>
                <w:rFonts w:ascii="Fira Sans" w:hAnsi="Fira Sans"/>
                <w:noProof/>
                <w:sz w:val="16"/>
                <w:szCs w:val="16"/>
              </w:rPr>
              <w:t xml:space="preserve">– średnia </w:t>
            </w:r>
            <w:r w:rsidR="00AE5E5F">
              <w:rPr>
                <w:rFonts w:ascii="Fira Sans" w:hAnsi="Fira Sans"/>
                <w:noProof/>
                <w:sz w:val="16"/>
                <w:szCs w:val="16"/>
              </w:rPr>
              <w:t>z </w:t>
            </w:r>
            <w:r w:rsidRPr="0027001B" w:rsidR="005262C3">
              <w:rPr>
                <w:rFonts w:ascii="Fira Sans" w:hAnsi="Fira Sans"/>
                <w:noProof/>
                <w:sz w:val="16"/>
                <w:szCs w:val="16"/>
              </w:rPr>
              <w:t xml:space="preserve">wartości udzielonych </w:t>
            </w:r>
            <w:r w:rsidRPr="0027001B" w:rsidR="005371D8">
              <w:rPr>
                <w:rFonts w:ascii="Fira Sans" w:hAnsi="Fira Sans"/>
                <w:noProof/>
                <w:sz w:val="16"/>
                <w:szCs w:val="16"/>
              </w:rPr>
              <w:t>odpowiedzi</w:t>
            </w:r>
            <w:r w:rsidRPr="0027001B" w:rsidR="002E1391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Pr="0027001B" w:rsidR="00242E6C">
              <w:rPr>
                <w:rFonts w:ascii="Fira Sans" w:hAnsi="Fira Sans"/>
                <w:noProof/>
                <w:sz w:val="16"/>
                <w:szCs w:val="16"/>
              </w:rPr>
              <w:t>Dane zostały zagregowane zgodnie z metodologią agregacji (ważenia) stosowaną standardowo w badaniu koniunktury gospodarczej.</w:t>
            </w:r>
            <w:r w:rsidRPr="0027001B" w:rsidR="006413CF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</w:p>
        </w:tc>
      </w:tr>
    </w:tbl>
    <w:p w:rsidRPr="0066127C" w:rsidR="0066127C" w:rsidP="000E0C86" w:rsidRDefault="0066127C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 w:rsid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Pr="0059047B" w:rsidR="002B14D5" w:rsidTr="009E54C6">
        <w:tc>
          <w:tcPr>
            <w:tcW w:w="2443" w:type="dxa"/>
            <w:tcBorders>
              <w:top w:val="nil"/>
              <w:left w:val="nil"/>
              <w:bottom w:val="single" w:color="001D77" w:sz="2" w:space="0"/>
              <w:right w:val="single" w:color="001D77" w:sz="2" w:space="0"/>
            </w:tcBorders>
            <w:vAlign w:val="center"/>
          </w:tcPr>
          <w:p w:rsidRPr="0059047B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color="001D77" w:sz="2" w:space="0"/>
              <w:bottom w:val="single" w:color="001D77" w:sz="2" w:space="0"/>
              <w:right w:val="single" w:color="001D77" w:sz="2" w:space="0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editId="0BDED3CB" wp14:anchorId="286027A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color="001D77" w:sz="2" w:space="0"/>
              <w:bottom w:val="single" w:color="001D77" w:sz="2" w:space="0"/>
              <w:right w:val="single" w:color="001D77" w:sz="2" w:space="0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editId="22E035B0" wp14:anchorId="7E6FD23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color="001D77" w:sz="2" w:space="0"/>
              <w:bottom w:val="single" w:color="001D77" w:sz="2" w:space="0"/>
              <w:right w:val="single" w:color="001D77" w:sz="2" w:space="0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editId="3DEB82E6" wp14:anchorId="0E7873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P="00C75009" w:rsidRDefault="00A042C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color="001D77" w:sz="2" w:space="0"/>
              <w:bottom w:val="single" w:color="001D77" w:sz="2" w:space="0"/>
              <w:right w:val="single" w:color="001D77" w:sz="2" w:space="0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editId="7AA8C535" wp14:anchorId="0F09810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color="001D77" w:sz="2" w:space="0"/>
              <w:bottom w:val="single" w:color="001D77" w:sz="2" w:space="0"/>
              <w:right w:val="single" w:color="001D77" w:sz="2" w:space="0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editId="6F5FA0AA" wp14:anchorId="37A27B4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042C8" w:rsidR="00C75009" w:rsidP="00C75009" w:rsidRDefault="007B3BAE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 w:rsidR="00C75009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color="001D77" w:sz="2" w:space="0"/>
              <w:bottom w:val="single" w:color="001D77" w:sz="2" w:space="0"/>
              <w:right w:val="nil"/>
            </w:tcBorders>
          </w:tcPr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editId="165C8677" wp14:anchorId="42A3861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A042C8" w:rsidR="00C75009" w:rsidP="00C75009" w:rsidRDefault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Pr="0059047B" w:rsidR="00C40E96" w:rsidTr="009E54C6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nil"/>
              <w:bottom w:val="single" w:color="C4CBF5" w:sz="4" w:space="0"/>
              <w:right w:val="nil"/>
            </w:tcBorders>
            <w:shd w:val="clear" w:color="auto" w:fill="C4CBF5"/>
          </w:tcPr>
          <w:p w:rsidRPr="00C75009" w:rsidR="00C40E96" w:rsidP="00C40E96" w:rsidRDefault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C75009" w:rsidTr="009E54C6"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4" w:space="0"/>
              <w:right w:val="nil"/>
            </w:tcBorders>
          </w:tcPr>
          <w:p w:rsidRPr="00C75009" w:rsidR="00C75009" w:rsidP="00026545" w:rsidRDefault="00C75009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 w:rsid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 w:rsid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  <w:vAlign w:val="center"/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2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62,4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54,9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63,9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51,0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51,5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12,7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2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22,7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21,1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4" w:space="0"/>
              <w:right w:val="nil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37,8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2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11,9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14,4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49,5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2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11,6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Pr="008B6248"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8B6248"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</w:tr>
      <w:tr w:rsidRPr="0059047B" w:rsidR="004C1994" w:rsidTr="009E54C6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nil"/>
              <w:bottom w:val="single" w:color="C4CBF5" w:sz="4" w:space="0"/>
              <w:right w:val="nil"/>
            </w:tcBorders>
            <w:shd w:val="clear" w:color="auto" w:fill="C4CBF5"/>
          </w:tcPr>
          <w:p w:rsidRPr="00C75009" w:rsidR="004C1994" w:rsidP="002249A5" w:rsidRDefault="004C1994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4C1994" w:rsidTr="009E54C6"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4" w:space="0"/>
              <w:right w:val="nil"/>
            </w:tcBorders>
          </w:tcPr>
          <w:p w:rsidRPr="00C75009" w:rsidR="004C1994" w:rsidP="008E0690" w:rsidRDefault="004C1994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  <w:vAlign w:val="center"/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4C1994">
              <w:rPr>
                <w:rFonts w:ascii="Fira Sans" w:hAnsi="Fira Sans"/>
                <w:sz w:val="13"/>
                <w:szCs w:val="13"/>
              </w:rPr>
              <w:t>praca zdalna i zbliżone formy pracy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25,5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6,3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18,5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3,3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10,9</w:t>
            </w:r>
          </w:p>
        </w:tc>
      </w:tr>
      <w:tr w:rsidRPr="0059047B" w:rsidR="00C40E96" w:rsidTr="009E54C6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nil"/>
              <w:bottom w:val="single" w:color="C4CBF5" w:sz="4" w:space="0"/>
              <w:right w:val="nil"/>
            </w:tcBorders>
            <w:shd w:val="clear" w:color="auto" w:fill="C4CBF5"/>
          </w:tcPr>
          <w:p w:rsidRPr="00C75009" w:rsidR="00C40E96" w:rsidP="00025D3B" w:rsidRDefault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C75009" w:rsidTr="009E54C6"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4" w:space="0"/>
              <w:right w:val="nil"/>
            </w:tcBorders>
          </w:tcPr>
          <w:p w:rsidR="00FC4A22" w:rsidP="001D7970" w:rsidRDefault="004C1994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 w:rsidR="00FC4A22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Pr="00C75009" w:rsidR="00FC4A22" w:rsidP="00FC4A22" w:rsidRDefault="001B4CB3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 w:rsidR="00FC4A22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 w:rsidR="00FC4A22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  <w:vAlign w:val="center"/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-5,3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-13,8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-8,0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-16,6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-56,9</w:t>
            </w:r>
          </w:p>
        </w:tc>
      </w:tr>
      <w:tr w:rsidRPr="0059047B" w:rsidR="00401A0F" w:rsidTr="009E54C6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single" w:color="C4CBF5" w:sz="4" w:space="0"/>
              <w:bottom w:val="single" w:color="C4CBF5" w:sz="4" w:space="0"/>
              <w:right w:val="single" w:color="C4CBF5" w:sz="4" w:space="0"/>
            </w:tcBorders>
            <w:shd w:val="clear" w:color="auto" w:fill="C4CBF5"/>
          </w:tcPr>
          <w:p w:rsidRPr="00C75009" w:rsidR="00401A0F" w:rsidP="002249A5" w:rsidRDefault="00401A0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401A0F" w:rsidTr="009E54C6"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2" w:space="0"/>
              <w:right w:val="nil"/>
            </w:tcBorders>
          </w:tcPr>
          <w:p w:rsidRPr="0066127C" w:rsidR="00401A0F" w:rsidP="00026545" w:rsidRDefault="00401A0F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10,9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9,9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– 3 miesiące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25,4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39,0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22,8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23,6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21,9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26,4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3F106B"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50,3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43,1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54,4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53,1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13,8</w:t>
            </w:r>
          </w:p>
        </w:tc>
      </w:tr>
      <w:tr w:rsidRPr="0059047B" w:rsidR="00401A0F" w:rsidTr="00026545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single" w:color="C4CBF5" w:sz="4" w:space="0"/>
              <w:bottom w:val="single" w:color="C4CBF5" w:sz="4" w:space="0"/>
              <w:right w:val="single" w:color="C4CBF5" w:sz="4" w:space="0"/>
            </w:tcBorders>
            <w:shd w:val="clear" w:color="auto" w:fill="C4CBF5"/>
          </w:tcPr>
          <w:p w:rsidRPr="00C75009" w:rsidR="00401A0F" w:rsidP="002249A5" w:rsidRDefault="00401A0F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401A0F" w:rsidTr="00026545">
        <w:trPr>
          <w:trHeight w:val="366"/>
        </w:trPr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2" w:space="0"/>
              <w:right w:val="nil"/>
            </w:tcBorders>
          </w:tcPr>
          <w:p w:rsidRPr="00C75009" w:rsidR="00401A0F" w:rsidP="00AE5E5F" w:rsidRDefault="0027001B">
            <w:pPr>
              <w:spacing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 w:rsidR="00AE5E5F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</w:t>
            </w:r>
            <w:r w:rsidR="00D02131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27001B"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nieznacznych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31,0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51,1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28,8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27001B"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poważnych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11,8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27,7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2" w:space="0"/>
            </w:tcBorders>
          </w:tcPr>
          <w:p w:rsidRPr="0027001B"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tak, zagrażających stabilności firmy</w:t>
            </w:r>
          </w:p>
        </w:tc>
        <w:tc>
          <w:tcPr>
            <w:tcW w:w="956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07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24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959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952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single" w:color="001D77" w:sz="2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  <w:tc>
          <w:tcPr>
            <w:tcW w:w="955" w:type="dxa"/>
            <w:tcBorders>
              <w:top w:val="single" w:color="001D77" w:sz="2" w:space="0"/>
              <w:left w:val="single" w:color="001D77" w:sz="2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14,1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</w:tcPr>
          <w:p w:rsidRPr="0027001B" w:rsidR="008B6248" w:rsidP="008B6248" w:rsidRDefault="008B624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7001B">
              <w:rPr>
                <w:rFonts w:ascii="Fira Sans" w:hAnsi="Fira Sans" w:cs="Fira Sans"/>
                <w:color w:val="000000"/>
                <w:sz w:val="13"/>
                <w:szCs w:val="13"/>
              </w:rPr>
              <w:t>nie oczekujemy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62,1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49,1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38,3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56,8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29,4</w:t>
            </w:r>
          </w:p>
        </w:tc>
      </w:tr>
      <w:tr w:rsidRPr="0059047B" w:rsidR="00514F14" w:rsidTr="00163DA1">
        <w:trPr>
          <w:trHeight w:val="170"/>
        </w:trPr>
        <w:tc>
          <w:tcPr>
            <w:tcW w:w="8096" w:type="dxa"/>
            <w:gridSpan w:val="7"/>
            <w:tcBorders>
              <w:top w:val="single" w:color="001D77" w:sz="2" w:space="0"/>
              <w:left w:val="single" w:color="C4CBF5" w:sz="4" w:space="0"/>
              <w:bottom w:val="single" w:color="C4CBF5" w:sz="4" w:space="0"/>
              <w:right w:val="single" w:color="C4CBF5" w:sz="4" w:space="0"/>
            </w:tcBorders>
            <w:shd w:val="clear" w:color="auto" w:fill="C4CBF5"/>
          </w:tcPr>
          <w:p w:rsidRPr="00C75009" w:rsidR="00514F14" w:rsidP="00163DA1" w:rsidRDefault="00514F14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Pr="0059047B" w:rsidR="00514F14" w:rsidTr="00163DA1">
        <w:trPr>
          <w:trHeight w:val="366"/>
        </w:trPr>
        <w:tc>
          <w:tcPr>
            <w:tcW w:w="8096" w:type="dxa"/>
            <w:gridSpan w:val="7"/>
            <w:tcBorders>
              <w:top w:val="single" w:color="C4CBF5" w:sz="4" w:space="0"/>
              <w:left w:val="nil"/>
              <w:bottom w:val="single" w:color="001D77" w:sz="2" w:space="0"/>
              <w:right w:val="nil"/>
            </w:tcBorders>
          </w:tcPr>
          <w:p w:rsidRPr="00C75009" w:rsidR="00514F14" w:rsidP="00E44B77" w:rsidRDefault="00E44B77">
            <w:pPr>
              <w:spacing w:after="60" w:line="259" w:lineRule="auto"/>
              <w:ind w:left="176" w:hanging="142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514F14">
              <w:rPr>
                <w:rFonts w:ascii="Fira Sans" w:hAnsi="Fira Sans"/>
                <w:b/>
                <w:sz w:val="14"/>
                <w:szCs w:val="14"/>
              </w:rPr>
              <w:t xml:space="preserve">. </w:t>
            </w:r>
            <w:r w:rsidRPr="00514F14" w:rsid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 w:rsidR="00CF355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 w:rsid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Pr="0059047B" w:rsidR="008B6248" w:rsidTr="000A0453">
        <w:tc>
          <w:tcPr>
            <w:tcW w:w="2443" w:type="dxa"/>
            <w:tcBorders>
              <w:top w:val="single" w:color="001D77" w:sz="2" w:space="0"/>
              <w:left w:val="nil"/>
              <w:bottom w:val="single" w:color="001D77" w:sz="2" w:space="0"/>
              <w:right w:val="single" w:color="001D77" w:sz="4" w:space="0"/>
            </w:tcBorders>
            <w:vAlign w:val="center"/>
          </w:tcPr>
          <w:p w:rsidRPr="003F106B" w:rsidR="008B6248" w:rsidP="008B6248" w:rsidRDefault="008B6248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907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-3,9</w:t>
            </w:r>
          </w:p>
        </w:tc>
        <w:tc>
          <w:tcPr>
            <w:tcW w:w="924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9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-0,8</w:t>
            </w:r>
          </w:p>
        </w:tc>
        <w:tc>
          <w:tcPr>
            <w:tcW w:w="952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single" w:color="001D77" w:sz="4" w:space="0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-1,7</w:t>
            </w:r>
          </w:p>
        </w:tc>
        <w:tc>
          <w:tcPr>
            <w:tcW w:w="955" w:type="dxa"/>
            <w:tcBorders>
              <w:top w:val="single" w:color="001D77" w:sz="4" w:space="0"/>
              <w:left w:val="single" w:color="001D77" w:sz="4" w:space="0"/>
              <w:bottom w:val="single" w:color="001D77" w:sz="2" w:space="0"/>
              <w:right w:val="nil"/>
            </w:tcBorders>
            <w:vAlign w:val="center"/>
          </w:tcPr>
          <w:p w:rsidR="008B6248" w:rsidP="00E8005C" w:rsidRDefault="008B6248">
            <w:pPr>
              <w:spacing w:before="40" w:after="40" w:line="259" w:lineRule="auto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-9,4</w:t>
            </w:r>
          </w:p>
        </w:tc>
      </w:tr>
    </w:tbl>
    <w:p w:rsidR="004F0883" w:rsidP="0089745C" w:rsidRDefault="004F0883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Pr="003B6061" w:rsidR="0089745C" w:rsidP="0089745C" w:rsidRDefault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Pr="00001C5B" w:rsidR="0059047B" w:rsidP="00A4707B" w:rsidRDefault="0059047B">
      <w:pPr>
        <w:spacing w:line="259" w:lineRule="auto"/>
        <w:rPr>
          <w:rFonts w:ascii="Fira Sans" w:hAnsi="Fira Sans"/>
          <w:sz w:val="18"/>
        </w:rPr>
        <w:sectPr w:rsidRPr="00001C5B" w:rsidR="0059047B" w:rsidSect="001448A7">
          <w:headerReference w:type="default" r:id="rId45"/>
          <w:footerReference w:type="default" r:id="rId46"/>
          <w:headerReference w:type="first" r:id="rId47"/>
          <w:footerReference w:type="first" r:id="rId4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Pr="00001C5B" w:rsidR="00437395" w:rsidP="00E76D26" w:rsidRDefault="00437395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Pr="00067783" w:rsidR="00AB6D25" w:rsidTr="007D335D">
        <w:trPr>
          <w:trHeight w:val="1848"/>
        </w:trPr>
        <w:tc>
          <w:tcPr>
            <w:tcW w:w="4379" w:type="dxa"/>
          </w:tcPr>
          <w:p w:rsidRPr="00001C5B" w:rsidR="00AB6D25" w:rsidP="00E76D26" w:rsidRDefault="00AB6D25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P="00E76D26" w:rsidRDefault="00AB6D25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Pr="00001C5B" w:rsidR="00AB6D25" w:rsidP="00E76D26" w:rsidRDefault="00854334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Pr="007C4564" w:rsidR="00AB6D25" w:rsidP="00E76D26" w:rsidRDefault="00A37DDD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Pr="007C4564" w:rsidR="001E2D5D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Pr="007C4564" w:rsidR="00AB6D25" w:rsidP="00E76D26" w:rsidRDefault="00AB6D25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Pr="002C7D24" w:rsidR="001951DA" w:rsidP="007C4564" w:rsidRDefault="001951DA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P="00E76D26" w:rsidRDefault="00AB6D25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Pr="00001C5B" w:rsidR="00854334" w:rsidP="00E76D26" w:rsidRDefault="00854334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Pr="00001C5B" w:rsidR="00AB6D25" w:rsidP="00E76D26" w:rsidRDefault="00AB6D25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Pr="006467C3" w:rsidR="00AB6D25" w:rsidP="00E76D26" w:rsidRDefault="00317BE2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Pr="009F46AA" w:rsidR="00AB6D25" w:rsidP="00E76D26" w:rsidRDefault="00AB6D25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Pr="00001C5B" w:rsidR="00521BC3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Pr="00001C5B" w:rsidR="00521BC3" w:rsidP="00E76D26" w:rsidRDefault="00521BC3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Pr="00001C5B" w:rsidR="00521BC3" w:rsidP="00E76D26" w:rsidRDefault="003635D0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Pr="00317BE2" w:rsidR="00317BE2">
              <w:rPr>
                <w:rFonts w:ascii="Fira Sans" w:hAnsi="Fira Sans" w:cs="Arial" w:eastAsiaTheme="majorEastAsia"/>
                <w:color w:val="000000" w:themeColor="text1"/>
                <w:sz w:val="20"/>
                <w:szCs w:val="24"/>
              </w:rPr>
              <w:t>22 608 34 91, 22 608 38 04</w:t>
            </w:r>
          </w:p>
          <w:p w:rsidRPr="003F2706" w:rsidR="00521BC3" w:rsidP="00E76D26" w:rsidRDefault="00521BC3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w:history="1" r:id="rId49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Pr="003F2706" w:rsidR="00521BC3" w:rsidP="00E76D26" w:rsidRDefault="00521BC3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editId="3343DDD0" wp14:anchorId="7618DF8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Pr="00001C5B" w:rsidR="00521BC3" w:rsidP="007D335D" w:rsidRDefault="00521BC3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Pr="00001C5B" w:rsidR="00521BC3" w:rsidTr="00463E39">
        <w:trPr>
          <w:trHeight w:val="434"/>
        </w:trPr>
        <w:tc>
          <w:tcPr>
            <w:tcW w:w="4397" w:type="dxa"/>
            <w:vMerge/>
            <w:vAlign w:val="center"/>
          </w:tcPr>
          <w:p w:rsidRPr="00001C5B" w:rsidR="00521BC3" w:rsidP="00E76D26" w:rsidRDefault="00521BC3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Pr="00001C5B" w:rsidR="00521BC3" w:rsidP="007D335D" w:rsidRDefault="00521BC3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editId="4060960E" wp14:anchorId="4DA14F0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Pr="00001C5B" w:rsidR="00521BC3" w:rsidP="007D335D" w:rsidRDefault="00521BC3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Pr="00001C5B" w:rsidR="00521BC3" w:rsidTr="00463E39">
        <w:trPr>
          <w:trHeight w:val="514"/>
        </w:trPr>
        <w:tc>
          <w:tcPr>
            <w:tcW w:w="4397" w:type="dxa"/>
            <w:vMerge/>
            <w:vAlign w:val="center"/>
          </w:tcPr>
          <w:p w:rsidRPr="00001C5B" w:rsidR="00521BC3" w:rsidP="00E76D26" w:rsidRDefault="00521BC3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Pr="00001C5B" w:rsidR="00521BC3" w:rsidP="00E76D26" w:rsidRDefault="00521BC3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editId="6CDBBD3B" wp14:anchorId="546975D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Pr="00001C5B" w:rsidR="00521BC3" w:rsidP="007D335D" w:rsidRDefault="00521BC3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Pr="00001C5B" w:rsidR="00D261A2" w:rsidP="00E76D26" w:rsidRDefault="00123319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657945AF" wp14:anchorId="44F77CBD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9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5.3pt,489.95pt" to="518.25pt,489.95pt" w14:anchorId="33DD8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78A13621" wp14:anchorId="78734168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8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.35pt,446.6pt" to="517.3pt,446.6pt" w14:anchorId="295A4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editId="1C9DE017" wp14:anchorId="5BA679DC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editId="7CE86205" wp14:anchorId="6FAA8CCC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editId="3A5B4390" wp14:anchorId="7A055A04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23319" w:rsidR="00163DA1" w:rsidP="00123319" w:rsidRDefault="00163DA1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w14:anchorId="7A055A04">
                <v:textbox>
                  <w:txbxContent>
                    <w:p w:rsidRPr="00123319" w:rsidR="00163DA1" w:rsidP="00123319" w:rsidRDefault="00163DA1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1C5B" w:rsidR="001448A7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editId="43042F76" wp14:anchorId="5A3BCBB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Pr="00C75CAD"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Pr="004C7599" w:rsidR="00163DA1" w:rsidP="00C75CAD" w:rsidRDefault="00B56DAF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55">
                              <w:r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</w:t>
                              </w:r>
                              <w:r w:rsidR="00E8005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1</w:t>
                              </w:r>
                            </w:hyperlink>
                            <w:r w:rsidRPr="004C7599" w:rsidR="00163DA1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Pr="002E71B6" w:rsidR="00163DA1" w:rsidP="00C75CAD" w:rsidRDefault="00163DA1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Pr="00C75CAD" w:rsidR="00163DA1" w:rsidP="00C75CAD" w:rsidRDefault="00B56DAF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56">
                              <w:r w:rsidRPr="0011518C"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Pr="00C75CAD" w:rsidR="00163DA1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Pr="00805B46" w:rsidR="00163DA1" w:rsidP="00C75CAD" w:rsidRDefault="00B56DAF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57">
                              <w:r w:rsidRPr="00805B46"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Pr="00C75CAD"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Pr="00805B46" w:rsidR="00163DA1" w:rsidP="00C75CAD" w:rsidRDefault="00B56DAF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58">
                              <w:r w:rsidRPr="00805B46"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Pr="00805B46" w:rsidR="00163DA1" w:rsidP="00C75CAD" w:rsidRDefault="00B56DAF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59">
                              <w:r w:rsidRPr="00805B46"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Pr="00C75CAD"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Pr="00C75CAD" w:rsidR="00163DA1" w:rsidP="00C75CAD" w:rsidRDefault="00B56DAF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w:history="1" r:id="rId60">
                              <w:r w:rsidRPr="00C75CAD"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Pr="00505A92" w:rsidR="00163DA1" w:rsidP="00AB6D25" w:rsidRDefault="00163DA1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w14:anchorId="5A3BCBBE">
                <v:textbox>
                  <w:txbxContent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Pr="004C7599" w:rsidR="00163DA1" w:rsidP="00C75CAD" w:rsidRDefault="00AA3470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2">
                        <w:r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</w:t>
                        </w:r>
                        <w:r w:rsidR="00E8005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1</w:t>
                        </w:r>
                      </w:hyperlink>
                      <w:r w:rsidRPr="004C7599" w:rsidR="00163DA1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Pr="002E71B6" w:rsidR="00163DA1" w:rsidP="00C75CAD" w:rsidRDefault="00163DA1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Pr="00C75CAD" w:rsidR="00163DA1" w:rsidP="00C75CAD" w:rsidRDefault="00AA3470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3">
                        <w:r w:rsidRPr="0011518C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 w:rsidR="00163DA1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Pr="00805B46" w:rsidR="00163DA1" w:rsidP="00C75CAD" w:rsidRDefault="00AA3470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4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Pr="00805B46" w:rsidR="00163DA1" w:rsidP="00C75CAD" w:rsidRDefault="00AA3470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5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Pr="00805B46" w:rsidR="00163DA1" w:rsidP="00C75CAD" w:rsidRDefault="00AA3470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66">
                        <w:r w:rsidRPr="00805B46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Pr="00C75CAD" w:rsidR="00163DA1" w:rsidP="00AB6D25" w:rsidRDefault="00163DA1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Pr="00C75CAD" w:rsidR="00163DA1" w:rsidP="00C75CAD" w:rsidRDefault="00AA3470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w:history="1" r:id="rId67">
                        <w:r w:rsidRPr="00C75CAD"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Pr="00505A92" w:rsidR="00163DA1" w:rsidP="00AB6D25" w:rsidRDefault="00163DA1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001C5B" w:rsidR="00D261A2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AF" w:rsidRDefault="00B56DAF" w:rsidP="000662E2">
      <w:pPr>
        <w:spacing w:after="0" w:line="240" w:lineRule="auto"/>
      </w:pPr>
      <w:r>
        <w:separator/>
      </w:r>
    </w:p>
  </w:endnote>
  <w:endnote w:type="continuationSeparator" w:id="0">
    <w:p w:rsidR="00B56DAF" w:rsidRDefault="00B56DA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B7359B" w:rsidRDefault="00163DA1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91017C">
          <w:rPr>
            <w:rFonts w:ascii="Fira Sans" w:hAnsi="Fira Sans"/>
            <w:noProof/>
            <w:sz w:val="19"/>
            <w:szCs w:val="19"/>
          </w:rPr>
          <w:t>7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2B1A65" w:rsidRDefault="00163DA1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91017C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AF" w:rsidRDefault="00B56DAF" w:rsidP="000662E2">
      <w:pPr>
        <w:spacing w:after="0" w:line="240" w:lineRule="auto"/>
      </w:pPr>
      <w:r>
        <w:separator/>
      </w:r>
    </w:p>
  </w:footnote>
  <w:footnote w:type="continuationSeparator" w:id="0">
    <w:p w:rsidR="00B56DAF" w:rsidRDefault="00B56DAF" w:rsidP="000662E2">
      <w:pPr>
        <w:spacing w:after="0" w:line="240" w:lineRule="auto"/>
      </w:pPr>
      <w:r>
        <w:continuationSeparator/>
      </w:r>
    </w:p>
  </w:footnote>
  <w:footnote w:id="1">
    <w:p w:rsidR="007A583B" w:rsidRDefault="007A5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4"/>
          <w:szCs w:val="14"/>
        </w:rPr>
        <w:t>O</w:t>
      </w:r>
      <w:r w:rsidRPr="007A583B">
        <w:rPr>
          <w:rFonts w:ascii="Fira Sans" w:hAnsi="Fira Sans"/>
          <w:sz w:val="14"/>
          <w:szCs w:val="14"/>
        </w:rPr>
        <w:t>znacza to, że odsetek przedsiębiorców spodziewających się pogorszenia sytuacji gospodarczej ich podmiotów w najbliższych trzech miesiącach przeważa nad odsetkiem przedsiębior</w:t>
      </w:r>
      <w:r>
        <w:rPr>
          <w:rFonts w:ascii="Fira Sans" w:hAnsi="Fira Sans"/>
          <w:sz w:val="14"/>
          <w:szCs w:val="14"/>
        </w:rPr>
        <w:t>ców oczekujących jej polepszenia.</w:t>
      </w:r>
    </w:p>
  </w:footnote>
  <w:footnote w:id="2">
    <w:p w:rsidR="00163DA1" w:rsidRDefault="00163DA1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8E78DE" w:rsidRDefault="008E78DE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3E311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63DA1" w:rsidRDefault="00163D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3DA1" w:rsidRPr="000201D2" w:rsidRDefault="00163DA1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63DA1" w:rsidRPr="000201D2" w:rsidRDefault="00163DA1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DD792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DA1" w:rsidRPr="000201D2" w:rsidRDefault="00163DA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22.01.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163DA1" w:rsidRPr="000201D2" w:rsidRDefault="00163DA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22.01.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</w:p>
  <w:p w:rsidR="00163DA1" w:rsidRDefault="00163D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2987"/>
    <w:rsid w:val="00003437"/>
    <w:rsid w:val="0000366F"/>
    <w:rsid w:val="00003C12"/>
    <w:rsid w:val="00004611"/>
    <w:rsid w:val="00004825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59F3"/>
    <w:rsid w:val="00025D3B"/>
    <w:rsid w:val="00026545"/>
    <w:rsid w:val="00030CCA"/>
    <w:rsid w:val="000332B3"/>
    <w:rsid w:val="00034B19"/>
    <w:rsid w:val="000366E9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6754"/>
    <w:rsid w:val="000A70C8"/>
    <w:rsid w:val="000B0727"/>
    <w:rsid w:val="000B0A2B"/>
    <w:rsid w:val="000B1421"/>
    <w:rsid w:val="000B23C8"/>
    <w:rsid w:val="000B24BC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E35"/>
    <w:rsid w:val="000D72EE"/>
    <w:rsid w:val="000E0918"/>
    <w:rsid w:val="000E097B"/>
    <w:rsid w:val="000E0C86"/>
    <w:rsid w:val="000E19EE"/>
    <w:rsid w:val="000E201B"/>
    <w:rsid w:val="000E7A70"/>
    <w:rsid w:val="000E7ED0"/>
    <w:rsid w:val="000F0B06"/>
    <w:rsid w:val="000F3461"/>
    <w:rsid w:val="000F42CD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621"/>
    <w:rsid w:val="00146E3B"/>
    <w:rsid w:val="001479AC"/>
    <w:rsid w:val="00150BC6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62A6"/>
    <w:rsid w:val="0018029F"/>
    <w:rsid w:val="00181F98"/>
    <w:rsid w:val="001831F9"/>
    <w:rsid w:val="0018357E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4B6A"/>
    <w:rsid w:val="001951DA"/>
    <w:rsid w:val="00197718"/>
    <w:rsid w:val="001A1B86"/>
    <w:rsid w:val="001A1D09"/>
    <w:rsid w:val="001A372A"/>
    <w:rsid w:val="001A42E2"/>
    <w:rsid w:val="001A4A48"/>
    <w:rsid w:val="001A7FBD"/>
    <w:rsid w:val="001B10DC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6BF2"/>
    <w:rsid w:val="002574F9"/>
    <w:rsid w:val="00262BB4"/>
    <w:rsid w:val="00263742"/>
    <w:rsid w:val="00263F4E"/>
    <w:rsid w:val="00264A39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914E4"/>
    <w:rsid w:val="00292265"/>
    <w:rsid w:val="0029253E"/>
    <w:rsid w:val="002926DF"/>
    <w:rsid w:val="00292CB1"/>
    <w:rsid w:val="00293563"/>
    <w:rsid w:val="002946A4"/>
    <w:rsid w:val="00296697"/>
    <w:rsid w:val="0029717B"/>
    <w:rsid w:val="002A1AAD"/>
    <w:rsid w:val="002A3C8F"/>
    <w:rsid w:val="002A48F7"/>
    <w:rsid w:val="002A668A"/>
    <w:rsid w:val="002B0472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E1391"/>
    <w:rsid w:val="002E6130"/>
    <w:rsid w:val="002E6140"/>
    <w:rsid w:val="002E6985"/>
    <w:rsid w:val="002E6D81"/>
    <w:rsid w:val="002E71B6"/>
    <w:rsid w:val="002E7D02"/>
    <w:rsid w:val="002F10F2"/>
    <w:rsid w:val="002F14FA"/>
    <w:rsid w:val="002F214C"/>
    <w:rsid w:val="002F2B58"/>
    <w:rsid w:val="002F4D66"/>
    <w:rsid w:val="002F4E60"/>
    <w:rsid w:val="002F77C8"/>
    <w:rsid w:val="003002C7"/>
    <w:rsid w:val="00301633"/>
    <w:rsid w:val="00303D35"/>
    <w:rsid w:val="003041CB"/>
    <w:rsid w:val="00304F22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3029A"/>
    <w:rsid w:val="003313BA"/>
    <w:rsid w:val="00331F5D"/>
    <w:rsid w:val="00332320"/>
    <w:rsid w:val="00332DF1"/>
    <w:rsid w:val="0033395A"/>
    <w:rsid w:val="00335366"/>
    <w:rsid w:val="00335A91"/>
    <w:rsid w:val="003407E4"/>
    <w:rsid w:val="00340C09"/>
    <w:rsid w:val="0034231B"/>
    <w:rsid w:val="00346D76"/>
    <w:rsid w:val="0034734A"/>
    <w:rsid w:val="00347662"/>
    <w:rsid w:val="00347A0E"/>
    <w:rsid w:val="00347D72"/>
    <w:rsid w:val="00350838"/>
    <w:rsid w:val="00351097"/>
    <w:rsid w:val="003538AF"/>
    <w:rsid w:val="00354A53"/>
    <w:rsid w:val="00356791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6904"/>
    <w:rsid w:val="003972AF"/>
    <w:rsid w:val="00397D18"/>
    <w:rsid w:val="003A0ABA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10D7"/>
    <w:rsid w:val="003E1635"/>
    <w:rsid w:val="003E170B"/>
    <w:rsid w:val="003E1B54"/>
    <w:rsid w:val="003E21F4"/>
    <w:rsid w:val="003E751A"/>
    <w:rsid w:val="003E781B"/>
    <w:rsid w:val="003F106B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2323E"/>
    <w:rsid w:val="004232C1"/>
    <w:rsid w:val="00423D86"/>
    <w:rsid w:val="00423EF0"/>
    <w:rsid w:val="0042406F"/>
    <w:rsid w:val="0042446D"/>
    <w:rsid w:val="004257AE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CC2"/>
    <w:rsid w:val="004B059E"/>
    <w:rsid w:val="004B0752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8DB"/>
    <w:rsid w:val="004D7C97"/>
    <w:rsid w:val="004E070B"/>
    <w:rsid w:val="004E194A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4B2E"/>
    <w:rsid w:val="004F5A7C"/>
    <w:rsid w:val="004F63FC"/>
    <w:rsid w:val="0050144E"/>
    <w:rsid w:val="0050225F"/>
    <w:rsid w:val="00505A92"/>
    <w:rsid w:val="00506FD7"/>
    <w:rsid w:val="005073E8"/>
    <w:rsid w:val="00507596"/>
    <w:rsid w:val="00511BFC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E03"/>
    <w:rsid w:val="005306A2"/>
    <w:rsid w:val="00530791"/>
    <w:rsid w:val="00530ACC"/>
    <w:rsid w:val="00530B2D"/>
    <w:rsid w:val="00532B4D"/>
    <w:rsid w:val="00535EF6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F1D"/>
    <w:rsid w:val="005A1C1A"/>
    <w:rsid w:val="005A6368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C4F00"/>
    <w:rsid w:val="005D1AD0"/>
    <w:rsid w:val="005D426F"/>
    <w:rsid w:val="005D444A"/>
    <w:rsid w:val="005D77FB"/>
    <w:rsid w:val="005D7C1F"/>
    <w:rsid w:val="005E0799"/>
    <w:rsid w:val="005E0B7C"/>
    <w:rsid w:val="005E14A3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2AE9"/>
    <w:rsid w:val="00644F02"/>
    <w:rsid w:val="006451FC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3277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B71CD"/>
    <w:rsid w:val="006C14C0"/>
    <w:rsid w:val="006C2F29"/>
    <w:rsid w:val="006C3D4E"/>
    <w:rsid w:val="006C6061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6B70"/>
    <w:rsid w:val="00726CEB"/>
    <w:rsid w:val="00730184"/>
    <w:rsid w:val="00732809"/>
    <w:rsid w:val="0073602C"/>
    <w:rsid w:val="00737ADD"/>
    <w:rsid w:val="00743C22"/>
    <w:rsid w:val="00743F79"/>
    <w:rsid w:val="00744ECB"/>
    <w:rsid w:val="00745912"/>
    <w:rsid w:val="00745E2E"/>
    <w:rsid w:val="00745E5B"/>
    <w:rsid w:val="00746187"/>
    <w:rsid w:val="00752B07"/>
    <w:rsid w:val="00753BA8"/>
    <w:rsid w:val="00754106"/>
    <w:rsid w:val="00754C63"/>
    <w:rsid w:val="00760E3A"/>
    <w:rsid w:val="0076121A"/>
    <w:rsid w:val="0076158A"/>
    <w:rsid w:val="007615BC"/>
    <w:rsid w:val="007623ED"/>
    <w:rsid w:val="00762403"/>
    <w:rsid w:val="0076254F"/>
    <w:rsid w:val="00766AB7"/>
    <w:rsid w:val="00767A5B"/>
    <w:rsid w:val="007700E4"/>
    <w:rsid w:val="0077196D"/>
    <w:rsid w:val="00771ECD"/>
    <w:rsid w:val="00773E86"/>
    <w:rsid w:val="00774C6B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08AD"/>
    <w:rsid w:val="007F324B"/>
    <w:rsid w:val="007F3482"/>
    <w:rsid w:val="007F5697"/>
    <w:rsid w:val="007F5C01"/>
    <w:rsid w:val="007F7964"/>
    <w:rsid w:val="0080476C"/>
    <w:rsid w:val="00804892"/>
    <w:rsid w:val="0080553C"/>
    <w:rsid w:val="00805B46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7F0F"/>
    <w:rsid w:val="0085032D"/>
    <w:rsid w:val="00852448"/>
    <w:rsid w:val="00854097"/>
    <w:rsid w:val="00854334"/>
    <w:rsid w:val="00865F76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6057"/>
    <w:rsid w:val="008A781A"/>
    <w:rsid w:val="008B1EC9"/>
    <w:rsid w:val="008B3507"/>
    <w:rsid w:val="008B50FF"/>
    <w:rsid w:val="008B6248"/>
    <w:rsid w:val="008B6C73"/>
    <w:rsid w:val="008B6C7E"/>
    <w:rsid w:val="008B71DA"/>
    <w:rsid w:val="008C0242"/>
    <w:rsid w:val="008C2B5C"/>
    <w:rsid w:val="008C3E45"/>
    <w:rsid w:val="008C569E"/>
    <w:rsid w:val="008C6ABC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D95"/>
    <w:rsid w:val="00900071"/>
    <w:rsid w:val="00900CCE"/>
    <w:rsid w:val="009021EC"/>
    <w:rsid w:val="00902896"/>
    <w:rsid w:val="00903E15"/>
    <w:rsid w:val="00903EC3"/>
    <w:rsid w:val="009046CB"/>
    <w:rsid w:val="0091017C"/>
    <w:rsid w:val="009104D1"/>
    <w:rsid w:val="00910C4C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6890"/>
    <w:rsid w:val="00947BDE"/>
    <w:rsid w:val="009530DB"/>
    <w:rsid w:val="00953676"/>
    <w:rsid w:val="00953EBC"/>
    <w:rsid w:val="009547AE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351"/>
    <w:rsid w:val="00984361"/>
    <w:rsid w:val="0098537F"/>
    <w:rsid w:val="00985CAD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55CE"/>
    <w:rsid w:val="009C5DCB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75CE2"/>
    <w:rsid w:val="00A82134"/>
    <w:rsid w:val="00A84FCF"/>
    <w:rsid w:val="00A852B4"/>
    <w:rsid w:val="00A86A42"/>
    <w:rsid w:val="00A86ECC"/>
    <w:rsid w:val="00A86FCC"/>
    <w:rsid w:val="00A94A12"/>
    <w:rsid w:val="00A96559"/>
    <w:rsid w:val="00A976B7"/>
    <w:rsid w:val="00AA3470"/>
    <w:rsid w:val="00AA34FD"/>
    <w:rsid w:val="00AA3A34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2BAC"/>
    <w:rsid w:val="00AC3527"/>
    <w:rsid w:val="00AC4CDB"/>
    <w:rsid w:val="00AC4F7B"/>
    <w:rsid w:val="00AC619B"/>
    <w:rsid w:val="00AC7777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F0D97"/>
    <w:rsid w:val="00AF2781"/>
    <w:rsid w:val="00AF4F89"/>
    <w:rsid w:val="00AF6380"/>
    <w:rsid w:val="00B06096"/>
    <w:rsid w:val="00B0713B"/>
    <w:rsid w:val="00B14952"/>
    <w:rsid w:val="00B20762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A0245"/>
    <w:rsid w:val="00BA0597"/>
    <w:rsid w:val="00BA2BA1"/>
    <w:rsid w:val="00BA3E41"/>
    <w:rsid w:val="00BA437D"/>
    <w:rsid w:val="00BA6311"/>
    <w:rsid w:val="00BB112E"/>
    <w:rsid w:val="00BB127F"/>
    <w:rsid w:val="00BB595D"/>
    <w:rsid w:val="00BC3B6A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A32"/>
    <w:rsid w:val="00BF21DD"/>
    <w:rsid w:val="00BF4569"/>
    <w:rsid w:val="00BF51AD"/>
    <w:rsid w:val="00BF6075"/>
    <w:rsid w:val="00BF75CD"/>
    <w:rsid w:val="00C030DE"/>
    <w:rsid w:val="00C04116"/>
    <w:rsid w:val="00C06507"/>
    <w:rsid w:val="00C078DC"/>
    <w:rsid w:val="00C10316"/>
    <w:rsid w:val="00C12233"/>
    <w:rsid w:val="00C17A08"/>
    <w:rsid w:val="00C17BB9"/>
    <w:rsid w:val="00C2110F"/>
    <w:rsid w:val="00C22105"/>
    <w:rsid w:val="00C22830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13FB"/>
    <w:rsid w:val="00C81874"/>
    <w:rsid w:val="00C82C21"/>
    <w:rsid w:val="00C8318C"/>
    <w:rsid w:val="00C85214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4462"/>
    <w:rsid w:val="00D56D0F"/>
    <w:rsid w:val="00D56E5C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C3D"/>
    <w:rsid w:val="00DE1DF4"/>
    <w:rsid w:val="00DE2DE3"/>
    <w:rsid w:val="00DE6052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AAF"/>
    <w:rsid w:val="00E31714"/>
    <w:rsid w:val="00E318F3"/>
    <w:rsid w:val="00E31B99"/>
    <w:rsid w:val="00E32061"/>
    <w:rsid w:val="00E33B50"/>
    <w:rsid w:val="00E3508C"/>
    <w:rsid w:val="00E366C2"/>
    <w:rsid w:val="00E36AD5"/>
    <w:rsid w:val="00E36B28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6A5"/>
    <w:rsid w:val="00E53A0C"/>
    <w:rsid w:val="00E54452"/>
    <w:rsid w:val="00E55979"/>
    <w:rsid w:val="00E56611"/>
    <w:rsid w:val="00E604F4"/>
    <w:rsid w:val="00E60589"/>
    <w:rsid w:val="00E664C5"/>
    <w:rsid w:val="00E66A38"/>
    <w:rsid w:val="00E671A2"/>
    <w:rsid w:val="00E67D3E"/>
    <w:rsid w:val="00E67D99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4036"/>
    <w:rsid w:val="00E95166"/>
    <w:rsid w:val="00E95726"/>
    <w:rsid w:val="00EA0278"/>
    <w:rsid w:val="00EA0D97"/>
    <w:rsid w:val="00EA1D9A"/>
    <w:rsid w:val="00EA3B13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50BA2"/>
    <w:rsid w:val="00F54B60"/>
    <w:rsid w:val="00F601A3"/>
    <w:rsid w:val="00F64CF2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762F"/>
    <w:rsid w:val="00FB7C6D"/>
    <w:rsid w:val="00FC2186"/>
    <w:rsid w:val="00FC2AED"/>
    <w:rsid w:val="00FC4A0F"/>
    <w:rsid w:val="00FC4A22"/>
    <w:rsid w:val="00FC50D1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B04"/>
    <w:rsid w:val="00FE2DD1"/>
    <w:rsid w:val="00FE489B"/>
    <w:rsid w:val="00FE5B79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png"/><Relationship Id="rId47" Type="http://schemas.openxmlformats.org/officeDocument/2006/relationships/header" Target="header2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emf"/><Relationship Id="rId40" Type="http://schemas.openxmlformats.org/officeDocument/2006/relationships/image" Target="media/image35.png"/><Relationship Id="rId45" Type="http://schemas.openxmlformats.org/officeDocument/2006/relationships/header" Target="header1.xml"/><Relationship Id="rId53" Type="http://schemas.openxmlformats.org/officeDocument/2006/relationships/image" Target="media/image44.png"/><Relationship Id="rId58" Type="http://schemas.openxmlformats.org/officeDocument/2006/relationships/hyperlink" Target="http://swaid.stat.gov.pl/SitePagesDBW/KoniunkturaGospodarcza.aspx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em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oter" Target="footer2.xml"/><Relationship Id="rId56" Type="http://schemas.openxmlformats.org/officeDocument/2006/relationships/hyperlink" Target="http://stat.gov.pl/infografiki-widzety/infografiki/publikacja,38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2.png"/><Relationship Id="rId72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png"/><Relationship Id="rId46" Type="http://schemas.openxmlformats.org/officeDocument/2006/relationships/footer" Target="footer1.xml"/><Relationship Id="rId59" Type="http://schemas.openxmlformats.org/officeDocument/2006/relationships/hyperlink" Target="http://bdm.stat.gov.pl/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5.emf"/><Relationship Id="rId41" Type="http://schemas.openxmlformats.org/officeDocument/2006/relationships/image" Target="media/image36.png"/><Relationship Id="rId54" Type="http://schemas.openxmlformats.org/officeDocument/2006/relationships/image" Target="media/image45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hyperlink" Target="mailto:obslugaprasowa@stat.gov.pl" TargetMode="External"/><Relationship Id="rId57" Type="http://schemas.openxmlformats.org/officeDocument/2006/relationships/hyperlink" Target="http://stat.gov.pl/obszary-tematyczne/koniunktura/koniunktura/badanie-koniunktury-gospodarczej-zeszyt-metodologiczny,5,9.html" TargetMode="External"/><Relationship Id="rId10" Type="http://schemas.openxmlformats.org/officeDocument/2006/relationships/image" Target="media/image5.png"/><Relationship Id="rId31" Type="http://schemas.openxmlformats.org/officeDocument/2006/relationships/image" Target="media/image26.emf"/><Relationship Id="rId44" Type="http://schemas.openxmlformats.org/officeDocument/2006/relationships/image" Target="media/image39.png"/><Relationship Id="rId52" Type="http://schemas.openxmlformats.org/officeDocument/2006/relationships/image" Target="media/image43.png"/><Relationship Id="rId60" Type="http://schemas.openxmlformats.org/officeDocument/2006/relationships/hyperlink" Target="http://stat.gov.pl/metainformacje/slownik-pojec/pojecia-stosowane-w-statystyce-publicznej/2076,pojecie.html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9" Type="http://schemas.openxmlformats.org/officeDocument/2006/relationships/image" Target="media/image34.png"/><Relationship Id="rId34" Type="http://schemas.openxmlformats.org/officeDocument/2006/relationships/image" Target="media/image29.emf"/><Relationship Id="rId50" Type="http://schemas.openxmlformats.org/officeDocument/2006/relationships/image" Target="media/image41.png"/><Relationship Id="rId55" Type="http://schemas.openxmlformats.org/officeDocument/2006/relationships/hyperlink" Target="http://stat.gov.pl/obszary-tematyczne/koniunktura/koniunktura/publikacja,4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- 01.2021.docx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EF397-036F-4E83-A85B-1C49F22F79EE}"/>
</file>

<file path=customXml/itemProps2.xml><?xml version="1.0" encoding="utf-8"?>
<ds:datastoreItem xmlns:ds="http://schemas.openxmlformats.org/officeDocument/2006/customXml" ds:itemID="{A56C8D31-D2BB-4A31-BD53-64CD97455CBD}"/>
</file>

<file path=customXml/itemProps3.xml><?xml version="1.0" encoding="utf-8"?>
<ds:datastoreItem xmlns:ds="http://schemas.openxmlformats.org/officeDocument/2006/customXml" ds:itemID="{6B9E31CD-B1E2-4B9E-B408-AD9B436F8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2020-12-18T07:38:00Z</dcterms:created>
  <dcterms:modified xsi:type="dcterms:W3CDTF">2021-01-20T06:28:00Z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GUS-SM01.6362.1.2021.1</vt:lpwstr>
  </property>
  <property fmtid="{D5CDD505-2E9C-101B-9397-08002B2CF9AE}" pid="3" name="UNPPisma">
    <vt:lpwstr>2021-14844</vt:lpwstr>
  </property>
  <property fmtid="{D5CDD505-2E9C-101B-9397-08002B2CF9AE}" pid="4" name="ZnakSprawy">
    <vt:lpwstr>GUS-SM01.6362.1.2021</vt:lpwstr>
  </property>
  <property fmtid="{D5CDD505-2E9C-101B-9397-08002B2CF9AE}" pid="5" name="ZnakSprawyPrzedPrzeniesieniem">
    <vt:lpwstr/>
  </property>
  <property fmtid="{D5CDD505-2E9C-101B-9397-08002B2CF9AE}" pid="6" name="Autor">
    <vt:lpwstr>Stefaniak Hubert</vt:lpwstr>
  </property>
  <property fmtid="{D5CDD505-2E9C-101B-9397-08002B2CF9AE}" pid="7" name="AutorInicjaly">
    <vt:lpwstr>HS</vt:lpwstr>
  </property>
  <property fmtid="{D5CDD505-2E9C-101B-9397-08002B2CF9AE}" pid="8" name="AutorNrTelefonu">
    <vt:lpwstr>(022) 608-3651</vt:lpwstr>
  </property>
  <property fmtid="{D5CDD505-2E9C-101B-9397-08002B2CF9AE}" pid="9" name="Stanowisko">
    <vt:lpwstr>naczelnik wydziału</vt:lpwstr>
  </property>
  <property fmtid="{D5CDD505-2E9C-101B-9397-08002B2CF9AE}" pid="10" name="OpisPisma">
    <vt:lpwstr>Informacja sygnalna - Koniunktura gospodarcza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2021-01-20</vt:lpwstr>
  </property>
  <property fmtid="{D5CDD505-2E9C-101B-9397-08002B2CF9AE}" pid="14" name="Wydzial">
    <vt:lpwstr>Wydział Badań Koniunktury Gospodarczej</vt:lpwstr>
  </property>
  <property fmtid="{D5CDD505-2E9C-101B-9397-08002B2CF9AE}" pid="15" name="KodWydzialu">
    <vt:lpwstr>SM-01</vt:lpwstr>
  </property>
  <property fmtid="{D5CDD505-2E9C-101B-9397-08002B2CF9AE}" pid="16" name="ZaakceptowanePrzez">
    <vt:lpwstr>n/d</vt:lpwstr>
  </property>
  <property fmtid="{D5CDD505-2E9C-101B-9397-08002B2CF9AE}" pid="17" name="PrzekazanieDo">
    <vt:lpwstr>Wydział Badań Koniunktury Gospodarczej(SM-01)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