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320AC5" w:rsidRDefault="00276811" w:rsidP="00320AC5">
      <w:pPr>
        <w:pStyle w:val="tytuinformacji"/>
        <w:spacing w:before="120" w:after="20"/>
      </w:pPr>
      <w:r w:rsidRPr="00320AC5">
        <w:t xml:space="preserve">Koniunktura w </w:t>
      </w:r>
      <w:r w:rsidR="00D33ADF" w:rsidRPr="00320AC5">
        <w:t>przetwórstwie przemys</w:t>
      </w:r>
      <w:bookmarkStart w:id="0" w:name="_GoBack"/>
      <w:bookmarkEnd w:id="0"/>
      <w:r w:rsidR="00D33ADF" w:rsidRPr="00320AC5">
        <w:t>łowym</w:t>
      </w:r>
      <w:r w:rsidRPr="00320AC5">
        <w:t xml:space="preserve">, </w:t>
      </w:r>
      <w:r w:rsidR="00DB59C6">
        <w:br/>
      </w:r>
      <w:r w:rsidRPr="00320AC5">
        <w:t>b</w:t>
      </w:r>
      <w:r w:rsidR="00E76D26" w:rsidRPr="00320AC5">
        <w:t xml:space="preserve">udownictwie, handlu i usługach </w:t>
      </w:r>
      <w:r w:rsidR="00347D72" w:rsidRPr="00320AC5">
        <w:t xml:space="preserve">– </w:t>
      </w:r>
      <w:r w:rsidR="00014675">
        <w:t>listopad</w:t>
      </w:r>
      <w:r w:rsidR="00526B0F" w:rsidRPr="00320AC5">
        <w:t xml:space="preserve"> 2019</w:t>
      </w:r>
      <w:r w:rsidR="00003437" w:rsidRPr="00320AC5">
        <w:t xml:space="preserve"> r.</w:t>
      </w:r>
    </w:p>
    <w:p w:rsidR="0098135C" w:rsidRPr="00001C5B" w:rsidRDefault="000806F7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266065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DC1" w:rsidRPr="00D616D2" w:rsidRDefault="007A2DC1" w:rsidP="008F74DF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15pt;margin-top:20.95pt;width:135.85pt;height:82.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" filled="f" stroked="f">
                <v:textbox>
                  <w:txbxContent>
                    <w:p w:rsidR="007A2DC1" w:rsidRPr="00D616D2" w:rsidRDefault="007A2DC1" w:rsidP="008F74DF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Default="00003437" w:rsidP="00320AC5">
      <w:pPr>
        <w:pStyle w:val="LID"/>
        <w:spacing w:after="120"/>
      </w:pPr>
      <w:r w:rsidRPr="00001C5B"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225298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081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482FAD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 w:rsidR="009C5DCB"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6B3FE9CF" wp14:editId="0DF9A708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 w:rsidR="009C5DCB">
                              <w:rPr>
                                <w:b/>
                                <w:color w:val="001D77"/>
                              </w:rPr>
                              <w:t xml:space="preserve">    </w:t>
                            </w:r>
                            <w:r w:rsidR="00E22FF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100,2</w:t>
                            </w:r>
                          </w:p>
                          <w:p w:rsidR="00933EC1" w:rsidRPr="007D3319" w:rsidRDefault="00276811" w:rsidP="00633014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Ogólny wskaźnik syntetyczny </w:t>
                            </w:r>
                            <w:r w:rsidR="00003437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koniunktury gospodarczej GUS (SI)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55pt;width:177.4pt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" fillcolor="#001d77" stroked="f">
                <v:textbox>
                  <w:txbxContent>
                    <w:p w:rsidR="00933EC1" w:rsidRPr="00B66B19" w:rsidRDefault="00482FAD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 w:rsidR="009C5DCB"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6B3FE9CF" wp14:editId="0DF9A708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 w:rsidR="009C5DCB">
                        <w:rPr>
                          <w:b/>
                          <w:color w:val="001D77"/>
                        </w:rPr>
                        <w:t xml:space="preserve">    </w:t>
                      </w:r>
                      <w:r w:rsidR="00E22FF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100,2</w:t>
                      </w:r>
                    </w:p>
                    <w:p w:rsidR="00933EC1" w:rsidRPr="007D3319" w:rsidRDefault="00276811" w:rsidP="00633014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Ogólny wskaźnik syntetyczny </w:t>
                      </w:r>
                      <w:r w:rsidR="00003437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koniunktury gospodarczej GUS (SI)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2FAD" w:rsidRPr="00482FAD">
        <w:t xml:space="preserve">Ogólny wskaźnik syntetyczny koniunktury gospodarczej GUS (SI) w </w:t>
      </w:r>
      <w:r w:rsidR="00E22FF7">
        <w:t>listopadzie</w:t>
      </w:r>
      <w:r w:rsidR="00482FAD" w:rsidRPr="00482FAD">
        <w:t xml:space="preserve"> 201</w:t>
      </w:r>
      <w:r w:rsidR="00804892">
        <w:t>9</w:t>
      </w:r>
      <w:r w:rsidR="00482FAD" w:rsidRPr="00482FAD">
        <w:t xml:space="preserve"> r. kształtuje się na poziomie </w:t>
      </w:r>
      <w:r w:rsidR="00A97ADE">
        <w:t>niższym w stosunku</w:t>
      </w:r>
      <w:r w:rsidR="0067076B">
        <w:t xml:space="preserve"> do</w:t>
      </w:r>
      <w:r w:rsidR="000F42CD">
        <w:t xml:space="preserve"> </w:t>
      </w:r>
      <w:r w:rsidR="00A17162">
        <w:t xml:space="preserve">notowanego </w:t>
      </w:r>
      <w:r w:rsidR="00E22FF7">
        <w:t>w</w:t>
      </w:r>
      <w:r w:rsidR="00EC589C">
        <w:t xml:space="preserve"> </w:t>
      </w:r>
      <w:r w:rsidR="00E22FF7">
        <w:t>październiku</w:t>
      </w:r>
      <w:r w:rsidR="00EC589C">
        <w:t xml:space="preserve"> </w:t>
      </w:r>
      <w:r w:rsidR="003C4464">
        <w:t>2019</w:t>
      </w:r>
      <w:r w:rsidR="00A051F6">
        <w:t xml:space="preserve"> r.</w:t>
      </w:r>
      <w:r w:rsidR="001131ED">
        <w:t xml:space="preserve"> </w:t>
      </w:r>
      <w:r w:rsidR="00A97ADE">
        <w:t>oraz w</w:t>
      </w:r>
      <w:r w:rsidR="00A32056">
        <w:t> </w:t>
      </w:r>
      <w:r w:rsidR="00E22FF7">
        <w:t>listopadzie</w:t>
      </w:r>
      <w:r w:rsidR="00E22FF7" w:rsidRPr="00482FAD">
        <w:t xml:space="preserve"> </w:t>
      </w:r>
      <w:r w:rsidR="005A6F50">
        <w:t>2018 r.</w:t>
      </w:r>
      <w:r w:rsidR="003C4464">
        <w:t xml:space="preserve"> </w:t>
      </w:r>
    </w:p>
    <w:p w:rsidR="00CD39BE" w:rsidRPr="00CD39BE" w:rsidRDefault="00CD39BE" w:rsidP="00320AC5">
      <w:pPr>
        <w:pStyle w:val="LID"/>
        <w:spacing w:after="120"/>
      </w:pP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C22105" w:rsidRPr="005C1659" w:rsidRDefault="000F42CD" w:rsidP="001513B8">
      <w:pPr>
        <w:pStyle w:val="Nagwek1"/>
        <w:rPr>
          <w:szCs w:val="19"/>
        </w:rPr>
      </w:pPr>
      <w:r w:rsidRPr="005C1659">
        <w:rPr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5234940</wp:posOffset>
                </wp:positionH>
                <wp:positionV relativeFrom="paragraph">
                  <wp:posOffset>384175</wp:posOffset>
                </wp:positionV>
                <wp:extent cx="1725295" cy="1036320"/>
                <wp:effectExtent l="0" t="0" r="0" b="0"/>
                <wp:wrapTight wrapText="bothSides">
                  <wp:wrapPolygon edited="0">
                    <wp:start x="715" y="0"/>
                    <wp:lineTo x="715" y="21044"/>
                    <wp:lineTo x="20749" y="21044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D2" w:rsidRPr="00D616D2" w:rsidRDefault="00FD3DD3" w:rsidP="00D616D2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Wartoś</w:t>
                            </w:r>
                            <w:r w:rsidR="00DA017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ć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</w:t>
                            </w:r>
                            <w:r w:rsidR="00276811" w:rsidRPr="002768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kładow</w:t>
                            </w:r>
                            <w:r w:rsidR="00DA017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ej</w:t>
                            </w:r>
                            <w:r w:rsidR="00276811" w:rsidRPr="002768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2914E4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dla </w:t>
                            </w:r>
                            <w:r w:rsidR="00A17162" w:rsidRPr="00A17162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przetwórstwa przemysłowego</w:t>
                            </w:r>
                            <w:r w:rsidR="007B1B50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kształtuj</w:t>
                            </w:r>
                            <w:r w:rsidR="00DA017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e</w:t>
                            </w:r>
                            <w:r w:rsidR="00276811" w:rsidRPr="002768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się </w:t>
                            </w:r>
                            <w:r w:rsidR="00E66C3B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3905A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listopadzie</w:t>
                            </w:r>
                            <w:r w:rsidR="00482FAD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A9655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na poziomie </w:t>
                            </w:r>
                            <w:r w:rsidR="003905A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niższym</w:t>
                            </w:r>
                            <w:r w:rsidR="00401B8A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od</w:t>
                            </w:r>
                            <w:r w:rsidR="00E66C3B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notowanego</w:t>
                            </w:r>
                            <w:r w:rsidR="005F6DFA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E0664E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E66C3B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905A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październiku</w:t>
                            </w:r>
                            <w:r w:rsidR="003231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2019</w:t>
                            </w:r>
                            <w:r w:rsidR="005F6DFA" w:rsidRPr="005F6DFA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</w:t>
                            </w:r>
                            <w:r w:rsidR="00276811" w:rsidRPr="00276811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2.2pt;margin-top:30.25pt;width:135.85pt;height:81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" filled="f" stroked="f">
                <v:textbox>
                  <w:txbxContent>
                    <w:p w:rsidR="00D616D2" w:rsidRPr="00D616D2" w:rsidRDefault="00FD3DD3" w:rsidP="00D616D2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Wartoś</w:t>
                      </w:r>
                      <w:r w:rsidR="00DA017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ć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</w:t>
                      </w:r>
                      <w:r w:rsidR="00276811" w:rsidRPr="002768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kładow</w:t>
                      </w:r>
                      <w:r w:rsidR="00DA017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ej</w:t>
                      </w:r>
                      <w:r w:rsidR="00276811" w:rsidRPr="002768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2914E4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dla </w:t>
                      </w:r>
                      <w:r w:rsidR="00A17162" w:rsidRPr="00A17162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przetwórstwa przemysłowego</w:t>
                      </w:r>
                      <w:r w:rsidR="007B1B50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kształtuj</w:t>
                      </w:r>
                      <w:r w:rsidR="00DA017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e</w:t>
                      </w:r>
                      <w:r w:rsidR="00276811" w:rsidRPr="002768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się </w:t>
                      </w:r>
                      <w:r w:rsidR="00E66C3B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3905A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listopadzie</w:t>
                      </w:r>
                      <w:r w:rsidR="00482FAD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A9655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na poziomie </w:t>
                      </w:r>
                      <w:r w:rsidR="003905A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niższym</w:t>
                      </w:r>
                      <w:r w:rsidR="00401B8A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od</w:t>
                      </w:r>
                      <w:r w:rsidR="00E66C3B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notowanego</w:t>
                      </w:r>
                      <w:r w:rsidR="005F6DFA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E0664E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E66C3B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905A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październiku</w:t>
                      </w:r>
                      <w:r w:rsidR="003231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2019</w:t>
                      </w:r>
                      <w:r w:rsidR="005F6DFA" w:rsidRPr="005F6DFA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</w:t>
                      </w:r>
                      <w:r w:rsidR="00276811" w:rsidRPr="00276811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6811" w:rsidRPr="005C1659">
        <w:rPr>
          <w:spacing w:val="-2"/>
          <w:szCs w:val="19"/>
        </w:rPr>
        <w:t xml:space="preserve">Ogólny wskaźnik </w:t>
      </w:r>
      <w:r w:rsidR="00276811" w:rsidRPr="005C1659">
        <w:t>syntetyczny k</w:t>
      </w:r>
      <w:r w:rsidR="00276811" w:rsidRPr="005C1659">
        <w:rPr>
          <w:spacing w:val="-2"/>
          <w:szCs w:val="19"/>
        </w:rPr>
        <w:t>oniunktury gospodarczej GUS dla Polski (</w:t>
      </w:r>
      <w:r w:rsidR="00EB4340" w:rsidRPr="005C1659">
        <w:rPr>
          <w:spacing w:val="-2"/>
          <w:szCs w:val="19"/>
        </w:rPr>
        <w:t>SI</w:t>
      </w:r>
      <w:r w:rsidR="00276811" w:rsidRPr="005C1659">
        <w:rPr>
          <w:spacing w:val="-2"/>
          <w:szCs w:val="19"/>
        </w:rPr>
        <w:t xml:space="preserve">) w </w:t>
      </w:r>
      <w:r w:rsidR="00E22FF7">
        <w:rPr>
          <w:spacing w:val="-2"/>
          <w:szCs w:val="19"/>
        </w:rPr>
        <w:t>listopadzie</w:t>
      </w:r>
      <w:r w:rsidR="00804892" w:rsidRPr="005C1659">
        <w:rPr>
          <w:spacing w:val="-2"/>
          <w:szCs w:val="19"/>
        </w:rPr>
        <w:t xml:space="preserve"> 2019</w:t>
      </w:r>
      <w:r w:rsidR="003E170B" w:rsidRPr="005C1659">
        <w:rPr>
          <w:spacing w:val="-2"/>
          <w:szCs w:val="19"/>
        </w:rPr>
        <w:t> </w:t>
      </w:r>
      <w:r w:rsidR="00276811" w:rsidRPr="005C1659">
        <w:rPr>
          <w:spacing w:val="-2"/>
          <w:szCs w:val="19"/>
        </w:rPr>
        <w:t>r.</w:t>
      </w:r>
    </w:p>
    <w:p w:rsidR="005F0DD0" w:rsidRDefault="00DA0179" w:rsidP="00532B4D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>
        <w:rPr>
          <w:rFonts w:ascii="Fira Sans" w:hAnsi="Fira Sans"/>
          <w:spacing w:val="-4"/>
          <w:sz w:val="19"/>
          <w:szCs w:val="19"/>
        </w:rPr>
        <w:t>Składowa</w:t>
      </w:r>
      <w:r w:rsidR="00D41C37" w:rsidRPr="00C75940">
        <w:rPr>
          <w:rFonts w:ascii="Fira Sans" w:hAnsi="Fira Sans"/>
          <w:spacing w:val="-4"/>
          <w:sz w:val="19"/>
          <w:szCs w:val="19"/>
        </w:rPr>
        <w:t xml:space="preserve"> </w:t>
      </w:r>
      <w:r w:rsidR="00E87851">
        <w:rPr>
          <w:rFonts w:ascii="Fira Sans" w:hAnsi="Fira Sans"/>
          <w:spacing w:val="-4"/>
          <w:sz w:val="19"/>
          <w:szCs w:val="19"/>
        </w:rPr>
        <w:t xml:space="preserve">dla </w:t>
      </w:r>
      <w:r w:rsidR="00347E63">
        <w:rPr>
          <w:rFonts w:ascii="Fira Sans" w:hAnsi="Fira Sans"/>
          <w:spacing w:val="-4"/>
          <w:sz w:val="19"/>
          <w:szCs w:val="19"/>
        </w:rPr>
        <w:t xml:space="preserve">przetwórstwa przemysłowego </w:t>
      </w:r>
      <w:r w:rsidR="00E22FF7">
        <w:rPr>
          <w:rFonts w:ascii="Fira Sans" w:hAnsi="Fira Sans"/>
          <w:spacing w:val="-4"/>
          <w:sz w:val="19"/>
          <w:szCs w:val="19"/>
        </w:rPr>
        <w:t xml:space="preserve">i handlu detalicznego </w:t>
      </w:r>
      <w:r w:rsidR="005F0DD0">
        <w:rPr>
          <w:rFonts w:ascii="Fira Sans" w:hAnsi="Fira Sans"/>
          <w:spacing w:val="-4"/>
          <w:sz w:val="19"/>
          <w:szCs w:val="19"/>
        </w:rPr>
        <w:t xml:space="preserve">kształtuje się na poziomie </w:t>
      </w:r>
      <w:r w:rsidR="00E22FF7">
        <w:rPr>
          <w:rFonts w:ascii="Fira Sans" w:hAnsi="Fira Sans"/>
          <w:spacing w:val="-4"/>
          <w:sz w:val="19"/>
          <w:szCs w:val="19"/>
        </w:rPr>
        <w:t>niższym</w:t>
      </w:r>
      <w:r w:rsidR="00DD2DB1">
        <w:rPr>
          <w:rFonts w:ascii="Fira Sans" w:hAnsi="Fira Sans"/>
          <w:spacing w:val="-4"/>
          <w:sz w:val="19"/>
          <w:szCs w:val="19"/>
        </w:rPr>
        <w:t xml:space="preserve"> </w:t>
      </w:r>
      <w:r w:rsidR="003249E3">
        <w:rPr>
          <w:rFonts w:ascii="Fira Sans" w:hAnsi="Fira Sans"/>
          <w:spacing w:val="-4"/>
          <w:sz w:val="19"/>
          <w:szCs w:val="19"/>
        </w:rPr>
        <w:t>od</w:t>
      </w:r>
      <w:r w:rsidR="00A17162">
        <w:rPr>
          <w:rFonts w:ascii="Fira Sans" w:hAnsi="Fira Sans"/>
          <w:spacing w:val="-4"/>
          <w:sz w:val="19"/>
          <w:szCs w:val="19"/>
        </w:rPr>
        <w:t xml:space="preserve"> </w:t>
      </w:r>
      <w:r w:rsidR="007A1C6B">
        <w:rPr>
          <w:rFonts w:ascii="Fira Sans" w:hAnsi="Fira Sans"/>
          <w:spacing w:val="-4"/>
          <w:sz w:val="19"/>
          <w:szCs w:val="19"/>
        </w:rPr>
        <w:t xml:space="preserve">notowanego w </w:t>
      </w:r>
      <w:r w:rsidR="00E22FF7">
        <w:rPr>
          <w:rFonts w:ascii="Fira Sans" w:hAnsi="Fira Sans"/>
          <w:spacing w:val="-4"/>
          <w:sz w:val="19"/>
          <w:szCs w:val="19"/>
        </w:rPr>
        <w:t>październiku</w:t>
      </w:r>
      <w:r w:rsidR="00FC50D1">
        <w:rPr>
          <w:rFonts w:ascii="Fira Sans" w:hAnsi="Fira Sans"/>
          <w:spacing w:val="-4"/>
          <w:sz w:val="19"/>
          <w:szCs w:val="19"/>
        </w:rPr>
        <w:t xml:space="preserve"> br.</w:t>
      </w:r>
      <w:r w:rsidR="00E87851">
        <w:rPr>
          <w:rFonts w:ascii="Fira Sans" w:hAnsi="Fira Sans"/>
          <w:spacing w:val="-4"/>
          <w:sz w:val="19"/>
          <w:szCs w:val="19"/>
        </w:rPr>
        <w:t xml:space="preserve">, </w:t>
      </w:r>
      <w:r w:rsidR="005F0DD0">
        <w:rPr>
          <w:rFonts w:ascii="Fira Sans" w:hAnsi="Fira Sans"/>
          <w:spacing w:val="-4"/>
          <w:sz w:val="19"/>
          <w:szCs w:val="19"/>
        </w:rPr>
        <w:t>dotycząca</w:t>
      </w:r>
      <w:r w:rsidR="00A17162">
        <w:rPr>
          <w:rFonts w:ascii="Fira Sans" w:hAnsi="Fira Sans"/>
          <w:spacing w:val="-4"/>
          <w:sz w:val="19"/>
          <w:szCs w:val="19"/>
        </w:rPr>
        <w:t xml:space="preserve"> </w:t>
      </w:r>
      <w:r w:rsidR="00E22FF7">
        <w:rPr>
          <w:rFonts w:ascii="Fira Sans" w:hAnsi="Fira Sans"/>
          <w:spacing w:val="-4"/>
          <w:sz w:val="19"/>
          <w:szCs w:val="19"/>
        </w:rPr>
        <w:t>budownictwa</w:t>
      </w:r>
      <w:r w:rsidR="00807CE8">
        <w:rPr>
          <w:rFonts w:ascii="Fira Sans" w:hAnsi="Fira Sans"/>
          <w:spacing w:val="-4"/>
          <w:sz w:val="19"/>
          <w:szCs w:val="19"/>
        </w:rPr>
        <w:t xml:space="preserve"> </w:t>
      </w:r>
      <w:r w:rsidR="00192DF3">
        <w:rPr>
          <w:rFonts w:ascii="Fira Sans" w:hAnsi="Fira Sans"/>
          <w:spacing w:val="-4"/>
          <w:sz w:val="19"/>
          <w:szCs w:val="19"/>
        </w:rPr>
        <w:t xml:space="preserve">– </w:t>
      </w:r>
      <w:r w:rsidR="005F0DD0">
        <w:rPr>
          <w:rFonts w:ascii="Fira Sans" w:hAnsi="Fira Sans"/>
          <w:spacing w:val="-4"/>
          <w:sz w:val="19"/>
          <w:szCs w:val="19"/>
        </w:rPr>
        <w:t xml:space="preserve">na </w:t>
      </w:r>
      <w:r w:rsidR="00E22FF7">
        <w:rPr>
          <w:rFonts w:ascii="Fira Sans" w:hAnsi="Fira Sans"/>
          <w:spacing w:val="-4"/>
          <w:sz w:val="19"/>
          <w:szCs w:val="19"/>
        </w:rPr>
        <w:t>wyższym</w:t>
      </w:r>
      <w:r w:rsidR="00DD2DB1">
        <w:rPr>
          <w:rFonts w:ascii="Fira Sans" w:hAnsi="Fira Sans"/>
          <w:spacing w:val="-4"/>
          <w:sz w:val="19"/>
          <w:szCs w:val="19"/>
        </w:rPr>
        <w:t xml:space="preserve"> </w:t>
      </w:r>
      <w:r w:rsidR="005F0DD0">
        <w:rPr>
          <w:rFonts w:ascii="Fira Sans" w:hAnsi="Fira Sans"/>
          <w:spacing w:val="-4"/>
          <w:sz w:val="19"/>
          <w:szCs w:val="19"/>
        </w:rPr>
        <w:t>poziomie</w:t>
      </w:r>
      <w:r w:rsidR="003249E3">
        <w:rPr>
          <w:rFonts w:ascii="Fira Sans" w:hAnsi="Fira Sans"/>
          <w:spacing w:val="-4"/>
          <w:sz w:val="19"/>
          <w:szCs w:val="19"/>
        </w:rPr>
        <w:t>. W przypadku</w:t>
      </w:r>
      <w:r w:rsidR="003249E3" w:rsidRPr="003249E3">
        <w:rPr>
          <w:rFonts w:ascii="Fira Sans" w:hAnsi="Fira Sans"/>
          <w:spacing w:val="-4"/>
          <w:sz w:val="19"/>
          <w:szCs w:val="19"/>
        </w:rPr>
        <w:t xml:space="preserve"> </w:t>
      </w:r>
      <w:r w:rsidR="00E22FF7">
        <w:rPr>
          <w:rFonts w:ascii="Fira Sans" w:hAnsi="Fira Sans"/>
          <w:spacing w:val="-4"/>
          <w:sz w:val="19"/>
          <w:szCs w:val="19"/>
        </w:rPr>
        <w:t>usług</w:t>
      </w:r>
      <w:r w:rsidR="003249E3">
        <w:rPr>
          <w:rFonts w:ascii="Fira Sans" w:hAnsi="Fira Sans"/>
          <w:spacing w:val="-4"/>
          <w:sz w:val="19"/>
          <w:szCs w:val="19"/>
        </w:rPr>
        <w:t xml:space="preserve"> składowa kształtuje się na poziomie zbliżonym do notowanego w ubiegłym mie</w:t>
      </w:r>
      <w:proofErr w:type="gramStart"/>
      <w:r w:rsidR="003249E3">
        <w:rPr>
          <w:rFonts w:ascii="Fira Sans" w:hAnsi="Fira Sans"/>
          <w:spacing w:val="-4"/>
          <w:sz w:val="19"/>
          <w:szCs w:val="19"/>
        </w:rPr>
        <w:t>siącu</w:t>
      </w:r>
      <w:proofErr w:type="gramEnd"/>
      <w:r w:rsidR="008733DD">
        <w:rPr>
          <w:rFonts w:ascii="Fira Sans" w:hAnsi="Fira Sans"/>
          <w:spacing w:val="-4"/>
          <w:sz w:val="19"/>
          <w:szCs w:val="19"/>
        </w:rPr>
        <w:t>. W</w:t>
      </w:r>
      <w:r w:rsidR="00E22FF7">
        <w:rPr>
          <w:rFonts w:ascii="Fira Sans" w:hAnsi="Fira Sans"/>
          <w:spacing w:val="-4"/>
          <w:sz w:val="19"/>
          <w:szCs w:val="19"/>
        </w:rPr>
        <w:t xml:space="preserve"> </w:t>
      </w:r>
      <w:r w:rsidR="005F0DD0">
        <w:rPr>
          <w:rFonts w:ascii="Fira Sans" w:hAnsi="Fira Sans"/>
          <w:spacing w:val="-4"/>
          <w:sz w:val="19"/>
          <w:szCs w:val="19"/>
        </w:rPr>
        <w:t xml:space="preserve">stosunku </w:t>
      </w:r>
      <w:r w:rsidR="005F0DD0" w:rsidRPr="002B746F">
        <w:rPr>
          <w:rFonts w:ascii="Fira Sans" w:hAnsi="Fira Sans"/>
          <w:spacing w:val="-4"/>
          <w:sz w:val="19"/>
          <w:szCs w:val="19"/>
        </w:rPr>
        <w:t xml:space="preserve">do </w:t>
      </w:r>
      <w:r w:rsidR="00E22FF7">
        <w:rPr>
          <w:rFonts w:ascii="Fira Sans" w:hAnsi="Fira Sans"/>
          <w:spacing w:val="-4"/>
          <w:sz w:val="19"/>
          <w:szCs w:val="19"/>
        </w:rPr>
        <w:t>listopada</w:t>
      </w:r>
      <w:r w:rsidR="00133B51" w:rsidRPr="002B746F">
        <w:rPr>
          <w:rFonts w:ascii="Fira Sans" w:hAnsi="Fira Sans"/>
          <w:spacing w:val="-4"/>
          <w:sz w:val="19"/>
          <w:szCs w:val="19"/>
        </w:rPr>
        <w:t xml:space="preserve"> 2018</w:t>
      </w:r>
      <w:r w:rsidR="00133B51">
        <w:rPr>
          <w:rFonts w:ascii="Fira Sans" w:hAnsi="Fira Sans"/>
          <w:spacing w:val="-4"/>
          <w:sz w:val="19"/>
          <w:szCs w:val="19"/>
        </w:rPr>
        <w:t xml:space="preserve"> r. </w:t>
      </w:r>
      <w:r w:rsidR="00E22FF7">
        <w:rPr>
          <w:rFonts w:ascii="Fira Sans" w:hAnsi="Fira Sans"/>
          <w:spacing w:val="-4"/>
          <w:sz w:val="19"/>
          <w:szCs w:val="19"/>
        </w:rPr>
        <w:t>wartości wszystkich składowych są niższe</w:t>
      </w:r>
      <w:r w:rsidR="003249E3">
        <w:rPr>
          <w:rFonts w:ascii="Fira Sans" w:hAnsi="Fira Sans"/>
          <w:spacing w:val="-4"/>
          <w:sz w:val="19"/>
          <w:szCs w:val="19"/>
        </w:rPr>
        <w:t>.</w:t>
      </w:r>
    </w:p>
    <w:p w:rsidR="00482BBE" w:rsidRDefault="00A7786D" w:rsidP="00532B4D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374CAC">
        <w:rPr>
          <w:rFonts w:ascii="Fira Sans" w:hAnsi="Fira Sans"/>
          <w:noProof/>
          <w:spacing w:val="-4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91712" behindDoc="1" locked="0" layoutInCell="1" allowOverlap="1" wp14:anchorId="502640BE" wp14:editId="668E98DB">
                <wp:simplePos x="0" y="0"/>
                <wp:positionH relativeFrom="column">
                  <wp:posOffset>5281474</wp:posOffset>
                </wp:positionH>
                <wp:positionV relativeFrom="paragraph">
                  <wp:posOffset>248303</wp:posOffset>
                </wp:positionV>
                <wp:extent cx="1725295" cy="489585"/>
                <wp:effectExtent l="0" t="0" r="0" b="5715"/>
                <wp:wrapTight wrapText="bothSides">
                  <wp:wrapPolygon edited="0">
                    <wp:start x="715" y="0"/>
                    <wp:lineTo x="715" y="21012"/>
                    <wp:lineTo x="20749" y="21012"/>
                    <wp:lineTo x="20749" y="0"/>
                    <wp:lineTo x="715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BDE" w:rsidRPr="00445683" w:rsidRDefault="00193BDE" w:rsidP="00A7786D">
                            <w:pPr>
                              <w:spacing w:before="120" w:after="20"/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445683"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SI w ostatnich sześciu </w:t>
                            </w:r>
                            <w:r w:rsidRPr="00445683"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40BE" id="Pole tekstowe 4" o:spid="_x0000_s1029" type="#_x0000_t202" style="position:absolute;margin-left:415.85pt;margin-top:19.55pt;width:135.85pt;height:38.55pt;z-index:-25142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" filled="f" stroked="f">
                <v:textbox>
                  <w:txbxContent>
                    <w:p w:rsidR="00193BDE" w:rsidRPr="00445683" w:rsidRDefault="00193BDE" w:rsidP="00A7786D">
                      <w:pPr>
                        <w:spacing w:before="120" w:after="20"/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445683"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SI w ostatnich sześciu </w:t>
                      </w:r>
                      <w:r w:rsidRPr="00445683"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  <w:t>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F25D7" w:rsidRPr="00482FAD">
        <w:rPr>
          <w:rFonts w:ascii="Fira Sans" w:hAnsi="Fira Sans"/>
          <w:spacing w:val="-4"/>
          <w:sz w:val="19"/>
          <w:szCs w:val="19"/>
        </w:rPr>
        <w:t>Wskaźnik</w:t>
      </w:r>
      <w:r w:rsidR="00AF25D7">
        <w:rPr>
          <w:rFonts w:ascii="Fira Sans" w:hAnsi="Fira Sans"/>
          <w:spacing w:val="-4"/>
          <w:sz w:val="19"/>
          <w:szCs w:val="19"/>
        </w:rPr>
        <w:t>i</w:t>
      </w:r>
      <w:r w:rsidR="00AF25D7" w:rsidRPr="00482FAD">
        <w:rPr>
          <w:rFonts w:ascii="Fira Sans" w:hAnsi="Fira Sans"/>
          <w:spacing w:val="-4"/>
          <w:sz w:val="19"/>
          <w:szCs w:val="19"/>
        </w:rPr>
        <w:t xml:space="preserve"> ocen diagnostycznych i prognostycznych </w:t>
      </w:r>
      <w:r w:rsidR="00AF25D7">
        <w:rPr>
          <w:rFonts w:ascii="Fira Sans" w:hAnsi="Fira Sans"/>
          <w:spacing w:val="-4"/>
          <w:sz w:val="19"/>
          <w:szCs w:val="19"/>
        </w:rPr>
        <w:t>są</w:t>
      </w:r>
      <w:r w:rsidR="00AF25D7" w:rsidRPr="00374CAC">
        <w:rPr>
          <w:rFonts w:ascii="Fira Sans" w:hAnsi="Fira Sans"/>
          <w:spacing w:val="-4"/>
          <w:sz w:val="19"/>
          <w:szCs w:val="19"/>
        </w:rPr>
        <w:t xml:space="preserve"> </w:t>
      </w:r>
      <w:r w:rsidR="00AF25D7">
        <w:rPr>
          <w:rFonts w:ascii="Fira Sans" w:hAnsi="Fira Sans"/>
          <w:spacing w:val="-4"/>
          <w:sz w:val="19"/>
          <w:szCs w:val="19"/>
        </w:rPr>
        <w:t xml:space="preserve">niższe </w:t>
      </w:r>
      <w:r w:rsidR="003905A5">
        <w:rPr>
          <w:rFonts w:ascii="Fira Sans" w:hAnsi="Fira Sans"/>
          <w:spacing w:val="-4"/>
          <w:sz w:val="19"/>
          <w:szCs w:val="19"/>
        </w:rPr>
        <w:t xml:space="preserve">zarówno </w:t>
      </w:r>
      <w:r w:rsidR="00AF25D7">
        <w:rPr>
          <w:rFonts w:ascii="Fira Sans" w:hAnsi="Fira Sans"/>
          <w:spacing w:val="-4"/>
          <w:sz w:val="19"/>
          <w:szCs w:val="19"/>
        </w:rPr>
        <w:t xml:space="preserve">w stosunku do </w:t>
      </w:r>
      <w:r w:rsidR="00AF25D7" w:rsidRPr="00482FAD">
        <w:rPr>
          <w:rFonts w:ascii="Fira Sans" w:hAnsi="Fira Sans"/>
          <w:spacing w:val="-4"/>
          <w:sz w:val="19"/>
          <w:szCs w:val="19"/>
        </w:rPr>
        <w:t>zgłaszan</w:t>
      </w:r>
      <w:r w:rsidR="00AF25D7">
        <w:rPr>
          <w:rFonts w:ascii="Fira Sans" w:hAnsi="Fira Sans"/>
          <w:spacing w:val="-4"/>
          <w:sz w:val="19"/>
          <w:szCs w:val="19"/>
        </w:rPr>
        <w:t>ych przed miesiącem</w:t>
      </w:r>
      <w:r w:rsidR="001131ED">
        <w:rPr>
          <w:rFonts w:ascii="Fira Sans" w:hAnsi="Fira Sans"/>
          <w:spacing w:val="-4"/>
          <w:sz w:val="19"/>
          <w:szCs w:val="19"/>
        </w:rPr>
        <w:t>,</w:t>
      </w:r>
      <w:r w:rsidR="003905A5">
        <w:rPr>
          <w:rFonts w:ascii="Fira Sans" w:hAnsi="Fira Sans"/>
          <w:spacing w:val="-4"/>
          <w:sz w:val="19"/>
          <w:szCs w:val="19"/>
        </w:rPr>
        <w:t xml:space="preserve"> jak</w:t>
      </w:r>
      <w:r w:rsidR="00AF25D7">
        <w:rPr>
          <w:rFonts w:ascii="Fira Sans" w:hAnsi="Fira Sans"/>
          <w:spacing w:val="-4"/>
          <w:sz w:val="19"/>
          <w:szCs w:val="19"/>
        </w:rPr>
        <w:t xml:space="preserve"> i przed rokiem</w:t>
      </w:r>
      <w:r w:rsidR="00AF25D7" w:rsidRPr="00374CAC">
        <w:rPr>
          <w:rFonts w:ascii="Fira Sans" w:hAnsi="Fira Sans"/>
          <w:spacing w:val="-4"/>
          <w:sz w:val="19"/>
          <w:szCs w:val="19"/>
        </w:rPr>
        <w:t>.</w:t>
      </w:r>
      <w:r w:rsidR="00AF25D7">
        <w:rPr>
          <w:rFonts w:ascii="Fira Sans" w:hAnsi="Fira Sans"/>
          <w:spacing w:val="-4"/>
          <w:sz w:val="19"/>
          <w:szCs w:val="19"/>
        </w:rPr>
        <w:t xml:space="preserve"> </w:t>
      </w:r>
    </w:p>
    <w:p w:rsidR="00DA0179" w:rsidRDefault="00624F34" w:rsidP="00271F56">
      <w:pPr>
        <w:spacing w:before="120" w:after="120"/>
        <w:ind w:left="794" w:hanging="794"/>
        <w:rPr>
          <w:rFonts w:ascii="Fira Sans" w:hAnsi="Fira Sans"/>
          <w:b/>
          <w:spacing w:val="-2"/>
          <w:sz w:val="18"/>
        </w:rPr>
      </w:pPr>
      <w:r w:rsidRPr="00624F34">
        <w:rPr>
          <w:noProof/>
          <w:lang w:eastAsia="pl-PL"/>
        </w:rPr>
        <w:drawing>
          <wp:anchor distT="0" distB="0" distL="114300" distR="114300" simplePos="0" relativeHeight="252053504" behindDoc="0" locked="0" layoutInCell="1" allowOverlap="1">
            <wp:simplePos x="0" y="0"/>
            <wp:positionH relativeFrom="column">
              <wp:posOffset>5335270</wp:posOffset>
            </wp:positionH>
            <wp:positionV relativeFrom="paragraph">
              <wp:posOffset>347345</wp:posOffset>
            </wp:positionV>
            <wp:extent cx="1396365" cy="1880870"/>
            <wp:effectExtent l="0" t="0" r="0" b="0"/>
            <wp:wrapTopAndBottom/>
            <wp:docPr id="14" name="Obraz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F34">
        <w:rPr>
          <w:noProof/>
          <w:lang w:eastAsia="pl-PL"/>
        </w:rPr>
        <w:drawing>
          <wp:anchor distT="0" distB="0" distL="114300" distR="114300" simplePos="0" relativeHeight="252052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349251</wp:posOffset>
            </wp:positionV>
            <wp:extent cx="4878000" cy="1872000"/>
            <wp:effectExtent l="0" t="0" r="0" b="0"/>
            <wp:wrapTopAndBottom/>
            <wp:docPr id="13" name="Obraz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318" w:rsidRPr="003E170B">
        <w:rPr>
          <w:rFonts w:ascii="Fira Sans" w:hAnsi="Fira Sans"/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93760" behindDoc="1" locked="0" layoutInCell="1" allowOverlap="1" wp14:anchorId="0B5A7663" wp14:editId="287C693E">
                <wp:simplePos x="0" y="0"/>
                <wp:positionH relativeFrom="column">
                  <wp:posOffset>5224780</wp:posOffset>
                </wp:positionH>
                <wp:positionV relativeFrom="paragraph">
                  <wp:posOffset>2219325</wp:posOffset>
                </wp:positionV>
                <wp:extent cx="1725295" cy="489585"/>
                <wp:effectExtent l="0" t="0" r="0" b="5715"/>
                <wp:wrapTight wrapText="bothSides">
                  <wp:wrapPolygon edited="0">
                    <wp:start x="715" y="0"/>
                    <wp:lineTo x="715" y="21012"/>
                    <wp:lineTo x="20749" y="21012"/>
                    <wp:lineTo x="20749" y="0"/>
                    <wp:lineTo x="71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89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BDE" w:rsidRPr="00445683" w:rsidRDefault="00193BDE" w:rsidP="00A7786D">
                            <w:pPr>
                              <w:spacing w:before="120" w:after="20"/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445683">
                              <w:rPr>
                                <w:rFonts w:ascii="Fira Sans" w:eastAsia="Times New Roman" w:hAnsi="Fira Sans" w:cs="Times New Roman"/>
                                <w:b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SI oraz EU.ESI w 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7663" id="Pole tekstowe 5" o:spid="_x0000_s1030" type="#_x0000_t202" style="position:absolute;left:0;text-align:left;margin-left:411.4pt;margin-top:174.75pt;width:135.85pt;height:38.55pt;z-index:-25142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" filled="f" stroked="f">
                <v:textbox>
                  <w:txbxContent>
                    <w:p w:rsidR="00193BDE" w:rsidRPr="00445683" w:rsidRDefault="00193BDE" w:rsidP="00A7786D">
                      <w:pPr>
                        <w:spacing w:before="120" w:after="20"/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445683">
                        <w:rPr>
                          <w:rFonts w:ascii="Fira Sans" w:eastAsia="Times New Roman" w:hAnsi="Fira Sans" w:cs="Times New Roman"/>
                          <w:b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SI oraz EU.ESI w 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A0179" w:rsidRPr="00001C5B">
        <w:rPr>
          <w:rFonts w:ascii="Fira Sans" w:hAnsi="Fira Sans"/>
          <w:b/>
          <w:spacing w:val="-2"/>
          <w:sz w:val="18"/>
        </w:rPr>
        <w:t xml:space="preserve">Wykres </w:t>
      </w:r>
      <w:r w:rsidR="00DA0179">
        <w:rPr>
          <w:rFonts w:ascii="Fira Sans" w:hAnsi="Fira Sans"/>
          <w:b/>
          <w:spacing w:val="-2"/>
          <w:sz w:val="18"/>
        </w:rPr>
        <w:t>1</w:t>
      </w:r>
      <w:r w:rsidR="00DA0179" w:rsidRPr="00001C5B">
        <w:rPr>
          <w:rFonts w:ascii="Fira Sans" w:hAnsi="Fira Sans"/>
          <w:b/>
          <w:spacing w:val="-2"/>
          <w:sz w:val="18"/>
        </w:rPr>
        <w:t xml:space="preserve">. Ogólny wskaźnik syntetyczny koniunktury gospodarczej GUS dla Polski </w:t>
      </w:r>
      <w:r w:rsidR="00DA0179">
        <w:rPr>
          <w:rFonts w:ascii="Fira Sans" w:hAnsi="Fira Sans"/>
          <w:b/>
          <w:spacing w:val="-2"/>
          <w:sz w:val="18"/>
        </w:rPr>
        <w:t xml:space="preserve">(SI) </w:t>
      </w:r>
      <w:r w:rsidR="00DA0179">
        <w:rPr>
          <w:rFonts w:ascii="Fira Sans" w:hAnsi="Fira Sans"/>
          <w:b/>
          <w:spacing w:val="-2"/>
          <w:sz w:val="18"/>
        </w:rPr>
        <w:br/>
      </w:r>
      <w:r w:rsidR="00DA0179" w:rsidRPr="00001C5B">
        <w:rPr>
          <w:rFonts w:ascii="Fira Sans" w:hAnsi="Fira Sans"/>
          <w:b/>
          <w:spacing w:val="-2"/>
          <w:sz w:val="18"/>
        </w:rPr>
        <w:t>i jego dekompozycja</w:t>
      </w:r>
      <w:r w:rsidR="00134852" w:rsidRPr="00134852">
        <w:rPr>
          <w:rFonts w:ascii="Fira Sans" w:hAnsi="Fira Sans"/>
          <w:b/>
          <w:spacing w:val="-2"/>
          <w:sz w:val="18"/>
        </w:rPr>
        <w:t xml:space="preserve"> </w:t>
      </w:r>
    </w:p>
    <w:p w:rsidR="0098156A" w:rsidRDefault="00624F34" w:rsidP="00271F56">
      <w:pPr>
        <w:spacing w:before="120" w:after="120"/>
        <w:ind w:left="794" w:hanging="794"/>
      </w:pPr>
      <w:r w:rsidRPr="00624F34">
        <w:rPr>
          <w:noProof/>
          <w:lang w:eastAsia="pl-PL"/>
        </w:rPr>
        <w:drawing>
          <wp:anchor distT="0" distB="0" distL="114300" distR="114300" simplePos="0" relativeHeight="252055552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2219820</wp:posOffset>
            </wp:positionV>
            <wp:extent cx="1396800" cy="1872000"/>
            <wp:effectExtent l="0" t="0" r="0" b="0"/>
            <wp:wrapTopAndBottom/>
            <wp:docPr id="25" name="Obraz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AB2" w:rsidRPr="00F20A38">
        <w:rPr>
          <w:rFonts w:ascii="Fira Sans" w:hAnsi="Fira Sans"/>
          <w:b/>
          <w:spacing w:val="-2"/>
          <w:sz w:val="18"/>
        </w:rPr>
        <w:t xml:space="preserve">Wykres </w:t>
      </w:r>
      <w:r w:rsidR="00DA0179" w:rsidRPr="00F20A38">
        <w:rPr>
          <w:rFonts w:ascii="Fira Sans" w:hAnsi="Fira Sans"/>
          <w:b/>
          <w:spacing w:val="-2"/>
          <w:sz w:val="18"/>
        </w:rPr>
        <w:t>2</w:t>
      </w:r>
      <w:r w:rsidR="009C1AB2" w:rsidRPr="00F20A38">
        <w:rPr>
          <w:rFonts w:ascii="Fira Sans" w:hAnsi="Fira Sans"/>
          <w:b/>
          <w:spacing w:val="-2"/>
          <w:sz w:val="18"/>
        </w:rPr>
        <w:t>. Ogóln</w:t>
      </w:r>
      <w:r w:rsidR="004118D1" w:rsidRPr="00F20A38">
        <w:rPr>
          <w:rFonts w:ascii="Fira Sans" w:hAnsi="Fira Sans"/>
          <w:b/>
          <w:spacing w:val="-2"/>
          <w:sz w:val="18"/>
        </w:rPr>
        <w:t>y</w:t>
      </w:r>
      <w:r w:rsidR="009C1AB2" w:rsidRPr="00F20A38">
        <w:rPr>
          <w:rFonts w:ascii="Fira Sans" w:hAnsi="Fira Sans"/>
          <w:b/>
          <w:spacing w:val="-2"/>
          <w:sz w:val="18"/>
        </w:rPr>
        <w:t xml:space="preserve"> wskaźnik syntetyczny koniunktury gospodarczej GUS dla Polski</w:t>
      </w:r>
      <w:r w:rsidR="003D5EA6" w:rsidRPr="00F20A38">
        <w:rPr>
          <w:rFonts w:ascii="Fira Sans" w:hAnsi="Fira Sans"/>
          <w:b/>
          <w:spacing w:val="-2"/>
          <w:sz w:val="18"/>
        </w:rPr>
        <w:t xml:space="preserve"> (SI)</w:t>
      </w:r>
      <w:r w:rsidR="009C1AB2" w:rsidRPr="00F20A38">
        <w:rPr>
          <w:rFonts w:ascii="Fira Sans" w:hAnsi="Fira Sans"/>
          <w:b/>
          <w:spacing w:val="-2"/>
          <w:sz w:val="18"/>
        </w:rPr>
        <w:t xml:space="preserve">, wskaźnik </w:t>
      </w:r>
      <w:r w:rsidR="001B48F9" w:rsidRPr="00F20A38">
        <w:rPr>
          <w:rFonts w:ascii="Fira Sans" w:hAnsi="Fira Sans"/>
          <w:b/>
          <w:spacing w:val="-2"/>
          <w:sz w:val="18"/>
        </w:rPr>
        <w:br/>
      </w:r>
      <w:r w:rsidR="009C1AB2" w:rsidRPr="00F20A38">
        <w:rPr>
          <w:rFonts w:ascii="Fira Sans" w:hAnsi="Fira Sans"/>
          <w:b/>
          <w:spacing w:val="-2"/>
          <w:sz w:val="18"/>
        </w:rPr>
        <w:t xml:space="preserve">odczuć ekonomicznych dla Unii Europejskiej </w:t>
      </w:r>
      <w:r w:rsidR="000E7ED0" w:rsidRPr="00F20A38">
        <w:rPr>
          <w:rFonts w:ascii="Fira Sans" w:hAnsi="Fira Sans"/>
          <w:b/>
          <w:spacing w:val="-2"/>
          <w:sz w:val="18"/>
        </w:rPr>
        <w:t>(EU.ESI)</w:t>
      </w:r>
      <w:r w:rsidR="0037077F" w:rsidRPr="00F20A38">
        <w:rPr>
          <w:rFonts w:ascii="Fira Sans" w:hAnsi="Fira Sans"/>
          <w:b/>
          <w:spacing w:val="-2"/>
          <w:sz w:val="18"/>
          <w:vertAlign w:val="superscript"/>
        </w:rPr>
        <w:footnoteReference w:id="1"/>
      </w:r>
      <w:r w:rsidR="00D715DF" w:rsidRPr="00F20A38">
        <w:rPr>
          <w:rFonts w:ascii="Fira Sans" w:hAnsi="Fira Sans"/>
          <w:b/>
          <w:spacing w:val="-2"/>
          <w:sz w:val="18"/>
          <w:vertAlign w:val="superscript"/>
        </w:rPr>
        <w:t xml:space="preserve"> </w:t>
      </w:r>
    </w:p>
    <w:p w:rsidR="00804892" w:rsidRPr="00001C5B" w:rsidRDefault="00624F34" w:rsidP="00E664C5">
      <w:pPr>
        <w:pStyle w:val="tytuwykresu"/>
      </w:pPr>
      <w:r w:rsidRPr="00624F34">
        <w:rPr>
          <w:noProof/>
          <w:lang w:eastAsia="pl-PL"/>
        </w:rPr>
        <w:drawing>
          <wp:anchor distT="0" distB="0" distL="114300" distR="114300" simplePos="0" relativeHeight="252054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-488</wp:posOffset>
            </wp:positionV>
            <wp:extent cx="4878000" cy="1872000"/>
            <wp:effectExtent l="0" t="0" r="0" b="0"/>
            <wp:wrapTopAndBottom/>
            <wp:docPr id="15" name="Obraz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56A" w:rsidRPr="00001C5B" w:rsidRDefault="00996693" w:rsidP="00E76D26">
      <w:pPr>
        <w:pStyle w:val="Nagwek1"/>
        <w:rPr>
          <w:szCs w:val="19"/>
        </w:rPr>
      </w:pPr>
      <w:r w:rsidRPr="00057327">
        <w:rPr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1CE46F4" wp14:editId="0184C0F5">
                <wp:simplePos x="0" y="0"/>
                <wp:positionH relativeFrom="rightMargin">
                  <wp:posOffset>127107</wp:posOffset>
                </wp:positionH>
                <wp:positionV relativeFrom="paragraph">
                  <wp:posOffset>173746</wp:posOffset>
                </wp:positionV>
                <wp:extent cx="1725295" cy="1016635"/>
                <wp:effectExtent l="0" t="0" r="0" b="0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BE8" w:rsidRPr="00D616D2" w:rsidRDefault="001968F3" w:rsidP="009C0165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1968F3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Wskaźnik ufności w przetwórstwie przemysłowym kształtuje się na dodatnim poziomie, </w:t>
                            </w:r>
                            <w:r w:rsidR="00CD388B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ale niższym</w:t>
                            </w:r>
                            <w:r w:rsidR="00F10FF6" w:rsidRPr="00F10FF6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F10FF6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niż</w:t>
                            </w:r>
                            <w:r w:rsidRPr="001968F3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</w:t>
                            </w:r>
                            <w:r w:rsidR="00CD388B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październiku</w:t>
                            </w:r>
                            <w:r w:rsidRPr="001968F3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46F4" id="Pole tekstowe 17" o:spid="_x0000_s1031" type="#_x0000_t202" style="position:absolute;margin-left:10pt;margin-top:13.7pt;width:135.85pt;height:80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" filled="f" stroked="f">
                <v:textbox>
                  <w:txbxContent>
                    <w:p w:rsidR="00391BE8" w:rsidRPr="00D616D2" w:rsidRDefault="001968F3" w:rsidP="009C0165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1968F3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Wskaźnik ufności w przetwórstwie przemysłowym kształtuje się na dodatnim poziomie, </w:t>
                      </w:r>
                      <w:r w:rsidR="00CD388B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ale niższym</w:t>
                      </w:r>
                      <w:r w:rsidR="00F10FF6" w:rsidRPr="00F10FF6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F10FF6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niż</w:t>
                      </w:r>
                      <w:r w:rsidRPr="001968F3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</w:t>
                      </w:r>
                      <w:r w:rsidR="00CD388B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październiku</w:t>
                      </w:r>
                      <w:r w:rsidRPr="001968F3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811" w:rsidRPr="00057327">
        <w:rPr>
          <w:spacing w:val="-2"/>
          <w:szCs w:val="19"/>
        </w:rPr>
        <w:t xml:space="preserve">Wskaźnik ufności – </w:t>
      </w:r>
      <w:r w:rsidR="009C1AB2" w:rsidRPr="00057327">
        <w:rPr>
          <w:spacing w:val="-2"/>
          <w:szCs w:val="19"/>
        </w:rPr>
        <w:t>P</w:t>
      </w:r>
      <w:r w:rsidR="00276811" w:rsidRPr="00057327">
        <w:rPr>
          <w:spacing w:val="-2"/>
          <w:szCs w:val="19"/>
        </w:rPr>
        <w:t>rzetwórstwo przemysłowe</w:t>
      </w:r>
    </w:p>
    <w:p w:rsidR="00E5190C" w:rsidRPr="00E5190C" w:rsidRDefault="001968F3" w:rsidP="00711297">
      <w:pPr>
        <w:spacing w:before="120" w:after="120"/>
        <w:rPr>
          <w:rFonts w:ascii="Fira Sans" w:hAnsi="Fira Sans"/>
          <w:spacing w:val="-4"/>
          <w:sz w:val="19"/>
          <w:szCs w:val="19"/>
        </w:rPr>
      </w:pPr>
      <w:r w:rsidRPr="001968F3">
        <w:rPr>
          <w:rFonts w:ascii="Fira Sans" w:hAnsi="Fira Sans"/>
          <w:spacing w:val="-4"/>
          <w:sz w:val="19"/>
          <w:szCs w:val="19"/>
        </w:rPr>
        <w:t xml:space="preserve">W </w:t>
      </w:r>
      <w:r w:rsidR="00CD388B">
        <w:rPr>
          <w:rFonts w:ascii="Fira Sans" w:hAnsi="Fira Sans"/>
          <w:spacing w:val="-4"/>
          <w:sz w:val="19"/>
          <w:szCs w:val="19"/>
        </w:rPr>
        <w:t>listopadzie</w:t>
      </w:r>
      <w:r w:rsidRPr="001968F3">
        <w:rPr>
          <w:rFonts w:ascii="Fira Sans" w:hAnsi="Fira Sans"/>
          <w:spacing w:val="-4"/>
          <w:sz w:val="19"/>
          <w:szCs w:val="19"/>
        </w:rPr>
        <w:t xml:space="preserve"> </w:t>
      </w:r>
      <w:r w:rsidR="00D54F68">
        <w:rPr>
          <w:rFonts w:ascii="Fira Sans" w:hAnsi="Fira Sans"/>
          <w:spacing w:val="-4"/>
          <w:sz w:val="19"/>
          <w:szCs w:val="19"/>
        </w:rPr>
        <w:t xml:space="preserve">2019 r. </w:t>
      </w:r>
      <w:r w:rsidRPr="001968F3">
        <w:rPr>
          <w:rFonts w:ascii="Fira Sans" w:hAnsi="Fira Sans"/>
          <w:spacing w:val="-4"/>
          <w:sz w:val="19"/>
          <w:szCs w:val="19"/>
        </w:rPr>
        <w:t xml:space="preserve">wskaźnik ufności w przetwórstwie przemysłowym kształtuje się na dodatnim poziomie, </w:t>
      </w:r>
      <w:r w:rsidR="00CD388B">
        <w:rPr>
          <w:rFonts w:ascii="Fira Sans" w:hAnsi="Fira Sans"/>
          <w:spacing w:val="-4"/>
          <w:sz w:val="19"/>
          <w:szCs w:val="19"/>
        </w:rPr>
        <w:t>ale niższym</w:t>
      </w:r>
      <w:r w:rsidR="00F10FF6">
        <w:rPr>
          <w:rFonts w:ascii="Fira Sans" w:hAnsi="Fira Sans"/>
          <w:spacing w:val="-4"/>
          <w:sz w:val="19"/>
          <w:szCs w:val="19"/>
        </w:rPr>
        <w:t xml:space="preserve"> w stosunku</w:t>
      </w:r>
      <w:r w:rsidR="00171C5E">
        <w:rPr>
          <w:rFonts w:ascii="Fira Sans" w:hAnsi="Fira Sans"/>
          <w:spacing w:val="-4"/>
          <w:sz w:val="19"/>
          <w:szCs w:val="19"/>
        </w:rPr>
        <w:t xml:space="preserve"> do</w:t>
      </w:r>
      <w:r w:rsidR="00B87703">
        <w:rPr>
          <w:rFonts w:ascii="Fira Sans" w:hAnsi="Fira Sans"/>
          <w:spacing w:val="-4"/>
          <w:sz w:val="19"/>
          <w:szCs w:val="19"/>
        </w:rPr>
        <w:t xml:space="preserve"> notowanego </w:t>
      </w:r>
      <w:r w:rsidRPr="001968F3">
        <w:rPr>
          <w:rFonts w:ascii="Fira Sans" w:hAnsi="Fira Sans"/>
          <w:spacing w:val="-4"/>
          <w:sz w:val="19"/>
          <w:szCs w:val="19"/>
        </w:rPr>
        <w:t xml:space="preserve">przed miesiącem. Oceny bieżącego portfela zamówień (krajowego i zagranicznego) są </w:t>
      </w:r>
      <w:r w:rsidR="00CF392B">
        <w:rPr>
          <w:rFonts w:ascii="Fira Sans" w:hAnsi="Fira Sans"/>
          <w:spacing w:val="-4"/>
          <w:sz w:val="19"/>
          <w:szCs w:val="19"/>
        </w:rPr>
        <w:t xml:space="preserve">pozytywne </w:t>
      </w:r>
      <w:r w:rsidR="00F10FF6">
        <w:rPr>
          <w:rFonts w:ascii="Fira Sans" w:hAnsi="Fira Sans"/>
          <w:spacing w:val="-4"/>
          <w:sz w:val="19"/>
          <w:szCs w:val="19"/>
        </w:rPr>
        <w:t xml:space="preserve">i </w:t>
      </w:r>
      <w:r w:rsidR="003F2131">
        <w:rPr>
          <w:rFonts w:ascii="Fira Sans" w:hAnsi="Fira Sans"/>
          <w:spacing w:val="-4"/>
          <w:sz w:val="19"/>
          <w:szCs w:val="19"/>
        </w:rPr>
        <w:t>nieco lepsze</w:t>
      </w:r>
      <w:r w:rsidR="00F10FF6">
        <w:rPr>
          <w:rFonts w:ascii="Fira Sans" w:hAnsi="Fira Sans"/>
          <w:spacing w:val="-4"/>
          <w:sz w:val="19"/>
          <w:szCs w:val="19"/>
        </w:rPr>
        <w:t xml:space="preserve"> </w:t>
      </w:r>
      <w:r w:rsidR="003F2131">
        <w:rPr>
          <w:rFonts w:ascii="Fira Sans" w:hAnsi="Fira Sans"/>
          <w:spacing w:val="-4"/>
          <w:sz w:val="19"/>
          <w:szCs w:val="19"/>
        </w:rPr>
        <w:t>od</w:t>
      </w:r>
      <w:r w:rsidR="00171C5E">
        <w:rPr>
          <w:rFonts w:ascii="Fira Sans" w:hAnsi="Fira Sans"/>
          <w:spacing w:val="-4"/>
          <w:sz w:val="19"/>
          <w:szCs w:val="19"/>
        </w:rPr>
        <w:t xml:space="preserve"> </w:t>
      </w:r>
      <w:r w:rsidRPr="001968F3">
        <w:rPr>
          <w:rFonts w:ascii="Fira Sans" w:hAnsi="Fira Sans"/>
          <w:spacing w:val="-4"/>
          <w:sz w:val="19"/>
          <w:szCs w:val="19"/>
        </w:rPr>
        <w:t xml:space="preserve">sygnalizowanych w </w:t>
      </w:r>
      <w:r w:rsidR="00CD388B">
        <w:rPr>
          <w:rFonts w:ascii="Fira Sans" w:hAnsi="Fira Sans"/>
          <w:spacing w:val="-4"/>
          <w:sz w:val="19"/>
          <w:szCs w:val="19"/>
        </w:rPr>
        <w:t>październiku </w:t>
      </w:r>
      <w:r w:rsidR="00C27378">
        <w:rPr>
          <w:rFonts w:ascii="Fira Sans" w:hAnsi="Fira Sans"/>
          <w:spacing w:val="-4"/>
          <w:sz w:val="19"/>
          <w:szCs w:val="19"/>
        </w:rPr>
        <w:t>br</w:t>
      </w:r>
      <w:r w:rsidRPr="001968F3">
        <w:rPr>
          <w:rFonts w:ascii="Fira Sans" w:hAnsi="Fira Sans"/>
          <w:spacing w:val="-4"/>
          <w:sz w:val="19"/>
          <w:szCs w:val="19"/>
        </w:rPr>
        <w:t>. Prognozy produkcji</w:t>
      </w:r>
      <w:r>
        <w:rPr>
          <w:rFonts w:ascii="Fira Sans" w:hAnsi="Fira Sans"/>
          <w:spacing w:val="-4"/>
          <w:sz w:val="19"/>
          <w:szCs w:val="19"/>
        </w:rPr>
        <w:t xml:space="preserve"> są </w:t>
      </w:r>
      <w:r w:rsidR="00CD388B">
        <w:rPr>
          <w:rFonts w:ascii="Fira Sans" w:hAnsi="Fira Sans"/>
          <w:spacing w:val="-4"/>
          <w:sz w:val="19"/>
          <w:szCs w:val="19"/>
        </w:rPr>
        <w:t>bardziej</w:t>
      </w:r>
      <w:r w:rsidR="00171C5E">
        <w:rPr>
          <w:rFonts w:ascii="Fira Sans" w:hAnsi="Fira Sans"/>
          <w:spacing w:val="-4"/>
          <w:sz w:val="19"/>
          <w:szCs w:val="19"/>
        </w:rPr>
        <w:t xml:space="preserve"> pesymistyczne od formułowanych</w:t>
      </w:r>
      <w:r w:rsidR="00401A81">
        <w:rPr>
          <w:rFonts w:ascii="Fira Sans" w:hAnsi="Fira Sans"/>
          <w:spacing w:val="-4"/>
          <w:sz w:val="19"/>
          <w:szCs w:val="19"/>
        </w:rPr>
        <w:t xml:space="preserve"> </w:t>
      </w:r>
      <w:r>
        <w:rPr>
          <w:rFonts w:ascii="Fira Sans" w:hAnsi="Fira Sans"/>
          <w:spacing w:val="-4"/>
          <w:sz w:val="19"/>
          <w:szCs w:val="19"/>
        </w:rPr>
        <w:t>w</w:t>
      </w:r>
      <w:r w:rsidR="00B87703">
        <w:rPr>
          <w:rFonts w:ascii="Fira Sans" w:hAnsi="Fira Sans"/>
          <w:spacing w:val="-4"/>
          <w:sz w:val="19"/>
          <w:szCs w:val="19"/>
        </w:rPr>
        <w:t xml:space="preserve"> </w:t>
      </w:r>
      <w:r w:rsidRPr="001968F3">
        <w:rPr>
          <w:rFonts w:ascii="Fira Sans" w:hAnsi="Fira Sans"/>
          <w:spacing w:val="-4"/>
          <w:sz w:val="19"/>
          <w:szCs w:val="19"/>
        </w:rPr>
        <w:t>ubiegłym miesiącu. Zgłaszany jest niedobór zapasów wyrobów gotowych.</w:t>
      </w:r>
    </w:p>
    <w:p w:rsidR="0098156A" w:rsidRDefault="00CD388B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CD388B">
        <w:rPr>
          <w:noProof/>
          <w:lang w:eastAsia="pl-PL"/>
        </w:rPr>
        <w:drawing>
          <wp:anchor distT="0" distB="0" distL="114300" distR="114300" simplePos="0" relativeHeight="252057600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337185</wp:posOffset>
            </wp:positionV>
            <wp:extent cx="1407160" cy="1907540"/>
            <wp:effectExtent l="0" t="0" r="2540" b="0"/>
            <wp:wrapTopAndBottom/>
            <wp:docPr id="33" name="Obraz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88B">
        <w:rPr>
          <w:noProof/>
          <w:lang w:eastAsia="pl-PL"/>
        </w:rPr>
        <w:drawing>
          <wp:anchor distT="0" distB="0" distL="114300" distR="114300" simplePos="0" relativeHeight="252056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216321</wp:posOffset>
            </wp:positionV>
            <wp:extent cx="5122800" cy="2268000"/>
            <wp:effectExtent l="0" t="0" r="1905" b="0"/>
            <wp:wrapTopAndBottom/>
            <wp:docPr id="32" name="Obraz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314" w:rsidRPr="00001C5B">
        <w:rPr>
          <w:rFonts w:ascii="Fira Sans" w:hAnsi="Fira Sans"/>
          <w:b/>
          <w:spacing w:val="-2"/>
          <w:sz w:val="18"/>
        </w:rPr>
        <w:t xml:space="preserve">Wykres 3. Wskaźnik ufności </w:t>
      </w:r>
      <w:r w:rsidR="00EB4340" w:rsidRPr="00001C5B">
        <w:rPr>
          <w:rFonts w:ascii="Fira Sans" w:hAnsi="Fira Sans"/>
          <w:b/>
          <w:spacing w:val="-2"/>
          <w:sz w:val="18"/>
        </w:rPr>
        <w:t>i jego składowe –</w:t>
      </w:r>
      <w:r w:rsidR="007E3314" w:rsidRPr="00001C5B">
        <w:rPr>
          <w:rFonts w:ascii="Fira Sans" w:hAnsi="Fira Sans"/>
          <w:b/>
          <w:spacing w:val="-2"/>
          <w:sz w:val="18"/>
        </w:rPr>
        <w:t xml:space="preserve"> przetwórstw</w:t>
      </w:r>
      <w:r w:rsidR="00EB4340" w:rsidRPr="00001C5B">
        <w:rPr>
          <w:rFonts w:ascii="Fira Sans" w:hAnsi="Fira Sans"/>
          <w:b/>
          <w:spacing w:val="-2"/>
          <w:sz w:val="18"/>
        </w:rPr>
        <w:t>o</w:t>
      </w:r>
      <w:r w:rsidR="007E3314" w:rsidRPr="00001C5B">
        <w:rPr>
          <w:rFonts w:ascii="Fira Sans" w:hAnsi="Fira Sans"/>
          <w:b/>
          <w:spacing w:val="-2"/>
          <w:sz w:val="18"/>
        </w:rPr>
        <w:t xml:space="preserve"> przemysłowe </w:t>
      </w:r>
    </w:p>
    <w:p w:rsidR="00D74A5A" w:rsidRPr="00001C5B" w:rsidRDefault="00D74A5A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98156A" w:rsidRPr="00E01436" w:rsidRDefault="00D74A5A" w:rsidP="00E76D26">
      <w:pPr>
        <w:pStyle w:val="Nagwek1"/>
      </w:pPr>
      <w:r w:rsidRPr="00057327">
        <w:rPr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BB2F61" wp14:editId="1C15448D">
                <wp:simplePos x="0" y="0"/>
                <wp:positionH relativeFrom="column">
                  <wp:posOffset>5251004</wp:posOffset>
                </wp:positionH>
                <wp:positionV relativeFrom="paragraph">
                  <wp:posOffset>231742</wp:posOffset>
                </wp:positionV>
                <wp:extent cx="1725295" cy="1075055"/>
                <wp:effectExtent l="0" t="0" r="0" b="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D18" w:rsidRPr="00D616D2" w:rsidRDefault="001315CD" w:rsidP="00397D18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1315CD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Wskaźnik ufności w budownictwie kształtuje się na poziomie dodatnim, </w:t>
                            </w:r>
                            <w:r w:rsidR="00185AA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zbliżonym do odnotowanego w październiku</w:t>
                            </w:r>
                            <w:r w:rsidRPr="001315CD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2F61" id="Pole tekstowe 18" o:spid="_x0000_s1032" type="#_x0000_t202" style="position:absolute;margin-left:413.45pt;margin-top:18.25pt;width:135.85pt;height:84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" filled="f" stroked="f">
                <v:textbox>
                  <w:txbxContent>
                    <w:p w:rsidR="00397D18" w:rsidRPr="00D616D2" w:rsidRDefault="001315CD" w:rsidP="00397D18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1315CD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Wskaźnik ufności w budownictwie kształtuje się na poziomie dodatnim, </w:t>
                      </w:r>
                      <w:r w:rsidR="00185AA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zbliżonym do odnotowanego w październiku</w:t>
                      </w:r>
                      <w:r w:rsidRPr="001315CD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811" w:rsidRPr="00057327">
        <w:rPr>
          <w:spacing w:val="-2"/>
          <w:szCs w:val="19"/>
        </w:rPr>
        <w:t xml:space="preserve">Wskaźnik ufności – </w:t>
      </w:r>
      <w:r w:rsidR="009C1AB2" w:rsidRPr="00057327">
        <w:rPr>
          <w:spacing w:val="-2"/>
          <w:szCs w:val="19"/>
        </w:rPr>
        <w:t>B</w:t>
      </w:r>
      <w:r w:rsidR="00276811" w:rsidRPr="00057327">
        <w:rPr>
          <w:spacing w:val="-2"/>
          <w:szCs w:val="19"/>
        </w:rPr>
        <w:t>udownictwo</w:t>
      </w:r>
    </w:p>
    <w:p w:rsidR="0098156A" w:rsidRPr="00001C5B" w:rsidRDefault="001315CD" w:rsidP="00711297">
      <w:pPr>
        <w:spacing w:before="120" w:after="120"/>
        <w:rPr>
          <w:rFonts w:ascii="Fira Sans" w:hAnsi="Fira Sans"/>
          <w:sz w:val="19"/>
          <w:szCs w:val="19"/>
        </w:rPr>
      </w:pPr>
      <w:r w:rsidRPr="001315CD">
        <w:rPr>
          <w:rFonts w:ascii="Fira Sans" w:hAnsi="Fira Sans"/>
          <w:spacing w:val="-4"/>
          <w:sz w:val="19"/>
          <w:szCs w:val="19"/>
        </w:rPr>
        <w:t xml:space="preserve">Wskaźnik ufności w budownictwie kształtuje się w </w:t>
      </w:r>
      <w:r w:rsidR="00185AA9">
        <w:rPr>
          <w:rFonts w:ascii="Fira Sans" w:hAnsi="Fira Sans"/>
          <w:spacing w:val="-4"/>
          <w:sz w:val="19"/>
          <w:szCs w:val="19"/>
        </w:rPr>
        <w:t>listopadzie</w:t>
      </w:r>
      <w:r w:rsidRPr="001315CD">
        <w:rPr>
          <w:rFonts w:ascii="Fira Sans" w:hAnsi="Fira Sans"/>
          <w:spacing w:val="-4"/>
          <w:sz w:val="19"/>
          <w:szCs w:val="19"/>
        </w:rPr>
        <w:t xml:space="preserve"> na dodatnim poziomie, podobnym jak przed miesiącem. Utrzymują się pozytywne oceny bieżącego portfela zamówień na rynku krajowym i zagranicznym, natomiast prognozy zatrudnienia są nieco </w:t>
      </w:r>
      <w:r w:rsidR="00185AA9">
        <w:rPr>
          <w:rFonts w:ascii="Fira Sans" w:hAnsi="Fira Sans"/>
          <w:spacing w:val="-4"/>
          <w:sz w:val="19"/>
          <w:szCs w:val="19"/>
        </w:rPr>
        <w:t>bardziej</w:t>
      </w:r>
      <w:r w:rsidRPr="001315CD">
        <w:rPr>
          <w:rFonts w:ascii="Fira Sans" w:hAnsi="Fira Sans"/>
          <w:spacing w:val="-4"/>
          <w:sz w:val="19"/>
          <w:szCs w:val="19"/>
        </w:rPr>
        <w:t xml:space="preserve"> optymistyczne od formułowanych w </w:t>
      </w:r>
      <w:r w:rsidR="00185AA9">
        <w:rPr>
          <w:rFonts w:ascii="Fira Sans" w:hAnsi="Fira Sans"/>
          <w:spacing w:val="-4"/>
          <w:sz w:val="19"/>
          <w:szCs w:val="19"/>
        </w:rPr>
        <w:t>październiku</w:t>
      </w:r>
      <w:r w:rsidRPr="001315CD">
        <w:rPr>
          <w:rFonts w:ascii="Fira Sans" w:hAnsi="Fira Sans"/>
          <w:spacing w:val="-4"/>
          <w:sz w:val="19"/>
          <w:szCs w:val="19"/>
        </w:rPr>
        <w:t xml:space="preserve"> br.</w:t>
      </w:r>
    </w:p>
    <w:p w:rsidR="007E3314" w:rsidRPr="00001C5B" w:rsidRDefault="00185AA9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185AA9">
        <w:rPr>
          <w:noProof/>
          <w:lang w:eastAsia="pl-PL"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column">
              <wp:posOffset>5375275</wp:posOffset>
            </wp:positionH>
            <wp:positionV relativeFrom="paragraph">
              <wp:posOffset>280035</wp:posOffset>
            </wp:positionV>
            <wp:extent cx="1407160" cy="1968500"/>
            <wp:effectExtent l="0" t="0" r="0" b="0"/>
            <wp:wrapTopAndBottom/>
            <wp:docPr id="40" name="Obraz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AA9">
        <w:rPr>
          <w:noProof/>
          <w:lang w:eastAsia="pl-PL"/>
        </w:rPr>
        <w:drawing>
          <wp:anchor distT="0" distB="0" distL="114300" distR="114300" simplePos="0" relativeHeight="252058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245964</wp:posOffset>
            </wp:positionV>
            <wp:extent cx="5122800" cy="2268000"/>
            <wp:effectExtent l="0" t="0" r="1905" b="0"/>
            <wp:wrapTopAndBottom/>
            <wp:docPr id="38" name="Obraz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314" w:rsidRPr="00001C5B">
        <w:rPr>
          <w:rFonts w:ascii="Fira Sans" w:hAnsi="Fira Sans"/>
          <w:b/>
          <w:spacing w:val="-2"/>
          <w:sz w:val="18"/>
        </w:rPr>
        <w:t xml:space="preserve">Wykres 4. Wskaźnik ufności </w:t>
      </w:r>
      <w:r w:rsidR="00EB4340" w:rsidRPr="00001C5B">
        <w:rPr>
          <w:rFonts w:ascii="Fira Sans" w:hAnsi="Fira Sans"/>
          <w:b/>
          <w:spacing w:val="-2"/>
          <w:sz w:val="18"/>
        </w:rPr>
        <w:t>i jego składowe –</w:t>
      </w:r>
      <w:r w:rsidR="007E3314" w:rsidRPr="00001C5B">
        <w:rPr>
          <w:rFonts w:ascii="Fira Sans" w:hAnsi="Fira Sans"/>
          <w:b/>
          <w:spacing w:val="-2"/>
          <w:sz w:val="18"/>
        </w:rPr>
        <w:t xml:space="preserve"> </w:t>
      </w:r>
      <w:r w:rsidR="00EB4340" w:rsidRPr="00001C5B">
        <w:rPr>
          <w:rFonts w:ascii="Fira Sans" w:hAnsi="Fira Sans"/>
          <w:b/>
          <w:spacing w:val="-2"/>
          <w:sz w:val="18"/>
        </w:rPr>
        <w:t>budownictwo</w:t>
      </w:r>
      <w:r w:rsidR="007E3314" w:rsidRPr="00001C5B">
        <w:rPr>
          <w:rFonts w:ascii="Fira Sans" w:hAnsi="Fira Sans"/>
          <w:b/>
          <w:spacing w:val="-2"/>
          <w:sz w:val="18"/>
        </w:rPr>
        <w:t xml:space="preserve"> </w:t>
      </w:r>
    </w:p>
    <w:p w:rsidR="00886332" w:rsidRDefault="00886332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943F43" w:rsidRDefault="00943F43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102460" w:rsidRPr="00001C5B" w:rsidRDefault="00102460" w:rsidP="00E76D26">
      <w:pPr>
        <w:spacing w:before="120" w:after="120"/>
        <w:rPr>
          <w:rFonts w:ascii="Fira Sans" w:hAnsi="Fira Sans"/>
          <w:spacing w:val="-4"/>
          <w:sz w:val="19"/>
          <w:szCs w:val="19"/>
        </w:rPr>
      </w:pPr>
    </w:p>
    <w:p w:rsidR="00886332" w:rsidRPr="00E01436" w:rsidRDefault="00582408" w:rsidP="00E76D26">
      <w:pPr>
        <w:pStyle w:val="Nagwek1"/>
      </w:pPr>
      <w:r w:rsidRPr="00057327">
        <w:rPr>
          <w:noProof/>
          <w:spacing w:val="-2"/>
          <w:szCs w:val="19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0C744C" wp14:editId="09D65324">
                <wp:simplePos x="0" y="0"/>
                <wp:positionH relativeFrom="column">
                  <wp:posOffset>5221312</wp:posOffset>
                </wp:positionH>
                <wp:positionV relativeFrom="paragraph">
                  <wp:posOffset>152986</wp:posOffset>
                </wp:positionV>
                <wp:extent cx="1725295" cy="919480"/>
                <wp:effectExtent l="0" t="0" r="0" b="0"/>
                <wp:wrapSquare wrapText="bothSides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19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390" w:rsidRPr="00D616D2" w:rsidRDefault="007978EE" w:rsidP="00EB1390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7978EE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Wskaźnik ufności w handlu detalicznym kształtuje się na poziomie zbliżonym do sygnalizowanego w październiku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744C" id="Pole tekstowe 19" o:spid="_x0000_s1033" type="#_x0000_t202" style="position:absolute;margin-left:411.15pt;margin-top:12.05pt;width:135.85pt;height:72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" filled="f" stroked="f">
                <v:textbox>
                  <w:txbxContent>
                    <w:p w:rsidR="00EB1390" w:rsidRPr="00D616D2" w:rsidRDefault="007978EE" w:rsidP="00EB1390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7978EE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Wskaźnik ufności w handlu detalicznym kształtuje się na poziomie zbliżonym do sygnalizowanego w październiku 2019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811" w:rsidRPr="00057327">
        <w:rPr>
          <w:spacing w:val="-2"/>
          <w:szCs w:val="19"/>
        </w:rPr>
        <w:t xml:space="preserve">Wskaźnik ufności – </w:t>
      </w:r>
      <w:r w:rsidR="009C1AB2" w:rsidRPr="00057327">
        <w:rPr>
          <w:spacing w:val="-2"/>
          <w:szCs w:val="19"/>
        </w:rPr>
        <w:t>H</w:t>
      </w:r>
      <w:r w:rsidR="00276811" w:rsidRPr="00057327">
        <w:rPr>
          <w:spacing w:val="-2"/>
          <w:szCs w:val="19"/>
        </w:rPr>
        <w:t>andel detaliczny</w:t>
      </w:r>
    </w:p>
    <w:p w:rsidR="008E6D40" w:rsidRDefault="007978EE" w:rsidP="00711297">
      <w:pPr>
        <w:spacing w:before="120" w:after="120"/>
        <w:rPr>
          <w:rFonts w:ascii="Fira Sans" w:eastAsia="Times New Roman" w:hAnsi="Fira Sans" w:cs="Arial"/>
          <w:spacing w:val="-4"/>
          <w:sz w:val="19"/>
          <w:szCs w:val="19"/>
          <w:lang w:eastAsia="pl-PL"/>
        </w:rPr>
      </w:pPr>
      <w:r w:rsidRPr="007978EE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W listopadzie 2019 r. wskaźnik ufności w handlu detalicznym kształtuje się na poziomie zbliżonym do sygnalizowanego przed miesiącem. Oceny sprzedaży zrealizowanej w ostatnich trzech miesiącach są nieco mniej korzystne niż sygnalizowano w październiku br. Przewidywania dotyczące sprzedaży wskazują, że w najbliższych trzech miesiącach może ona nie zmienić się. Bieżący stan zapasów towarów jest uznawany za zbliżony do odpowiedniego w stosunku do zapotrzebowania.</w:t>
      </w:r>
    </w:p>
    <w:p w:rsidR="003D60A9" w:rsidRDefault="00D254BC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D254BC">
        <w:rPr>
          <w:noProof/>
          <w:lang w:eastAsia="pl-PL"/>
        </w:rPr>
        <w:drawing>
          <wp:anchor distT="0" distB="0" distL="114300" distR="114300" simplePos="0" relativeHeight="252061696" behindDoc="0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275590</wp:posOffset>
            </wp:positionV>
            <wp:extent cx="1407160" cy="1976755"/>
            <wp:effectExtent l="0" t="0" r="0" b="0"/>
            <wp:wrapTopAndBottom/>
            <wp:docPr id="43" name="Obraz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4BC">
        <w:rPr>
          <w:noProof/>
          <w:lang w:eastAsia="pl-PL"/>
        </w:rPr>
        <w:drawing>
          <wp:anchor distT="0" distB="0" distL="114300" distR="114300" simplePos="0" relativeHeight="252060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227551</wp:posOffset>
            </wp:positionV>
            <wp:extent cx="5122800" cy="2268000"/>
            <wp:effectExtent l="0" t="0" r="1905" b="0"/>
            <wp:wrapTopAndBottom/>
            <wp:docPr id="42" name="Obraz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0A9" w:rsidRPr="00001C5B">
        <w:rPr>
          <w:rFonts w:ascii="Fira Sans" w:hAnsi="Fira Sans"/>
          <w:b/>
          <w:spacing w:val="-2"/>
          <w:sz w:val="18"/>
        </w:rPr>
        <w:t xml:space="preserve">Wykres 5. Wskaźnik ufności </w:t>
      </w:r>
      <w:r w:rsidR="00EB4340" w:rsidRPr="00001C5B">
        <w:rPr>
          <w:rFonts w:ascii="Fira Sans" w:hAnsi="Fira Sans"/>
          <w:b/>
          <w:spacing w:val="-2"/>
          <w:sz w:val="18"/>
        </w:rPr>
        <w:t>i jego składowe –</w:t>
      </w:r>
      <w:r w:rsidR="003D60A9" w:rsidRPr="00001C5B">
        <w:rPr>
          <w:rFonts w:ascii="Fira Sans" w:hAnsi="Fira Sans"/>
          <w:b/>
          <w:spacing w:val="-2"/>
          <w:sz w:val="18"/>
        </w:rPr>
        <w:t xml:space="preserve"> hand</w:t>
      </w:r>
      <w:r w:rsidR="00EB4340" w:rsidRPr="00001C5B">
        <w:rPr>
          <w:rFonts w:ascii="Fira Sans" w:hAnsi="Fira Sans"/>
          <w:b/>
          <w:spacing w:val="-2"/>
          <w:sz w:val="18"/>
        </w:rPr>
        <w:t>e</w:t>
      </w:r>
      <w:r w:rsidR="003D60A9" w:rsidRPr="00001C5B">
        <w:rPr>
          <w:rFonts w:ascii="Fira Sans" w:hAnsi="Fira Sans"/>
          <w:b/>
          <w:spacing w:val="-2"/>
          <w:sz w:val="18"/>
        </w:rPr>
        <w:t>l detaliczn</w:t>
      </w:r>
      <w:r w:rsidR="00EB4340" w:rsidRPr="00001C5B">
        <w:rPr>
          <w:rFonts w:ascii="Fira Sans" w:hAnsi="Fira Sans"/>
          <w:b/>
          <w:spacing w:val="-2"/>
          <w:sz w:val="18"/>
        </w:rPr>
        <w:t>y</w:t>
      </w:r>
      <w:r w:rsidR="003D60A9" w:rsidRPr="00001C5B">
        <w:rPr>
          <w:rFonts w:ascii="Fira Sans" w:hAnsi="Fira Sans"/>
          <w:b/>
          <w:spacing w:val="-2"/>
          <w:sz w:val="18"/>
        </w:rPr>
        <w:t xml:space="preserve"> </w:t>
      </w:r>
    </w:p>
    <w:p w:rsidR="00321A79" w:rsidRDefault="00321A79" w:rsidP="00E76D26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886332" w:rsidRPr="00001C5B" w:rsidRDefault="00321A79" w:rsidP="00E76D26">
      <w:pPr>
        <w:pStyle w:val="Nagwek1"/>
      </w:pPr>
      <w:r w:rsidRPr="00057327">
        <w:rPr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F9E8DD" wp14:editId="146730D7">
                <wp:simplePos x="0" y="0"/>
                <wp:positionH relativeFrom="column">
                  <wp:posOffset>5230495</wp:posOffset>
                </wp:positionH>
                <wp:positionV relativeFrom="paragraph">
                  <wp:posOffset>234386</wp:posOffset>
                </wp:positionV>
                <wp:extent cx="1725295" cy="906145"/>
                <wp:effectExtent l="0" t="0" r="0" b="0"/>
                <wp:wrapSquare wrapText="bothSides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06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5C0" w:rsidRPr="00D616D2" w:rsidRDefault="000366E9" w:rsidP="00ED55C0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366E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Wskaźnik ufności w usługach kształtuje się na ujemnym poziomie, </w:t>
                            </w:r>
                            <w:r w:rsidR="00A62D9E" w:rsidRPr="00A62D9E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zbliżonym do notowanego </w:t>
                            </w:r>
                            <w:r w:rsidR="00445C2D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A62D9E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październiku</w:t>
                            </w:r>
                            <w:r w:rsidR="005111EF" w:rsidRPr="005111EF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0366E9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2019 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E8DD" id="Pole tekstowe 20" o:spid="_x0000_s1034" type="#_x0000_t202" style="position:absolute;margin-left:411.85pt;margin-top:18.45pt;width:135.85pt;height:71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" filled="f" stroked="f">
                <v:textbox>
                  <w:txbxContent>
                    <w:p w:rsidR="00ED55C0" w:rsidRPr="00D616D2" w:rsidRDefault="000366E9" w:rsidP="00ED55C0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366E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Wskaźnik ufności w usługach kształtuje się na ujemnym poziomie, </w:t>
                      </w:r>
                      <w:r w:rsidR="00A62D9E" w:rsidRPr="00A62D9E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zbliżonym do notowanego </w:t>
                      </w:r>
                      <w:r w:rsidR="00445C2D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A62D9E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październiku</w:t>
                      </w:r>
                      <w:r w:rsidR="005111EF" w:rsidRPr="005111EF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0366E9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2019 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AB2" w:rsidRPr="00057327">
        <w:rPr>
          <w:spacing w:val="-2"/>
          <w:szCs w:val="19"/>
        </w:rPr>
        <w:t>Wskaźniki ufności – Usługi</w:t>
      </w:r>
    </w:p>
    <w:p w:rsidR="0044644A" w:rsidRPr="0044644A" w:rsidRDefault="000366E9" w:rsidP="00711297">
      <w:pPr>
        <w:spacing w:before="120" w:after="120"/>
        <w:rPr>
          <w:rFonts w:ascii="Fira Sans" w:eastAsia="Times New Roman" w:hAnsi="Fira Sans" w:cs="Arial"/>
          <w:spacing w:val="-4"/>
          <w:sz w:val="19"/>
          <w:szCs w:val="19"/>
          <w:lang w:eastAsia="pl-PL"/>
        </w:rPr>
      </w:pP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W </w:t>
      </w:r>
      <w:r w:rsidR="00D254BC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listopadzie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</w:t>
      </w:r>
      <w:r w:rsidR="007C14F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2019 r. 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wskaźnik ufności w usługach kształtuje się na ujemnym poziomie, </w:t>
      </w:r>
      <w:r w:rsidR="00D254BC" w:rsidRPr="007978EE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zbliżonym do </w:t>
      </w:r>
      <w:r w:rsidR="00D254BC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notowanego</w:t>
      </w:r>
      <w:r w:rsidR="00D254BC" w:rsidRPr="007978EE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przed miesiącem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. Oceny formułowane dla ostatnich trzech miesięcy zarówno </w:t>
      </w:r>
      <w:r w:rsidR="00EE1234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w</w:t>
      </w:r>
      <w:r w:rsidR="00A32056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 </w:t>
      </w:r>
      <w:r w:rsidR="00FE2DD1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przypadku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ogólnej s</w:t>
      </w:r>
      <w:r w:rsidR="00D3676A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ytuacji gospodarczej, jak i 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popytu są negatywne. Pro</w:t>
      </w:r>
      <w:r w:rsidR="007A0384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gnozy popytu są pesymistyczne</w:t>
      </w:r>
      <w:r w:rsidR="00A62D9E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, podobnie jak w październiku</w:t>
      </w:r>
      <w:r w:rsidR="007A0384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</w:t>
      </w:r>
      <w:r w:rsidR="003041CB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br</w:t>
      </w:r>
      <w:r w:rsidRPr="000366E9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>.</w:t>
      </w:r>
      <w:r w:rsidR="00CB77D4" w:rsidRPr="00CB77D4">
        <w:rPr>
          <w:rFonts w:ascii="Fira Sans" w:eastAsia="Times New Roman" w:hAnsi="Fira Sans" w:cs="Arial"/>
          <w:spacing w:val="-4"/>
          <w:sz w:val="19"/>
          <w:szCs w:val="19"/>
          <w:lang w:eastAsia="pl-PL"/>
        </w:rPr>
        <w:t xml:space="preserve"> </w:t>
      </w:r>
    </w:p>
    <w:p w:rsidR="00ED0A2A" w:rsidRDefault="00A62D9E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A62D9E">
        <w:rPr>
          <w:noProof/>
          <w:lang w:eastAsia="pl-PL"/>
        </w:rPr>
        <w:drawing>
          <wp:anchor distT="0" distB="0" distL="114300" distR="114300" simplePos="0" relativeHeight="252063744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264160</wp:posOffset>
            </wp:positionV>
            <wp:extent cx="1407160" cy="1939925"/>
            <wp:effectExtent l="0" t="0" r="0" b="0"/>
            <wp:wrapTopAndBottom/>
            <wp:docPr id="47" name="Obraz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D9E">
        <w:rPr>
          <w:noProof/>
          <w:lang w:eastAsia="pl-PL"/>
        </w:rPr>
        <w:drawing>
          <wp:anchor distT="0" distB="0" distL="114300" distR="114300" simplePos="0" relativeHeight="252062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228491</wp:posOffset>
            </wp:positionV>
            <wp:extent cx="5122800" cy="2268000"/>
            <wp:effectExtent l="0" t="0" r="1905" b="0"/>
            <wp:wrapTopAndBottom/>
            <wp:docPr id="45" name="Obraz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AEB" w:rsidRPr="00001C5B">
        <w:rPr>
          <w:rFonts w:ascii="Fira Sans" w:hAnsi="Fira Sans"/>
          <w:b/>
          <w:spacing w:val="-2"/>
          <w:sz w:val="18"/>
        </w:rPr>
        <w:t>Wykres 6</w:t>
      </w:r>
      <w:r w:rsidR="00E51AEB" w:rsidRPr="00001C5B">
        <w:rPr>
          <w:rFonts w:ascii="Fira Sans" w:hAnsi="Fira Sans" w:cs="Arial"/>
          <w:b/>
          <w:spacing w:val="-2"/>
          <w:sz w:val="18"/>
        </w:rPr>
        <w:t xml:space="preserve">. </w:t>
      </w:r>
      <w:r w:rsidR="00E51AEB" w:rsidRPr="00001C5B">
        <w:rPr>
          <w:rFonts w:ascii="Fira Sans" w:hAnsi="Fira Sans"/>
          <w:b/>
          <w:spacing w:val="-2"/>
          <w:sz w:val="18"/>
        </w:rPr>
        <w:t xml:space="preserve">Wskaźnik ufności </w:t>
      </w:r>
      <w:r w:rsidR="00EB4340" w:rsidRPr="00001C5B">
        <w:rPr>
          <w:rFonts w:ascii="Fira Sans" w:hAnsi="Fira Sans"/>
          <w:b/>
          <w:spacing w:val="-2"/>
          <w:sz w:val="18"/>
        </w:rPr>
        <w:t>i jego składowe –</w:t>
      </w:r>
      <w:r w:rsidR="00E51AEB" w:rsidRPr="00001C5B">
        <w:rPr>
          <w:rFonts w:ascii="Fira Sans" w:hAnsi="Fira Sans"/>
          <w:b/>
          <w:spacing w:val="-2"/>
          <w:sz w:val="18"/>
        </w:rPr>
        <w:t xml:space="preserve"> usług</w:t>
      </w:r>
      <w:r w:rsidR="00EB4340" w:rsidRPr="00001C5B">
        <w:rPr>
          <w:rFonts w:ascii="Fira Sans" w:hAnsi="Fira Sans"/>
          <w:b/>
          <w:spacing w:val="-2"/>
          <w:sz w:val="18"/>
        </w:rPr>
        <w:t>i</w:t>
      </w:r>
      <w:r w:rsidR="00E51AEB" w:rsidRPr="00001C5B">
        <w:rPr>
          <w:rFonts w:ascii="Fira Sans" w:hAnsi="Fira Sans"/>
          <w:b/>
          <w:spacing w:val="-2"/>
          <w:sz w:val="18"/>
        </w:rPr>
        <w:t xml:space="preserve"> </w:t>
      </w:r>
    </w:p>
    <w:p w:rsidR="00014675" w:rsidRDefault="00014675" w:rsidP="00ED0A2A">
      <w:pPr>
        <w:spacing w:before="120" w:after="120"/>
        <w:rPr>
          <w:rFonts w:ascii="Fira Sans" w:hAnsi="Fira Sans"/>
          <w:b/>
          <w:spacing w:val="-2"/>
          <w:sz w:val="16"/>
          <w:szCs w:val="16"/>
        </w:rPr>
      </w:pPr>
    </w:p>
    <w:p w:rsidR="00014675" w:rsidRDefault="00014675" w:rsidP="00ED0A2A">
      <w:pPr>
        <w:spacing w:before="120" w:after="120"/>
        <w:rPr>
          <w:rFonts w:ascii="Fira Sans" w:hAnsi="Fira Sans"/>
          <w:b/>
          <w:spacing w:val="-2"/>
          <w:sz w:val="16"/>
          <w:szCs w:val="16"/>
        </w:rPr>
      </w:pPr>
    </w:p>
    <w:p w:rsidR="00E71CE1" w:rsidRPr="00014675" w:rsidRDefault="00E71CE1" w:rsidP="00ED0A2A">
      <w:pPr>
        <w:spacing w:before="120" w:after="120"/>
        <w:rPr>
          <w:rFonts w:ascii="Fira Sans" w:hAnsi="Fira Sans"/>
          <w:b/>
          <w:spacing w:val="-2"/>
          <w:sz w:val="16"/>
          <w:szCs w:val="16"/>
        </w:rPr>
      </w:pPr>
      <w:r w:rsidRPr="00014675">
        <w:rPr>
          <w:rFonts w:ascii="Fira Sans" w:hAnsi="Fira Sans"/>
          <w:b/>
          <w:spacing w:val="-2"/>
          <w:sz w:val="16"/>
          <w:szCs w:val="16"/>
        </w:rPr>
        <w:t xml:space="preserve">Analizy z zakresu barier działalności przedsiębiorstw będą dostępne w publikacji </w:t>
      </w:r>
      <w:r w:rsidRPr="00014675">
        <w:rPr>
          <w:rFonts w:ascii="Fira Sans" w:hAnsi="Fira Sans"/>
          <w:b/>
          <w:i/>
          <w:spacing w:val="-2"/>
          <w:sz w:val="16"/>
          <w:szCs w:val="16"/>
        </w:rPr>
        <w:t>Koniunktura w przetwórstwie przemysłowym, budownictwie, handlu i usługach 2000-2019</w:t>
      </w:r>
      <w:r w:rsidRPr="00014675">
        <w:rPr>
          <w:rFonts w:ascii="Fira Sans" w:hAnsi="Fira Sans"/>
          <w:b/>
          <w:spacing w:val="-2"/>
          <w:sz w:val="16"/>
          <w:szCs w:val="16"/>
        </w:rPr>
        <w:t>, która ukaże się 2</w:t>
      </w:r>
      <w:r w:rsidR="00014675">
        <w:rPr>
          <w:rFonts w:ascii="Fira Sans" w:hAnsi="Fira Sans"/>
          <w:b/>
          <w:spacing w:val="-2"/>
          <w:sz w:val="16"/>
          <w:szCs w:val="16"/>
        </w:rPr>
        <w:t>5</w:t>
      </w:r>
      <w:r w:rsidRPr="00014675">
        <w:rPr>
          <w:rFonts w:ascii="Fira Sans" w:hAnsi="Fira Sans"/>
          <w:b/>
          <w:spacing w:val="-2"/>
          <w:sz w:val="16"/>
          <w:szCs w:val="16"/>
        </w:rPr>
        <w:t xml:space="preserve"> </w:t>
      </w:r>
      <w:r w:rsidR="00014675">
        <w:rPr>
          <w:rFonts w:ascii="Fira Sans" w:hAnsi="Fira Sans"/>
          <w:b/>
          <w:spacing w:val="-2"/>
          <w:sz w:val="16"/>
          <w:szCs w:val="16"/>
        </w:rPr>
        <w:t>listopada</w:t>
      </w:r>
      <w:r w:rsidRPr="00014675">
        <w:rPr>
          <w:rFonts w:ascii="Fira Sans" w:hAnsi="Fira Sans"/>
          <w:b/>
          <w:spacing w:val="-2"/>
          <w:sz w:val="16"/>
          <w:szCs w:val="16"/>
        </w:rPr>
        <w:t xml:space="preserve"> 2019 r.</w:t>
      </w:r>
    </w:p>
    <w:p w:rsidR="003E6361" w:rsidRPr="008D361F" w:rsidRDefault="003E6361" w:rsidP="00ED0A2A">
      <w:pPr>
        <w:spacing w:before="120" w:after="120"/>
        <w:rPr>
          <w:rFonts w:ascii="Fira Sans" w:hAnsi="Fira Sans"/>
          <w:b/>
          <w:spacing w:val="-2"/>
          <w:sz w:val="18"/>
        </w:rPr>
      </w:pPr>
      <w:r w:rsidRPr="00014675">
        <w:rPr>
          <w:rFonts w:ascii="Fira Sans" w:hAnsi="Fira Sans"/>
          <w:b/>
          <w:spacing w:val="-2"/>
          <w:sz w:val="16"/>
          <w:szCs w:val="16"/>
        </w:rPr>
        <w:t xml:space="preserve">U W A G A: Od stycznia 2020 r. ulegnie zmianie zawartość Informacji sygnalnej </w:t>
      </w:r>
      <w:r w:rsidRPr="009863C4">
        <w:rPr>
          <w:rFonts w:ascii="Fira Sans" w:hAnsi="Fira Sans"/>
          <w:b/>
          <w:i/>
          <w:spacing w:val="-2"/>
          <w:sz w:val="16"/>
          <w:szCs w:val="16"/>
        </w:rPr>
        <w:t>Koniunktura w przetwórstwie przemysłowym, budownictwie, handlu i usługach</w:t>
      </w:r>
      <w:r w:rsidRPr="00014675">
        <w:rPr>
          <w:rFonts w:ascii="Fira Sans" w:hAnsi="Fira Sans"/>
          <w:b/>
          <w:spacing w:val="-2"/>
          <w:sz w:val="16"/>
          <w:szCs w:val="16"/>
        </w:rPr>
        <w:t>. W miejsce Ogólnego wskaźnika syntetycznego koniunktury gospodarczej GUS (SI) obliczanego na podstawie metodologii Komisji Europejskiej prezentowany będzie Wskaźnik ogólnego klimatu koniunktury gospodarczej (wyrównany i niewyrównany sezonowo). Informacja o Ogólnym wskaźniku syntetycznym koniunktury gospodarczej GUS (SI) zostanie przeniesi</w:t>
      </w:r>
      <w:r w:rsidR="00014675">
        <w:rPr>
          <w:rFonts w:ascii="Fira Sans" w:hAnsi="Fira Sans"/>
          <w:b/>
          <w:spacing w:val="-2"/>
          <w:sz w:val="16"/>
          <w:szCs w:val="16"/>
        </w:rPr>
        <w:t xml:space="preserve">ona do publikacji </w:t>
      </w:r>
      <w:r w:rsidR="00014675" w:rsidRPr="009863C4">
        <w:rPr>
          <w:rFonts w:ascii="Fira Sans" w:hAnsi="Fira Sans"/>
          <w:b/>
          <w:i/>
          <w:spacing w:val="-2"/>
          <w:sz w:val="16"/>
          <w:szCs w:val="16"/>
        </w:rPr>
        <w:t>Koniunktura w </w:t>
      </w:r>
      <w:r w:rsidRPr="009863C4">
        <w:rPr>
          <w:rFonts w:ascii="Fira Sans" w:hAnsi="Fira Sans"/>
          <w:b/>
          <w:i/>
          <w:spacing w:val="-2"/>
          <w:sz w:val="16"/>
          <w:szCs w:val="16"/>
        </w:rPr>
        <w:t>przetwórstwie przemysłowym, budownict</w:t>
      </w:r>
      <w:r w:rsidR="009863C4">
        <w:rPr>
          <w:rFonts w:ascii="Fira Sans" w:hAnsi="Fira Sans"/>
          <w:b/>
          <w:i/>
          <w:spacing w:val="-2"/>
          <w:sz w:val="16"/>
          <w:szCs w:val="16"/>
        </w:rPr>
        <w:t xml:space="preserve">wie, handlu i usługach </w:t>
      </w:r>
      <w:r w:rsidRPr="009863C4">
        <w:rPr>
          <w:rFonts w:ascii="Fira Sans" w:hAnsi="Fira Sans"/>
          <w:b/>
          <w:i/>
          <w:spacing w:val="-2"/>
          <w:sz w:val="16"/>
          <w:szCs w:val="16"/>
        </w:rPr>
        <w:t>2000-2020</w:t>
      </w:r>
      <w:r w:rsidRPr="00014675">
        <w:rPr>
          <w:rFonts w:ascii="Fira Sans" w:hAnsi="Fira Sans"/>
          <w:b/>
          <w:spacing w:val="-2"/>
          <w:sz w:val="16"/>
          <w:szCs w:val="16"/>
        </w:rPr>
        <w:t xml:space="preserve"> zawierającej również bazy danych Excel, uwagi metodologiczne i wzory ankiet.</w:t>
      </w:r>
    </w:p>
    <w:p w:rsidR="00B560E4" w:rsidRDefault="00DC10F1">
      <w:pPr>
        <w:spacing w:line="259" w:lineRule="auto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hAnsi="Fira Sans"/>
          <w:b/>
          <w:spacing w:val="-2"/>
          <w:szCs w:val="19"/>
        </w:rPr>
        <w:t xml:space="preserve"> </w:t>
      </w:r>
      <w:r w:rsidR="00B560E4">
        <w:rPr>
          <w:rFonts w:ascii="Fira Sans" w:hAnsi="Fira Sans"/>
          <w:b/>
          <w:spacing w:val="-2"/>
          <w:szCs w:val="19"/>
        </w:rPr>
        <w:br w:type="page"/>
      </w:r>
    </w:p>
    <w:p w:rsidR="002F4E60" w:rsidRPr="00001C5B" w:rsidRDefault="002F4E60" w:rsidP="00E76D26">
      <w:pPr>
        <w:spacing w:before="120" w:after="120"/>
        <w:rPr>
          <w:rFonts w:ascii="Fira Sans" w:hAnsi="Fira Sans"/>
          <w:sz w:val="18"/>
        </w:rPr>
        <w:sectPr w:rsidR="002F4E60" w:rsidRPr="00001C5B" w:rsidSect="001448A7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4"/>
        <w:gridCol w:w="3833"/>
      </w:tblGrid>
      <w:tr w:rsidR="00AB6D25" w:rsidRPr="001131ED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A051F6" w:rsidRDefault="003E163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lang w:val="en-US"/>
              </w:rPr>
            </w:pPr>
            <w:r w:rsidRPr="00A051F6">
              <w:rPr>
                <w:rFonts w:ascii="Fira Sans" w:hAnsi="Fira Sans" w:cs="Arial"/>
                <w:b/>
                <w:color w:val="000000" w:themeColor="text1"/>
                <w:sz w:val="20"/>
                <w:lang w:val="en-US"/>
              </w:rPr>
              <w:t>Olga Gaca</w:t>
            </w:r>
          </w:p>
          <w:p w:rsidR="00AB6D25" w:rsidRPr="00A051F6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A051F6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 xml:space="preserve">Tel: 22 608 </w:t>
            </w:r>
            <w:r w:rsidR="001951DA" w:rsidRPr="00A051F6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36</w:t>
            </w:r>
            <w:r w:rsidR="00867E9B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 xml:space="preserve"> </w:t>
            </w:r>
            <w:r w:rsidR="001951DA" w:rsidRPr="00A051F6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51</w:t>
            </w:r>
          </w:p>
          <w:p w:rsidR="001951DA" w:rsidRPr="008D361F" w:rsidRDefault="001951DA" w:rsidP="0088188F">
            <w:pPr>
              <w:rPr>
                <w:lang w:val="it-IT"/>
              </w:rPr>
            </w:pPr>
            <w:r w:rsidRPr="008D361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it-IT"/>
              </w:rPr>
              <w:t xml:space="preserve">e-mail: </w:t>
            </w:r>
            <w:r w:rsidR="008E1FAC">
              <w:rPr>
                <w:rStyle w:val="Hipercze"/>
                <w:rFonts w:ascii="Fira Sans" w:eastAsiaTheme="majorEastAsia" w:hAnsi="Fira Sans" w:cs="Arial"/>
                <w:b/>
                <w:color w:val="000000" w:themeColor="text1"/>
                <w:sz w:val="20"/>
                <w:szCs w:val="20"/>
                <w:lang w:val="it-IT"/>
              </w:rPr>
              <w:fldChar w:fldCharType="begin"/>
            </w:r>
            <w:r w:rsidR="008E1FAC">
              <w:rPr>
                <w:rStyle w:val="Hipercze"/>
                <w:rFonts w:ascii="Fira Sans" w:eastAsiaTheme="majorEastAsia" w:hAnsi="Fira Sans" w:cs="Arial"/>
                <w:b/>
                <w:color w:val="000000" w:themeColor="text1"/>
                <w:sz w:val="20"/>
                <w:szCs w:val="20"/>
                <w:lang w:val="it-IT"/>
              </w:rPr>
              <w:instrText xml:space="preserve"> HYPERLINK "mailto:o.gaca@stat.gov.pl" </w:instrText>
            </w:r>
            <w:r w:rsidR="008E1FAC">
              <w:rPr>
                <w:rStyle w:val="Hipercze"/>
                <w:rFonts w:ascii="Fira Sans" w:eastAsiaTheme="majorEastAsia" w:hAnsi="Fira Sans" w:cs="Arial"/>
                <w:b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="0088188F" w:rsidRPr="008D361F">
              <w:rPr>
                <w:rStyle w:val="Hipercze"/>
                <w:rFonts w:ascii="Fira Sans" w:eastAsiaTheme="majorEastAsia" w:hAnsi="Fira Sans" w:cs="Arial"/>
                <w:b/>
                <w:color w:val="000000" w:themeColor="text1"/>
                <w:sz w:val="20"/>
                <w:szCs w:val="20"/>
                <w:lang w:val="it-IT"/>
              </w:rPr>
              <w:t>o.gaca@stat.gov.pl</w:t>
            </w:r>
            <w:r w:rsidR="008E1FAC">
              <w:rPr>
                <w:rStyle w:val="Hipercze"/>
                <w:rFonts w:ascii="Fira Sans" w:eastAsiaTheme="majorEastAsia" w:hAnsi="Fira Sans" w:cs="Arial"/>
                <w:b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3942" w:type="dxa"/>
          </w:tcPr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</w:t>
            </w:r>
            <w:proofErr w:type="gramStart"/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</w:t>
            </w:r>
            <w:proofErr w:type="gramEnd"/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 Prasowy Prezesa GUS</w:t>
            </w:r>
          </w:p>
          <w:p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="00AB6D25" w:rsidRPr="00001C5B" w:rsidRDefault="00DB478F" w:rsidP="00E76D26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B6D25" w:rsidRPr="006467C3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6467C3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Tel: 22 608 34</w:t>
            </w:r>
            <w:r w:rsidR="00867E9B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 xml:space="preserve"> </w:t>
            </w:r>
            <w:r w:rsidRPr="006467C3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75, 22 608 30</w:t>
            </w:r>
            <w:r w:rsidR="00867E9B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 xml:space="preserve"> </w:t>
            </w:r>
            <w:r w:rsidRPr="006467C3">
              <w:rPr>
                <w:rFonts w:ascii="Fira Sans" w:hAnsi="Fira Sans" w:cs="Arial"/>
                <w:color w:val="000000" w:themeColor="text1"/>
                <w:sz w:val="20"/>
                <w:lang w:val="en-US"/>
              </w:rPr>
              <w:t>09</w:t>
            </w:r>
          </w:p>
          <w:p w:rsidR="00AB6D25" w:rsidRPr="009F46AA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  <w:r w:rsidRPr="009F46AA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it-IT"/>
              </w:rPr>
              <w:t xml:space="preserve">e-mail: </w:t>
            </w:r>
            <w:r w:rsidR="008E1FAC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it-IT"/>
              </w:rPr>
              <w:fldChar w:fldCharType="begin"/>
            </w:r>
            <w:r w:rsidR="008E1FAC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it-IT"/>
              </w:rPr>
              <w:instrText xml:space="preserve"> HYPERLINK "mailto:rzecznik@stat.gov.pl" </w:instrText>
            </w:r>
            <w:r w:rsidR="008E1FAC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it-IT"/>
              </w:rPr>
              <w:fldChar w:fldCharType="separate"/>
            </w:r>
            <w:r w:rsidRPr="009F46AA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it-IT"/>
              </w:rPr>
              <w:t>rzecznik@stat.gov.pl</w:t>
            </w:r>
            <w:r w:rsidR="008E1FAC">
              <w:rPr>
                <w:rStyle w:val="Hipercze"/>
                <w:rFonts w:ascii="Fira Sans" w:hAnsi="Fira Sans" w:cs="Arial"/>
                <w:b/>
                <w:color w:val="000000" w:themeColor="text1"/>
                <w:sz w:val="20"/>
                <w:szCs w:val="20"/>
                <w:lang w:val="it-IT"/>
              </w:rPr>
              <w:fldChar w:fldCharType="end"/>
            </w:r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694D6E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166286">
              <w:rPr>
                <w:rFonts w:ascii="Fira Sans" w:hAnsi="Fira Sans" w:cs="Arial"/>
                <w:color w:val="000000" w:themeColor="text1"/>
                <w:sz w:val="20"/>
              </w:rPr>
              <w:t>Tel:</w:t>
            </w:r>
            <w:r w:rsidR="00521BC3" w:rsidRPr="00001C5B">
              <w:rPr>
                <w:rFonts w:ascii="Fira Sans" w:hAnsi="Fira Sans"/>
                <w:b/>
                <w:sz w:val="20"/>
              </w:rPr>
              <w:t xml:space="preserve"> </w:t>
            </w:r>
            <w:r w:rsidR="00521BC3" w:rsidRPr="00001C5B">
              <w:rPr>
                <w:rFonts w:ascii="Fira Sans" w:hAnsi="Fira Sans"/>
                <w:sz w:val="20"/>
              </w:rPr>
              <w:t>22</w:t>
            </w:r>
            <w:r w:rsidR="00166286" w:rsidRPr="00166286">
              <w:rPr>
                <w:rFonts w:ascii="Fira Sans" w:hAnsi="Fira Sans" w:cs="Arial"/>
                <w:color w:val="000000" w:themeColor="text1"/>
                <w:sz w:val="20"/>
              </w:rPr>
              <w:t> </w:t>
            </w:r>
            <w:r w:rsidR="00521BC3" w:rsidRPr="00001C5B">
              <w:rPr>
                <w:rFonts w:ascii="Fira Sans" w:hAnsi="Fira Sans"/>
                <w:sz w:val="20"/>
              </w:rPr>
              <w:t>608 34</w:t>
            </w:r>
            <w:r w:rsidR="00867E9B">
              <w:rPr>
                <w:rFonts w:ascii="Fira Sans" w:hAnsi="Fira Sans"/>
                <w:sz w:val="20"/>
              </w:rPr>
              <w:t xml:space="preserve"> </w:t>
            </w:r>
            <w:r w:rsidR="00521BC3" w:rsidRPr="00001C5B">
              <w:rPr>
                <w:rFonts w:ascii="Fira Sans" w:hAnsi="Fira Sans"/>
                <w:sz w:val="20"/>
              </w:rPr>
              <w:t xml:space="preserve">91, </w:t>
            </w:r>
            <w:r w:rsidR="001B48F9">
              <w:rPr>
                <w:rFonts w:ascii="Fira Sans" w:hAnsi="Fira Sans"/>
                <w:sz w:val="20"/>
              </w:rPr>
              <w:t>22</w:t>
            </w:r>
            <w:r w:rsidR="00166286" w:rsidRPr="00CF5970">
              <w:rPr>
                <w:rFonts w:ascii="Fira Sans" w:hAnsi="Fira Sans" w:cs="Arial"/>
                <w:color w:val="000000" w:themeColor="text1"/>
                <w:sz w:val="20"/>
              </w:rPr>
              <w:t> </w:t>
            </w:r>
            <w:r w:rsidR="00521BC3" w:rsidRPr="00001C5B">
              <w:rPr>
                <w:rFonts w:ascii="Fira Sans" w:hAnsi="Fira Sans"/>
                <w:sz w:val="20"/>
              </w:rPr>
              <w:t>608 38</w:t>
            </w:r>
            <w:r w:rsidR="00867E9B">
              <w:rPr>
                <w:rFonts w:ascii="Fira Sans" w:hAnsi="Fira Sans"/>
                <w:sz w:val="20"/>
              </w:rPr>
              <w:t xml:space="preserve"> </w:t>
            </w:r>
            <w:r w:rsidR="00521BC3" w:rsidRPr="00001C5B">
              <w:rPr>
                <w:rFonts w:ascii="Fira Sans" w:hAnsi="Fira Sans"/>
                <w:sz w:val="20"/>
              </w:rPr>
              <w:t xml:space="preserve">04 </w:t>
            </w:r>
          </w:p>
          <w:p w:rsidR="00521BC3" w:rsidRPr="0003281D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03281D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03281D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26" w:history="1">
              <w:r w:rsidRPr="0003281D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03281D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proofErr w:type="gramStart"/>
            <w:r w:rsidRPr="00001C5B">
              <w:rPr>
                <w:rFonts w:ascii="Fira Sans" w:hAnsi="Fira Sans"/>
                <w:sz w:val="20"/>
              </w:rPr>
              <w:t>www</w:t>
            </w:r>
            <w:proofErr w:type="gramEnd"/>
            <w:r w:rsidRPr="00001C5B">
              <w:rPr>
                <w:rFonts w:ascii="Fira Sans" w:hAnsi="Fira Sans"/>
                <w:sz w:val="20"/>
              </w:rPr>
              <w:t>.</w:t>
            </w:r>
            <w:proofErr w:type="gramStart"/>
            <w:r w:rsidRPr="00001C5B">
              <w:rPr>
                <w:rFonts w:ascii="Fira Sans" w:hAnsi="Fira Sans"/>
                <w:sz w:val="20"/>
              </w:rPr>
              <w:t>stat</w:t>
            </w:r>
            <w:proofErr w:type="gramEnd"/>
            <w:r w:rsidRPr="00001C5B">
              <w:rPr>
                <w:rFonts w:ascii="Fira Sans" w:hAnsi="Fira Sans"/>
                <w:sz w:val="20"/>
              </w:rPr>
              <w:t>.</w:t>
            </w:r>
            <w:proofErr w:type="gramStart"/>
            <w:r w:rsidRPr="00001C5B">
              <w:rPr>
                <w:rFonts w:ascii="Fira Sans" w:hAnsi="Fira Sans"/>
                <w:sz w:val="20"/>
              </w:rPr>
              <w:t>gov</w:t>
            </w:r>
            <w:proofErr w:type="gramEnd"/>
            <w:r w:rsidRPr="00001C5B">
              <w:rPr>
                <w:rFonts w:ascii="Fira Sans" w:hAnsi="Fira Sans"/>
                <w:sz w:val="20"/>
              </w:rPr>
              <w:t>.</w:t>
            </w:r>
            <w:proofErr w:type="gramStart"/>
            <w:r w:rsidRPr="00001C5B">
              <w:rPr>
                <w:rFonts w:ascii="Fira Sans" w:hAnsi="Fira Sans"/>
                <w:sz w:val="20"/>
              </w:rPr>
              <w:t>pl</w:t>
            </w:r>
            <w:proofErr w:type="gramEnd"/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D1587E" wp14:editId="7A3C7FE9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F34F7" id="Łącznik prosty 2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AA5B1" id="Łącznik prosty 2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319" w:rsidRPr="00123319" w:rsidRDefault="00123319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5.95pt;margin-top:444.7pt;width:426.55pt;height:49.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" strokecolor="white [3212]">
                <v:textbox>
                  <w:txbxContent>
                    <w:p w:rsidR="00123319" w:rsidRPr="00123319" w:rsidRDefault="00123319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AB6D25" w:rsidRPr="00DD441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DD4415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A53132" w:rsidRPr="004C7599" w:rsidRDefault="005273EC" w:rsidP="00DD4415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53132" w:rsidRPr="004C7599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</w:t>
                              </w:r>
                              <w:r w:rsidR="00985CAD" w:rsidRPr="004C7599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</w:t>
                              </w:r>
                              <w:r w:rsidR="00BC512B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przetwórstwie przemysłowym</w:t>
                              </w:r>
                              <w:r w:rsidR="00A53132" w:rsidRPr="004C7599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, budownictwie, handlu i usługach 2000 – 201</w:t>
                              </w:r>
                            </w:hyperlink>
                            <w:r w:rsidR="00BC512B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9</w:t>
                            </w:r>
                            <w:r w:rsidR="00A53132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A53132" w:rsidRPr="002E71B6" w:rsidRDefault="00A53132" w:rsidP="00DD4415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 w:rsidR="00C244B6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1951DA" w:rsidRPr="0011518C" w:rsidRDefault="005273EC" w:rsidP="00DD4415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  <w:hyperlink r:id="rId33" w:history="1">
                              <w:r w:rsidR="001951DA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Infografika </w:t>
                              </w:r>
                              <w:r w:rsidR="00A53132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–</w:t>
                              </w:r>
                              <w:r w:rsidR="001951DA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Koniunktura gospodarcza w Polsce</w:t>
                              </w:r>
                            </w:hyperlink>
                            <w:r w:rsidR="001951DA" w:rsidRPr="0011518C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A53132" w:rsidRPr="00805B46" w:rsidRDefault="005273EC" w:rsidP="00DD4415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53132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DD441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D4415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AB6D25" w:rsidRPr="00805B46" w:rsidRDefault="005273EC" w:rsidP="00DD4415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AB6D25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Dziedzinowa Baza Wiedzy </w:t>
                              </w:r>
                              <w:r w:rsidR="001951DA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A53132" w:rsidRPr="00805B46" w:rsidRDefault="005273EC" w:rsidP="00DD4415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A53132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AB6D2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DD4415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D4415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AB6D25" w:rsidRPr="00805B46" w:rsidRDefault="005273EC" w:rsidP="00DD4415">
                            <w:pPr>
                              <w:pStyle w:val="Nagwek4"/>
                              <w:spacing w:before="120" w:after="120"/>
                              <w:rPr>
                                <w:rFonts w:ascii="Fira Sans" w:hAnsi="Fira Sans"/>
                                <w:i w:val="0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7" w:history="1">
                              <w:r w:rsidR="00FB762F" w:rsidRPr="00805B46">
                                <w:rPr>
                                  <w:rStyle w:val="Hipercze"/>
                                  <w:rFonts w:ascii="Fira Sans" w:hAnsi="Fira Sans" w:cstheme="majorBidi"/>
                                  <w:i w:val="0"/>
                                  <w:color w:val="001D77"/>
                                  <w:sz w:val="18"/>
                                  <w:szCs w:val="18"/>
                                </w:rPr>
                                <w:t>Koniunktura gospodarcza</w:t>
                              </w:r>
                            </w:hyperlink>
                          </w:p>
                          <w:p w:rsidR="00AB6D25" w:rsidRPr="007A3C6F" w:rsidRDefault="005273EC" w:rsidP="00DD4415">
                            <w:pPr>
                              <w:pStyle w:val="Nagwek4"/>
                              <w:spacing w:before="120" w:after="120"/>
                              <w:rPr>
                                <w:rStyle w:val="Hipercze"/>
                                <w:rFonts w:ascii="Fira Sans" w:eastAsiaTheme="minorHAnsi" w:hAnsi="Fira Sans" w:cs="Arial"/>
                                <w:i w:val="0"/>
                                <w:iCs w:val="0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7A3C6F" w:rsidRPr="007A3C6F">
                                <w:rPr>
                                  <w:rStyle w:val="Hipercze"/>
                                  <w:rFonts w:ascii="Fira Sans" w:hAnsi="Fira Sans" w:cstheme="majorBidi"/>
                                  <w:i w:val="0"/>
                                  <w:color w:val="001D77"/>
                                  <w:sz w:val="18"/>
                                  <w:szCs w:val="18"/>
                                </w:rPr>
                                <w:t>Wskaźnik ufności</w:t>
                              </w:r>
                            </w:hyperlink>
                          </w:p>
                          <w:p w:rsidR="00AB6D25" w:rsidRPr="00505A92" w:rsidRDefault="00AB6D25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6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xxPwIAAHQ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aWIc+7DB&#10;+pHEdziuAa0tHVp0vzjraQUq7n/uwEnO9GdLDVxM5/O4M8mYF+9nZLhTz+bUA1YQVMUDZ+NxHdKe&#10;Ra4Wr6jRjUoteGFy4EyjnTQ8rGHcnVM7Rb38LFZPA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W1dxxPwIAAHQ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AB6D25" w:rsidRPr="00DD4415" w:rsidRDefault="00AB6D25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DD4415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A53132" w:rsidRPr="004C7599" w:rsidRDefault="00FF214D" w:rsidP="00DD4415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A53132" w:rsidRPr="004C7599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</w:t>
                        </w:r>
                        <w:r w:rsidR="00985CAD" w:rsidRPr="004C7599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</w:t>
                        </w:r>
                        <w:r w:rsidR="00BC512B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przetwórstwie przemysłowym</w:t>
                        </w:r>
                        <w:r w:rsidR="00A53132" w:rsidRPr="004C7599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, budownictwie, handlu i usługach 2000 – 201</w:t>
                        </w:r>
                      </w:hyperlink>
                      <w:r w:rsidR="00BC512B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9</w:t>
                      </w:r>
                      <w:r w:rsidR="00A53132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A53132" w:rsidRPr="002E71B6" w:rsidRDefault="00A53132" w:rsidP="00DD4415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 w:rsidR="00C244B6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1951DA" w:rsidRPr="0011518C" w:rsidRDefault="00FF214D" w:rsidP="00DD4415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</w:rPr>
                      </w:pPr>
                      <w:hyperlink r:id="rId41" w:history="1">
                        <w:r w:rsidR="001951DA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Infografika </w:t>
                        </w:r>
                        <w:r w:rsidR="00A53132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–</w:t>
                        </w:r>
                        <w:r w:rsidR="001951DA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Koniunktura gospodarcza w Polsce</w:t>
                        </w:r>
                      </w:hyperlink>
                      <w:r w:rsidR="001951DA" w:rsidRPr="0011518C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A53132" w:rsidRPr="00805B46" w:rsidRDefault="00FF214D" w:rsidP="00DD4415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A53132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DD4415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DD4415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AB6D25" w:rsidRPr="00805B46" w:rsidRDefault="00FF214D" w:rsidP="00DD4415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AB6D25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Dziedzinowa Baza Wiedzy </w:t>
                        </w:r>
                        <w:r w:rsidR="001951DA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A53132" w:rsidRPr="00805B46" w:rsidRDefault="00FF214D" w:rsidP="00DD4415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A53132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AB6D25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DD4415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DD4415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AB6D25" w:rsidRPr="00805B46" w:rsidRDefault="00FF214D" w:rsidP="00DD4415">
                      <w:pPr>
                        <w:pStyle w:val="Nagwek4"/>
                        <w:spacing w:before="120" w:after="120"/>
                        <w:rPr>
                          <w:rFonts w:ascii="Fira Sans" w:hAnsi="Fira Sans"/>
                          <w:i w:val="0"/>
                          <w:color w:val="001D77"/>
                          <w:sz w:val="18"/>
                          <w:szCs w:val="18"/>
                        </w:rPr>
                      </w:pPr>
                      <w:hyperlink r:id="rId45" w:history="1">
                        <w:r w:rsidR="00FB762F" w:rsidRPr="00805B46">
                          <w:rPr>
                            <w:rStyle w:val="Hipercze"/>
                            <w:rFonts w:ascii="Fira Sans" w:hAnsi="Fira Sans" w:cstheme="majorBidi"/>
                            <w:i w:val="0"/>
                            <w:color w:val="001D77"/>
                            <w:sz w:val="18"/>
                            <w:szCs w:val="18"/>
                          </w:rPr>
                          <w:t>Koniunktura gospodarcza</w:t>
                        </w:r>
                      </w:hyperlink>
                    </w:p>
                    <w:p w:rsidR="00AB6D25" w:rsidRPr="007A3C6F" w:rsidRDefault="00FF214D" w:rsidP="00DD4415">
                      <w:pPr>
                        <w:pStyle w:val="Nagwek4"/>
                        <w:spacing w:before="120" w:after="120"/>
                        <w:rPr>
                          <w:rStyle w:val="Hipercze"/>
                          <w:rFonts w:ascii="Fira Sans" w:eastAsiaTheme="minorHAnsi" w:hAnsi="Fira Sans" w:cs="Arial"/>
                          <w:i w:val="0"/>
                          <w:iCs w:val="0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46" w:history="1">
                        <w:r w:rsidR="007A3C6F" w:rsidRPr="007A3C6F">
                          <w:rPr>
                            <w:rStyle w:val="Hipercze"/>
                            <w:rFonts w:ascii="Fira Sans" w:hAnsi="Fira Sans" w:cstheme="majorBidi"/>
                            <w:i w:val="0"/>
                            <w:color w:val="001D77"/>
                            <w:sz w:val="18"/>
                            <w:szCs w:val="18"/>
                          </w:rPr>
                          <w:t>Wskaźnik ufności</w:t>
                        </w:r>
                      </w:hyperlink>
                    </w:p>
                    <w:p w:rsidR="00AB6D25" w:rsidRPr="00505A92" w:rsidRDefault="00AB6D25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47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EC" w:rsidRDefault="005273EC" w:rsidP="000662E2">
      <w:pPr>
        <w:spacing w:after="0" w:line="240" w:lineRule="auto"/>
      </w:pPr>
      <w:r>
        <w:separator/>
      </w:r>
    </w:p>
  </w:endnote>
  <w:endnote w:type="continuationSeparator" w:id="0">
    <w:p w:rsidR="005273EC" w:rsidRDefault="005273E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B7359B" w:rsidRPr="00B7359B" w:rsidRDefault="00B7359B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DB59C6">
          <w:rPr>
            <w:rFonts w:ascii="Fira Sans" w:hAnsi="Fira Sans"/>
            <w:noProof/>
            <w:sz w:val="19"/>
            <w:szCs w:val="19"/>
          </w:rPr>
          <w:t>4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2B1A65" w:rsidRPr="002B1A65" w:rsidRDefault="002B1A65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DB59C6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EC" w:rsidRDefault="005273EC" w:rsidP="000662E2">
      <w:pPr>
        <w:spacing w:after="0" w:line="240" w:lineRule="auto"/>
      </w:pPr>
      <w:r>
        <w:separator/>
      </w:r>
    </w:p>
  </w:footnote>
  <w:footnote w:type="continuationSeparator" w:id="0">
    <w:p w:rsidR="005273EC" w:rsidRDefault="005273EC" w:rsidP="000662E2">
      <w:pPr>
        <w:spacing w:after="0" w:line="240" w:lineRule="auto"/>
      </w:pPr>
      <w:r>
        <w:continuationSeparator/>
      </w:r>
    </w:p>
  </w:footnote>
  <w:footnote w:id="1">
    <w:p w:rsidR="0037077F" w:rsidRPr="00126D9E" w:rsidRDefault="0037077F" w:rsidP="00126D9E">
      <w:pPr>
        <w:pStyle w:val="Tekstprzypisudolnego"/>
        <w:spacing w:before="120"/>
        <w:rPr>
          <w:rFonts w:ascii="Fira Sans" w:hAnsi="Fira Sans"/>
          <w:sz w:val="16"/>
          <w:szCs w:val="16"/>
          <w:lang w:val="en-US"/>
        </w:rPr>
      </w:pPr>
      <w:r>
        <w:rPr>
          <w:rStyle w:val="Odwoanieprzypisudolnego"/>
        </w:rPr>
        <w:footnoteRef/>
      </w:r>
      <w:r w:rsidRPr="0037077F">
        <w:rPr>
          <w:lang w:val="en-US"/>
        </w:rPr>
        <w:t xml:space="preserve"> </w:t>
      </w:r>
      <w:proofErr w:type="spellStart"/>
      <w:r w:rsidRPr="00126D9E">
        <w:rPr>
          <w:rFonts w:ascii="Fira Sans" w:hAnsi="Fira Sans"/>
          <w:sz w:val="16"/>
          <w:szCs w:val="16"/>
          <w:lang w:val="en-GB"/>
        </w:rPr>
        <w:t>Patrz</w:t>
      </w:r>
      <w:proofErr w:type="spellEnd"/>
      <w:r w:rsidRPr="00126D9E">
        <w:rPr>
          <w:rFonts w:ascii="Fira Sans" w:hAnsi="Fira Sans"/>
          <w:sz w:val="16"/>
          <w:szCs w:val="16"/>
          <w:lang w:val="en-US"/>
        </w:rPr>
        <w:t xml:space="preserve"> Business and Consumer Surveys, </w:t>
      </w:r>
      <w:proofErr w:type="spellStart"/>
      <w:r w:rsidRPr="00126D9E">
        <w:rPr>
          <w:rFonts w:ascii="Fira Sans" w:hAnsi="Fira Sans"/>
          <w:sz w:val="16"/>
          <w:szCs w:val="16"/>
          <w:lang w:val="en-GB"/>
        </w:rPr>
        <w:t>Komisja</w:t>
      </w:r>
      <w:proofErr w:type="spellEnd"/>
      <w:r w:rsidRPr="00126D9E">
        <w:rPr>
          <w:rFonts w:ascii="Fira Sans" w:hAnsi="Fira Sans"/>
          <w:sz w:val="16"/>
          <w:szCs w:val="16"/>
          <w:lang w:val="en-GB"/>
        </w:rPr>
        <w:t xml:space="preserve"> </w:t>
      </w:r>
      <w:proofErr w:type="spellStart"/>
      <w:r w:rsidRPr="00126D9E">
        <w:rPr>
          <w:rFonts w:ascii="Fira Sans" w:hAnsi="Fira Sans"/>
          <w:sz w:val="16"/>
          <w:szCs w:val="16"/>
          <w:lang w:val="en-GB"/>
        </w:rPr>
        <w:t>Europejska</w:t>
      </w:r>
      <w:proofErr w:type="spellEnd"/>
      <w:r w:rsidRPr="00126D9E">
        <w:rPr>
          <w:rFonts w:ascii="Fira Sans" w:hAnsi="Fira Sans"/>
          <w:sz w:val="16"/>
          <w:szCs w:val="16"/>
          <w:lang w:val="en-US"/>
        </w:rPr>
        <w:t>, DG ECFIN</w:t>
      </w:r>
    </w:p>
    <w:p w:rsidR="0037077F" w:rsidRPr="00A94152" w:rsidRDefault="005273EC" w:rsidP="00126D9E">
      <w:pPr>
        <w:pStyle w:val="Tekstprzypisudolnego"/>
        <w:spacing w:before="120"/>
        <w:rPr>
          <w:color w:val="001D77"/>
          <w:lang w:val="en-US"/>
        </w:rPr>
      </w:pPr>
      <w:hyperlink r:id="rId1" w:history="1">
        <w:r w:rsidR="0037077F" w:rsidRPr="00A94152">
          <w:rPr>
            <w:rStyle w:val="Hipercze"/>
            <w:rFonts w:ascii="Fira Sans" w:hAnsi="Fira Sans" w:cstheme="minorBidi"/>
            <w:color w:val="001D77"/>
            <w:sz w:val="16"/>
            <w:szCs w:val="16"/>
            <w:lang w:val="en-US"/>
          </w:rPr>
          <w:t>http://ec.europa.eu/economy_finance/db_indicators/surveys/index_en.htm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B1CE35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20AC5" w:rsidRDefault="00F37172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320AC5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7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20AC5" w:rsidRDefault="00F37172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320AC5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3579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 w:rsidR="00114E77">
      <w:rPr>
        <w:noProof/>
        <w:lang w:eastAsia="pl-PL"/>
      </w:rPr>
      <w:drawing>
        <wp:inline distT="0" distB="0" distL="0" distR="0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320AC5" w:rsidRDefault="000958A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 w:rsidRPr="00320AC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</w:t>
                          </w:r>
                          <w:r w:rsidR="00E45EE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2.1</w:t>
                          </w:r>
                          <w:r w:rsidR="0001467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="00711297" w:rsidRPr="00320AC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="00526B0F" w:rsidRPr="00320AC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2019</w:t>
                          </w:r>
                          <w:r w:rsidR="00F37172" w:rsidRPr="00320AC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gramStart"/>
                          <w:r w:rsidR="00F37172" w:rsidRPr="00320AC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r</w:t>
                          </w:r>
                          <w:proofErr w:type="gramEnd"/>
                          <w:r w:rsidR="00F37172" w:rsidRPr="00320AC5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1pt;margin-top:17.5pt;width:132.5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F37172" w:rsidRPr="00320AC5" w:rsidRDefault="000958A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 w:rsidRPr="00320AC5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</w:t>
                    </w:r>
                    <w:r w:rsidR="00E45EE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2.1</w:t>
                    </w:r>
                    <w:r w:rsidR="00014675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="00711297" w:rsidRPr="00320AC5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="00526B0F" w:rsidRPr="00320AC5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2019</w:t>
                    </w:r>
                    <w:r w:rsidR="00F37172" w:rsidRPr="00320AC5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2.55pt;height:128.35pt;visibility:visible;mso-wrap-style:square" o:bullet="t">
        <v:imagedata r:id="rId1" o:title=""/>
      </v:shape>
    </w:pict>
  </w:numPicBullet>
  <w:numPicBullet w:numPicBulletId="1">
    <w:pict>
      <v:shape id="_x0000_i1031" type="#_x0000_t75" style="width:124.3pt;height:128.3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1FB"/>
    <w:rsid w:val="00001C5B"/>
    <w:rsid w:val="00003437"/>
    <w:rsid w:val="00005CE7"/>
    <w:rsid w:val="0000709F"/>
    <w:rsid w:val="000108B8"/>
    <w:rsid w:val="00011A11"/>
    <w:rsid w:val="00011C7D"/>
    <w:rsid w:val="00014675"/>
    <w:rsid w:val="000152F5"/>
    <w:rsid w:val="000169F3"/>
    <w:rsid w:val="000259F3"/>
    <w:rsid w:val="0003281D"/>
    <w:rsid w:val="00034B19"/>
    <w:rsid w:val="000366E9"/>
    <w:rsid w:val="0004582E"/>
    <w:rsid w:val="00051931"/>
    <w:rsid w:val="00057327"/>
    <w:rsid w:val="00057B5C"/>
    <w:rsid w:val="00057BCF"/>
    <w:rsid w:val="00057CA1"/>
    <w:rsid w:val="00061635"/>
    <w:rsid w:val="000662E2"/>
    <w:rsid w:val="00066883"/>
    <w:rsid w:val="00072A06"/>
    <w:rsid w:val="00074600"/>
    <w:rsid w:val="00075359"/>
    <w:rsid w:val="00076C1A"/>
    <w:rsid w:val="00076EB8"/>
    <w:rsid w:val="000806F7"/>
    <w:rsid w:val="000834E9"/>
    <w:rsid w:val="00090DEE"/>
    <w:rsid w:val="0009359E"/>
    <w:rsid w:val="0009439B"/>
    <w:rsid w:val="000958A9"/>
    <w:rsid w:val="00096BB4"/>
    <w:rsid w:val="000A0C17"/>
    <w:rsid w:val="000A6754"/>
    <w:rsid w:val="000B0727"/>
    <w:rsid w:val="000B1421"/>
    <w:rsid w:val="000B627F"/>
    <w:rsid w:val="000C061B"/>
    <w:rsid w:val="000C135D"/>
    <w:rsid w:val="000C2167"/>
    <w:rsid w:val="000C362F"/>
    <w:rsid w:val="000C411C"/>
    <w:rsid w:val="000D1D43"/>
    <w:rsid w:val="000D225C"/>
    <w:rsid w:val="000E0161"/>
    <w:rsid w:val="000E0918"/>
    <w:rsid w:val="000E59A9"/>
    <w:rsid w:val="000E5D92"/>
    <w:rsid w:val="000E78E2"/>
    <w:rsid w:val="000E7ED0"/>
    <w:rsid w:val="000F3461"/>
    <w:rsid w:val="000F42CD"/>
    <w:rsid w:val="001005D5"/>
    <w:rsid w:val="001011C3"/>
    <w:rsid w:val="00101BB6"/>
    <w:rsid w:val="00101D21"/>
    <w:rsid w:val="00102460"/>
    <w:rsid w:val="001027F5"/>
    <w:rsid w:val="00110D87"/>
    <w:rsid w:val="00110DEB"/>
    <w:rsid w:val="00112E06"/>
    <w:rsid w:val="001131ED"/>
    <w:rsid w:val="00114DB9"/>
    <w:rsid w:val="00114E77"/>
    <w:rsid w:val="00114F89"/>
    <w:rsid w:val="0011518C"/>
    <w:rsid w:val="00116087"/>
    <w:rsid w:val="00123319"/>
    <w:rsid w:val="00126B50"/>
    <w:rsid w:val="00126D9E"/>
    <w:rsid w:val="00130296"/>
    <w:rsid w:val="001315CD"/>
    <w:rsid w:val="00133B51"/>
    <w:rsid w:val="00134852"/>
    <w:rsid w:val="00134F39"/>
    <w:rsid w:val="001423B6"/>
    <w:rsid w:val="001448A7"/>
    <w:rsid w:val="00146621"/>
    <w:rsid w:val="001479AC"/>
    <w:rsid w:val="001513B8"/>
    <w:rsid w:val="001514E7"/>
    <w:rsid w:val="001523FD"/>
    <w:rsid w:val="001557B1"/>
    <w:rsid w:val="00162325"/>
    <w:rsid w:val="00163E39"/>
    <w:rsid w:val="00166286"/>
    <w:rsid w:val="00171A1E"/>
    <w:rsid w:val="00171C5E"/>
    <w:rsid w:val="00172E2E"/>
    <w:rsid w:val="0017455C"/>
    <w:rsid w:val="00175DB8"/>
    <w:rsid w:val="001762A6"/>
    <w:rsid w:val="0018029F"/>
    <w:rsid w:val="00185AA9"/>
    <w:rsid w:val="00186B0A"/>
    <w:rsid w:val="00187A01"/>
    <w:rsid w:val="00187EC6"/>
    <w:rsid w:val="00192DF3"/>
    <w:rsid w:val="00193BDE"/>
    <w:rsid w:val="001951DA"/>
    <w:rsid w:val="001968F3"/>
    <w:rsid w:val="001A1B86"/>
    <w:rsid w:val="001A1D09"/>
    <w:rsid w:val="001A42E2"/>
    <w:rsid w:val="001B00DC"/>
    <w:rsid w:val="001B48F9"/>
    <w:rsid w:val="001B56B5"/>
    <w:rsid w:val="001B64F3"/>
    <w:rsid w:val="001B6EF1"/>
    <w:rsid w:val="001C3269"/>
    <w:rsid w:val="001D1DB4"/>
    <w:rsid w:val="001D5205"/>
    <w:rsid w:val="001E14AC"/>
    <w:rsid w:val="001E155C"/>
    <w:rsid w:val="001E668B"/>
    <w:rsid w:val="001E7473"/>
    <w:rsid w:val="001F075D"/>
    <w:rsid w:val="001F0E57"/>
    <w:rsid w:val="001F1BE1"/>
    <w:rsid w:val="001F257B"/>
    <w:rsid w:val="002053BC"/>
    <w:rsid w:val="00205BC2"/>
    <w:rsid w:val="00207ED8"/>
    <w:rsid w:val="002112C0"/>
    <w:rsid w:val="002140F5"/>
    <w:rsid w:val="00216024"/>
    <w:rsid w:val="002213DC"/>
    <w:rsid w:val="00223D5A"/>
    <w:rsid w:val="002248CD"/>
    <w:rsid w:val="00224BF7"/>
    <w:rsid w:val="00224FBD"/>
    <w:rsid w:val="00236D7C"/>
    <w:rsid w:val="0023792A"/>
    <w:rsid w:val="002476AC"/>
    <w:rsid w:val="00252628"/>
    <w:rsid w:val="00254E20"/>
    <w:rsid w:val="002574F9"/>
    <w:rsid w:val="00263742"/>
    <w:rsid w:val="00271F56"/>
    <w:rsid w:val="00274903"/>
    <w:rsid w:val="00276811"/>
    <w:rsid w:val="00281218"/>
    <w:rsid w:val="00282699"/>
    <w:rsid w:val="00284602"/>
    <w:rsid w:val="002914E4"/>
    <w:rsid w:val="0029253E"/>
    <w:rsid w:val="00292653"/>
    <w:rsid w:val="002926DF"/>
    <w:rsid w:val="002946A4"/>
    <w:rsid w:val="00296697"/>
    <w:rsid w:val="002B0472"/>
    <w:rsid w:val="002B1A65"/>
    <w:rsid w:val="002B5972"/>
    <w:rsid w:val="002B6B12"/>
    <w:rsid w:val="002B746F"/>
    <w:rsid w:val="002C01DB"/>
    <w:rsid w:val="002C22D7"/>
    <w:rsid w:val="002C39DC"/>
    <w:rsid w:val="002C4FF0"/>
    <w:rsid w:val="002D3F81"/>
    <w:rsid w:val="002D5A7F"/>
    <w:rsid w:val="002E3115"/>
    <w:rsid w:val="002E6140"/>
    <w:rsid w:val="002E6985"/>
    <w:rsid w:val="002E71B6"/>
    <w:rsid w:val="002F14FA"/>
    <w:rsid w:val="002F2B58"/>
    <w:rsid w:val="002F4D66"/>
    <w:rsid w:val="002F4E60"/>
    <w:rsid w:val="002F6BA0"/>
    <w:rsid w:val="002F77C8"/>
    <w:rsid w:val="00301633"/>
    <w:rsid w:val="00303D35"/>
    <w:rsid w:val="003041CB"/>
    <w:rsid w:val="00304F22"/>
    <w:rsid w:val="003065C9"/>
    <w:rsid w:val="00306C7C"/>
    <w:rsid w:val="00310C8E"/>
    <w:rsid w:val="00311059"/>
    <w:rsid w:val="00312C71"/>
    <w:rsid w:val="00320AC5"/>
    <w:rsid w:val="00321A79"/>
    <w:rsid w:val="00322D35"/>
    <w:rsid w:val="00322EDD"/>
    <w:rsid w:val="00323111"/>
    <w:rsid w:val="003239A4"/>
    <w:rsid w:val="003249E3"/>
    <w:rsid w:val="00332320"/>
    <w:rsid w:val="00333F88"/>
    <w:rsid w:val="00335366"/>
    <w:rsid w:val="003373F3"/>
    <w:rsid w:val="003407E4"/>
    <w:rsid w:val="00346D76"/>
    <w:rsid w:val="0034734A"/>
    <w:rsid w:val="00347A0E"/>
    <w:rsid w:val="00347D72"/>
    <w:rsid w:val="00347E63"/>
    <w:rsid w:val="00350157"/>
    <w:rsid w:val="003530F3"/>
    <w:rsid w:val="00354A53"/>
    <w:rsid w:val="00357F62"/>
    <w:rsid w:val="0036049A"/>
    <w:rsid w:val="00367237"/>
    <w:rsid w:val="0036763D"/>
    <w:rsid w:val="003703DC"/>
    <w:rsid w:val="0037077F"/>
    <w:rsid w:val="00371234"/>
    <w:rsid w:val="0037141A"/>
    <w:rsid w:val="00371EF7"/>
    <w:rsid w:val="00373882"/>
    <w:rsid w:val="00374CAC"/>
    <w:rsid w:val="00377D20"/>
    <w:rsid w:val="003854F5"/>
    <w:rsid w:val="003904F8"/>
    <w:rsid w:val="003905A5"/>
    <w:rsid w:val="00391BE8"/>
    <w:rsid w:val="00394D38"/>
    <w:rsid w:val="003954DD"/>
    <w:rsid w:val="003972AF"/>
    <w:rsid w:val="00397D18"/>
    <w:rsid w:val="003A0ABA"/>
    <w:rsid w:val="003A1B36"/>
    <w:rsid w:val="003A271E"/>
    <w:rsid w:val="003A2905"/>
    <w:rsid w:val="003A2DFB"/>
    <w:rsid w:val="003A42AD"/>
    <w:rsid w:val="003A48C2"/>
    <w:rsid w:val="003A5036"/>
    <w:rsid w:val="003B1FED"/>
    <w:rsid w:val="003B5B72"/>
    <w:rsid w:val="003C0845"/>
    <w:rsid w:val="003C4464"/>
    <w:rsid w:val="003C4528"/>
    <w:rsid w:val="003C509F"/>
    <w:rsid w:val="003C59E0"/>
    <w:rsid w:val="003C6A94"/>
    <w:rsid w:val="003C6C8D"/>
    <w:rsid w:val="003D2D75"/>
    <w:rsid w:val="003D2F16"/>
    <w:rsid w:val="003D4F95"/>
    <w:rsid w:val="003D5EA6"/>
    <w:rsid w:val="003D5F42"/>
    <w:rsid w:val="003D60A9"/>
    <w:rsid w:val="003E1635"/>
    <w:rsid w:val="003E170B"/>
    <w:rsid w:val="003E6361"/>
    <w:rsid w:val="003E781B"/>
    <w:rsid w:val="003F2131"/>
    <w:rsid w:val="003F4C97"/>
    <w:rsid w:val="003F7FE6"/>
    <w:rsid w:val="004002B7"/>
    <w:rsid w:val="00401A81"/>
    <w:rsid w:val="00401B8A"/>
    <w:rsid w:val="00403C6B"/>
    <w:rsid w:val="004040CC"/>
    <w:rsid w:val="0040435C"/>
    <w:rsid w:val="004109C9"/>
    <w:rsid w:val="004118D1"/>
    <w:rsid w:val="004159FA"/>
    <w:rsid w:val="0042323E"/>
    <w:rsid w:val="004232C1"/>
    <w:rsid w:val="00423D86"/>
    <w:rsid w:val="0042406F"/>
    <w:rsid w:val="0042446D"/>
    <w:rsid w:val="00427BF8"/>
    <w:rsid w:val="00431C02"/>
    <w:rsid w:val="00432074"/>
    <w:rsid w:val="00432D84"/>
    <w:rsid w:val="00432E3F"/>
    <w:rsid w:val="004335CF"/>
    <w:rsid w:val="004366B1"/>
    <w:rsid w:val="00437395"/>
    <w:rsid w:val="00443AC0"/>
    <w:rsid w:val="00445047"/>
    <w:rsid w:val="00445683"/>
    <w:rsid w:val="00445C2D"/>
    <w:rsid w:val="0044644A"/>
    <w:rsid w:val="0045269C"/>
    <w:rsid w:val="0045370E"/>
    <w:rsid w:val="00454346"/>
    <w:rsid w:val="004546ED"/>
    <w:rsid w:val="00454A5C"/>
    <w:rsid w:val="004553E8"/>
    <w:rsid w:val="00463E39"/>
    <w:rsid w:val="00464546"/>
    <w:rsid w:val="004657FC"/>
    <w:rsid w:val="004662CE"/>
    <w:rsid w:val="00470A70"/>
    <w:rsid w:val="004733F6"/>
    <w:rsid w:val="00473463"/>
    <w:rsid w:val="00474E69"/>
    <w:rsid w:val="00482BBE"/>
    <w:rsid w:val="00482FAD"/>
    <w:rsid w:val="004853D3"/>
    <w:rsid w:val="0049621B"/>
    <w:rsid w:val="004A569A"/>
    <w:rsid w:val="004A592F"/>
    <w:rsid w:val="004A6CC2"/>
    <w:rsid w:val="004B059E"/>
    <w:rsid w:val="004B0752"/>
    <w:rsid w:val="004B1FEA"/>
    <w:rsid w:val="004B7384"/>
    <w:rsid w:val="004C0E8B"/>
    <w:rsid w:val="004C1895"/>
    <w:rsid w:val="004C21B2"/>
    <w:rsid w:val="004C5169"/>
    <w:rsid w:val="004C6D40"/>
    <w:rsid w:val="004C7599"/>
    <w:rsid w:val="004D0980"/>
    <w:rsid w:val="004D211A"/>
    <w:rsid w:val="004D30A4"/>
    <w:rsid w:val="004D4BCB"/>
    <w:rsid w:val="004E070B"/>
    <w:rsid w:val="004E2635"/>
    <w:rsid w:val="004E6AB5"/>
    <w:rsid w:val="004E6C95"/>
    <w:rsid w:val="004E75CB"/>
    <w:rsid w:val="004E7DEA"/>
    <w:rsid w:val="004F0508"/>
    <w:rsid w:val="004F096D"/>
    <w:rsid w:val="004F0C3C"/>
    <w:rsid w:val="004F2AEE"/>
    <w:rsid w:val="004F4B2E"/>
    <w:rsid w:val="004F63FC"/>
    <w:rsid w:val="0050144E"/>
    <w:rsid w:val="0050225F"/>
    <w:rsid w:val="00505A92"/>
    <w:rsid w:val="005111EF"/>
    <w:rsid w:val="00512656"/>
    <w:rsid w:val="00512767"/>
    <w:rsid w:val="005203F1"/>
    <w:rsid w:val="00521BC3"/>
    <w:rsid w:val="00526B0F"/>
    <w:rsid w:val="005273EC"/>
    <w:rsid w:val="00530791"/>
    <w:rsid w:val="00530B2D"/>
    <w:rsid w:val="00530EF8"/>
    <w:rsid w:val="00532B4D"/>
    <w:rsid w:val="0054251F"/>
    <w:rsid w:val="005436D8"/>
    <w:rsid w:val="005462FF"/>
    <w:rsid w:val="005520D8"/>
    <w:rsid w:val="00556CF1"/>
    <w:rsid w:val="00560493"/>
    <w:rsid w:val="005762A7"/>
    <w:rsid w:val="0057767A"/>
    <w:rsid w:val="00582408"/>
    <w:rsid w:val="00582602"/>
    <w:rsid w:val="005828BF"/>
    <w:rsid w:val="0058585A"/>
    <w:rsid w:val="005864BA"/>
    <w:rsid w:val="005916D7"/>
    <w:rsid w:val="005A698C"/>
    <w:rsid w:val="005A6F50"/>
    <w:rsid w:val="005B11DA"/>
    <w:rsid w:val="005B44E2"/>
    <w:rsid w:val="005B5280"/>
    <w:rsid w:val="005C1659"/>
    <w:rsid w:val="005C4F00"/>
    <w:rsid w:val="005D0FBF"/>
    <w:rsid w:val="005D77FB"/>
    <w:rsid w:val="005E0799"/>
    <w:rsid w:val="005E14A3"/>
    <w:rsid w:val="005E16AD"/>
    <w:rsid w:val="005E2CB6"/>
    <w:rsid w:val="005E4ABD"/>
    <w:rsid w:val="005E5E39"/>
    <w:rsid w:val="005F0DD0"/>
    <w:rsid w:val="005F5A80"/>
    <w:rsid w:val="005F6DFA"/>
    <w:rsid w:val="005F7FD7"/>
    <w:rsid w:val="00601033"/>
    <w:rsid w:val="006044FF"/>
    <w:rsid w:val="00605F33"/>
    <w:rsid w:val="00606660"/>
    <w:rsid w:val="00607CC5"/>
    <w:rsid w:val="00611E75"/>
    <w:rsid w:val="0061219D"/>
    <w:rsid w:val="006140C6"/>
    <w:rsid w:val="006159C7"/>
    <w:rsid w:val="00617632"/>
    <w:rsid w:val="006218D3"/>
    <w:rsid w:val="00624F34"/>
    <w:rsid w:val="00632056"/>
    <w:rsid w:val="00633014"/>
    <w:rsid w:val="0063437B"/>
    <w:rsid w:val="0063792B"/>
    <w:rsid w:val="00640163"/>
    <w:rsid w:val="00640F41"/>
    <w:rsid w:val="006467C3"/>
    <w:rsid w:val="006516CF"/>
    <w:rsid w:val="00652FE9"/>
    <w:rsid w:val="0065356C"/>
    <w:rsid w:val="00655B16"/>
    <w:rsid w:val="00661D83"/>
    <w:rsid w:val="006650CE"/>
    <w:rsid w:val="006667DB"/>
    <w:rsid w:val="00666FE6"/>
    <w:rsid w:val="006673CA"/>
    <w:rsid w:val="00667C4F"/>
    <w:rsid w:val="0067076B"/>
    <w:rsid w:val="006715A8"/>
    <w:rsid w:val="00676B47"/>
    <w:rsid w:val="00683277"/>
    <w:rsid w:val="0068372A"/>
    <w:rsid w:val="00685679"/>
    <w:rsid w:val="00692138"/>
    <w:rsid w:val="006932A5"/>
    <w:rsid w:val="00694612"/>
    <w:rsid w:val="00694D6E"/>
    <w:rsid w:val="00695688"/>
    <w:rsid w:val="00695D66"/>
    <w:rsid w:val="006A41E2"/>
    <w:rsid w:val="006B05FA"/>
    <w:rsid w:val="006B0E9E"/>
    <w:rsid w:val="006B3239"/>
    <w:rsid w:val="006B3857"/>
    <w:rsid w:val="006B5AE4"/>
    <w:rsid w:val="006B66F5"/>
    <w:rsid w:val="006C17AE"/>
    <w:rsid w:val="006D1E5A"/>
    <w:rsid w:val="006D4054"/>
    <w:rsid w:val="006D4318"/>
    <w:rsid w:val="006D6347"/>
    <w:rsid w:val="006E02EC"/>
    <w:rsid w:val="006E1123"/>
    <w:rsid w:val="006E4BB4"/>
    <w:rsid w:val="006F3AF2"/>
    <w:rsid w:val="006F40E0"/>
    <w:rsid w:val="006F40FA"/>
    <w:rsid w:val="006F57E5"/>
    <w:rsid w:val="006F5D8B"/>
    <w:rsid w:val="00702737"/>
    <w:rsid w:val="00711297"/>
    <w:rsid w:val="00711571"/>
    <w:rsid w:val="007205CE"/>
    <w:rsid w:val="007211B1"/>
    <w:rsid w:val="0072341B"/>
    <w:rsid w:val="00724410"/>
    <w:rsid w:val="00726B70"/>
    <w:rsid w:val="00730184"/>
    <w:rsid w:val="00732809"/>
    <w:rsid w:val="0073602C"/>
    <w:rsid w:val="00737ADD"/>
    <w:rsid w:val="00746187"/>
    <w:rsid w:val="00752B07"/>
    <w:rsid w:val="00754106"/>
    <w:rsid w:val="00754C63"/>
    <w:rsid w:val="007623ED"/>
    <w:rsid w:val="00762403"/>
    <w:rsid w:val="0076254F"/>
    <w:rsid w:val="007676C2"/>
    <w:rsid w:val="007700E4"/>
    <w:rsid w:val="0077196D"/>
    <w:rsid w:val="00774C6B"/>
    <w:rsid w:val="007801F5"/>
    <w:rsid w:val="00783CA4"/>
    <w:rsid w:val="007842FB"/>
    <w:rsid w:val="00786124"/>
    <w:rsid w:val="00792ACE"/>
    <w:rsid w:val="0079514B"/>
    <w:rsid w:val="00797821"/>
    <w:rsid w:val="007978EE"/>
    <w:rsid w:val="00797A85"/>
    <w:rsid w:val="007A0384"/>
    <w:rsid w:val="007A0D08"/>
    <w:rsid w:val="007A1C6B"/>
    <w:rsid w:val="007A2DC1"/>
    <w:rsid w:val="007A3C6F"/>
    <w:rsid w:val="007A7C0E"/>
    <w:rsid w:val="007B0DCD"/>
    <w:rsid w:val="007B1B50"/>
    <w:rsid w:val="007B5805"/>
    <w:rsid w:val="007B7014"/>
    <w:rsid w:val="007C14FB"/>
    <w:rsid w:val="007D3319"/>
    <w:rsid w:val="007D335D"/>
    <w:rsid w:val="007D5ACA"/>
    <w:rsid w:val="007D7E68"/>
    <w:rsid w:val="007E2821"/>
    <w:rsid w:val="007E3301"/>
    <w:rsid w:val="007E3314"/>
    <w:rsid w:val="007E4B03"/>
    <w:rsid w:val="007F324B"/>
    <w:rsid w:val="007F3482"/>
    <w:rsid w:val="007F5697"/>
    <w:rsid w:val="00804892"/>
    <w:rsid w:val="0080553C"/>
    <w:rsid w:val="00805B46"/>
    <w:rsid w:val="00807CE8"/>
    <w:rsid w:val="0081118B"/>
    <w:rsid w:val="00812AC9"/>
    <w:rsid w:val="00825DC2"/>
    <w:rsid w:val="008278E4"/>
    <w:rsid w:val="00827A31"/>
    <w:rsid w:val="00827B57"/>
    <w:rsid w:val="008325FD"/>
    <w:rsid w:val="00834AD3"/>
    <w:rsid w:val="0083594E"/>
    <w:rsid w:val="00835F27"/>
    <w:rsid w:val="00843795"/>
    <w:rsid w:val="00845ED0"/>
    <w:rsid w:val="008468C4"/>
    <w:rsid w:val="00846BFF"/>
    <w:rsid w:val="00847F0F"/>
    <w:rsid w:val="0085032D"/>
    <w:rsid w:val="00852448"/>
    <w:rsid w:val="00854334"/>
    <w:rsid w:val="00856490"/>
    <w:rsid w:val="008672E8"/>
    <w:rsid w:val="00867E9B"/>
    <w:rsid w:val="0087165C"/>
    <w:rsid w:val="00872B57"/>
    <w:rsid w:val="008733DD"/>
    <w:rsid w:val="00875D1F"/>
    <w:rsid w:val="00880870"/>
    <w:rsid w:val="00880EC5"/>
    <w:rsid w:val="0088188F"/>
    <w:rsid w:val="0088258A"/>
    <w:rsid w:val="00883AA9"/>
    <w:rsid w:val="00884717"/>
    <w:rsid w:val="00885FEC"/>
    <w:rsid w:val="00886332"/>
    <w:rsid w:val="00886696"/>
    <w:rsid w:val="008A26D9"/>
    <w:rsid w:val="008A781A"/>
    <w:rsid w:val="008B1EC9"/>
    <w:rsid w:val="008B6C73"/>
    <w:rsid w:val="008C0242"/>
    <w:rsid w:val="008C75E2"/>
    <w:rsid w:val="008D361F"/>
    <w:rsid w:val="008E0426"/>
    <w:rsid w:val="008E1753"/>
    <w:rsid w:val="008E1FAC"/>
    <w:rsid w:val="008E3158"/>
    <w:rsid w:val="008E3FD2"/>
    <w:rsid w:val="008E6509"/>
    <w:rsid w:val="008E6D40"/>
    <w:rsid w:val="008E7B86"/>
    <w:rsid w:val="008F3638"/>
    <w:rsid w:val="008F423C"/>
    <w:rsid w:val="008F42BF"/>
    <w:rsid w:val="008F6CB7"/>
    <w:rsid w:val="008F6F31"/>
    <w:rsid w:val="008F74DF"/>
    <w:rsid w:val="00903EC3"/>
    <w:rsid w:val="00910C4C"/>
    <w:rsid w:val="009127BA"/>
    <w:rsid w:val="0091509B"/>
    <w:rsid w:val="0091740C"/>
    <w:rsid w:val="00920B7D"/>
    <w:rsid w:val="009227A6"/>
    <w:rsid w:val="009269E1"/>
    <w:rsid w:val="0092753D"/>
    <w:rsid w:val="00933EC1"/>
    <w:rsid w:val="0094021A"/>
    <w:rsid w:val="00941C5E"/>
    <w:rsid w:val="00943F43"/>
    <w:rsid w:val="009530DB"/>
    <w:rsid w:val="00953676"/>
    <w:rsid w:val="009602FC"/>
    <w:rsid w:val="00961A8B"/>
    <w:rsid w:val="009647C9"/>
    <w:rsid w:val="00964B83"/>
    <w:rsid w:val="00967F99"/>
    <w:rsid w:val="009705EE"/>
    <w:rsid w:val="00977927"/>
    <w:rsid w:val="0098135C"/>
    <w:rsid w:val="0098156A"/>
    <w:rsid w:val="0098537F"/>
    <w:rsid w:val="00985CAD"/>
    <w:rsid w:val="009863C4"/>
    <w:rsid w:val="0098728B"/>
    <w:rsid w:val="00996693"/>
    <w:rsid w:val="009A24B0"/>
    <w:rsid w:val="009A40B0"/>
    <w:rsid w:val="009B068E"/>
    <w:rsid w:val="009B4CC8"/>
    <w:rsid w:val="009C0165"/>
    <w:rsid w:val="009C1335"/>
    <w:rsid w:val="009C149B"/>
    <w:rsid w:val="009C1AB2"/>
    <w:rsid w:val="009C22CC"/>
    <w:rsid w:val="009C2D29"/>
    <w:rsid w:val="009C5DCB"/>
    <w:rsid w:val="009C7251"/>
    <w:rsid w:val="009D0E86"/>
    <w:rsid w:val="009D3868"/>
    <w:rsid w:val="009D48BF"/>
    <w:rsid w:val="009E1846"/>
    <w:rsid w:val="009E1D0F"/>
    <w:rsid w:val="009E2E91"/>
    <w:rsid w:val="009F46AA"/>
    <w:rsid w:val="009F7BAC"/>
    <w:rsid w:val="00A0230A"/>
    <w:rsid w:val="00A0232F"/>
    <w:rsid w:val="00A0402E"/>
    <w:rsid w:val="00A051F6"/>
    <w:rsid w:val="00A068AA"/>
    <w:rsid w:val="00A06BD8"/>
    <w:rsid w:val="00A11D43"/>
    <w:rsid w:val="00A139F5"/>
    <w:rsid w:val="00A13D15"/>
    <w:rsid w:val="00A1570A"/>
    <w:rsid w:val="00A17162"/>
    <w:rsid w:val="00A24EE1"/>
    <w:rsid w:val="00A25E14"/>
    <w:rsid w:val="00A32056"/>
    <w:rsid w:val="00A321E4"/>
    <w:rsid w:val="00A33F4A"/>
    <w:rsid w:val="00A365F4"/>
    <w:rsid w:val="00A36BA6"/>
    <w:rsid w:val="00A36EB7"/>
    <w:rsid w:val="00A4019F"/>
    <w:rsid w:val="00A42C0A"/>
    <w:rsid w:val="00A44AB4"/>
    <w:rsid w:val="00A47D80"/>
    <w:rsid w:val="00A521CD"/>
    <w:rsid w:val="00A53132"/>
    <w:rsid w:val="00A563F2"/>
    <w:rsid w:val="00A566E8"/>
    <w:rsid w:val="00A57A69"/>
    <w:rsid w:val="00A623AA"/>
    <w:rsid w:val="00A62657"/>
    <w:rsid w:val="00A62D9E"/>
    <w:rsid w:val="00A643BB"/>
    <w:rsid w:val="00A66A57"/>
    <w:rsid w:val="00A66C2E"/>
    <w:rsid w:val="00A66EAC"/>
    <w:rsid w:val="00A70B9B"/>
    <w:rsid w:val="00A72F76"/>
    <w:rsid w:val="00A73ABE"/>
    <w:rsid w:val="00A74B25"/>
    <w:rsid w:val="00A758C8"/>
    <w:rsid w:val="00A76F87"/>
    <w:rsid w:val="00A7786D"/>
    <w:rsid w:val="00A852B4"/>
    <w:rsid w:val="00A86ECC"/>
    <w:rsid w:val="00A86FCC"/>
    <w:rsid w:val="00A94152"/>
    <w:rsid w:val="00A94A12"/>
    <w:rsid w:val="00A96559"/>
    <w:rsid w:val="00A97ADE"/>
    <w:rsid w:val="00AA6722"/>
    <w:rsid w:val="00AA710D"/>
    <w:rsid w:val="00AB4503"/>
    <w:rsid w:val="00AB5850"/>
    <w:rsid w:val="00AB6D25"/>
    <w:rsid w:val="00AC18F4"/>
    <w:rsid w:val="00AC2BAC"/>
    <w:rsid w:val="00AC3527"/>
    <w:rsid w:val="00AC7777"/>
    <w:rsid w:val="00AD699B"/>
    <w:rsid w:val="00AE14B1"/>
    <w:rsid w:val="00AE269F"/>
    <w:rsid w:val="00AE2D4B"/>
    <w:rsid w:val="00AE4F99"/>
    <w:rsid w:val="00AE62E6"/>
    <w:rsid w:val="00AF25D7"/>
    <w:rsid w:val="00AF2781"/>
    <w:rsid w:val="00AF4F89"/>
    <w:rsid w:val="00AF5CF8"/>
    <w:rsid w:val="00B14952"/>
    <w:rsid w:val="00B23D69"/>
    <w:rsid w:val="00B24A8B"/>
    <w:rsid w:val="00B25B97"/>
    <w:rsid w:val="00B31E5A"/>
    <w:rsid w:val="00B36FEF"/>
    <w:rsid w:val="00B41A2C"/>
    <w:rsid w:val="00B44F0A"/>
    <w:rsid w:val="00B50344"/>
    <w:rsid w:val="00B511F2"/>
    <w:rsid w:val="00B51E9F"/>
    <w:rsid w:val="00B5224C"/>
    <w:rsid w:val="00B560E4"/>
    <w:rsid w:val="00B56BFB"/>
    <w:rsid w:val="00B60A9B"/>
    <w:rsid w:val="00B60C8B"/>
    <w:rsid w:val="00B60CAA"/>
    <w:rsid w:val="00B60EB4"/>
    <w:rsid w:val="00B61233"/>
    <w:rsid w:val="00B653AB"/>
    <w:rsid w:val="00B653BB"/>
    <w:rsid w:val="00B65F9E"/>
    <w:rsid w:val="00B66B19"/>
    <w:rsid w:val="00B7359B"/>
    <w:rsid w:val="00B76EA1"/>
    <w:rsid w:val="00B836C6"/>
    <w:rsid w:val="00B86633"/>
    <w:rsid w:val="00B8712B"/>
    <w:rsid w:val="00B87703"/>
    <w:rsid w:val="00B914E9"/>
    <w:rsid w:val="00B956EE"/>
    <w:rsid w:val="00BA0245"/>
    <w:rsid w:val="00BA2BA1"/>
    <w:rsid w:val="00BB127F"/>
    <w:rsid w:val="00BC512B"/>
    <w:rsid w:val="00BD26FA"/>
    <w:rsid w:val="00BD4E33"/>
    <w:rsid w:val="00BD5606"/>
    <w:rsid w:val="00BE0358"/>
    <w:rsid w:val="00BE5833"/>
    <w:rsid w:val="00BE6E57"/>
    <w:rsid w:val="00BF1A32"/>
    <w:rsid w:val="00BF212B"/>
    <w:rsid w:val="00BF21DD"/>
    <w:rsid w:val="00C02FA0"/>
    <w:rsid w:val="00C030DE"/>
    <w:rsid w:val="00C17BB9"/>
    <w:rsid w:val="00C22105"/>
    <w:rsid w:val="00C22830"/>
    <w:rsid w:val="00C244B6"/>
    <w:rsid w:val="00C254FB"/>
    <w:rsid w:val="00C2702E"/>
    <w:rsid w:val="00C27378"/>
    <w:rsid w:val="00C3244F"/>
    <w:rsid w:val="00C3598D"/>
    <w:rsid w:val="00C41277"/>
    <w:rsid w:val="00C4751D"/>
    <w:rsid w:val="00C537C3"/>
    <w:rsid w:val="00C548B8"/>
    <w:rsid w:val="00C549B0"/>
    <w:rsid w:val="00C60C4B"/>
    <w:rsid w:val="00C630DB"/>
    <w:rsid w:val="00C64A37"/>
    <w:rsid w:val="00C6574D"/>
    <w:rsid w:val="00C7158E"/>
    <w:rsid w:val="00C7250B"/>
    <w:rsid w:val="00C7346B"/>
    <w:rsid w:val="00C75437"/>
    <w:rsid w:val="00C75940"/>
    <w:rsid w:val="00C77C0E"/>
    <w:rsid w:val="00C91687"/>
    <w:rsid w:val="00C924A8"/>
    <w:rsid w:val="00C93EB3"/>
    <w:rsid w:val="00C945FE"/>
    <w:rsid w:val="00C96FAA"/>
    <w:rsid w:val="00C97302"/>
    <w:rsid w:val="00C97A04"/>
    <w:rsid w:val="00CA107B"/>
    <w:rsid w:val="00CA44F3"/>
    <w:rsid w:val="00CA484D"/>
    <w:rsid w:val="00CB4B4E"/>
    <w:rsid w:val="00CB61AE"/>
    <w:rsid w:val="00CB77D4"/>
    <w:rsid w:val="00CB7B94"/>
    <w:rsid w:val="00CC4F14"/>
    <w:rsid w:val="00CC739E"/>
    <w:rsid w:val="00CD388B"/>
    <w:rsid w:val="00CD39BE"/>
    <w:rsid w:val="00CD58B7"/>
    <w:rsid w:val="00CD5FF5"/>
    <w:rsid w:val="00CE06F1"/>
    <w:rsid w:val="00CE738C"/>
    <w:rsid w:val="00CF0700"/>
    <w:rsid w:val="00CF3244"/>
    <w:rsid w:val="00CF392B"/>
    <w:rsid w:val="00CF4099"/>
    <w:rsid w:val="00CF5970"/>
    <w:rsid w:val="00D05C62"/>
    <w:rsid w:val="00D07944"/>
    <w:rsid w:val="00D10FD6"/>
    <w:rsid w:val="00D144D4"/>
    <w:rsid w:val="00D2087F"/>
    <w:rsid w:val="00D23A75"/>
    <w:rsid w:val="00D254BC"/>
    <w:rsid w:val="00D261A2"/>
    <w:rsid w:val="00D31EDD"/>
    <w:rsid w:val="00D32E28"/>
    <w:rsid w:val="00D33ADF"/>
    <w:rsid w:val="00D33AF1"/>
    <w:rsid w:val="00D3643B"/>
    <w:rsid w:val="00D3676A"/>
    <w:rsid w:val="00D4076C"/>
    <w:rsid w:val="00D41C37"/>
    <w:rsid w:val="00D424E9"/>
    <w:rsid w:val="00D45C50"/>
    <w:rsid w:val="00D475CA"/>
    <w:rsid w:val="00D50F65"/>
    <w:rsid w:val="00D527B6"/>
    <w:rsid w:val="00D54F68"/>
    <w:rsid w:val="00D5627F"/>
    <w:rsid w:val="00D608CF"/>
    <w:rsid w:val="00D6132E"/>
    <w:rsid w:val="00D616D2"/>
    <w:rsid w:val="00D635A9"/>
    <w:rsid w:val="00D63B5F"/>
    <w:rsid w:val="00D64C6A"/>
    <w:rsid w:val="00D64CD7"/>
    <w:rsid w:val="00D7099F"/>
    <w:rsid w:val="00D70AF2"/>
    <w:rsid w:val="00D70EF7"/>
    <w:rsid w:val="00D715DF"/>
    <w:rsid w:val="00D738D3"/>
    <w:rsid w:val="00D742B6"/>
    <w:rsid w:val="00D74A5A"/>
    <w:rsid w:val="00D76E82"/>
    <w:rsid w:val="00D77205"/>
    <w:rsid w:val="00D816EE"/>
    <w:rsid w:val="00D8397C"/>
    <w:rsid w:val="00D90208"/>
    <w:rsid w:val="00D94EED"/>
    <w:rsid w:val="00D96026"/>
    <w:rsid w:val="00DA0110"/>
    <w:rsid w:val="00DA0179"/>
    <w:rsid w:val="00DA42BA"/>
    <w:rsid w:val="00DA70D1"/>
    <w:rsid w:val="00DB0097"/>
    <w:rsid w:val="00DB147A"/>
    <w:rsid w:val="00DB1B7A"/>
    <w:rsid w:val="00DB478F"/>
    <w:rsid w:val="00DB59C6"/>
    <w:rsid w:val="00DC0014"/>
    <w:rsid w:val="00DC10F1"/>
    <w:rsid w:val="00DC25CD"/>
    <w:rsid w:val="00DC58EC"/>
    <w:rsid w:val="00DC6708"/>
    <w:rsid w:val="00DD2DB1"/>
    <w:rsid w:val="00DD36F0"/>
    <w:rsid w:val="00DD4415"/>
    <w:rsid w:val="00DD4D9D"/>
    <w:rsid w:val="00DD54A4"/>
    <w:rsid w:val="00DD68E9"/>
    <w:rsid w:val="00DD6C42"/>
    <w:rsid w:val="00DE0352"/>
    <w:rsid w:val="00DE2DE3"/>
    <w:rsid w:val="00DE3577"/>
    <w:rsid w:val="00DE6052"/>
    <w:rsid w:val="00DE7222"/>
    <w:rsid w:val="00DF3B68"/>
    <w:rsid w:val="00E00298"/>
    <w:rsid w:val="00E01436"/>
    <w:rsid w:val="00E045BD"/>
    <w:rsid w:val="00E0664E"/>
    <w:rsid w:val="00E06DD1"/>
    <w:rsid w:val="00E10FCD"/>
    <w:rsid w:val="00E1291B"/>
    <w:rsid w:val="00E1484F"/>
    <w:rsid w:val="00E16D71"/>
    <w:rsid w:val="00E17B77"/>
    <w:rsid w:val="00E21369"/>
    <w:rsid w:val="00E22FF7"/>
    <w:rsid w:val="00E26998"/>
    <w:rsid w:val="00E30AAF"/>
    <w:rsid w:val="00E31714"/>
    <w:rsid w:val="00E318F3"/>
    <w:rsid w:val="00E32061"/>
    <w:rsid w:val="00E36AD5"/>
    <w:rsid w:val="00E42FF9"/>
    <w:rsid w:val="00E454B8"/>
    <w:rsid w:val="00E45EE2"/>
    <w:rsid w:val="00E4714C"/>
    <w:rsid w:val="00E5190C"/>
    <w:rsid w:val="00E51AEB"/>
    <w:rsid w:val="00E522A7"/>
    <w:rsid w:val="00E54452"/>
    <w:rsid w:val="00E569F9"/>
    <w:rsid w:val="00E57A2E"/>
    <w:rsid w:val="00E6291D"/>
    <w:rsid w:val="00E664C5"/>
    <w:rsid w:val="00E66C3B"/>
    <w:rsid w:val="00E671A2"/>
    <w:rsid w:val="00E7165D"/>
    <w:rsid w:val="00E7180B"/>
    <w:rsid w:val="00E71CE1"/>
    <w:rsid w:val="00E72C42"/>
    <w:rsid w:val="00E74B3C"/>
    <w:rsid w:val="00E75A5C"/>
    <w:rsid w:val="00E76D26"/>
    <w:rsid w:val="00E77CC5"/>
    <w:rsid w:val="00E80DCA"/>
    <w:rsid w:val="00E87851"/>
    <w:rsid w:val="00EA0278"/>
    <w:rsid w:val="00EA1D9A"/>
    <w:rsid w:val="00EA45BA"/>
    <w:rsid w:val="00EB1390"/>
    <w:rsid w:val="00EB2C71"/>
    <w:rsid w:val="00EB4340"/>
    <w:rsid w:val="00EC30C4"/>
    <w:rsid w:val="00EC41F8"/>
    <w:rsid w:val="00EC526F"/>
    <w:rsid w:val="00EC5695"/>
    <w:rsid w:val="00EC589C"/>
    <w:rsid w:val="00ED0A2A"/>
    <w:rsid w:val="00ED55C0"/>
    <w:rsid w:val="00ED682B"/>
    <w:rsid w:val="00ED6FDF"/>
    <w:rsid w:val="00ED7F3A"/>
    <w:rsid w:val="00EE096A"/>
    <w:rsid w:val="00EE0F10"/>
    <w:rsid w:val="00EE1234"/>
    <w:rsid w:val="00EE4180"/>
    <w:rsid w:val="00EE41D5"/>
    <w:rsid w:val="00EE5691"/>
    <w:rsid w:val="00EF6153"/>
    <w:rsid w:val="00F037A4"/>
    <w:rsid w:val="00F0474B"/>
    <w:rsid w:val="00F070E2"/>
    <w:rsid w:val="00F07A6E"/>
    <w:rsid w:val="00F10EB2"/>
    <w:rsid w:val="00F10FF6"/>
    <w:rsid w:val="00F20A38"/>
    <w:rsid w:val="00F27C8F"/>
    <w:rsid w:val="00F32749"/>
    <w:rsid w:val="00F37172"/>
    <w:rsid w:val="00F37483"/>
    <w:rsid w:val="00F37D5F"/>
    <w:rsid w:val="00F4061B"/>
    <w:rsid w:val="00F438D5"/>
    <w:rsid w:val="00F4477E"/>
    <w:rsid w:val="00F44980"/>
    <w:rsid w:val="00F54921"/>
    <w:rsid w:val="00F608F3"/>
    <w:rsid w:val="00F63133"/>
    <w:rsid w:val="00F6733E"/>
    <w:rsid w:val="00F67D8F"/>
    <w:rsid w:val="00F70A4C"/>
    <w:rsid w:val="00F71749"/>
    <w:rsid w:val="00F741F3"/>
    <w:rsid w:val="00F82633"/>
    <w:rsid w:val="00F84C3E"/>
    <w:rsid w:val="00F86024"/>
    <w:rsid w:val="00F8611A"/>
    <w:rsid w:val="00F86708"/>
    <w:rsid w:val="00F8700B"/>
    <w:rsid w:val="00F94BC4"/>
    <w:rsid w:val="00FA05E8"/>
    <w:rsid w:val="00FA2604"/>
    <w:rsid w:val="00FA3557"/>
    <w:rsid w:val="00FA5128"/>
    <w:rsid w:val="00FA733A"/>
    <w:rsid w:val="00FB42D4"/>
    <w:rsid w:val="00FB5906"/>
    <w:rsid w:val="00FB762F"/>
    <w:rsid w:val="00FC2AED"/>
    <w:rsid w:val="00FC4A0F"/>
    <w:rsid w:val="00FC4E4E"/>
    <w:rsid w:val="00FC50D1"/>
    <w:rsid w:val="00FC7D3D"/>
    <w:rsid w:val="00FD0C73"/>
    <w:rsid w:val="00FD36B3"/>
    <w:rsid w:val="00FD3DD3"/>
    <w:rsid w:val="00FD4C00"/>
    <w:rsid w:val="00FD52C7"/>
    <w:rsid w:val="00FE1393"/>
    <w:rsid w:val="00FE19AE"/>
    <w:rsid w:val="00FE2B04"/>
    <w:rsid w:val="00FE2DD1"/>
    <w:rsid w:val="00FE489B"/>
    <w:rsid w:val="00FE77C5"/>
    <w:rsid w:val="00FF214D"/>
    <w:rsid w:val="00FF48A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yperlink" Target="mailto:obslugaprasowa@stat.gov.pl" TargetMode="External"/><Relationship Id="rId21" Type="http://schemas.openxmlformats.org/officeDocument/2006/relationships/image" Target="media/image15.emf"/><Relationship Id="rId34" Type="http://schemas.openxmlformats.org/officeDocument/2006/relationships/hyperlink" Target="http://stat.gov.pl/obszary-tematyczne/koniunktura/koniunktura/badanie-koniunktury-gospodarczej-zeszyt-metodologiczny,5,9.html" TargetMode="External"/><Relationship Id="rId42" Type="http://schemas.openxmlformats.org/officeDocument/2006/relationships/hyperlink" Target="http://stat.gov.pl/obszary-tematyczne/koniunktura/koniunktura/badanie-koniunktury-gospodarczej-zeszyt-metodologiczny,5,9.html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32" Type="http://schemas.openxmlformats.org/officeDocument/2006/relationships/hyperlink" Target="http://stat.gov.pl/obszary-tematyczne/koniunktura/koniunktura/publikacja,4.html" TargetMode="External"/><Relationship Id="rId37" Type="http://schemas.openxmlformats.org/officeDocument/2006/relationships/hyperlink" Target="http://stat.gov.pl/metainformacje/slownik-pojec/pojecia-stosowane-w-statystyce-publicznej/2076,pojecie.html" TargetMode="External"/><Relationship Id="rId40" Type="http://schemas.openxmlformats.org/officeDocument/2006/relationships/hyperlink" Target="http://stat.gov.pl/obszary-tematyczne/koniunktura/koniunktura/publikacja,4.html" TargetMode="External"/><Relationship Id="rId45" Type="http://schemas.openxmlformats.org/officeDocument/2006/relationships/hyperlink" Target="http://stat.gov.pl/metainformacje/slownik-pojec/pojecia-stosowane-w-statystyce-publicznej/2076,pojeci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28" Type="http://schemas.openxmlformats.org/officeDocument/2006/relationships/image" Target="media/image18.png"/><Relationship Id="rId36" Type="http://schemas.openxmlformats.org/officeDocument/2006/relationships/hyperlink" Target="http://bdm.stat.gov.pl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1.png"/><Relationship Id="rId44" Type="http://schemas.openxmlformats.org/officeDocument/2006/relationships/hyperlink" Target="http://bdm.stat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emf"/><Relationship Id="rId14" Type="http://schemas.openxmlformats.org/officeDocument/2006/relationships/image" Target="media/image8.emf"/><Relationship Id="rId22" Type="http://schemas.openxmlformats.org/officeDocument/2006/relationships/header" Target="header1.xm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yperlink" Target="http://swaid.stat.gov.pl/SitePagesDBW/KoniunkturaGospodarcza.aspx" TargetMode="External"/><Relationship Id="rId43" Type="http://schemas.openxmlformats.org/officeDocument/2006/relationships/hyperlink" Target="http://swaid.stat.gov.pl/SitePagesDBW/KoniunkturaGospodarcza.aspx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2.xml"/><Relationship Id="rId33" Type="http://schemas.openxmlformats.org/officeDocument/2006/relationships/hyperlink" Target="http://stat.gov.pl/infografiki-widzety/infografiki/publikacja,38.html" TargetMode="External"/><Relationship Id="rId38" Type="http://schemas.openxmlformats.org/officeDocument/2006/relationships/hyperlink" Target="http://stat.gov.pl/metainformacje/slownik-pojec/pojecia-stosowane-w-statystyce-publicznej/3977,pojecie.html" TargetMode="External"/><Relationship Id="rId46" Type="http://schemas.openxmlformats.org/officeDocument/2006/relationships/hyperlink" Target="http://stat.gov.pl/metainformacje/slownik-pojec/pojecia-stosowane-w-statystyce-publicznej/3977,pojecie.html" TargetMode="External"/><Relationship Id="rId20" Type="http://schemas.openxmlformats.org/officeDocument/2006/relationships/image" Target="media/image14.emf"/><Relationship Id="rId41" Type="http://schemas.openxmlformats.org/officeDocument/2006/relationships/hyperlink" Target="http://stat.gov.pl/infografiki-widzety/infografiki/publikacja,38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conomy_finance/db_indicators/surveys/index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FE39-4479-4603-8305-0455FF8A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Koniunktura w przetwórstwie przemysłowym, budownictwie, handlu i usługach w listopadzie 2019 roku</dc:title>
  <dc:subject/>
  <cp:keywords/>
  <dc:description/>
  <cp:revision>19</cp:revision>
  <cp:lastPrinted>2019-03-21T08:33:00Z</cp:lastPrinted>
  <dcterms:created xsi:type="dcterms:W3CDTF">2019-11-05T13:17:00Z</dcterms:created>
  <dcterms:modified xsi:type="dcterms:W3CDTF">2019-11-19T09:32:00Z</dcterms:modified>
</cp:coreProperties>
</file>