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E570FA">
        <w:t>kwiecień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B66B19" w:rsidRDefault="00163DA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956DF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4,0</w:t>
                            </w:r>
                          </w:p>
                          <w:p w:rsidR="00163DA1" w:rsidRPr="007D3319" w:rsidRDefault="00163DA1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163DA1" w:rsidRPr="007D3319" w:rsidRDefault="00163DA1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163DA1" w:rsidRPr="00B66B19" w:rsidRDefault="00163DA1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956DF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4,0</w:t>
                      </w:r>
                    </w:p>
                    <w:p w:rsidR="00163DA1" w:rsidRPr="007D3319" w:rsidRDefault="00163DA1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163DA1" w:rsidRPr="007D3319" w:rsidRDefault="00163DA1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F22FBF" w:rsidRDefault="00163DA1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163DA1" w:rsidRPr="00F22FBF" w:rsidRDefault="00163DA1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EA3E3E">
        <w:t>kwietniu</w:t>
      </w:r>
      <w:r w:rsidR="00146507" w:rsidRPr="00146507">
        <w:t xml:space="preserve"> br. wskaźnik ogólnego klimatu koniunktury w większości prezentowanych obszarów gospodarki </w:t>
      </w:r>
      <w:r w:rsidR="00846FD5">
        <w:t xml:space="preserve">kształtuje się na </w:t>
      </w:r>
      <w:r w:rsidR="005E2176">
        <w:t xml:space="preserve">nieco </w:t>
      </w:r>
      <w:r w:rsidR="00846FD5">
        <w:t xml:space="preserve">wyższym </w:t>
      </w:r>
      <w:r w:rsidR="00146507" w:rsidRPr="00146507">
        <w:t xml:space="preserve">poziomie niż w </w:t>
      </w:r>
      <w:r w:rsidR="00EA3E3E">
        <w:t>marcu</w:t>
      </w:r>
      <w:r w:rsidR="00146507" w:rsidRPr="00146507">
        <w:t xml:space="preserve"> </w:t>
      </w:r>
      <w:r w:rsidR="00146507" w:rsidRPr="00DF26A9">
        <w:t xml:space="preserve">br. </w:t>
      </w:r>
      <w:r w:rsidR="00BC3C8E" w:rsidRPr="00DF26A9">
        <w:t xml:space="preserve">W większości badanych obszarów odnotowuje się poprawę </w:t>
      </w:r>
      <w:r w:rsidR="000243A2" w:rsidRPr="00DF26A9">
        <w:t xml:space="preserve">lub brak zmian zarówno w przypadku </w:t>
      </w:r>
      <w:r w:rsidR="00BC3C8E" w:rsidRPr="00DF26A9">
        <w:t xml:space="preserve">składowych </w:t>
      </w:r>
      <w:r w:rsidR="000243A2" w:rsidRPr="00DF26A9">
        <w:t>„diagnostycznych”</w:t>
      </w:r>
      <w:r w:rsidR="008028D6">
        <w:t>,</w:t>
      </w:r>
      <w:r w:rsidR="000243A2" w:rsidRPr="00DF26A9">
        <w:t xml:space="preserve"> jak i </w:t>
      </w:r>
      <w:r w:rsidR="00BC3C8E" w:rsidRPr="00DF26A9">
        <w:t>„prognostycznych</w:t>
      </w:r>
      <w:r w:rsidR="000243A2" w:rsidRPr="00DF26A9">
        <w:t>”</w:t>
      </w:r>
      <w:r w:rsidR="00BC3C8E" w:rsidRPr="00DF26A9">
        <w:t>.</w:t>
      </w:r>
    </w:p>
    <w:p w:rsidR="00E54269" w:rsidRDefault="00EA3E3E" w:rsidP="00E33B50">
      <w:pPr>
        <w:pStyle w:val="LID"/>
      </w:pPr>
      <w:r>
        <w:t>Najbardziej k</w:t>
      </w:r>
      <w:r w:rsidR="00B97839">
        <w:t xml:space="preserve">orzystnie koniunkturę oceniają jednostki z sekcji </w:t>
      </w:r>
      <w:r w:rsidR="002D700F">
        <w:t>informacja i </w:t>
      </w:r>
      <w:r w:rsidR="00AD1BB0">
        <w:t>komunikacja</w:t>
      </w:r>
      <w:r w:rsidR="007A583B">
        <w:rPr>
          <w:rStyle w:val="Odwoanieprzypisudolnego"/>
        </w:rPr>
        <w:footnoteReference w:id="1"/>
      </w:r>
      <w:r w:rsidR="007A583B">
        <w:t>. N</w:t>
      </w:r>
      <w:r w:rsidR="00537F05" w:rsidRPr="00537F05">
        <w:t xml:space="preserve">ajbardziej pesymistyczne </w:t>
      </w:r>
      <w:r w:rsidR="00B97839">
        <w:t>opinie dotyczące</w:t>
      </w:r>
      <w:r w:rsidR="00537F05" w:rsidRPr="00537F05">
        <w:t xml:space="preserve"> </w:t>
      </w:r>
      <w:r w:rsidR="00146507">
        <w:t xml:space="preserve">koniunktury </w:t>
      </w:r>
      <w:r w:rsidR="0039574C">
        <w:t>zgłaszają podmioty z </w:t>
      </w:r>
      <w:r w:rsidR="00537F05" w:rsidRPr="00537F05">
        <w:t xml:space="preserve">sekcji </w:t>
      </w:r>
      <w:r w:rsidR="00146507">
        <w:t>zakwaterowanie i </w:t>
      </w:r>
      <w:r w:rsidR="005A6368">
        <w:t>gastronomia</w:t>
      </w:r>
      <w:r w:rsidR="00E100C7">
        <w:t>,</w:t>
      </w:r>
      <w:r>
        <w:t xml:space="preserve"> </w:t>
      </w:r>
      <w:r w:rsidR="006040EC">
        <w:t xml:space="preserve">jednostki </w:t>
      </w:r>
      <w:r>
        <w:t xml:space="preserve">te </w:t>
      </w:r>
      <w:r w:rsidR="006040EC">
        <w:t>odnotowują n</w:t>
      </w:r>
      <w:r>
        <w:t>ajwiększe</w:t>
      </w:r>
      <w:r w:rsidR="005E2176">
        <w:t xml:space="preserve"> </w:t>
      </w:r>
      <w:r w:rsidR="00A00D24">
        <w:t>pogorszenie w </w:t>
      </w:r>
      <w:r>
        <w:t>stosunku do ubiegłego miesiąca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EA3E3E">
        <w:t>kwiecień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EA3E3E">
        <w:t>kwietnia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2F757C" w:rsidP="00C33ADA">
      <w:r w:rsidRPr="002F757C">
        <w:rPr>
          <w:noProof/>
          <w:lang w:eastAsia="pl-PL"/>
        </w:rPr>
        <w:drawing>
          <wp:anchor distT="0" distB="0" distL="114300" distR="114300" simplePos="0" relativeHeight="252816384" behindDoc="0" locked="0" layoutInCell="1" allowOverlap="1">
            <wp:simplePos x="0" y="0"/>
            <wp:positionH relativeFrom="page">
              <wp:posOffset>5793740</wp:posOffset>
            </wp:positionH>
            <wp:positionV relativeFrom="paragraph">
              <wp:posOffset>352425</wp:posOffset>
            </wp:positionV>
            <wp:extent cx="1584000" cy="1854000"/>
            <wp:effectExtent l="0" t="0" r="0" b="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42" w:rsidRPr="00C46F42">
        <w:rPr>
          <w:noProof/>
          <w:lang w:eastAsia="pl-PL"/>
        </w:rPr>
        <w:drawing>
          <wp:anchor distT="0" distB="0" distL="114300" distR="114300" simplePos="0" relativeHeight="252815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447151</wp:posOffset>
            </wp:positionV>
            <wp:extent cx="5122800" cy="1584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32738E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kwietniu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8F77A7">
        <w:rPr>
          <w:rFonts w:ascii="Fira Sans" w:hAnsi="Fira Sans"/>
          <w:noProof/>
          <w:spacing w:val="-4"/>
          <w:sz w:val="19"/>
          <w:szCs w:val="19"/>
          <w:lang w:eastAsia="pl-PL"/>
        </w:rPr>
        <w:t>4,0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E72C4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02145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DD2B09">
        <w:rPr>
          <w:rFonts w:ascii="Fira Sans" w:hAnsi="Fira Sans"/>
          <w:noProof/>
          <w:spacing w:val="-4"/>
          <w:sz w:val="19"/>
          <w:szCs w:val="19"/>
          <w:lang w:eastAsia="pl-PL"/>
        </w:rPr>
        <w:t>marcu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8F77A7">
        <w:rPr>
          <w:rFonts w:ascii="Fira Sans" w:hAnsi="Fira Sans"/>
          <w:noProof/>
          <w:spacing w:val="-4"/>
          <w:sz w:val="19"/>
          <w:szCs w:val="19"/>
          <w:lang w:eastAsia="pl-PL"/>
        </w:rPr>
        <w:t>6,6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AC4A1F" w:rsidRDefault="00AC4A1F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</w:p>
    <w:p w:rsidR="00E011CF" w:rsidRPr="00083125" w:rsidRDefault="0099018C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57671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2F757C" w:rsidP="00AC619B">
      <w:pPr>
        <w:spacing w:before="120" w:after="120"/>
        <w:rPr>
          <w:noProof/>
        </w:rPr>
      </w:pPr>
      <w:r w:rsidRPr="002F757C">
        <w:rPr>
          <w:noProof/>
          <w:lang w:eastAsia="pl-PL"/>
        </w:rPr>
        <w:drawing>
          <wp:anchor distT="0" distB="0" distL="114300" distR="114300" simplePos="0" relativeHeight="252818432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317500</wp:posOffset>
            </wp:positionV>
            <wp:extent cx="1584000" cy="1854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57C">
        <w:rPr>
          <w:noProof/>
          <w:lang w:eastAsia="pl-PL"/>
        </w:rPr>
        <w:drawing>
          <wp:anchor distT="0" distB="0" distL="114300" distR="114300" simplePos="0" relativeHeight="252817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420398</wp:posOffset>
            </wp:positionV>
            <wp:extent cx="5122800" cy="1584000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38E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kwietniu wskaźnik ogólnego klimatu koniunktury (NSA) kształtuje się na poziomie minus 13,7 – nieco wyższym od </w:t>
      </w:r>
      <w:r w:rsidR="0032738E">
        <w:rPr>
          <w:rFonts w:ascii="Fira Sans" w:hAnsi="Fira Sans"/>
          <w:noProof/>
          <w:spacing w:val="-4"/>
          <w:sz w:val="19"/>
          <w:szCs w:val="19"/>
          <w:lang w:eastAsia="pl-PL"/>
        </w:rPr>
        <w:t>notowanego w marcu (minus 15,5)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2868FE" w:rsidP="00C33455">
      <w:pPr>
        <w:spacing w:before="120" w:after="120"/>
        <w:ind w:left="1134"/>
        <w:rPr>
          <w:lang w:eastAsia="pl-PL"/>
        </w:rPr>
      </w:pPr>
      <w:r w:rsidRPr="002868FE">
        <w:rPr>
          <w:noProof/>
          <w:lang w:eastAsia="pl-PL"/>
        </w:rPr>
        <w:drawing>
          <wp:anchor distT="0" distB="0" distL="114300" distR="114300" simplePos="0" relativeHeight="252820480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348615</wp:posOffset>
            </wp:positionV>
            <wp:extent cx="1584000" cy="18540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8FE">
        <w:rPr>
          <w:noProof/>
          <w:lang w:eastAsia="pl-PL"/>
        </w:rPr>
        <w:drawing>
          <wp:anchor distT="0" distB="0" distL="114300" distR="114300" simplePos="0" relativeHeight="252819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420425</wp:posOffset>
            </wp:positionV>
            <wp:extent cx="5122800" cy="1584000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F1" w:rsidRPr="00FF31F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FF31F1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kwietniu </w:t>
      </w:r>
      <w:r w:rsidR="00FF31F1" w:rsidRPr="00FF31F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plus 1,3 – </w:t>
      </w:r>
      <w:r w:rsidR="00FF31F1">
        <w:rPr>
          <w:rFonts w:ascii="Fira Sans" w:hAnsi="Fira Sans"/>
          <w:noProof/>
          <w:spacing w:val="-4"/>
          <w:sz w:val="19"/>
          <w:szCs w:val="19"/>
          <w:lang w:eastAsia="pl-PL"/>
        </w:rPr>
        <w:t>wyższym niż w marcu (minus 2,3)</w:t>
      </w:r>
      <w:r w:rsidR="006451FC" w:rsidRPr="006451FC">
        <w:rPr>
          <w:rFonts w:ascii="Fira Sans" w:hAnsi="Fira Sans"/>
          <w:spacing w:val="-4"/>
          <w:sz w:val="19"/>
          <w:szCs w:val="19"/>
        </w:rPr>
        <w:t>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EE263F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EE263F">
        <w:rPr>
          <w:noProof/>
          <w:lang w:eastAsia="pl-PL"/>
        </w:rPr>
        <w:drawing>
          <wp:anchor distT="0" distB="0" distL="114300" distR="114300" simplePos="0" relativeHeight="252822528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268605</wp:posOffset>
            </wp:positionV>
            <wp:extent cx="1574165" cy="1979930"/>
            <wp:effectExtent l="0" t="0" r="6985" b="0"/>
            <wp:wrapTopAndBottom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63F">
        <w:rPr>
          <w:noProof/>
          <w:lang w:eastAsia="pl-PL"/>
        </w:rPr>
        <w:drawing>
          <wp:anchor distT="0" distB="0" distL="114300" distR="114300" simplePos="0" relativeHeight="252821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396572</wp:posOffset>
            </wp:positionV>
            <wp:extent cx="5122800" cy="1584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F1" w:rsidRPr="00FF31F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kwietniu wskaźnik ogólnego klimatu koniunktury (NSA) kształtuje się na poziomie minus 8,3 – niższym </w:t>
      </w:r>
      <w:r w:rsidR="00FF31F1">
        <w:rPr>
          <w:rFonts w:ascii="Fira Sans" w:hAnsi="Fira Sans"/>
          <w:noProof/>
          <w:spacing w:val="-4"/>
          <w:sz w:val="19"/>
          <w:szCs w:val="19"/>
          <w:lang w:eastAsia="pl-PL"/>
        </w:rPr>
        <w:t>niż przed miesiącem (minus 6,7)</w:t>
      </w:r>
      <w:r w:rsidR="006451FC" w:rsidRPr="006451FC">
        <w:rPr>
          <w:rFonts w:ascii="Fira Sans" w:hAnsi="Fira Sans"/>
          <w:spacing w:val="-4"/>
          <w:sz w:val="19"/>
          <w:szCs w:val="19"/>
        </w:rPr>
        <w:t>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EE263F" w:rsidP="000B24BC">
      <w:pPr>
        <w:spacing w:before="120" w:after="120"/>
        <w:ind w:left="1134" w:hanging="1134"/>
        <w:rPr>
          <w:noProof/>
        </w:rPr>
      </w:pPr>
      <w:r w:rsidRPr="00EE263F">
        <w:rPr>
          <w:noProof/>
          <w:lang w:eastAsia="pl-PL"/>
        </w:rPr>
        <w:drawing>
          <wp:anchor distT="0" distB="0" distL="114300" distR="114300" simplePos="0" relativeHeight="252824576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300990</wp:posOffset>
            </wp:positionV>
            <wp:extent cx="1584000" cy="1854000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63F">
        <w:rPr>
          <w:noProof/>
          <w:lang w:eastAsia="pl-PL"/>
        </w:rPr>
        <w:drawing>
          <wp:anchor distT="0" distB="0" distL="114300" distR="114300" simplePos="0" relativeHeight="252823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411839</wp:posOffset>
            </wp:positionV>
            <wp:extent cx="5122800" cy="158400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9C3CDB">
        <w:rPr>
          <w:rFonts w:ascii="Fira Sans" w:hAnsi="Fira Sans"/>
          <w:noProof/>
          <w:spacing w:val="-4"/>
          <w:sz w:val="19"/>
          <w:szCs w:val="19"/>
          <w:lang w:eastAsia="pl-PL"/>
        </w:rPr>
        <w:t>kwietniu</w:t>
      </w:r>
      <w:r w:rsidR="0091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9C3CDB">
        <w:rPr>
          <w:rFonts w:ascii="Fira Sans" w:hAnsi="Fira Sans"/>
          <w:spacing w:val="-4"/>
          <w:sz w:val="19"/>
          <w:szCs w:val="19"/>
        </w:rPr>
        <w:t>0,8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A93979">
        <w:rPr>
          <w:rFonts w:ascii="Fira Sans" w:hAnsi="Fira Sans"/>
          <w:noProof/>
          <w:spacing w:val="-4"/>
          <w:sz w:val="19"/>
          <w:szCs w:val="19"/>
          <w:lang w:eastAsia="pl-PL"/>
        </w:rPr>
        <w:t>wyższym niż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12A11">
        <w:rPr>
          <w:rFonts w:ascii="Fira Sans" w:hAnsi="Fira Sans"/>
          <w:spacing w:val="-4"/>
          <w:sz w:val="19"/>
          <w:szCs w:val="19"/>
        </w:rPr>
        <w:t xml:space="preserve">minus </w:t>
      </w:r>
      <w:r w:rsidR="009C3CDB">
        <w:rPr>
          <w:rFonts w:ascii="Fira Sans" w:hAnsi="Fira Sans"/>
          <w:spacing w:val="-4"/>
          <w:sz w:val="19"/>
          <w:szCs w:val="19"/>
        </w:rPr>
        <w:t>2,9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1B1D12" w:rsidP="009F66B2">
      <w:pPr>
        <w:spacing w:before="120" w:after="120"/>
        <w:rPr>
          <w:noProof/>
        </w:rPr>
      </w:pPr>
      <w:r w:rsidRPr="008A4F55">
        <w:rPr>
          <w:noProof/>
          <w:lang w:eastAsia="pl-PL"/>
        </w:rPr>
        <w:drawing>
          <wp:anchor distT="0" distB="0" distL="114300" distR="114300" simplePos="0" relativeHeight="252826624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676275</wp:posOffset>
            </wp:positionV>
            <wp:extent cx="1583055" cy="1798955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55" w:rsidRPr="00B1087D">
        <w:rPr>
          <w:noProof/>
          <w:lang w:eastAsia="pl-PL"/>
        </w:rPr>
        <w:drawing>
          <wp:anchor distT="0" distB="0" distL="114300" distR="114300" simplePos="0" relativeHeight="25282560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764540</wp:posOffset>
            </wp:positionV>
            <wp:extent cx="5122800" cy="15840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907228">
        <w:rPr>
          <w:rFonts w:ascii="Fira Sans" w:hAnsi="Fira Sans"/>
          <w:spacing w:val="-4"/>
          <w:sz w:val="19"/>
          <w:szCs w:val="19"/>
        </w:rPr>
        <w:t>kwietniu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BF6DC9">
        <w:rPr>
          <w:rFonts w:ascii="Fira Sans" w:hAnsi="Fira Sans"/>
          <w:spacing w:val="-4"/>
          <w:sz w:val="19"/>
          <w:szCs w:val="19"/>
        </w:rPr>
        <w:t>39,2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BF6DC9">
        <w:rPr>
          <w:rFonts w:ascii="Fira Sans" w:hAnsi="Fira Sans"/>
          <w:spacing w:val="-4"/>
          <w:sz w:val="19"/>
          <w:szCs w:val="19"/>
        </w:rPr>
        <w:t xml:space="preserve">minus 34,4 </w:t>
      </w:r>
      <w:r w:rsidR="00622120">
        <w:rPr>
          <w:rFonts w:ascii="Fira Sans" w:hAnsi="Fira Sans"/>
          <w:spacing w:val="-4"/>
          <w:sz w:val="19"/>
          <w:szCs w:val="19"/>
        </w:rPr>
        <w:t>w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BF6DC9">
        <w:rPr>
          <w:rFonts w:ascii="Fira Sans" w:hAnsi="Fira Sans"/>
          <w:spacing w:val="-4"/>
          <w:sz w:val="19"/>
          <w:szCs w:val="19"/>
        </w:rPr>
        <w:t>marcu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350E44">
        <w:rPr>
          <w:rFonts w:ascii="Fira Sans" w:hAnsi="Fira Sans"/>
          <w:spacing w:val="-4"/>
          <w:sz w:val="19"/>
          <w:szCs w:val="19"/>
        </w:rPr>
        <w:t xml:space="preserve">prowadzące działalność w 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bardziej niekorzystne oceny koniunktury </w:t>
      </w:r>
      <w:r w:rsidR="00FF796D">
        <w:rPr>
          <w:rFonts w:ascii="Fira Sans" w:hAnsi="Fira Sans"/>
          <w:spacing w:val="-4"/>
          <w:sz w:val="19"/>
          <w:szCs w:val="19"/>
        </w:rPr>
        <w:t xml:space="preserve">(minus </w:t>
      </w:r>
      <w:r w:rsidR="00BF6DC9">
        <w:rPr>
          <w:rFonts w:ascii="Fira Sans" w:hAnsi="Fira Sans"/>
          <w:spacing w:val="-4"/>
          <w:sz w:val="19"/>
          <w:szCs w:val="19"/>
        </w:rPr>
        <w:t>52,9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(minus </w:t>
      </w:r>
      <w:r w:rsidR="00BF6DC9">
        <w:rPr>
          <w:rFonts w:ascii="Fira Sans" w:hAnsi="Fira Sans"/>
          <w:spacing w:val="-4"/>
          <w:sz w:val="19"/>
          <w:szCs w:val="19"/>
        </w:rPr>
        <w:t>30,6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637A3F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637A3F">
        <w:rPr>
          <w:noProof/>
          <w:lang w:eastAsia="pl-PL"/>
        </w:rPr>
        <w:drawing>
          <wp:anchor distT="0" distB="0" distL="114300" distR="114300" simplePos="0" relativeHeight="252845056" behindDoc="0" locked="0" layoutInCell="1" allowOverlap="1">
            <wp:simplePos x="0" y="0"/>
            <wp:positionH relativeFrom="column">
              <wp:posOffset>35673</wp:posOffset>
            </wp:positionH>
            <wp:positionV relativeFrom="paragraph">
              <wp:posOffset>2186841</wp:posOffset>
            </wp:positionV>
            <wp:extent cx="5122800" cy="1584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D12" w:rsidRPr="001B1D12">
        <w:rPr>
          <w:noProof/>
          <w:lang w:eastAsia="pl-PL"/>
        </w:rPr>
        <w:drawing>
          <wp:anchor distT="0" distB="0" distL="114300" distR="114300" simplePos="0" relativeHeight="252828672" behindDoc="0" locked="0" layoutInCell="1" allowOverlap="1">
            <wp:simplePos x="0" y="0"/>
            <wp:positionH relativeFrom="rightMargin">
              <wp:posOffset>78740</wp:posOffset>
            </wp:positionH>
            <wp:positionV relativeFrom="paragraph">
              <wp:posOffset>2108835</wp:posOffset>
            </wp:positionV>
            <wp:extent cx="1583055" cy="1757045"/>
            <wp:effectExtent l="0" t="0" r="0" b="0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10" w:rsidRPr="00DE1010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265A38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265A38">
        <w:rPr>
          <w:noProof/>
          <w:lang w:eastAsia="pl-PL"/>
        </w:rPr>
        <w:drawing>
          <wp:anchor distT="0" distB="0" distL="114300" distR="114300" simplePos="0" relativeHeight="252846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2118426</wp:posOffset>
            </wp:positionV>
            <wp:extent cx="5122800" cy="1584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D12">
        <w:rPr>
          <w:noProof/>
          <w:lang w:eastAsia="pl-PL"/>
        </w:rPr>
        <w:drawing>
          <wp:anchor distT="0" distB="0" distL="114300" distR="114300" simplePos="0" relativeHeight="25283072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2034507</wp:posOffset>
            </wp:positionV>
            <wp:extent cx="1583055" cy="1745615"/>
            <wp:effectExtent l="0" t="0" r="0" b="6985"/>
            <wp:wrapTopAndBottom/>
            <wp:docPr id="54" name="Obraz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F45969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FD1DE5">
        <w:rPr>
          <w:noProof/>
          <w:lang w:eastAsia="pl-PL"/>
        </w:rPr>
        <w:drawing>
          <wp:anchor distT="0" distB="0" distL="114300" distR="114300" simplePos="0" relativeHeight="252832768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368300</wp:posOffset>
            </wp:positionV>
            <wp:extent cx="1583055" cy="1794510"/>
            <wp:effectExtent l="0" t="0" r="0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E5" w:rsidRPr="00FD1DE5">
        <w:rPr>
          <w:noProof/>
          <w:lang w:eastAsia="pl-PL"/>
        </w:rPr>
        <w:drawing>
          <wp:anchor distT="0" distB="0" distL="114300" distR="114300" simplePos="0" relativeHeight="252831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454881</wp:posOffset>
            </wp:positionV>
            <wp:extent cx="5122800" cy="1584000"/>
            <wp:effectExtent l="0" t="0" r="0" b="0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0B326B">
        <w:rPr>
          <w:rFonts w:ascii="Fira Sans" w:hAnsi="Fira Sans"/>
          <w:spacing w:val="-4"/>
          <w:sz w:val="19"/>
          <w:szCs w:val="19"/>
        </w:rPr>
        <w:t>kwietniu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0B326B">
        <w:rPr>
          <w:rFonts w:ascii="Fira Sans" w:hAnsi="Fira Sans"/>
          <w:spacing w:val="-4"/>
          <w:sz w:val="19"/>
          <w:szCs w:val="19"/>
        </w:rPr>
        <w:t>11,7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zbliżonym do odnotowanego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0B326B">
        <w:rPr>
          <w:rFonts w:ascii="Fira Sans" w:hAnsi="Fira Sans"/>
          <w:spacing w:val="-4"/>
          <w:sz w:val="19"/>
          <w:szCs w:val="19"/>
        </w:rPr>
        <w:t>plus 12,5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F45969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0E298F">
        <w:rPr>
          <w:noProof/>
          <w:lang w:eastAsia="pl-PL"/>
        </w:rPr>
        <w:drawing>
          <wp:anchor distT="0" distB="0" distL="114300" distR="114300" simplePos="0" relativeHeight="252834816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359410</wp:posOffset>
            </wp:positionV>
            <wp:extent cx="1583055" cy="1800225"/>
            <wp:effectExtent l="0" t="0" r="0" b="0"/>
            <wp:wrapTopAndBottom/>
            <wp:docPr id="59" name="Obraz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DE5" w:rsidRPr="00FD1DE5">
        <w:rPr>
          <w:noProof/>
          <w:lang w:eastAsia="pl-PL"/>
        </w:rPr>
        <w:drawing>
          <wp:anchor distT="0" distB="0" distL="114300" distR="114300" simplePos="0" relativeHeight="252833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5122800" cy="1584000"/>
            <wp:effectExtent l="0" t="0" r="0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0B326B">
        <w:rPr>
          <w:rFonts w:ascii="Fira Sans" w:hAnsi="Fira Sans"/>
          <w:spacing w:val="-4"/>
          <w:sz w:val="19"/>
          <w:szCs w:val="19"/>
        </w:rPr>
        <w:t xml:space="preserve">kwietniu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>plus 0,2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 xml:space="preserve">– </w:t>
      </w:r>
      <w:r w:rsidR="00D12683">
        <w:rPr>
          <w:rFonts w:ascii="Fira Sans" w:hAnsi="Fira Sans"/>
          <w:spacing w:val="-4"/>
          <w:sz w:val="19"/>
          <w:szCs w:val="19"/>
        </w:rPr>
        <w:t xml:space="preserve">nieco </w:t>
      </w:r>
      <w:r w:rsidR="00D60036">
        <w:rPr>
          <w:rFonts w:ascii="Fira Sans" w:hAnsi="Fira Sans"/>
          <w:spacing w:val="-4"/>
          <w:sz w:val="19"/>
          <w:szCs w:val="19"/>
        </w:rPr>
        <w:t>wyższym od</w:t>
      </w:r>
      <w:r w:rsidR="0098406E">
        <w:rPr>
          <w:rFonts w:ascii="Fira Sans" w:hAnsi="Fira Sans"/>
          <w:spacing w:val="-4"/>
          <w:sz w:val="19"/>
          <w:szCs w:val="19"/>
        </w:rPr>
        <w:t xml:space="preserve">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przed miesiącem (</w:t>
      </w:r>
      <w:r w:rsidR="000B326B">
        <w:rPr>
          <w:rFonts w:ascii="Fira Sans" w:hAnsi="Fira Sans"/>
          <w:spacing w:val="-4"/>
          <w:sz w:val="19"/>
          <w:szCs w:val="19"/>
        </w:rPr>
        <w:t>minus 1,7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36864" behindDoc="0" locked="0" layoutInCell="1" allowOverlap="1" wp14:anchorId="5A28E8F2" wp14:editId="6E7D6CA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-47,2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-7,8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-7,0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2,8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-44,2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-20,5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-9,8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-67,9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6,8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37888" behindDoc="0" locked="0" layoutInCell="1" allowOverlap="1" wp14:anchorId="5CBDE2E3" wp14:editId="7BB5FC7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-2,2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-47,1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-15,5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-2,2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-26,0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-17,2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-5,8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-68,1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-13,8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1,5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38912" behindDoc="0" locked="0" layoutInCell="1" allowOverlap="1" wp14:anchorId="0FA492C5" wp14:editId="379F422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-38,8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-39,8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4,1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8,9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-67,4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-0,7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39936" behindDoc="0" locked="0" layoutInCell="1" allowOverlap="1" wp14:anchorId="73B95038" wp14:editId="274758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-48,7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-49,5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</w:tr>
      <w:tr w:rsidR="00701AB5" w:rsidRPr="006D7274" w:rsidTr="007C5AC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-68,6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-4,5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40960" behindDoc="0" locked="0" layoutInCell="1" allowOverlap="1" wp14:anchorId="77276074" wp14:editId="3CAC3F1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-25,2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-71,3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41984" behindDoc="0" locked="0" layoutInCell="1" allowOverlap="1" wp14:anchorId="36FE6134" wp14:editId="57E3D2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-75,1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-33,7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-70,0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-34,4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-39,2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-51,5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-58,4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-1,6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-83,5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-17,2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2,3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43008" behindDoc="0" locked="0" layoutInCell="1" allowOverlap="1" wp14:anchorId="5A15CE99" wp14:editId="11A3B3A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-21,0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9,9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18,9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-19,4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18,9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25,9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-49,0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11,9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844032" behindDoc="0" locked="0" layoutInCell="1" allowOverlap="1" wp14:anchorId="5030C37F" wp14:editId="79C8BC3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-18,2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27,3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33,6</w:t>
            </w:r>
          </w:p>
        </w:tc>
      </w:tr>
      <w:tr w:rsidR="00701AB5" w:rsidRPr="006D7274" w:rsidTr="007C5AC2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701AB5" w:rsidRPr="006D7274" w:rsidRDefault="00701AB5" w:rsidP="00701AB5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701AB5" w:rsidRPr="00445A7C" w:rsidRDefault="00701AB5" w:rsidP="00701AB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-60,8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-16,3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701AB5" w:rsidRPr="007C5AC2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C5AC2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701AB5" w:rsidRDefault="00701AB5" w:rsidP="007C5AC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>
              <w:rPr>
                <w:rFonts w:ascii="Fira Sans" w:hAnsi="Fira Sans" w:cs="Calibri"/>
                <w:color w:val="000000"/>
                <w:sz w:val="14"/>
                <w:szCs w:val="14"/>
              </w:rPr>
              <w:t>21,0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27001B" w:rsidRDefault="003911BB" w:rsidP="00E570FA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6"/>
                <w:szCs w:val="16"/>
              </w:rPr>
            </w:pP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Badanie zostało przeprowadzone w </w:t>
            </w:r>
            <w:r w:rsidR="00DC0BBB" w:rsidRPr="0027001B">
              <w:rPr>
                <w:rFonts w:ascii="Fira Sans" w:hAnsi="Fira Sans"/>
                <w:noProof/>
                <w:sz w:val="16"/>
                <w:szCs w:val="16"/>
              </w:rPr>
              <w:t xml:space="preserve">dniach od 1 do 10 </w:t>
            </w:r>
            <w:r w:rsidR="00E570FA">
              <w:rPr>
                <w:rFonts w:ascii="Fira Sans" w:hAnsi="Fira Sans"/>
                <w:noProof/>
                <w:sz w:val="16"/>
                <w:szCs w:val="16"/>
              </w:rPr>
              <w:t>kwietnia</w:t>
            </w:r>
            <w:r w:rsidR="00DF5457">
              <w:rPr>
                <w:rFonts w:ascii="Fira Sans" w:hAnsi="Fira Sans"/>
                <w:noProof/>
                <w:sz w:val="16"/>
                <w:szCs w:val="16"/>
              </w:rPr>
              <w:t xml:space="preserve"> 2021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lane na zasadzie dobrowolności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="00B91165" w:rsidRPr="0027001B">
              <w:rPr>
                <w:rFonts w:ascii="Fira Sans" w:hAnsi="Fira Sans"/>
                <w:noProof/>
                <w:sz w:val="16"/>
                <w:szCs w:val="16"/>
              </w:rPr>
              <w:t xml:space="preserve"> W pytaniach 1</w:t>
            </w:r>
            <w:r w:rsidR="00E570FA">
              <w:rPr>
                <w:rFonts w:ascii="Fira Sans" w:hAnsi="Fira Sans"/>
                <w:noProof/>
                <w:sz w:val="16"/>
                <w:szCs w:val="16"/>
              </w:rPr>
              <w:t xml:space="preserve"> i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4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>zaprezentowany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 jest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procent odpowiedzi </w:t>
            </w:r>
            <w:r w:rsidR="00334737">
              <w:rPr>
                <w:rFonts w:ascii="Fira Sans" w:hAnsi="Fira Sans"/>
                <w:noProof/>
                <w:sz w:val="16"/>
                <w:szCs w:val="16"/>
              </w:rPr>
              <w:t xml:space="preserve">respondentów na dany wariant,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w pytaniach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2,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3</w:t>
            </w:r>
            <w:r w:rsidR="00E570FA">
              <w:rPr>
                <w:rFonts w:ascii="Fira Sans" w:hAnsi="Fira Sans"/>
                <w:noProof/>
                <w:sz w:val="16"/>
                <w:szCs w:val="16"/>
              </w:rPr>
              <w:t>, 5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 i 6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– średnia </w:t>
            </w:r>
            <w:r w:rsidR="00AE5E5F">
              <w:rPr>
                <w:rFonts w:ascii="Fira Sans" w:hAnsi="Fira Sans"/>
                <w:noProof/>
                <w:sz w:val="16"/>
                <w:szCs w:val="16"/>
              </w:rPr>
              <w:t>z </w:t>
            </w:r>
            <w:r w:rsidR="00526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wartości udzielonych </w:t>
            </w:r>
            <w:r w:rsidR="005371D8" w:rsidRPr="0027001B">
              <w:rPr>
                <w:rFonts w:ascii="Fira Sans" w:hAnsi="Fira Sans"/>
                <w:noProof/>
                <w:sz w:val="16"/>
                <w:szCs w:val="16"/>
              </w:rPr>
              <w:t>odpowiedzi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42E6C" w:rsidRPr="0027001B">
              <w:rPr>
                <w:rFonts w:ascii="Fira Sans" w:hAnsi="Fira Sans"/>
                <w:noProof/>
                <w:sz w:val="16"/>
                <w:szCs w:val="16"/>
              </w:rPr>
              <w:t>Dane zostały zagregowane zgodnie z metodologią agregacji (ważenia) stosowaną standardowo w badaniu koniunktury gospodarczej.</w:t>
            </w:r>
            <w:r w:rsidR="006413CF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</w:p>
        </w:tc>
      </w:tr>
    </w:tbl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2B14D5" w:rsidRPr="0059047B" w:rsidTr="009E54C6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86027AD" wp14:editId="0BDED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7E6FD235" wp14:editId="22E035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0E787349" wp14:editId="3DEB8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0F09810F" wp14:editId="7AA8C5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37A27B44" wp14:editId="6F5FA0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42A3861B" wp14:editId="165C86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02654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4C1994"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="004C04FC"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61,7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61,1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63,4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49,5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60,6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11,0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27,6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21,9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21,5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38,5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24,7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37,9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11,7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7,4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10,1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12,2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51,1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5,7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7,7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0,0</w:t>
            </w:r>
          </w:p>
        </w:tc>
      </w:tr>
      <w:tr w:rsidR="004C1994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4C1994" w:rsidRPr="00C75009" w:rsidRDefault="004C1994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C1994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4C1994" w:rsidRPr="00C75009" w:rsidRDefault="004C1994" w:rsidP="008E069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4C1994">
              <w:rPr>
                <w:rFonts w:ascii="Fira Sans" w:hAnsi="Fira Sans"/>
                <w:sz w:val="13"/>
                <w:szCs w:val="13"/>
              </w:rPr>
              <w:t>praca zdalna i zbliżone formy pracy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11,2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8,5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26,3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13,7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16,9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13,4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6,0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13,8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3,9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8,0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7,1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9,9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C4A22" w:rsidRDefault="004C1994" w:rsidP="001D797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C4A22" w:rsidRPr="00C75009" w:rsidRDefault="001B4CB3" w:rsidP="00FC4A22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-2,8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-9,0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-5,7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-8,2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-12,6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-50,5</w:t>
            </w:r>
          </w:p>
        </w:tc>
      </w:tr>
      <w:tr w:rsidR="00401A0F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401A0F" w:rsidRPr="00C75009" w:rsidRDefault="00401A0F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01A0F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401A0F" w:rsidRPr="0066127C" w:rsidRDefault="00401A0F" w:rsidP="00026545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Default="005B7751" w:rsidP="005B775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0,5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3,1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1,4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Default="005B7751" w:rsidP="005B775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7,4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7,8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13,2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Default="005B7751" w:rsidP="005B775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– 3 miesiące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17,6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27,6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14,5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15,5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20,5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40,7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Default="005B7751" w:rsidP="005B775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20,4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19,3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20,2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27,8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11,1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32,3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5B7751" w:rsidRPr="003F106B" w:rsidRDefault="005B7751" w:rsidP="005B775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56,1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42,6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59,7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50,7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59,6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12,4</w:t>
            </w:r>
          </w:p>
        </w:tc>
      </w:tr>
      <w:tr w:rsidR="00E570FA" w:rsidRPr="0059047B" w:rsidTr="00626A2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E570FA" w:rsidRPr="00C75009" w:rsidRDefault="00E570FA" w:rsidP="00626A2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E570FA" w:rsidRPr="0059047B" w:rsidTr="00626A2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E570FA" w:rsidRPr="00C75009" w:rsidRDefault="00E570FA" w:rsidP="00626A2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E570FA">
              <w:rPr>
                <w:rFonts w:ascii="Fira Sans" w:hAnsi="Fira Sans"/>
                <w:b/>
                <w:sz w:val="14"/>
                <w:szCs w:val="14"/>
              </w:rPr>
              <w:t>Jakie są Państwa aktualne przewidywania, co do poziomu inwestycji Państwa firmy w 2021 r. w odniesieniu do inwestycji zrealizowanych w 2020 r. ?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37,9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-1,6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-1,1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-3,2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15,5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-47,6</w:t>
            </w:r>
          </w:p>
        </w:tc>
      </w:tr>
      <w:tr w:rsidR="00E570FA" w:rsidRPr="0059047B" w:rsidTr="00626A29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E570FA" w:rsidRPr="00C75009" w:rsidRDefault="00E570FA" w:rsidP="00626A29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E570FA" w:rsidRPr="0059047B" w:rsidTr="00626A29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E570FA" w:rsidRPr="00C75009" w:rsidRDefault="00E570FA" w:rsidP="00626A2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5B7751" w:rsidRPr="0059047B" w:rsidTr="00174B1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5B7751" w:rsidRPr="003F106B" w:rsidRDefault="005B7751" w:rsidP="005B7751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-1,5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-0,4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-0,9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5B7751" w:rsidRPr="00C53718" w:rsidRDefault="005B7751" w:rsidP="003F3262">
            <w:pPr>
              <w:spacing w:before="40" w:after="40" w:line="259" w:lineRule="auto"/>
              <w:jc w:val="right"/>
              <w:rPr>
                <w:rFonts w:ascii="Fira Sans" w:hAnsi="Fira Sans"/>
                <w:sz w:val="14"/>
                <w:szCs w:val="14"/>
              </w:rPr>
            </w:pPr>
            <w:r w:rsidRPr="00C53718">
              <w:rPr>
                <w:rFonts w:ascii="Fira Sans" w:hAnsi="Fira Sans"/>
                <w:sz w:val="14"/>
                <w:szCs w:val="14"/>
              </w:rPr>
              <w:t>-2,6</w:t>
            </w:r>
          </w:p>
        </w:tc>
      </w:tr>
    </w:tbl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  <w:bookmarkStart w:id="0" w:name="_GoBack"/>
            <w:bookmarkEnd w:id="0"/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2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77CBD" wp14:editId="657945AF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14EFD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34168" wp14:editId="78A1362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16BE9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5BA679DC" wp14:editId="1C9DE017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6FAA8CCC" wp14:editId="7CE86205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055A04" wp14:editId="3A5B4390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123319" w:rsidRDefault="00163DA1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5A04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163DA1" w:rsidRPr="00123319" w:rsidRDefault="00163DA1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63DA1" w:rsidRPr="004C7599" w:rsidRDefault="00725CB5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</w:t>
                              </w:r>
                              <w:r w:rsidR="00E8005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1</w:t>
                              </w:r>
                            </w:hyperlink>
                            <w:r w:rsidR="00163DA1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163DA1" w:rsidRPr="002E71B6" w:rsidRDefault="00163DA1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63DA1" w:rsidRPr="00C75CAD" w:rsidRDefault="00725CB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163DA1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163DA1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163DA1" w:rsidRPr="00805B46" w:rsidRDefault="00725CB5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63DA1" w:rsidRPr="00805B46" w:rsidRDefault="00725CB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163DA1" w:rsidRPr="00805B46" w:rsidRDefault="00725CB5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2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63DA1" w:rsidRPr="00C75CAD" w:rsidRDefault="00725CB5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3" w:history="1">
                              <w:r w:rsidR="00163DA1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163DA1" w:rsidRPr="00505A92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163DA1" w:rsidRDefault="00163DA1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163DA1" w:rsidRPr="00C75CAD" w:rsidRDefault="00163DA1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163DA1" w:rsidRPr="004C7599" w:rsidRDefault="00956CDF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</w:t>
                        </w:r>
                        <w:r w:rsidR="00E8005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1</w:t>
                        </w:r>
                      </w:hyperlink>
                      <w:r w:rsidR="00163DA1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163DA1" w:rsidRPr="002E71B6" w:rsidRDefault="00163DA1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163DA1" w:rsidRPr="00C75CAD" w:rsidRDefault="00956CDF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163DA1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163DA1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163DA1" w:rsidRPr="00805B46" w:rsidRDefault="00956CDF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163DA1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163DA1" w:rsidRDefault="00163DA1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63DA1" w:rsidRPr="00C75CAD" w:rsidRDefault="00163DA1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163DA1" w:rsidRPr="00805B46" w:rsidRDefault="00956CDF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163DA1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163DA1" w:rsidRPr="00805B46" w:rsidRDefault="00956CDF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8" w:history="1">
                        <w:r w:rsidR="00163DA1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163DA1" w:rsidRDefault="00163DA1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63DA1" w:rsidRPr="00C75CAD" w:rsidRDefault="00163DA1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163DA1" w:rsidRPr="00C75CAD" w:rsidRDefault="00956CDF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9" w:history="1">
                        <w:r w:rsidR="00163DA1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163DA1" w:rsidRPr="00505A92" w:rsidRDefault="00163DA1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7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B5" w:rsidRDefault="00725CB5" w:rsidP="000662E2">
      <w:pPr>
        <w:spacing w:after="0" w:line="240" w:lineRule="auto"/>
      </w:pPr>
      <w:r>
        <w:separator/>
      </w:r>
    </w:p>
  </w:endnote>
  <w:endnote w:type="continuationSeparator" w:id="0">
    <w:p w:rsidR="00725CB5" w:rsidRDefault="00725CB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B7359B" w:rsidRDefault="00163DA1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EE6C1C"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2B1A65" w:rsidRDefault="00163DA1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EE6C1C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B5" w:rsidRDefault="00725CB5" w:rsidP="000662E2">
      <w:pPr>
        <w:spacing w:after="0" w:line="240" w:lineRule="auto"/>
      </w:pPr>
      <w:r>
        <w:separator/>
      </w:r>
    </w:p>
  </w:footnote>
  <w:footnote w:type="continuationSeparator" w:id="0">
    <w:p w:rsidR="00725CB5" w:rsidRDefault="00725CB5" w:rsidP="000662E2">
      <w:pPr>
        <w:spacing w:after="0" w:line="240" w:lineRule="auto"/>
      </w:pPr>
      <w:r>
        <w:continuationSeparator/>
      </w:r>
    </w:p>
  </w:footnote>
  <w:footnote w:id="1">
    <w:p w:rsidR="007A583B" w:rsidRDefault="007A5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Fira Sans" w:hAnsi="Fira Sans"/>
          <w:sz w:val="14"/>
          <w:szCs w:val="14"/>
        </w:rPr>
        <w:t>O</w:t>
      </w:r>
      <w:r w:rsidRPr="007A583B">
        <w:rPr>
          <w:rFonts w:ascii="Fira Sans" w:hAnsi="Fira Sans"/>
          <w:sz w:val="14"/>
          <w:szCs w:val="14"/>
        </w:rPr>
        <w:t xml:space="preserve">znacza to, że odsetek przedsiębiorców spodziewających się </w:t>
      </w:r>
      <w:r w:rsidR="00D92E03"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 przeważa nad odsetkiem przedsiębior</w:t>
      </w:r>
      <w:r>
        <w:rPr>
          <w:rFonts w:ascii="Fira Sans" w:hAnsi="Fira Sans"/>
          <w:sz w:val="14"/>
          <w:szCs w:val="14"/>
        </w:rPr>
        <w:t xml:space="preserve">ców oczekujących jej </w:t>
      </w:r>
      <w:r w:rsidR="00D92E03">
        <w:rPr>
          <w:rFonts w:ascii="Fira Sans" w:hAnsi="Fira Sans"/>
          <w:sz w:val="14"/>
          <w:szCs w:val="14"/>
        </w:rPr>
        <w:t>pogorszenia</w:t>
      </w:r>
      <w:r>
        <w:rPr>
          <w:rFonts w:ascii="Fira Sans" w:hAnsi="Fira Sans"/>
          <w:sz w:val="14"/>
          <w:szCs w:val="14"/>
        </w:rPr>
        <w:t>.</w:t>
      </w:r>
    </w:p>
  </w:footnote>
  <w:footnote w:id="2">
    <w:p w:rsidR="00163DA1" w:rsidRDefault="00163DA1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701AB5" w:rsidRDefault="00701AB5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0E803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163DA1" w:rsidRDefault="00163D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3DA1" w:rsidRPr="000201D2" w:rsidRDefault="00163DA1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63DA1" w:rsidRPr="000201D2" w:rsidRDefault="00163DA1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D950D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DA1" w:rsidRPr="000201D2" w:rsidRDefault="00163DA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</w:t>
                          </w:r>
                          <w:r w:rsidR="00E570FA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163DA1" w:rsidRPr="000201D2" w:rsidRDefault="00163DA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</w:t>
                    </w:r>
                    <w:r w:rsidR="00E570FA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</w:p>
  <w:p w:rsidR="00163DA1" w:rsidRDefault="00163D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4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9F"/>
    <w:rsid w:val="000108B8"/>
    <w:rsid w:val="00011656"/>
    <w:rsid w:val="00011A11"/>
    <w:rsid w:val="00011C7D"/>
    <w:rsid w:val="0001308C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30CCA"/>
    <w:rsid w:val="000332B3"/>
    <w:rsid w:val="00034B1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20BB"/>
    <w:rsid w:val="00083125"/>
    <w:rsid w:val="000834E9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6754"/>
    <w:rsid w:val="000A70C8"/>
    <w:rsid w:val="000B0727"/>
    <w:rsid w:val="000B0A2B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19EE"/>
    <w:rsid w:val="000E201B"/>
    <w:rsid w:val="000E298F"/>
    <w:rsid w:val="000E7A70"/>
    <w:rsid w:val="000E7ED0"/>
    <w:rsid w:val="000F0B06"/>
    <w:rsid w:val="000F3461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4B1B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3299"/>
    <w:rsid w:val="002476AC"/>
    <w:rsid w:val="002514D2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F4E"/>
    <w:rsid w:val="00264A39"/>
    <w:rsid w:val="00265A38"/>
    <w:rsid w:val="00266050"/>
    <w:rsid w:val="00266F8B"/>
    <w:rsid w:val="0027001B"/>
    <w:rsid w:val="00273293"/>
    <w:rsid w:val="00276811"/>
    <w:rsid w:val="0027719C"/>
    <w:rsid w:val="00280F42"/>
    <w:rsid w:val="00281218"/>
    <w:rsid w:val="00282699"/>
    <w:rsid w:val="002829FA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6697"/>
    <w:rsid w:val="00296AA1"/>
    <w:rsid w:val="0029717B"/>
    <w:rsid w:val="002A1AAD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756D"/>
    <w:rsid w:val="003904F8"/>
    <w:rsid w:val="003911BB"/>
    <w:rsid w:val="003919CA"/>
    <w:rsid w:val="00391BE8"/>
    <w:rsid w:val="00394327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6985"/>
    <w:rsid w:val="003E751A"/>
    <w:rsid w:val="003E781B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A76"/>
    <w:rsid w:val="004C5EFD"/>
    <w:rsid w:val="004C6D40"/>
    <w:rsid w:val="004C7599"/>
    <w:rsid w:val="004D211A"/>
    <w:rsid w:val="004D30A4"/>
    <w:rsid w:val="004D48A4"/>
    <w:rsid w:val="004D4BCB"/>
    <w:rsid w:val="004D4E95"/>
    <w:rsid w:val="004D70A4"/>
    <w:rsid w:val="004D78DB"/>
    <w:rsid w:val="004D7C97"/>
    <w:rsid w:val="004E070B"/>
    <w:rsid w:val="004E194A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45E"/>
    <w:rsid w:val="004F4B2E"/>
    <w:rsid w:val="004F5A7C"/>
    <w:rsid w:val="004F63FC"/>
    <w:rsid w:val="0050144E"/>
    <w:rsid w:val="0050225F"/>
    <w:rsid w:val="00505884"/>
    <w:rsid w:val="00505A92"/>
    <w:rsid w:val="00506FD7"/>
    <w:rsid w:val="005073E8"/>
    <w:rsid w:val="00507596"/>
    <w:rsid w:val="00511BFC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2B4D"/>
    <w:rsid w:val="00535EF6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170C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10FE"/>
    <w:rsid w:val="005B11DA"/>
    <w:rsid w:val="005B15C1"/>
    <w:rsid w:val="005B2433"/>
    <w:rsid w:val="005B2EDD"/>
    <w:rsid w:val="005B44E2"/>
    <w:rsid w:val="005B5280"/>
    <w:rsid w:val="005B7751"/>
    <w:rsid w:val="005C07E6"/>
    <w:rsid w:val="005C4F00"/>
    <w:rsid w:val="005D1AD0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792B"/>
    <w:rsid w:val="00637A3F"/>
    <w:rsid w:val="00640163"/>
    <w:rsid w:val="00640F41"/>
    <w:rsid w:val="00641278"/>
    <w:rsid w:val="006413CF"/>
    <w:rsid w:val="00641FCD"/>
    <w:rsid w:val="00642AE9"/>
    <w:rsid w:val="00644F02"/>
    <w:rsid w:val="006451FC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3277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B71CD"/>
    <w:rsid w:val="006C14C0"/>
    <w:rsid w:val="006C2F29"/>
    <w:rsid w:val="006C3D4E"/>
    <w:rsid w:val="006C6061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4BB4"/>
    <w:rsid w:val="006E7789"/>
    <w:rsid w:val="006F43EB"/>
    <w:rsid w:val="006F57E5"/>
    <w:rsid w:val="006F654C"/>
    <w:rsid w:val="00700B53"/>
    <w:rsid w:val="00701AB5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902"/>
    <w:rsid w:val="00725CB5"/>
    <w:rsid w:val="00726B70"/>
    <w:rsid w:val="00726CEB"/>
    <w:rsid w:val="00730184"/>
    <w:rsid w:val="00732809"/>
    <w:rsid w:val="00734700"/>
    <w:rsid w:val="00735C9C"/>
    <w:rsid w:val="0073602C"/>
    <w:rsid w:val="00737ADD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C5AC2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08AD"/>
    <w:rsid w:val="007F324B"/>
    <w:rsid w:val="007F3482"/>
    <w:rsid w:val="007F5697"/>
    <w:rsid w:val="007F5C01"/>
    <w:rsid w:val="007F7964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65455"/>
    <w:rsid w:val="00865F76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1734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507"/>
    <w:rsid w:val="008B50FF"/>
    <w:rsid w:val="008B6248"/>
    <w:rsid w:val="008B6C73"/>
    <w:rsid w:val="008B6C7E"/>
    <w:rsid w:val="008B71DA"/>
    <w:rsid w:val="008C0242"/>
    <w:rsid w:val="008C2B5C"/>
    <w:rsid w:val="008C3E45"/>
    <w:rsid w:val="008C569E"/>
    <w:rsid w:val="008C6ABC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47DB"/>
    <w:rsid w:val="00926995"/>
    <w:rsid w:val="009269E1"/>
    <w:rsid w:val="00926CD9"/>
    <w:rsid w:val="0092753D"/>
    <w:rsid w:val="009276FA"/>
    <w:rsid w:val="00931D7A"/>
    <w:rsid w:val="009327F8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7F"/>
    <w:rsid w:val="00985CAD"/>
    <w:rsid w:val="00986477"/>
    <w:rsid w:val="0099018C"/>
    <w:rsid w:val="00990AAC"/>
    <w:rsid w:val="009921EB"/>
    <w:rsid w:val="0099373A"/>
    <w:rsid w:val="00994E81"/>
    <w:rsid w:val="00996693"/>
    <w:rsid w:val="009A0F57"/>
    <w:rsid w:val="009A24B0"/>
    <w:rsid w:val="009A32FB"/>
    <w:rsid w:val="009A36CD"/>
    <w:rsid w:val="009A40B0"/>
    <w:rsid w:val="009A5339"/>
    <w:rsid w:val="009A7203"/>
    <w:rsid w:val="009B068E"/>
    <w:rsid w:val="009B09B3"/>
    <w:rsid w:val="009B3625"/>
    <w:rsid w:val="009B4CC8"/>
    <w:rsid w:val="009B5808"/>
    <w:rsid w:val="009C0165"/>
    <w:rsid w:val="009C1335"/>
    <w:rsid w:val="009C1599"/>
    <w:rsid w:val="009C1653"/>
    <w:rsid w:val="009C1AB2"/>
    <w:rsid w:val="009C22CC"/>
    <w:rsid w:val="009C2922"/>
    <w:rsid w:val="009C368B"/>
    <w:rsid w:val="009C3CDB"/>
    <w:rsid w:val="009C55CE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073"/>
    <w:rsid w:val="00A74B25"/>
    <w:rsid w:val="00A74CF4"/>
    <w:rsid w:val="00A758C8"/>
    <w:rsid w:val="00A75CE2"/>
    <w:rsid w:val="00A82134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470"/>
    <w:rsid w:val="00AA34FD"/>
    <w:rsid w:val="00AA3A34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0641"/>
    <w:rsid w:val="00AC2BAC"/>
    <w:rsid w:val="00AC3527"/>
    <w:rsid w:val="00AC4A1F"/>
    <w:rsid w:val="00AC4CDB"/>
    <w:rsid w:val="00AC4F7B"/>
    <w:rsid w:val="00AC619B"/>
    <w:rsid w:val="00AC7777"/>
    <w:rsid w:val="00AD1BB0"/>
    <w:rsid w:val="00AD1DE5"/>
    <w:rsid w:val="00AD4BB6"/>
    <w:rsid w:val="00AD699B"/>
    <w:rsid w:val="00AD7219"/>
    <w:rsid w:val="00AE14B1"/>
    <w:rsid w:val="00AE269F"/>
    <w:rsid w:val="00AE2D4B"/>
    <w:rsid w:val="00AE4F20"/>
    <w:rsid w:val="00AE4F99"/>
    <w:rsid w:val="00AE5E5F"/>
    <w:rsid w:val="00AE62E6"/>
    <w:rsid w:val="00AF0D97"/>
    <w:rsid w:val="00AF2781"/>
    <w:rsid w:val="00AF4F89"/>
    <w:rsid w:val="00AF6380"/>
    <w:rsid w:val="00B06096"/>
    <w:rsid w:val="00B0713B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50344"/>
    <w:rsid w:val="00B511F2"/>
    <w:rsid w:val="00B51E9F"/>
    <w:rsid w:val="00B52573"/>
    <w:rsid w:val="00B53BF2"/>
    <w:rsid w:val="00B5598C"/>
    <w:rsid w:val="00B560E4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E41"/>
    <w:rsid w:val="00BA437D"/>
    <w:rsid w:val="00BA6311"/>
    <w:rsid w:val="00BB0A5B"/>
    <w:rsid w:val="00BB112E"/>
    <w:rsid w:val="00BB127F"/>
    <w:rsid w:val="00BB595D"/>
    <w:rsid w:val="00BC28CB"/>
    <w:rsid w:val="00BC3B6A"/>
    <w:rsid w:val="00BC3C8E"/>
    <w:rsid w:val="00BC512B"/>
    <w:rsid w:val="00BD26FA"/>
    <w:rsid w:val="00BD3265"/>
    <w:rsid w:val="00BD4E33"/>
    <w:rsid w:val="00BE0358"/>
    <w:rsid w:val="00BE33C4"/>
    <w:rsid w:val="00BE6109"/>
    <w:rsid w:val="00BE6128"/>
    <w:rsid w:val="00BE6E57"/>
    <w:rsid w:val="00BE6F0A"/>
    <w:rsid w:val="00BE6F1B"/>
    <w:rsid w:val="00BF1315"/>
    <w:rsid w:val="00BF1A32"/>
    <w:rsid w:val="00BF21DD"/>
    <w:rsid w:val="00BF4569"/>
    <w:rsid w:val="00BF51AD"/>
    <w:rsid w:val="00BF6075"/>
    <w:rsid w:val="00BF6235"/>
    <w:rsid w:val="00BF6DC9"/>
    <w:rsid w:val="00BF75CD"/>
    <w:rsid w:val="00C030DE"/>
    <w:rsid w:val="00C04116"/>
    <w:rsid w:val="00C06507"/>
    <w:rsid w:val="00C078DC"/>
    <w:rsid w:val="00C10316"/>
    <w:rsid w:val="00C12233"/>
    <w:rsid w:val="00C17A08"/>
    <w:rsid w:val="00C17BB9"/>
    <w:rsid w:val="00C2110F"/>
    <w:rsid w:val="00C218E7"/>
    <w:rsid w:val="00C21FBA"/>
    <w:rsid w:val="00C22105"/>
    <w:rsid w:val="00C22830"/>
    <w:rsid w:val="00C23CB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3FB"/>
    <w:rsid w:val="00C81874"/>
    <w:rsid w:val="00C82C21"/>
    <w:rsid w:val="00C8318C"/>
    <w:rsid w:val="00C85214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4462"/>
    <w:rsid w:val="00D56D0F"/>
    <w:rsid w:val="00D56E5C"/>
    <w:rsid w:val="00D60036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94E"/>
    <w:rsid w:val="00E30AAF"/>
    <w:rsid w:val="00E31714"/>
    <w:rsid w:val="00E318F3"/>
    <w:rsid w:val="00E31B99"/>
    <w:rsid w:val="00E32061"/>
    <w:rsid w:val="00E33B50"/>
    <w:rsid w:val="00E3508C"/>
    <w:rsid w:val="00E366C2"/>
    <w:rsid w:val="00E36AD5"/>
    <w:rsid w:val="00E36B28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4036"/>
    <w:rsid w:val="00E95166"/>
    <w:rsid w:val="00E95726"/>
    <w:rsid w:val="00EA0278"/>
    <w:rsid w:val="00EA0D97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6C1C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5969"/>
    <w:rsid w:val="00F50BA2"/>
    <w:rsid w:val="00F54B60"/>
    <w:rsid w:val="00F601A3"/>
    <w:rsid w:val="00F64CF2"/>
    <w:rsid w:val="00F673CB"/>
    <w:rsid w:val="00F67D8F"/>
    <w:rsid w:val="00F70A4C"/>
    <w:rsid w:val="00F71749"/>
    <w:rsid w:val="00F749D9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D0C73"/>
    <w:rsid w:val="00FD1DE5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2171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stat.gov.pl/metainformacje/slownik-pojec/pojecia-stosowane-w-statystyce-publicznej/2076,pojecie.html" TargetMode="External"/><Relationship Id="rId68" Type="http://schemas.openxmlformats.org/officeDocument/2006/relationships/hyperlink" Target="http://bdm.stat.gov.pl/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hyperlink" Target="http://stat.gov.pl/obszary-tematyczne/koniunktura/koniunktura/publikacja,4.html" TargetMode="External"/><Relationship Id="rId66" Type="http://schemas.openxmlformats.org/officeDocument/2006/relationships/hyperlink" Target="http://stat.gov.pl/obszary-tematyczne/koniunktura/koniunktura/badanie-koniunktury-gospodarczej-zeszyt-metodologiczny,5,9.html" TargetMode="External"/><Relationship Id="rId5" Type="http://schemas.openxmlformats.org/officeDocument/2006/relationships/styles" Target="styles.xml"/><Relationship Id="rId61" Type="http://schemas.openxmlformats.org/officeDocument/2006/relationships/hyperlink" Target="http://swaid.stat.gov.pl/SitePagesDBW/KoniunkturaGospodarcza.aspx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56" Type="http://schemas.openxmlformats.org/officeDocument/2006/relationships/image" Target="media/image44.png"/><Relationship Id="rId64" Type="http://schemas.openxmlformats.org/officeDocument/2006/relationships/hyperlink" Target="http://stat.gov.pl/obszary-tematyczne/koniunktura/koniunktura/publikacja,4.html" TargetMode="External"/><Relationship Id="rId69" Type="http://schemas.openxmlformats.org/officeDocument/2006/relationships/hyperlink" Target="http://stat.gov.pl/metainformacje/slownik-pojec/pojecia-stosowane-w-statystyce-publicznej/2076,pojecie.html" TargetMode="Externa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stat.gov.pl/infografiki-widzety/infografiki/publikacja,38.html" TargetMode="External"/><Relationship Id="rId67" Type="http://schemas.openxmlformats.org/officeDocument/2006/relationships/hyperlink" Target="http://swaid.stat.gov.pl/SitePagesDBW/KoniunkturaGospodarcza.aspx" TargetMode="External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hyperlink" Target="http://bdm.stat.gov.pl/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oter" Target="footer1.xml"/><Relationship Id="rId57" Type="http://schemas.openxmlformats.org/officeDocument/2006/relationships/image" Target="media/image45.png"/><Relationship Id="rId10" Type="http://schemas.openxmlformats.org/officeDocument/2006/relationships/image" Target="media/image3.jpg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hyperlink" Target="mailto:obslugaprasowa@stat.gov.pl" TargetMode="External"/><Relationship Id="rId60" Type="http://schemas.openxmlformats.org/officeDocument/2006/relationships/hyperlink" Target="http://stat.gov.pl/obszary-tematyczne/koniunktura/koniunktura/badanie-koniunktury-gospodarczej-zeszyt-metodologiczny,5,9.html" TargetMode="External"/><Relationship Id="rId65" Type="http://schemas.openxmlformats.org/officeDocument/2006/relationships/hyperlink" Target="http://stat.gov.pl/infografiki-widzety/infografiki/publikacja,38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header" Target="header2.xml"/><Relationship Id="rId55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- 04.2021.docx.docx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451C-A76E-423A-97CF-42488D7CB5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AAC6FEA0-4011-4E4E-879F-ACCD547D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2D39A-EC47-4F54-8BD4-95D75ED7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2021-03-25T11:19:00Z</dcterms:created>
  <dcterms:modified xsi:type="dcterms:W3CDTF">2021-04-21T07:41:00Z</dcterms:modified>
</cp:coreProperties>
</file>