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23" w:rsidRPr="00A61D56" w:rsidRDefault="00994B16" w:rsidP="00994B16">
      <w:pPr>
        <w:pStyle w:val="tytuinformacji"/>
        <w:rPr>
          <w:rFonts w:ascii="Fira Sans" w:hAnsi="Fira Sans"/>
          <w:shd w:val="clear" w:color="auto" w:fill="FFFFFF"/>
        </w:rPr>
      </w:pPr>
      <w:r w:rsidRPr="00A61D56">
        <w:rPr>
          <w:rFonts w:ascii="Fira Sans" w:hAnsi="Fira Sans"/>
        </w:rPr>
        <w:t xml:space="preserve">Bilansowe wyniki finansowe podmiotów </w:t>
      </w:r>
      <w:r w:rsidR="00B67C82">
        <w:rPr>
          <w:rFonts w:ascii="Fira Sans" w:hAnsi="Fira Sans"/>
        </w:rPr>
        <w:br/>
      </w:r>
      <w:r w:rsidRPr="00A61D56">
        <w:rPr>
          <w:rFonts w:ascii="Fira Sans" w:hAnsi="Fira Sans"/>
        </w:rPr>
        <w:t>gospodarczych za 2017 r</w:t>
      </w:r>
      <w:r w:rsidR="006C3B76" w:rsidRPr="00A61D56">
        <w:rPr>
          <w:rFonts w:ascii="Fira Sans" w:hAnsi="Fira Sans"/>
        </w:rPr>
        <w:t>.</w:t>
      </w:r>
    </w:p>
    <w:p w:rsidR="00393761" w:rsidRPr="00A61D56" w:rsidRDefault="00A64D0C" w:rsidP="00074DD8">
      <w:pPr>
        <w:pStyle w:val="tytuinformacji"/>
        <w:rPr>
          <w:rFonts w:ascii="Fira Sans" w:hAnsi="Fira Sans"/>
          <w:sz w:val="32"/>
        </w:rPr>
      </w:pPr>
      <w:r w:rsidRPr="00A61D56">
        <w:rPr>
          <w:rFonts w:ascii="Fira Sans" w:hAnsi="Fira Sans"/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DD1D5C2" wp14:editId="46023A49">
                <wp:simplePos x="0" y="0"/>
                <wp:positionH relativeFrom="column">
                  <wp:posOffset>5376164</wp:posOffset>
                </wp:positionH>
                <wp:positionV relativeFrom="paragraph">
                  <wp:posOffset>288620</wp:posOffset>
                </wp:positionV>
                <wp:extent cx="1577340" cy="1219200"/>
                <wp:effectExtent l="0" t="0" r="0" b="0"/>
                <wp:wrapSquare wrapText="bothSides"/>
                <wp:docPr id="11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D56" w:rsidRPr="00382033" w:rsidRDefault="00A61D56" w:rsidP="00CB5417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Stan aktywów (pasywów) na koniec 2017 r. był wy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ż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szy o </w:t>
                            </w:r>
                            <w:r w:rsidRPr="006C173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4,5%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od stanu na koniec 2016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DD1D5C2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423.3pt;margin-top:22.75pt;width:124.2pt;height:9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" filled="f" stroked="f">
                <v:textbox>
                  <w:txbxContent>
                    <w:p w:rsidR="00A61D56" w:rsidRPr="00382033" w:rsidRDefault="00A61D56" w:rsidP="00CB5417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Stan aktywów (pasywów) na koniec 2017 r. był wyższy o </w:t>
                      </w:r>
                      <w:r w:rsidRPr="006C173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4,5%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od stanu na koniec 2016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5417" w:rsidRPr="00A61D56" w:rsidRDefault="00F61E03" w:rsidP="00685123">
      <w:pPr>
        <w:pStyle w:val="LID"/>
        <w:contextualSpacing/>
      </w:pPr>
      <w:r w:rsidRPr="00A61D56"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17030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70432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D56" w:rsidRPr="00B66B19" w:rsidRDefault="00A61D56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>
                                  <wp:extent cx="335280" cy="335280"/>
                                  <wp:effectExtent l="0" t="0" r="7620" b="762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280" cy="335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104,5</w:t>
                            </w:r>
                          </w:p>
                          <w:p w:rsidR="00A61D56" w:rsidRPr="00A220D1" w:rsidRDefault="00A61D56" w:rsidP="00883763">
                            <w:pPr>
                              <w:pStyle w:val="tekstnaniebieskimtle"/>
                            </w:pPr>
                            <w:r>
                              <w:t>Dynamika aktywów (pas</w:t>
                            </w:r>
                            <w:r>
                              <w:t>y</w:t>
                            </w:r>
                            <w:r>
                              <w:t>wów) r/r</w:t>
                            </w:r>
                          </w:p>
                          <w:p w:rsidR="00A61D56" w:rsidRPr="00883763" w:rsidRDefault="00A61D56" w:rsidP="00883763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Pole tekstowe 2" o:spid="_x0000_s1027" type="#_x0000_t202" style="position:absolute;margin-left:0;margin-top:6.55pt;width:2in;height:92.15pt;z-index:2516587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" fillcolor="#001d77" stroked="f">
                <v:textbox>
                  <w:txbxContent>
                    <w:p w:rsidR="00A61D56" w:rsidRPr="00B66B19" w:rsidRDefault="00A61D56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>
                            <wp:extent cx="335280" cy="335280"/>
                            <wp:effectExtent l="0" t="0" r="7620" b="762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280" cy="335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104,5</w:t>
                      </w:r>
                    </w:p>
                    <w:p w:rsidR="00A61D56" w:rsidRPr="00A220D1" w:rsidRDefault="00A61D56" w:rsidP="00883763">
                      <w:pPr>
                        <w:pStyle w:val="tekstnaniebieskimtle"/>
                      </w:pPr>
                      <w:r>
                        <w:t>Dynamika aktywów (pasywów) r/r</w:t>
                      </w:r>
                    </w:p>
                    <w:p w:rsidR="00A61D56" w:rsidRPr="00883763" w:rsidRDefault="00A61D56" w:rsidP="00883763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4B16" w:rsidRPr="00A61D56">
        <w:t>Wartość aktywów (pasywów) badanych podmiotów na dzień 31 grudnia 201</w:t>
      </w:r>
      <w:r w:rsidR="006C1730" w:rsidRPr="00A61D56">
        <w:t>7</w:t>
      </w:r>
      <w:r w:rsidR="00886A9E" w:rsidRPr="00A61D56">
        <w:t xml:space="preserve"> r. wyniosła 2 </w:t>
      </w:r>
      <w:r w:rsidR="00994B16" w:rsidRPr="00A61D56">
        <w:t>9</w:t>
      </w:r>
      <w:r w:rsidR="00886A9E" w:rsidRPr="00A61D56">
        <w:t>17</w:t>
      </w:r>
      <w:r w:rsidR="00994B16" w:rsidRPr="00A61D56">
        <w:t>,</w:t>
      </w:r>
      <w:r w:rsidR="00886A9E" w:rsidRPr="00A61D56">
        <w:t>6</w:t>
      </w:r>
      <w:r w:rsidR="00994B16" w:rsidRPr="00A61D56">
        <w:t xml:space="preserve"> mld zł (o </w:t>
      </w:r>
      <w:r w:rsidR="00886A9E" w:rsidRPr="00A61D56">
        <w:t>4</w:t>
      </w:r>
      <w:r w:rsidR="00994B16" w:rsidRPr="00A61D56">
        <w:t>,</w:t>
      </w:r>
      <w:r w:rsidR="00886A9E" w:rsidRPr="00A61D56">
        <w:t>5</w:t>
      </w:r>
      <w:r w:rsidR="00994B16" w:rsidRPr="00A61D56">
        <w:t>% więcej niż na koniec roku 201</w:t>
      </w:r>
      <w:r w:rsidR="00886A9E" w:rsidRPr="00A61D56">
        <w:t>6</w:t>
      </w:r>
      <w:r w:rsidR="00994B16" w:rsidRPr="00A61D56">
        <w:t>), w tym 6</w:t>
      </w:r>
      <w:r w:rsidR="00886A9E" w:rsidRPr="00A61D56">
        <w:t>0</w:t>
      </w:r>
      <w:r w:rsidR="00994B16" w:rsidRPr="00A61D56">
        <w:t>,</w:t>
      </w:r>
      <w:r w:rsidR="00886A9E" w:rsidRPr="00A61D56">
        <w:t>2</w:t>
      </w:r>
      <w:r w:rsidR="00994B16" w:rsidRPr="00A61D56">
        <w:t>% stanowiły aktywa trwałe, a 3</w:t>
      </w:r>
      <w:r w:rsidR="00886A9E" w:rsidRPr="00A61D56">
        <w:t>9</w:t>
      </w:r>
      <w:r w:rsidR="00994B16" w:rsidRPr="00A61D56">
        <w:t>,</w:t>
      </w:r>
      <w:r w:rsidR="00886A9E" w:rsidRPr="00A61D56">
        <w:t>7</w:t>
      </w:r>
      <w:r w:rsidR="00994B16" w:rsidRPr="00A61D56">
        <w:t>% aktywa obrotowe. Przychody</w:t>
      </w:r>
      <w:r w:rsidR="00C23F29" w:rsidRPr="00A61D56">
        <w:t xml:space="preserve"> </w:t>
      </w:r>
      <w:r w:rsidR="00994B16" w:rsidRPr="00A61D56">
        <w:t xml:space="preserve">ogółem były wyższe o </w:t>
      </w:r>
      <w:r w:rsidR="00886A9E" w:rsidRPr="00A61D56">
        <w:t>7,2</w:t>
      </w:r>
      <w:r w:rsidR="00994B16" w:rsidRPr="00A61D56">
        <w:t>% od osiągniętych w 201</w:t>
      </w:r>
      <w:r w:rsidR="00886A9E" w:rsidRPr="00A61D56">
        <w:t>6</w:t>
      </w:r>
      <w:r w:rsidR="0069050A" w:rsidRPr="00A61D56">
        <w:t xml:space="preserve"> r., a </w:t>
      </w:r>
      <w:r w:rsidR="00994B16" w:rsidRPr="00A61D56">
        <w:t xml:space="preserve">koszty ogółem o </w:t>
      </w:r>
      <w:r w:rsidR="00886A9E" w:rsidRPr="00A61D56">
        <w:t>6</w:t>
      </w:r>
      <w:r w:rsidR="00994B16" w:rsidRPr="00A61D56">
        <w:t>,</w:t>
      </w:r>
      <w:r w:rsidR="00886A9E" w:rsidRPr="00A61D56">
        <w:t>7</w:t>
      </w:r>
      <w:r w:rsidR="00994B16" w:rsidRPr="00A61D56">
        <w:t>%. Wynik finansowy netto osiągnął poziom 1</w:t>
      </w:r>
      <w:r w:rsidR="00886A9E" w:rsidRPr="00A61D56">
        <w:t>48</w:t>
      </w:r>
      <w:r w:rsidR="00994B16" w:rsidRPr="00A61D56">
        <w:t>,</w:t>
      </w:r>
      <w:r w:rsidR="00886A9E" w:rsidRPr="00A61D56">
        <w:t>9</w:t>
      </w:r>
      <w:r w:rsidR="00994B16" w:rsidRPr="00A61D56">
        <w:t xml:space="preserve"> mld zł (wzrost o </w:t>
      </w:r>
      <w:r w:rsidR="0059193C" w:rsidRPr="00A61D56">
        <w:t>1</w:t>
      </w:r>
      <w:r w:rsidR="00DA4FC9" w:rsidRPr="00A61D56">
        <w:t>7</w:t>
      </w:r>
      <w:r w:rsidR="00994B16" w:rsidRPr="00A61D56">
        <w:t>,</w:t>
      </w:r>
      <w:r w:rsidR="00DA4FC9" w:rsidRPr="00A61D56">
        <w:t>2</w:t>
      </w:r>
      <w:r w:rsidR="00C23F29" w:rsidRPr="00A61D56">
        <w:t>% w porównaniu z </w:t>
      </w:r>
      <w:r w:rsidR="00994B16" w:rsidRPr="00A61D56">
        <w:t>201</w:t>
      </w:r>
      <w:r w:rsidR="0059193C" w:rsidRPr="00A61D56">
        <w:t>6</w:t>
      </w:r>
      <w:r w:rsidR="00994B16" w:rsidRPr="00A61D56">
        <w:t> r.).</w:t>
      </w:r>
    </w:p>
    <w:p w:rsidR="00CB5417" w:rsidRPr="00A61D56" w:rsidRDefault="00CB5417" w:rsidP="00685123">
      <w:pPr>
        <w:pStyle w:val="LID"/>
        <w:contextualSpacing/>
      </w:pPr>
    </w:p>
    <w:p w:rsidR="00F23070" w:rsidRDefault="00F23070" w:rsidP="00685123">
      <w:pPr>
        <w:pStyle w:val="LID"/>
        <w:contextualSpacing/>
      </w:pPr>
    </w:p>
    <w:p w:rsidR="00F23070" w:rsidRDefault="00F23070" w:rsidP="00685123">
      <w:pPr>
        <w:pStyle w:val="LID"/>
        <w:contextualSpacing/>
      </w:pPr>
    </w:p>
    <w:p w:rsidR="00407DAB" w:rsidRPr="00A61D56" w:rsidRDefault="00731F4B" w:rsidP="00685123">
      <w:pPr>
        <w:pStyle w:val="LID"/>
        <w:contextualSpacing/>
      </w:pPr>
      <w:r w:rsidRPr="00A61D56">
        <w:t xml:space="preserve">Tablica 1. </w:t>
      </w:r>
      <w:r w:rsidR="00100F09" w:rsidRPr="00A61D56">
        <w:t xml:space="preserve">Podstawowe dane o badanych </w:t>
      </w:r>
      <w:r w:rsidR="00D617D1" w:rsidRPr="00A61D56">
        <w:t>podmiotach</w:t>
      </w: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1320"/>
        <w:gridCol w:w="1320"/>
        <w:gridCol w:w="1480"/>
      </w:tblGrid>
      <w:tr w:rsidR="00957F9B" w:rsidRPr="00A61D56" w:rsidTr="00957F9B">
        <w:trPr>
          <w:trHeight w:val="204"/>
        </w:trPr>
        <w:tc>
          <w:tcPr>
            <w:tcW w:w="386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A61D56" w:rsidRDefault="00957F9B" w:rsidP="00957F9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A61D56">
              <w:rPr>
                <w:rFonts w:eastAsia="Times New Roman" w:cs="Calibri"/>
                <w:color w:val="000000"/>
                <w:szCs w:val="19"/>
                <w:lang w:eastAsia="pl-PL"/>
              </w:rPr>
              <w:t>WYSZCZEGÓLNIENIE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A61D56" w:rsidRDefault="00957F9B" w:rsidP="00A90E22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A61D56">
              <w:rPr>
                <w:rFonts w:eastAsia="Times New Roman" w:cs="Calibri"/>
                <w:color w:val="000000"/>
                <w:szCs w:val="19"/>
                <w:lang w:eastAsia="pl-PL"/>
              </w:rPr>
              <w:t>201</w:t>
            </w:r>
            <w:r w:rsidR="00A90E22" w:rsidRPr="00A61D56">
              <w:rPr>
                <w:rFonts w:eastAsia="Times New Roman" w:cs="Calibri"/>
                <w:color w:val="000000"/>
                <w:szCs w:val="19"/>
                <w:lang w:eastAsia="pl-PL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A61D56" w:rsidRDefault="00957F9B" w:rsidP="00A90E22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A61D56">
              <w:rPr>
                <w:rFonts w:eastAsia="Times New Roman" w:cs="Calibri"/>
                <w:color w:val="000000"/>
                <w:szCs w:val="19"/>
                <w:lang w:eastAsia="pl-PL"/>
              </w:rPr>
              <w:t>201</w:t>
            </w:r>
            <w:r w:rsidR="00A90E22" w:rsidRPr="00A61D56">
              <w:rPr>
                <w:rFonts w:eastAsia="Times New Roman" w:cs="Calibri"/>
                <w:color w:val="000000"/>
                <w:szCs w:val="19"/>
                <w:lang w:eastAsia="pl-PL"/>
              </w:rPr>
              <w:t>7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212492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7F9B" w:rsidRPr="00A61D56" w:rsidRDefault="00957F9B" w:rsidP="00A90E22">
            <w:pPr>
              <w:spacing w:before="0" w:after="0" w:line="240" w:lineRule="auto"/>
              <w:jc w:val="center"/>
              <w:rPr>
                <w:rFonts w:eastAsia="Times New Roman" w:cs="Calibri"/>
                <w:szCs w:val="19"/>
                <w:lang w:eastAsia="pl-PL"/>
              </w:rPr>
            </w:pPr>
            <w:r w:rsidRPr="00A61D56">
              <w:rPr>
                <w:rFonts w:eastAsia="Times New Roman" w:cs="Calibri"/>
                <w:szCs w:val="19"/>
                <w:lang w:eastAsia="pl-PL"/>
              </w:rPr>
              <w:t>201</w:t>
            </w:r>
            <w:r w:rsidR="00A90E22" w:rsidRPr="00A61D56">
              <w:rPr>
                <w:rFonts w:eastAsia="Times New Roman" w:cs="Calibri"/>
                <w:szCs w:val="19"/>
                <w:lang w:eastAsia="pl-PL"/>
              </w:rPr>
              <w:t>6</w:t>
            </w:r>
            <w:r w:rsidRPr="00A61D56">
              <w:rPr>
                <w:rFonts w:eastAsia="Times New Roman" w:cs="Calibri"/>
                <w:szCs w:val="19"/>
                <w:lang w:eastAsia="pl-PL"/>
              </w:rPr>
              <w:t xml:space="preserve"> = 100</w:t>
            </w:r>
          </w:p>
        </w:tc>
      </w:tr>
      <w:tr w:rsidR="00957F9B" w:rsidRPr="00A61D56" w:rsidTr="00B9277C">
        <w:trPr>
          <w:trHeight w:val="216"/>
        </w:trPr>
        <w:tc>
          <w:tcPr>
            <w:tcW w:w="3860" w:type="dxa"/>
            <w:vMerge/>
            <w:tcBorders>
              <w:top w:val="single" w:sz="8" w:space="0" w:color="000000"/>
              <w:left w:val="nil"/>
              <w:bottom w:val="single" w:sz="18" w:space="0" w:color="212492"/>
              <w:right w:val="single" w:sz="4" w:space="0" w:color="212492"/>
            </w:tcBorders>
            <w:vAlign w:val="center"/>
            <w:hideMark/>
          </w:tcPr>
          <w:p w:rsidR="00957F9B" w:rsidRPr="00A61D56" w:rsidRDefault="00957F9B" w:rsidP="00957F9B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212492"/>
              <w:left w:val="nil"/>
              <w:bottom w:val="single" w:sz="18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A61D56" w:rsidRDefault="00957F9B" w:rsidP="00AA2B2D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A61D56">
              <w:rPr>
                <w:rFonts w:eastAsia="Times New Roman" w:cs="Calibri"/>
                <w:color w:val="000000"/>
                <w:szCs w:val="19"/>
                <w:lang w:eastAsia="pl-PL"/>
              </w:rPr>
              <w:t>w milia</w:t>
            </w:r>
            <w:r w:rsidR="00AA2B2D">
              <w:rPr>
                <w:rFonts w:eastAsia="Times New Roman" w:cs="Calibri"/>
                <w:color w:val="000000"/>
                <w:szCs w:val="19"/>
                <w:lang w:eastAsia="pl-PL"/>
              </w:rPr>
              <w:t>rda</w:t>
            </w:r>
            <w:r w:rsidRPr="00A61D56">
              <w:rPr>
                <w:rFonts w:eastAsia="Times New Roman" w:cs="Calibri"/>
                <w:color w:val="000000"/>
                <w:szCs w:val="19"/>
                <w:lang w:eastAsia="pl-PL"/>
              </w:rPr>
              <w:t>ch złotych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212492"/>
              <w:bottom w:val="single" w:sz="18" w:space="0" w:color="212492"/>
              <w:right w:val="nil"/>
            </w:tcBorders>
            <w:vAlign w:val="center"/>
            <w:hideMark/>
          </w:tcPr>
          <w:p w:rsidR="00957F9B" w:rsidRPr="00A61D56" w:rsidRDefault="00957F9B" w:rsidP="00957F9B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</w:p>
        </w:tc>
      </w:tr>
      <w:tr w:rsidR="00957F9B" w:rsidRPr="00A61D56" w:rsidTr="00D617D1">
        <w:trPr>
          <w:trHeight w:val="504"/>
        </w:trPr>
        <w:tc>
          <w:tcPr>
            <w:tcW w:w="386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A61D56" w:rsidRDefault="00A90E22" w:rsidP="00957F9B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A61D56">
              <w:rPr>
                <w:rFonts w:eastAsia="Times New Roman" w:cs="Calibri"/>
                <w:color w:val="000000"/>
                <w:szCs w:val="19"/>
                <w:lang w:eastAsia="pl-PL"/>
              </w:rPr>
              <w:t>Aktywa (Pasywa)</w:t>
            </w:r>
          </w:p>
        </w:tc>
        <w:tc>
          <w:tcPr>
            <w:tcW w:w="132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:rsidR="00957F9B" w:rsidRPr="00A61D56" w:rsidRDefault="0059193C" w:rsidP="00957F9B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A61D56">
              <w:rPr>
                <w:rFonts w:eastAsia="Times New Roman" w:cs="Calibri"/>
                <w:color w:val="000000"/>
                <w:szCs w:val="19"/>
                <w:lang w:eastAsia="pl-PL"/>
              </w:rPr>
              <w:t>2 792,3</w:t>
            </w:r>
          </w:p>
        </w:tc>
        <w:tc>
          <w:tcPr>
            <w:tcW w:w="132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:rsidR="00957F9B" w:rsidRPr="00A61D56" w:rsidRDefault="0059193C" w:rsidP="00957F9B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A61D56">
              <w:rPr>
                <w:rFonts w:eastAsia="Times New Roman" w:cs="Calibri"/>
                <w:color w:val="000000"/>
                <w:szCs w:val="19"/>
                <w:lang w:eastAsia="pl-PL"/>
              </w:rPr>
              <w:t>2 917,6</w:t>
            </w:r>
          </w:p>
        </w:tc>
        <w:tc>
          <w:tcPr>
            <w:tcW w:w="1480" w:type="dxa"/>
            <w:tcBorders>
              <w:top w:val="single" w:sz="18" w:space="0" w:color="212492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:rsidR="00957F9B" w:rsidRPr="00A61D56" w:rsidRDefault="0059193C" w:rsidP="00957F9B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A61D56">
              <w:rPr>
                <w:rFonts w:eastAsia="Times New Roman" w:cs="Calibri"/>
                <w:color w:val="000000"/>
                <w:szCs w:val="19"/>
                <w:lang w:eastAsia="pl-PL"/>
              </w:rPr>
              <w:t>104,5</w:t>
            </w:r>
          </w:p>
        </w:tc>
      </w:tr>
      <w:tr w:rsidR="00957F9B" w:rsidRPr="00A61D56" w:rsidTr="00D617D1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957F9B" w:rsidRPr="00A61D56" w:rsidRDefault="00A90E22" w:rsidP="00957F9B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A61D56">
              <w:rPr>
                <w:rFonts w:eastAsia="Times New Roman" w:cs="Calibri"/>
                <w:color w:val="000000"/>
                <w:szCs w:val="19"/>
                <w:lang w:eastAsia="pl-PL"/>
              </w:rPr>
              <w:t>Przychody ogółem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:rsidR="00957F9B" w:rsidRPr="00A61D56" w:rsidRDefault="0059193C" w:rsidP="00957F9B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A61D56">
              <w:rPr>
                <w:rFonts w:eastAsia="Times New Roman" w:cs="Calibri"/>
                <w:color w:val="000000"/>
                <w:szCs w:val="19"/>
                <w:lang w:eastAsia="pl-PL"/>
              </w:rPr>
              <w:t>3 180,6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:rsidR="00957F9B" w:rsidRPr="00A61D56" w:rsidRDefault="0059193C" w:rsidP="00957F9B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A61D56">
              <w:rPr>
                <w:rFonts w:eastAsia="Times New Roman" w:cs="Calibri"/>
                <w:color w:val="000000"/>
                <w:szCs w:val="19"/>
                <w:lang w:eastAsia="pl-PL"/>
              </w:rPr>
              <w:t>3 409,0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:rsidR="00957F9B" w:rsidRPr="00A61D56" w:rsidRDefault="0059193C" w:rsidP="00957F9B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A61D56">
              <w:rPr>
                <w:rFonts w:eastAsia="Times New Roman" w:cs="Calibri"/>
                <w:color w:val="000000"/>
                <w:szCs w:val="19"/>
                <w:lang w:eastAsia="pl-PL"/>
              </w:rPr>
              <w:t>107,2</w:t>
            </w:r>
          </w:p>
        </w:tc>
      </w:tr>
      <w:tr w:rsidR="00957F9B" w:rsidRPr="00A61D56" w:rsidTr="00D617D1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957F9B" w:rsidRPr="00A61D56" w:rsidRDefault="00A90E22" w:rsidP="00957F9B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A61D56">
              <w:rPr>
                <w:rFonts w:eastAsia="Times New Roman" w:cs="Calibri"/>
                <w:color w:val="000000"/>
                <w:szCs w:val="19"/>
                <w:lang w:eastAsia="pl-PL"/>
              </w:rPr>
              <w:t>Koszty ogółem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:rsidR="00957F9B" w:rsidRPr="00A61D56" w:rsidRDefault="0059193C" w:rsidP="00D17940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A61D56">
              <w:rPr>
                <w:rFonts w:eastAsia="Times New Roman" w:cs="Calibri"/>
                <w:color w:val="000000"/>
                <w:szCs w:val="19"/>
                <w:lang w:eastAsia="pl-PL"/>
              </w:rPr>
              <w:t>3 030,2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:rsidR="00957F9B" w:rsidRPr="00A61D56" w:rsidRDefault="0059193C" w:rsidP="00957F9B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A61D56">
              <w:rPr>
                <w:rFonts w:eastAsia="Times New Roman" w:cs="Calibri"/>
                <w:color w:val="000000"/>
                <w:szCs w:val="19"/>
                <w:lang w:eastAsia="pl-PL"/>
              </w:rPr>
              <w:t>3 232,5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:rsidR="00957F9B" w:rsidRPr="00A61D56" w:rsidRDefault="0059193C" w:rsidP="00957F9B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A61D56">
              <w:rPr>
                <w:rFonts w:eastAsia="Times New Roman" w:cs="Calibri"/>
                <w:color w:val="000000"/>
                <w:szCs w:val="19"/>
                <w:lang w:eastAsia="pl-PL"/>
              </w:rPr>
              <w:t>106,7</w:t>
            </w:r>
          </w:p>
        </w:tc>
      </w:tr>
      <w:tr w:rsidR="00957F9B" w:rsidRPr="00A61D56" w:rsidTr="00A90E22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957F9B" w:rsidRPr="00A61D56" w:rsidRDefault="00957F9B" w:rsidP="00957F9B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A61D56">
              <w:rPr>
                <w:rFonts w:eastAsia="Times New Roman" w:cs="Calibri"/>
                <w:color w:val="000000"/>
                <w:szCs w:val="19"/>
                <w:lang w:eastAsia="pl-PL"/>
              </w:rPr>
              <w:t>Wynik finansowy brutto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:rsidR="00957F9B" w:rsidRPr="00A61D56" w:rsidRDefault="0059193C" w:rsidP="00195B9C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A61D56">
              <w:rPr>
                <w:rFonts w:eastAsia="Times New Roman" w:cs="Calibri"/>
                <w:color w:val="000000"/>
                <w:szCs w:val="19"/>
                <w:lang w:eastAsia="pl-PL"/>
              </w:rPr>
              <w:t>150,5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:rsidR="00957F9B" w:rsidRPr="00A61D56" w:rsidRDefault="0059193C" w:rsidP="00957F9B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A61D56">
              <w:rPr>
                <w:rFonts w:eastAsia="Times New Roman" w:cs="Calibri"/>
                <w:color w:val="000000"/>
                <w:szCs w:val="19"/>
                <w:lang w:eastAsia="pl-PL"/>
              </w:rPr>
              <w:t>176,5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:rsidR="00957F9B" w:rsidRPr="00A61D56" w:rsidRDefault="0059193C" w:rsidP="00957F9B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A61D56">
              <w:rPr>
                <w:rFonts w:eastAsia="Times New Roman" w:cs="Calibri"/>
                <w:color w:val="000000"/>
                <w:szCs w:val="19"/>
                <w:lang w:eastAsia="pl-PL"/>
              </w:rPr>
              <w:t>117,3</w:t>
            </w:r>
          </w:p>
        </w:tc>
      </w:tr>
      <w:tr w:rsidR="00957F9B" w:rsidRPr="00A61D56" w:rsidTr="00A90E22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A61D56" w:rsidRDefault="00957F9B" w:rsidP="00957F9B">
            <w:pPr>
              <w:spacing w:before="0" w:after="0" w:line="240" w:lineRule="auto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A61D56">
              <w:rPr>
                <w:rFonts w:eastAsia="Times New Roman" w:cs="Calibri"/>
                <w:color w:val="000000"/>
                <w:szCs w:val="19"/>
                <w:lang w:eastAsia="pl-PL"/>
              </w:rPr>
              <w:t>Wynik finansowy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:rsidR="00957F9B" w:rsidRPr="00A61D56" w:rsidRDefault="0059193C" w:rsidP="00957F9B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A61D56">
              <w:rPr>
                <w:rFonts w:eastAsia="Times New Roman" w:cs="Calibri"/>
                <w:color w:val="000000"/>
                <w:szCs w:val="19"/>
                <w:lang w:eastAsia="pl-PL"/>
              </w:rPr>
              <w:t>127,0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:rsidR="00957F9B" w:rsidRPr="00A61D56" w:rsidRDefault="0059193C" w:rsidP="00957F9B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A61D56">
              <w:rPr>
                <w:rFonts w:eastAsia="Times New Roman" w:cs="Calibri"/>
                <w:color w:val="000000"/>
                <w:szCs w:val="19"/>
                <w:lang w:eastAsia="pl-PL"/>
              </w:rPr>
              <w:t>148,9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:rsidR="00957F9B" w:rsidRPr="00A61D56" w:rsidRDefault="0059193C" w:rsidP="00957F9B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Cs w:val="19"/>
                <w:lang w:eastAsia="pl-PL"/>
              </w:rPr>
            </w:pPr>
            <w:r w:rsidRPr="00A61D56">
              <w:rPr>
                <w:rFonts w:eastAsia="Times New Roman" w:cs="Calibri"/>
                <w:color w:val="000000"/>
                <w:szCs w:val="19"/>
                <w:lang w:eastAsia="pl-PL"/>
              </w:rPr>
              <w:t>117,2</w:t>
            </w:r>
          </w:p>
        </w:tc>
      </w:tr>
    </w:tbl>
    <w:p w:rsidR="00F23070" w:rsidRDefault="00F23070" w:rsidP="00D617D1">
      <w:pPr>
        <w:pStyle w:val="LID"/>
        <w:contextualSpacing/>
        <w:rPr>
          <w:b w:val="0"/>
        </w:rPr>
      </w:pPr>
    </w:p>
    <w:p w:rsidR="00F23070" w:rsidRDefault="00F23070" w:rsidP="00D617D1">
      <w:pPr>
        <w:pStyle w:val="LID"/>
        <w:contextualSpacing/>
        <w:rPr>
          <w:b w:val="0"/>
        </w:rPr>
      </w:pPr>
    </w:p>
    <w:p w:rsidR="00D617D1" w:rsidRPr="00A61D56" w:rsidRDefault="00D617D1" w:rsidP="00D617D1">
      <w:pPr>
        <w:pStyle w:val="LID"/>
        <w:contextualSpacing/>
        <w:rPr>
          <w:b w:val="0"/>
        </w:rPr>
      </w:pPr>
      <w:r w:rsidRPr="00A61D56">
        <w:rPr>
          <w:b w:val="0"/>
        </w:rPr>
        <w:t>Aktywa trwałe netto osiągneły wartość 1 7</w:t>
      </w:r>
      <w:r w:rsidR="00172EEB" w:rsidRPr="00A61D56">
        <w:rPr>
          <w:b w:val="0"/>
        </w:rPr>
        <w:t>57</w:t>
      </w:r>
      <w:r w:rsidRPr="00A61D56">
        <w:rPr>
          <w:b w:val="0"/>
        </w:rPr>
        <w:t>,</w:t>
      </w:r>
      <w:r w:rsidR="00172EEB" w:rsidRPr="00A61D56">
        <w:rPr>
          <w:b w:val="0"/>
        </w:rPr>
        <w:t>4</w:t>
      </w:r>
      <w:r w:rsidRPr="00A61D56">
        <w:rPr>
          <w:b w:val="0"/>
        </w:rPr>
        <w:t xml:space="preserve"> mld zł (o </w:t>
      </w:r>
      <w:r w:rsidR="00172EEB" w:rsidRPr="00A61D56">
        <w:rPr>
          <w:b w:val="0"/>
        </w:rPr>
        <w:t>3</w:t>
      </w:r>
      <w:r w:rsidRPr="00A61D56">
        <w:rPr>
          <w:b w:val="0"/>
        </w:rPr>
        <w:t>,</w:t>
      </w:r>
      <w:r w:rsidR="00172EEB" w:rsidRPr="00A61D56">
        <w:rPr>
          <w:b w:val="0"/>
        </w:rPr>
        <w:t>2</w:t>
      </w:r>
      <w:r w:rsidRPr="00A61D56">
        <w:rPr>
          <w:b w:val="0"/>
        </w:rPr>
        <w:t>% więcej niż na koniec roku 201</w:t>
      </w:r>
      <w:r w:rsidR="00172EEB" w:rsidRPr="00A61D56">
        <w:rPr>
          <w:b w:val="0"/>
        </w:rPr>
        <w:t>6</w:t>
      </w:r>
      <w:r w:rsidRPr="00A61D56">
        <w:rPr>
          <w:b w:val="0"/>
        </w:rPr>
        <w:t>).</w:t>
      </w:r>
    </w:p>
    <w:p w:rsidR="00D617D1" w:rsidRPr="00A61D56" w:rsidRDefault="00D617D1" w:rsidP="00A538BF">
      <w:pPr>
        <w:pStyle w:val="LID"/>
        <w:spacing w:before="240"/>
        <w:rPr>
          <w:b w:val="0"/>
        </w:rPr>
      </w:pPr>
      <w:r w:rsidRPr="00A61D56">
        <w:rPr>
          <w:b w:val="0"/>
        </w:rPr>
        <w:t>W strukturze aktywów trwałych netto obniżył się udział</w:t>
      </w:r>
      <w:r w:rsidR="00C23F29" w:rsidRPr="00A61D56">
        <w:rPr>
          <w:b w:val="0"/>
        </w:rPr>
        <w:t xml:space="preserve"> rzeczowych aktywów trwałych (z </w:t>
      </w:r>
      <w:r w:rsidRPr="00A61D56">
        <w:rPr>
          <w:b w:val="0"/>
        </w:rPr>
        <w:t>64,</w:t>
      </w:r>
      <w:r w:rsidR="00172EEB" w:rsidRPr="00A61D56">
        <w:rPr>
          <w:b w:val="0"/>
        </w:rPr>
        <w:t>7</w:t>
      </w:r>
      <w:r w:rsidRPr="00A61D56">
        <w:rPr>
          <w:b w:val="0"/>
        </w:rPr>
        <w:t>% do 6</w:t>
      </w:r>
      <w:r w:rsidR="00172EEB" w:rsidRPr="00A61D56">
        <w:rPr>
          <w:b w:val="0"/>
        </w:rPr>
        <w:t>3</w:t>
      </w:r>
      <w:r w:rsidRPr="00A61D56">
        <w:rPr>
          <w:b w:val="0"/>
        </w:rPr>
        <w:t>,</w:t>
      </w:r>
      <w:r w:rsidR="00172EEB" w:rsidRPr="00A61D56">
        <w:rPr>
          <w:b w:val="0"/>
        </w:rPr>
        <w:t>6</w:t>
      </w:r>
      <w:r w:rsidRPr="00A61D56">
        <w:rPr>
          <w:b w:val="0"/>
        </w:rPr>
        <w:t>%)</w:t>
      </w:r>
      <w:r w:rsidR="00172EEB" w:rsidRPr="00A61D56">
        <w:rPr>
          <w:b w:val="0"/>
        </w:rPr>
        <w:t xml:space="preserve"> oraz należności długoterminowych (z 1,8% do 1,5%)</w:t>
      </w:r>
      <w:r w:rsidRPr="00A61D56">
        <w:rPr>
          <w:b w:val="0"/>
        </w:rPr>
        <w:t>. Wzrósł udział inwestycji długoterminowych (z 24,</w:t>
      </w:r>
      <w:r w:rsidR="00172EEB" w:rsidRPr="00A61D56">
        <w:rPr>
          <w:b w:val="0"/>
        </w:rPr>
        <w:t>7% do 25</w:t>
      </w:r>
      <w:r w:rsidRPr="00A61D56">
        <w:rPr>
          <w:b w:val="0"/>
        </w:rPr>
        <w:t>,</w:t>
      </w:r>
      <w:r w:rsidR="00172EEB" w:rsidRPr="00A61D56">
        <w:rPr>
          <w:b w:val="0"/>
        </w:rPr>
        <w:t>4</w:t>
      </w:r>
      <w:r w:rsidRPr="00A61D56">
        <w:rPr>
          <w:b w:val="0"/>
        </w:rPr>
        <w:t>%)</w:t>
      </w:r>
      <w:r w:rsidR="00172EEB" w:rsidRPr="00A61D56">
        <w:rPr>
          <w:b w:val="0"/>
        </w:rPr>
        <w:t>, udział wartości niematerialnych i prawnych (z 6,3% do 6,9%) oraz udział długoterminowych rozliczeń międzyokresowych (z 2,5% do 2,6%).</w:t>
      </w:r>
    </w:p>
    <w:p w:rsidR="00D617D1" w:rsidRPr="00A61D56" w:rsidRDefault="00D617D1" w:rsidP="00A538BF">
      <w:pPr>
        <w:pStyle w:val="LID"/>
        <w:spacing w:before="240"/>
        <w:rPr>
          <w:b w:val="0"/>
        </w:rPr>
      </w:pPr>
      <w:r w:rsidRPr="00A61D56">
        <w:rPr>
          <w:b w:val="0"/>
        </w:rPr>
        <w:t xml:space="preserve">Aktywa obrotowe </w:t>
      </w:r>
      <w:r w:rsidR="00B4484D" w:rsidRPr="00A61D56">
        <w:rPr>
          <w:b w:val="0"/>
        </w:rPr>
        <w:t>ukształtowały się na poziomie 1 157</w:t>
      </w:r>
      <w:r w:rsidRPr="00A61D56">
        <w:rPr>
          <w:b w:val="0"/>
        </w:rPr>
        <w:t>,</w:t>
      </w:r>
      <w:r w:rsidR="00B4484D" w:rsidRPr="00A61D56">
        <w:rPr>
          <w:b w:val="0"/>
        </w:rPr>
        <w:t>3 mld zł tj. o 6</w:t>
      </w:r>
      <w:r w:rsidRPr="00A61D56">
        <w:rPr>
          <w:b w:val="0"/>
        </w:rPr>
        <w:t>,5% wyższym niż na koniec roku 201</w:t>
      </w:r>
      <w:r w:rsidR="00B4484D" w:rsidRPr="00A61D56">
        <w:rPr>
          <w:b w:val="0"/>
        </w:rPr>
        <w:t>6. W strukturze tych aktywów 43</w:t>
      </w:r>
      <w:r w:rsidRPr="00A61D56">
        <w:rPr>
          <w:b w:val="0"/>
        </w:rPr>
        <w:t>,</w:t>
      </w:r>
      <w:r w:rsidR="00B4484D" w:rsidRPr="00A61D56">
        <w:rPr>
          <w:b w:val="0"/>
        </w:rPr>
        <w:t>2</w:t>
      </w:r>
      <w:r w:rsidRPr="00A61D56">
        <w:rPr>
          <w:b w:val="0"/>
        </w:rPr>
        <w:t>% stanowił</w:t>
      </w:r>
      <w:r w:rsidR="00C23F29" w:rsidRPr="00A61D56">
        <w:rPr>
          <w:b w:val="0"/>
        </w:rPr>
        <w:t>y należności krótkoterminowe (w </w:t>
      </w:r>
      <w:r w:rsidRPr="00A61D56">
        <w:rPr>
          <w:b w:val="0"/>
        </w:rPr>
        <w:t>tym dominowały należności z tytułu dostaw i usług), 26,</w:t>
      </w:r>
      <w:r w:rsidR="00B4484D" w:rsidRPr="00A61D56">
        <w:rPr>
          <w:b w:val="0"/>
        </w:rPr>
        <w:t>4</w:t>
      </w:r>
      <w:r w:rsidRPr="00A61D56">
        <w:rPr>
          <w:b w:val="0"/>
        </w:rPr>
        <w:t>% – inwestycje krótkoterminowe (największy wzrost miały krótkoterminowe aktywa finansowe), 27,</w:t>
      </w:r>
      <w:r w:rsidR="00B4484D" w:rsidRPr="00A61D56">
        <w:rPr>
          <w:b w:val="0"/>
        </w:rPr>
        <w:t>6</w:t>
      </w:r>
      <w:r w:rsidRPr="00A61D56">
        <w:rPr>
          <w:b w:val="0"/>
        </w:rPr>
        <w:t>% – zapasy i 2,</w:t>
      </w:r>
      <w:r w:rsidR="00B4484D" w:rsidRPr="00A61D56">
        <w:rPr>
          <w:b w:val="0"/>
        </w:rPr>
        <w:t>8</w:t>
      </w:r>
      <w:r w:rsidRPr="00A61D56">
        <w:rPr>
          <w:b w:val="0"/>
        </w:rPr>
        <w:t>% – krótkoterminowe rozliczenia międzyokresowe.</w:t>
      </w:r>
    </w:p>
    <w:p w:rsidR="00F23070" w:rsidRDefault="00F23070">
      <w:pPr>
        <w:spacing w:before="0" w:after="160" w:line="259" w:lineRule="auto"/>
        <w:rPr>
          <w:b/>
          <w:noProof/>
          <w:szCs w:val="19"/>
          <w:lang w:eastAsia="pl-PL"/>
        </w:rPr>
      </w:pPr>
      <w:r>
        <w:br w:type="page"/>
      </w:r>
    </w:p>
    <w:p w:rsidR="00C43850" w:rsidRDefault="00B82D66" w:rsidP="00A538BF">
      <w:pPr>
        <w:pStyle w:val="LID"/>
        <w:spacing w:before="240" w:after="0"/>
        <w:contextualSpacing/>
      </w:pPr>
      <w:r>
        <w:lastRenderedPageBreak/>
        <w:drawing>
          <wp:anchor distT="0" distB="0" distL="114300" distR="114300" simplePos="0" relativeHeight="251697152" behindDoc="0" locked="0" layoutInCell="1" allowOverlap="1" wp14:anchorId="0C62D31C">
            <wp:simplePos x="0" y="0"/>
            <wp:positionH relativeFrom="column">
              <wp:posOffset>-172085</wp:posOffset>
            </wp:positionH>
            <wp:positionV relativeFrom="paragraph">
              <wp:posOffset>253365</wp:posOffset>
            </wp:positionV>
            <wp:extent cx="5381625" cy="2838450"/>
            <wp:effectExtent l="0" t="0" r="9525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83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850" w:rsidRPr="00A61D56">
        <w:t xml:space="preserve">Wykres 1. Struktura aktywów trwałych </w:t>
      </w:r>
      <w:r w:rsidR="00762621" w:rsidRPr="00A61D56">
        <w:t xml:space="preserve">i obrotowych </w:t>
      </w:r>
      <w:r w:rsidR="00C43850" w:rsidRPr="00A61D56">
        <w:t>(stan na 31.12.2017 r.)</w:t>
      </w:r>
    </w:p>
    <w:p w:rsidR="00762621" w:rsidRPr="00A61D56" w:rsidRDefault="00762621" w:rsidP="00762621">
      <w:pPr>
        <w:pStyle w:val="LID"/>
        <w:rPr>
          <w:b w:val="0"/>
        </w:rPr>
      </w:pPr>
      <w:r w:rsidRPr="00A61D56">
        <w:rPr>
          <w:b w:val="0"/>
        </w:rPr>
        <w:t>W strukturze pasywów 4</w:t>
      </w:r>
      <w:r w:rsidR="00821EF9" w:rsidRPr="00A61D56">
        <w:rPr>
          <w:b w:val="0"/>
        </w:rPr>
        <w:t>9</w:t>
      </w:r>
      <w:r w:rsidRPr="00A61D56">
        <w:rPr>
          <w:b w:val="0"/>
        </w:rPr>
        <w:t>,</w:t>
      </w:r>
      <w:r w:rsidR="00821EF9" w:rsidRPr="00A61D56">
        <w:rPr>
          <w:b w:val="0"/>
        </w:rPr>
        <w:t>7</w:t>
      </w:r>
      <w:r w:rsidRPr="00A61D56">
        <w:rPr>
          <w:b w:val="0"/>
        </w:rPr>
        <w:t>% stanowiły kapitały (fundusze), a 5</w:t>
      </w:r>
      <w:r w:rsidR="00821EF9" w:rsidRPr="00A61D56">
        <w:rPr>
          <w:b w:val="0"/>
        </w:rPr>
        <w:t>0</w:t>
      </w:r>
      <w:r w:rsidRPr="00A61D56">
        <w:rPr>
          <w:b w:val="0"/>
        </w:rPr>
        <w:t>,</w:t>
      </w:r>
      <w:r w:rsidR="00821EF9" w:rsidRPr="00A61D56">
        <w:rPr>
          <w:b w:val="0"/>
        </w:rPr>
        <w:t>3</w:t>
      </w:r>
      <w:r w:rsidRPr="00A61D56">
        <w:rPr>
          <w:b w:val="0"/>
        </w:rPr>
        <w:t>% zobowiązania i rezerwy na zobowiązania.</w:t>
      </w:r>
    </w:p>
    <w:p w:rsidR="00762621" w:rsidRPr="00A61D56" w:rsidRDefault="00762621" w:rsidP="00762621">
      <w:pPr>
        <w:pStyle w:val="LID"/>
        <w:rPr>
          <w:b w:val="0"/>
        </w:rPr>
      </w:pPr>
      <w:r w:rsidRPr="00A61D56">
        <w:rPr>
          <w:b w:val="0"/>
        </w:rPr>
        <w:t>Kapitały (fundusze) własne badanych przedsiębiorstw na koniec 201</w:t>
      </w:r>
      <w:r w:rsidR="00821EF9" w:rsidRPr="00A61D56">
        <w:rPr>
          <w:b w:val="0"/>
        </w:rPr>
        <w:t>7</w:t>
      </w:r>
      <w:r w:rsidRPr="00A61D56">
        <w:rPr>
          <w:b w:val="0"/>
        </w:rPr>
        <w:t xml:space="preserve"> </w:t>
      </w:r>
      <w:r w:rsidR="00821EF9" w:rsidRPr="00A61D56">
        <w:rPr>
          <w:b w:val="0"/>
        </w:rPr>
        <w:t>roku wyniosły 1 451,1 mld zł (o 6</w:t>
      </w:r>
      <w:r w:rsidRPr="00A61D56">
        <w:rPr>
          <w:b w:val="0"/>
        </w:rPr>
        <w:t>,2</w:t>
      </w:r>
      <w:r w:rsidR="00821EF9" w:rsidRPr="00A61D56">
        <w:rPr>
          <w:b w:val="0"/>
        </w:rPr>
        <w:t>% więcej niż na koniec roku 2016</w:t>
      </w:r>
      <w:r w:rsidRPr="00A61D56">
        <w:rPr>
          <w:b w:val="0"/>
        </w:rPr>
        <w:t>).</w:t>
      </w:r>
    </w:p>
    <w:p w:rsidR="00762621" w:rsidRPr="00A61D56" w:rsidRDefault="00762621" w:rsidP="00762621">
      <w:pPr>
        <w:pStyle w:val="LID"/>
        <w:contextualSpacing/>
        <w:rPr>
          <w:b w:val="0"/>
        </w:rPr>
      </w:pPr>
      <w:r w:rsidRPr="00A61D56">
        <w:rPr>
          <w:b w:val="0"/>
        </w:rPr>
        <w:t>Zobowiązania i rezerwy na zobowiązania wyniosły na koniec roku 1 4</w:t>
      </w:r>
      <w:r w:rsidR="00D64C9D" w:rsidRPr="00A61D56">
        <w:rPr>
          <w:b w:val="0"/>
        </w:rPr>
        <w:t>6</w:t>
      </w:r>
      <w:r w:rsidRPr="00A61D56">
        <w:rPr>
          <w:b w:val="0"/>
        </w:rPr>
        <w:t>6,</w:t>
      </w:r>
      <w:r w:rsidR="00D64C9D" w:rsidRPr="00A61D56">
        <w:rPr>
          <w:b w:val="0"/>
        </w:rPr>
        <w:t>5</w:t>
      </w:r>
      <w:r w:rsidR="00C23F29" w:rsidRPr="00A61D56">
        <w:rPr>
          <w:b w:val="0"/>
        </w:rPr>
        <w:t xml:space="preserve"> mld zł (wzrost o </w:t>
      </w:r>
      <w:r w:rsidR="00D64C9D" w:rsidRPr="00A61D56">
        <w:rPr>
          <w:b w:val="0"/>
        </w:rPr>
        <w:t>2</w:t>
      </w:r>
      <w:r w:rsidRPr="00A61D56">
        <w:rPr>
          <w:b w:val="0"/>
        </w:rPr>
        <w:t>,</w:t>
      </w:r>
      <w:r w:rsidR="00D64C9D" w:rsidRPr="00A61D56">
        <w:rPr>
          <w:b w:val="0"/>
        </w:rPr>
        <w:t>8</w:t>
      </w:r>
      <w:r w:rsidRPr="00A61D56">
        <w:rPr>
          <w:b w:val="0"/>
        </w:rPr>
        <w:t>% w stosunku do stanu na koniec roku 201</w:t>
      </w:r>
      <w:r w:rsidR="00D64C9D" w:rsidRPr="00A61D56">
        <w:rPr>
          <w:b w:val="0"/>
        </w:rPr>
        <w:t>6</w:t>
      </w:r>
      <w:r w:rsidRPr="00A61D56">
        <w:rPr>
          <w:b w:val="0"/>
        </w:rPr>
        <w:t>). Zobowiązania krótkoterminowe stanowiły 5</w:t>
      </w:r>
      <w:r w:rsidR="00D64C9D" w:rsidRPr="00A61D56">
        <w:rPr>
          <w:b w:val="0"/>
        </w:rPr>
        <w:t>3</w:t>
      </w:r>
      <w:r w:rsidRPr="00A61D56">
        <w:rPr>
          <w:b w:val="0"/>
        </w:rPr>
        <w:t xml:space="preserve">,9% zobowiązań ogółem, a zobowiązania długoterminowe </w:t>
      </w:r>
      <w:r w:rsidR="00D64C9D" w:rsidRPr="00A61D56">
        <w:rPr>
          <w:b w:val="0"/>
        </w:rPr>
        <w:t>28,8</w:t>
      </w:r>
      <w:r w:rsidRPr="00A61D56">
        <w:rPr>
          <w:b w:val="0"/>
        </w:rPr>
        <w:t>%. Wartość rezerw na zobowiązania osiągnęła stan 1</w:t>
      </w:r>
      <w:r w:rsidR="00D64C9D" w:rsidRPr="00A61D56">
        <w:rPr>
          <w:b w:val="0"/>
        </w:rPr>
        <w:t>1</w:t>
      </w:r>
      <w:r w:rsidRPr="00A61D56">
        <w:rPr>
          <w:b w:val="0"/>
        </w:rPr>
        <w:t>0,</w:t>
      </w:r>
      <w:r w:rsidR="00D64C9D" w:rsidRPr="00A61D56">
        <w:rPr>
          <w:b w:val="0"/>
        </w:rPr>
        <w:t>2</w:t>
      </w:r>
      <w:r w:rsidRPr="00A61D56">
        <w:rPr>
          <w:b w:val="0"/>
        </w:rPr>
        <w:t xml:space="preserve"> mld zł (w tym 2</w:t>
      </w:r>
      <w:r w:rsidR="00D64C9D" w:rsidRPr="00A61D56">
        <w:rPr>
          <w:b w:val="0"/>
        </w:rPr>
        <w:t>7</w:t>
      </w:r>
      <w:r w:rsidRPr="00A61D56">
        <w:rPr>
          <w:b w:val="0"/>
        </w:rPr>
        <w:t>,</w:t>
      </w:r>
      <w:r w:rsidR="00D64C9D" w:rsidRPr="00A61D56">
        <w:rPr>
          <w:b w:val="0"/>
        </w:rPr>
        <w:t>5</w:t>
      </w:r>
      <w:r w:rsidRPr="00A61D56">
        <w:rPr>
          <w:b w:val="0"/>
        </w:rPr>
        <w:t xml:space="preserve"> mld zł stanowiły rezerwy z tytułu odroczonego podatku dochodowego).</w:t>
      </w:r>
    </w:p>
    <w:p w:rsidR="00FB076B" w:rsidRDefault="00A71B44" w:rsidP="00FB076B">
      <w:pPr>
        <w:pStyle w:val="LID"/>
        <w:spacing w:before="240"/>
        <w:rPr>
          <w:b w:val="0"/>
        </w:rPr>
      </w:pPr>
      <w:r w:rsidRPr="00A61D56">
        <w:rPr>
          <w:b w:val="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46D2B00" wp14:editId="4B17880D">
                <wp:simplePos x="0" y="0"/>
                <wp:positionH relativeFrom="column">
                  <wp:posOffset>5410200</wp:posOffset>
                </wp:positionH>
                <wp:positionV relativeFrom="paragraph">
                  <wp:posOffset>3028950</wp:posOffset>
                </wp:positionV>
                <wp:extent cx="1577340" cy="1219200"/>
                <wp:effectExtent l="0" t="0" r="0" b="0"/>
                <wp:wrapSquare wrapText="bothSides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B44" w:rsidRPr="00382033" w:rsidRDefault="00A71B44" w:rsidP="00A71B44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 porównaniu do 2016 roku przychody ogółem badanych podmiotów wzrósł o 7,2%, a koszty ogółem wzrosły o 6,7%.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46D2B0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26pt;margin-top:238.5pt;width:124.2pt;height:9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" filled="f" stroked="f">
                <v:textbox>
                  <w:txbxContent>
                    <w:p w:rsidR="00A71B44" w:rsidRPr="00382033" w:rsidRDefault="00A71B44" w:rsidP="00A71B44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 porównaniu do 2016 roku przychody ogółem badanych podmiotów wzrósł o 7,2%, a koszty ogółem wzrosły o 6,7%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2621" w:rsidRPr="00A61D56">
        <w:t>Wykres 2. Struktura pasywów (stan na 31.12.2017 r.)</w:t>
      </w:r>
      <w:r w:rsidR="00FB076B">
        <w:rPr>
          <w:b w:val="0"/>
        </w:rPr>
        <w:drawing>
          <wp:anchor distT="0" distB="0" distL="114300" distR="114300" simplePos="0" relativeHeight="251688960" behindDoc="0" locked="0" layoutInCell="1" allowOverlap="1" wp14:anchorId="7F1F2C53">
            <wp:simplePos x="0" y="0"/>
            <wp:positionH relativeFrom="column">
              <wp:posOffset>0</wp:posOffset>
            </wp:positionH>
            <wp:positionV relativeFrom="paragraph">
              <wp:posOffset>304800</wp:posOffset>
            </wp:positionV>
            <wp:extent cx="4486910" cy="2810510"/>
            <wp:effectExtent l="0" t="0" r="8890" b="889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10" cy="281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853" w:rsidRDefault="00976853" w:rsidP="00FB076B">
      <w:pPr>
        <w:pStyle w:val="LID"/>
        <w:spacing w:before="240"/>
        <w:rPr>
          <w:b w:val="0"/>
        </w:rPr>
      </w:pPr>
    </w:p>
    <w:p w:rsidR="00976853" w:rsidRDefault="00976853" w:rsidP="00FB076B">
      <w:pPr>
        <w:pStyle w:val="LID"/>
        <w:spacing w:before="240"/>
        <w:rPr>
          <w:b w:val="0"/>
        </w:rPr>
      </w:pPr>
    </w:p>
    <w:p w:rsidR="00976853" w:rsidRDefault="00976853" w:rsidP="00FB076B">
      <w:pPr>
        <w:pStyle w:val="LID"/>
        <w:spacing w:before="240"/>
        <w:rPr>
          <w:b w:val="0"/>
        </w:rPr>
      </w:pPr>
    </w:p>
    <w:p w:rsidR="00976853" w:rsidRDefault="00976853" w:rsidP="00FB076B">
      <w:pPr>
        <w:pStyle w:val="LID"/>
        <w:spacing w:before="240"/>
        <w:rPr>
          <w:b w:val="0"/>
        </w:rPr>
      </w:pPr>
    </w:p>
    <w:p w:rsidR="00976853" w:rsidRDefault="00976853" w:rsidP="00FB076B">
      <w:pPr>
        <w:pStyle w:val="LID"/>
        <w:spacing w:before="240"/>
        <w:rPr>
          <w:b w:val="0"/>
        </w:rPr>
      </w:pPr>
    </w:p>
    <w:p w:rsidR="00976853" w:rsidRDefault="00976853" w:rsidP="00FB076B">
      <w:pPr>
        <w:pStyle w:val="LID"/>
        <w:spacing w:before="240"/>
        <w:rPr>
          <w:b w:val="0"/>
        </w:rPr>
      </w:pPr>
    </w:p>
    <w:p w:rsidR="00976853" w:rsidRDefault="00976853" w:rsidP="00FB076B">
      <w:pPr>
        <w:pStyle w:val="LID"/>
        <w:spacing w:before="240"/>
        <w:rPr>
          <w:b w:val="0"/>
        </w:rPr>
      </w:pPr>
    </w:p>
    <w:p w:rsidR="00976853" w:rsidRDefault="00976853" w:rsidP="00FB076B">
      <w:pPr>
        <w:pStyle w:val="LID"/>
        <w:spacing w:before="240"/>
        <w:rPr>
          <w:b w:val="0"/>
        </w:rPr>
      </w:pPr>
    </w:p>
    <w:p w:rsidR="00976853" w:rsidRDefault="00976853" w:rsidP="00FB076B">
      <w:pPr>
        <w:pStyle w:val="LID"/>
        <w:spacing w:before="240"/>
        <w:rPr>
          <w:b w:val="0"/>
        </w:rPr>
      </w:pPr>
    </w:p>
    <w:p w:rsidR="00976853" w:rsidRDefault="00976853" w:rsidP="00FB076B">
      <w:pPr>
        <w:pStyle w:val="LID"/>
        <w:spacing w:before="240"/>
        <w:rPr>
          <w:b w:val="0"/>
        </w:rPr>
      </w:pPr>
    </w:p>
    <w:p w:rsidR="00331000" w:rsidRPr="00A61D56" w:rsidRDefault="00331000" w:rsidP="00FB076B">
      <w:pPr>
        <w:pStyle w:val="LID"/>
        <w:spacing w:before="240"/>
        <w:rPr>
          <w:b w:val="0"/>
        </w:rPr>
      </w:pPr>
      <w:r w:rsidRPr="00A61D56">
        <w:rPr>
          <w:b w:val="0"/>
        </w:rPr>
        <w:t xml:space="preserve">Przychody </w:t>
      </w:r>
      <w:r w:rsidR="0069050A" w:rsidRPr="00A61D56">
        <w:rPr>
          <w:b w:val="0"/>
        </w:rPr>
        <w:t>ogółem</w:t>
      </w:r>
      <w:r w:rsidRPr="00A61D56">
        <w:rPr>
          <w:b w:val="0"/>
        </w:rPr>
        <w:t xml:space="preserve"> badanych podmiotów były w 201</w:t>
      </w:r>
      <w:r w:rsidR="00FF70AF" w:rsidRPr="00A61D56">
        <w:rPr>
          <w:b w:val="0"/>
        </w:rPr>
        <w:t>7</w:t>
      </w:r>
      <w:r w:rsidRPr="00A61D56">
        <w:rPr>
          <w:b w:val="0"/>
        </w:rPr>
        <w:t xml:space="preserve"> r. wyższe o </w:t>
      </w:r>
      <w:r w:rsidR="00FF70AF" w:rsidRPr="00A61D56">
        <w:rPr>
          <w:b w:val="0"/>
        </w:rPr>
        <w:t>7</w:t>
      </w:r>
      <w:r w:rsidRPr="00A61D56">
        <w:rPr>
          <w:b w:val="0"/>
        </w:rPr>
        <w:t>,</w:t>
      </w:r>
      <w:r w:rsidR="00FF70AF" w:rsidRPr="00A61D56">
        <w:rPr>
          <w:b w:val="0"/>
        </w:rPr>
        <w:t>2% niż w roku 2016</w:t>
      </w:r>
      <w:r w:rsidR="0069050A" w:rsidRPr="00A61D56">
        <w:rPr>
          <w:b w:val="0"/>
        </w:rPr>
        <w:t xml:space="preserve"> i </w:t>
      </w:r>
      <w:r w:rsidRPr="00A61D56">
        <w:rPr>
          <w:b w:val="0"/>
        </w:rPr>
        <w:t>wyniosły 3</w:t>
      </w:r>
      <w:r w:rsidR="00FF70AF" w:rsidRPr="00A61D56">
        <w:rPr>
          <w:b w:val="0"/>
        </w:rPr>
        <w:t> 409</w:t>
      </w:r>
      <w:r w:rsidRPr="00A61D56">
        <w:rPr>
          <w:b w:val="0"/>
        </w:rPr>
        <w:t>,</w:t>
      </w:r>
      <w:r w:rsidR="00FF70AF" w:rsidRPr="00A61D56">
        <w:rPr>
          <w:b w:val="0"/>
        </w:rPr>
        <w:t>0</w:t>
      </w:r>
      <w:r w:rsidRPr="00A61D56">
        <w:rPr>
          <w:b w:val="0"/>
        </w:rPr>
        <w:t xml:space="preserve"> mld zł. W strukturze tych przychodów 5</w:t>
      </w:r>
      <w:r w:rsidR="00FF70AF" w:rsidRPr="00A61D56">
        <w:rPr>
          <w:b w:val="0"/>
        </w:rPr>
        <w:t>5</w:t>
      </w:r>
      <w:r w:rsidRPr="00A61D56">
        <w:rPr>
          <w:b w:val="0"/>
        </w:rPr>
        <w:t>,</w:t>
      </w:r>
      <w:r w:rsidR="00FF70AF" w:rsidRPr="00A61D56">
        <w:rPr>
          <w:b w:val="0"/>
        </w:rPr>
        <w:t>8</w:t>
      </w:r>
      <w:r w:rsidRPr="00A61D56">
        <w:rPr>
          <w:b w:val="0"/>
        </w:rPr>
        <w:t>% stanowiły przychody ze sprzedaży produktów (wyrobów i usług), 40,9% przychody ze sprzeda</w:t>
      </w:r>
      <w:r w:rsidR="00FF70AF" w:rsidRPr="00A61D56">
        <w:rPr>
          <w:b w:val="0"/>
        </w:rPr>
        <w:t>ży towarów i materiałów oraz 3,3</w:t>
      </w:r>
      <w:r w:rsidRPr="00A61D56">
        <w:rPr>
          <w:b w:val="0"/>
        </w:rPr>
        <w:t>% pozostałe przychody operacyjne i przychody finansowe.</w:t>
      </w:r>
    </w:p>
    <w:p w:rsidR="00331000" w:rsidRPr="00A61D56" w:rsidRDefault="00331000" w:rsidP="00331000">
      <w:pPr>
        <w:pStyle w:val="LID"/>
        <w:rPr>
          <w:b w:val="0"/>
        </w:rPr>
      </w:pPr>
      <w:r w:rsidRPr="00A61D56">
        <w:rPr>
          <w:b w:val="0"/>
        </w:rPr>
        <w:t>Koszty ogółem były w 201</w:t>
      </w:r>
      <w:r w:rsidR="00274F97" w:rsidRPr="00A61D56">
        <w:rPr>
          <w:b w:val="0"/>
        </w:rPr>
        <w:t>7 r. wyższe o 6</w:t>
      </w:r>
      <w:r w:rsidRPr="00A61D56">
        <w:rPr>
          <w:b w:val="0"/>
        </w:rPr>
        <w:t>,</w:t>
      </w:r>
      <w:r w:rsidR="00274F97" w:rsidRPr="00A61D56">
        <w:rPr>
          <w:b w:val="0"/>
        </w:rPr>
        <w:t>7% niż w roku 2016</w:t>
      </w:r>
      <w:r w:rsidRPr="00A61D56">
        <w:rPr>
          <w:b w:val="0"/>
        </w:rPr>
        <w:t xml:space="preserve"> i wyniosły </w:t>
      </w:r>
      <w:r w:rsidR="00274F97" w:rsidRPr="00A61D56">
        <w:rPr>
          <w:b w:val="0"/>
        </w:rPr>
        <w:t>3 232</w:t>
      </w:r>
      <w:r w:rsidRPr="00A61D56">
        <w:rPr>
          <w:b w:val="0"/>
        </w:rPr>
        <w:t>,</w:t>
      </w:r>
      <w:r w:rsidR="00274F97" w:rsidRPr="00A61D56">
        <w:rPr>
          <w:b w:val="0"/>
        </w:rPr>
        <w:t>5</w:t>
      </w:r>
      <w:r w:rsidR="0069050A" w:rsidRPr="00A61D56">
        <w:rPr>
          <w:b w:val="0"/>
        </w:rPr>
        <w:t xml:space="preserve"> mld zł. W </w:t>
      </w:r>
      <w:r w:rsidRPr="00A61D56">
        <w:rPr>
          <w:b w:val="0"/>
        </w:rPr>
        <w:t>strukturze tych kosztów 9</w:t>
      </w:r>
      <w:r w:rsidR="00274F97" w:rsidRPr="00A61D56">
        <w:rPr>
          <w:b w:val="0"/>
        </w:rPr>
        <w:t>7</w:t>
      </w:r>
      <w:r w:rsidRPr="00A61D56">
        <w:rPr>
          <w:b w:val="0"/>
        </w:rPr>
        <w:t>,</w:t>
      </w:r>
      <w:r w:rsidR="00274F97" w:rsidRPr="00A61D56">
        <w:rPr>
          <w:b w:val="0"/>
        </w:rPr>
        <w:t>1</w:t>
      </w:r>
      <w:r w:rsidRPr="00A61D56">
        <w:rPr>
          <w:b w:val="0"/>
        </w:rPr>
        <w:t>% stanowiły koszty własne s</w:t>
      </w:r>
      <w:r w:rsidR="0069050A" w:rsidRPr="00A61D56">
        <w:rPr>
          <w:b w:val="0"/>
        </w:rPr>
        <w:t>przedanych produktów, towarów i </w:t>
      </w:r>
      <w:r w:rsidRPr="00A61D56">
        <w:rPr>
          <w:b w:val="0"/>
        </w:rPr>
        <w:t>materiałów, 1,</w:t>
      </w:r>
      <w:r w:rsidR="00274F97" w:rsidRPr="00A61D56">
        <w:rPr>
          <w:b w:val="0"/>
        </w:rPr>
        <w:t>5</w:t>
      </w:r>
      <w:r w:rsidRPr="00A61D56">
        <w:rPr>
          <w:b w:val="0"/>
        </w:rPr>
        <w:t>% pozostałe koszty operacyjne i 1,</w:t>
      </w:r>
      <w:r w:rsidR="00274F97" w:rsidRPr="00A61D56">
        <w:rPr>
          <w:b w:val="0"/>
        </w:rPr>
        <w:t>4</w:t>
      </w:r>
      <w:r w:rsidRPr="00A61D56">
        <w:rPr>
          <w:b w:val="0"/>
        </w:rPr>
        <w:t>% koszty operacji finansowych.</w:t>
      </w:r>
    </w:p>
    <w:p w:rsidR="00331000" w:rsidRPr="00A61D56" w:rsidRDefault="00331000" w:rsidP="00331000">
      <w:pPr>
        <w:pStyle w:val="LID"/>
        <w:rPr>
          <w:b w:val="0"/>
        </w:rPr>
      </w:pPr>
      <w:r w:rsidRPr="00A61D56">
        <w:rPr>
          <w:b w:val="0"/>
        </w:rPr>
        <w:lastRenderedPageBreak/>
        <w:t>Wynik finansowy brutto wyniósł 1</w:t>
      </w:r>
      <w:r w:rsidR="00CD2DFF" w:rsidRPr="00A61D56">
        <w:rPr>
          <w:b w:val="0"/>
        </w:rPr>
        <w:t>76</w:t>
      </w:r>
      <w:r w:rsidRPr="00A61D56">
        <w:rPr>
          <w:b w:val="0"/>
        </w:rPr>
        <w:t xml:space="preserve">,5 mld zł (zysk </w:t>
      </w:r>
      <w:r w:rsidR="00CD2DFF" w:rsidRPr="00A61D56">
        <w:rPr>
          <w:b w:val="0"/>
        </w:rPr>
        <w:t>202</w:t>
      </w:r>
      <w:r w:rsidRPr="00A61D56">
        <w:rPr>
          <w:b w:val="0"/>
        </w:rPr>
        <w:t>,</w:t>
      </w:r>
      <w:r w:rsidR="00CD2DFF" w:rsidRPr="00A61D56">
        <w:rPr>
          <w:b w:val="0"/>
        </w:rPr>
        <w:t>0</w:t>
      </w:r>
      <w:r w:rsidRPr="00A61D56">
        <w:rPr>
          <w:b w:val="0"/>
        </w:rPr>
        <w:t xml:space="preserve"> mld zł, strata </w:t>
      </w:r>
      <w:r w:rsidR="00CD2DFF" w:rsidRPr="00A61D56">
        <w:rPr>
          <w:b w:val="0"/>
        </w:rPr>
        <w:t>25</w:t>
      </w:r>
      <w:r w:rsidRPr="00A61D56">
        <w:rPr>
          <w:b w:val="0"/>
        </w:rPr>
        <w:t>,</w:t>
      </w:r>
      <w:r w:rsidR="00CD2DFF" w:rsidRPr="00A61D56">
        <w:rPr>
          <w:b w:val="0"/>
        </w:rPr>
        <w:t>5</w:t>
      </w:r>
      <w:r w:rsidRPr="00A61D56">
        <w:rPr>
          <w:b w:val="0"/>
        </w:rPr>
        <w:t xml:space="preserve"> mld zł). Obciążenia wyniku finansowego brutto z tytułu podatku dochodowego wzrosły </w:t>
      </w:r>
      <w:r w:rsidR="00A538BF">
        <w:rPr>
          <w:b w:val="0"/>
        </w:rPr>
        <w:t xml:space="preserve">o </w:t>
      </w:r>
      <w:r w:rsidR="00DB04C0" w:rsidRPr="00DB04C0">
        <w:rPr>
          <w:b w:val="0"/>
        </w:rPr>
        <w:t>6,5</w:t>
      </w:r>
      <w:r w:rsidR="00A538BF" w:rsidRPr="00DB04C0">
        <w:rPr>
          <w:b w:val="0"/>
        </w:rPr>
        <w:t>%</w:t>
      </w:r>
      <w:r w:rsidR="00A538BF">
        <w:rPr>
          <w:b w:val="0"/>
        </w:rPr>
        <w:t xml:space="preserve"> </w:t>
      </w:r>
      <w:r w:rsidRPr="00A61D56">
        <w:rPr>
          <w:b w:val="0"/>
        </w:rPr>
        <w:t>w stosunku do roku 201</w:t>
      </w:r>
      <w:r w:rsidR="00CD2DFF" w:rsidRPr="00A61D56">
        <w:rPr>
          <w:b w:val="0"/>
        </w:rPr>
        <w:t>6</w:t>
      </w:r>
      <w:r w:rsidRPr="00A61D56">
        <w:rPr>
          <w:b w:val="0"/>
        </w:rPr>
        <w:t xml:space="preserve"> i</w:t>
      </w:r>
      <w:r w:rsidR="00CD2DFF" w:rsidRPr="00A61D56">
        <w:rPr>
          <w:b w:val="0"/>
        </w:rPr>
        <w:t> </w:t>
      </w:r>
      <w:r w:rsidRPr="00A61D56">
        <w:rPr>
          <w:b w:val="0"/>
        </w:rPr>
        <w:t>wyniosły 2</w:t>
      </w:r>
      <w:r w:rsidR="00CD2DFF" w:rsidRPr="00A61D56">
        <w:rPr>
          <w:b w:val="0"/>
        </w:rPr>
        <w:t>7</w:t>
      </w:r>
      <w:r w:rsidRPr="00A61D56">
        <w:rPr>
          <w:b w:val="0"/>
        </w:rPr>
        <w:t>,</w:t>
      </w:r>
      <w:r w:rsidR="00CD2DFF" w:rsidRPr="00A61D56">
        <w:rPr>
          <w:b w:val="0"/>
        </w:rPr>
        <w:t>7</w:t>
      </w:r>
      <w:r w:rsidRPr="00A61D56">
        <w:rPr>
          <w:b w:val="0"/>
        </w:rPr>
        <w:t xml:space="preserve"> mld zł.</w:t>
      </w:r>
    </w:p>
    <w:p w:rsidR="00331000" w:rsidRPr="00A61D56" w:rsidRDefault="00A71B44" w:rsidP="00331000">
      <w:pPr>
        <w:pStyle w:val="LID"/>
        <w:rPr>
          <w:b w:val="0"/>
        </w:rPr>
      </w:pPr>
      <w:r w:rsidRPr="00A61D56">
        <w:rPr>
          <w:b w:val="0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DA40F7C" wp14:editId="69F2BE5E">
                <wp:simplePos x="0" y="0"/>
                <wp:positionH relativeFrom="column">
                  <wp:posOffset>5324475</wp:posOffset>
                </wp:positionH>
                <wp:positionV relativeFrom="paragraph">
                  <wp:posOffset>0</wp:posOffset>
                </wp:positionV>
                <wp:extent cx="1577340" cy="685800"/>
                <wp:effectExtent l="0" t="0" r="0" b="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B44" w:rsidRPr="00382033" w:rsidRDefault="00A71B44" w:rsidP="00A71B44">
                            <w:pPr>
                              <w:spacing w:before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Wynik finansowy netto był wyższy o 17,2% niż przed rokiem.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A40F7C" id="Pole tekstowe 7" o:spid="_x0000_s1029" type="#_x0000_t202" style="position:absolute;margin-left:419.25pt;margin-top:0;width:124.2pt;height:5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" filled="f" stroked="f">
                <v:textbox>
                  <w:txbxContent>
                    <w:p w:rsidR="00A71B44" w:rsidRPr="00382033" w:rsidRDefault="00A71B44" w:rsidP="00A71B44">
                      <w:pPr>
                        <w:spacing w:before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ynik finansowy netto był wyższy o 17,2% niż przed rokiem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1000" w:rsidRPr="00A61D56">
        <w:rPr>
          <w:b w:val="0"/>
        </w:rPr>
        <w:t>Wynik finansowy netto ukształtował się na poziomie 1</w:t>
      </w:r>
      <w:r w:rsidR="00CD2DFF" w:rsidRPr="00A61D56">
        <w:rPr>
          <w:b w:val="0"/>
        </w:rPr>
        <w:t>48</w:t>
      </w:r>
      <w:r w:rsidR="00331000" w:rsidRPr="00A61D56">
        <w:rPr>
          <w:b w:val="0"/>
        </w:rPr>
        <w:t>,</w:t>
      </w:r>
      <w:r w:rsidR="00CD2DFF" w:rsidRPr="00A61D56">
        <w:rPr>
          <w:b w:val="0"/>
        </w:rPr>
        <w:t>9</w:t>
      </w:r>
      <w:r w:rsidR="00331000" w:rsidRPr="00A61D56">
        <w:rPr>
          <w:b w:val="0"/>
        </w:rPr>
        <w:t xml:space="preserve"> mld zł wobec </w:t>
      </w:r>
      <w:r w:rsidR="00CD2DFF" w:rsidRPr="00A61D56">
        <w:rPr>
          <w:b w:val="0"/>
        </w:rPr>
        <w:t>127</w:t>
      </w:r>
      <w:r w:rsidR="00331000" w:rsidRPr="00A61D56">
        <w:rPr>
          <w:b w:val="0"/>
        </w:rPr>
        <w:t>,</w:t>
      </w:r>
      <w:r w:rsidR="00CD2DFF" w:rsidRPr="00A61D56">
        <w:rPr>
          <w:b w:val="0"/>
        </w:rPr>
        <w:t>0</w:t>
      </w:r>
      <w:r w:rsidR="00331000" w:rsidRPr="00A61D56">
        <w:rPr>
          <w:b w:val="0"/>
        </w:rPr>
        <w:t xml:space="preserve"> mld zł w 201</w:t>
      </w:r>
      <w:r w:rsidR="00CD2DFF" w:rsidRPr="00A61D56">
        <w:rPr>
          <w:b w:val="0"/>
        </w:rPr>
        <w:t>6</w:t>
      </w:r>
      <w:r w:rsidR="00331000" w:rsidRPr="00A61D56">
        <w:rPr>
          <w:b w:val="0"/>
        </w:rPr>
        <w:t xml:space="preserve"> r., przy wzroście zysku netto o </w:t>
      </w:r>
      <w:r w:rsidR="00CD2DFF" w:rsidRPr="00A61D56">
        <w:rPr>
          <w:b w:val="0"/>
        </w:rPr>
        <w:t>6</w:t>
      </w:r>
      <w:r w:rsidR="00331000" w:rsidRPr="00A61D56">
        <w:rPr>
          <w:b w:val="0"/>
        </w:rPr>
        <w:t>,</w:t>
      </w:r>
      <w:r w:rsidR="0069050A" w:rsidRPr="00A61D56">
        <w:rPr>
          <w:b w:val="0"/>
        </w:rPr>
        <w:t>1</w:t>
      </w:r>
      <w:r w:rsidR="00331000" w:rsidRPr="00A61D56">
        <w:rPr>
          <w:b w:val="0"/>
        </w:rPr>
        <w:t xml:space="preserve">% i spadku straty netto o </w:t>
      </w:r>
      <w:r w:rsidR="00CD2DFF" w:rsidRPr="00A61D56">
        <w:rPr>
          <w:b w:val="0"/>
        </w:rPr>
        <w:t>31</w:t>
      </w:r>
      <w:r w:rsidR="00331000" w:rsidRPr="00A61D56">
        <w:rPr>
          <w:b w:val="0"/>
        </w:rPr>
        <w:t>,</w:t>
      </w:r>
      <w:r w:rsidR="0069050A" w:rsidRPr="00A61D56">
        <w:rPr>
          <w:b w:val="0"/>
        </w:rPr>
        <w:t>3</w:t>
      </w:r>
      <w:r w:rsidR="00331000" w:rsidRPr="00A61D56">
        <w:rPr>
          <w:b w:val="0"/>
        </w:rPr>
        <w:t>%. Zysk netto w roku 201</w:t>
      </w:r>
      <w:r w:rsidR="00CD2DFF" w:rsidRPr="00A61D56">
        <w:rPr>
          <w:b w:val="0"/>
        </w:rPr>
        <w:t>7</w:t>
      </w:r>
      <w:r w:rsidR="00331000" w:rsidRPr="00A61D56">
        <w:rPr>
          <w:b w:val="0"/>
        </w:rPr>
        <w:t xml:space="preserve"> wykazało 82,</w:t>
      </w:r>
      <w:r w:rsidR="00CD2DFF" w:rsidRPr="00A61D56">
        <w:rPr>
          <w:b w:val="0"/>
        </w:rPr>
        <w:t>3</w:t>
      </w:r>
      <w:r w:rsidR="00331000" w:rsidRPr="00A61D56">
        <w:rPr>
          <w:b w:val="0"/>
        </w:rPr>
        <w:t>% ogółu badanych jednostek (8</w:t>
      </w:r>
      <w:r w:rsidR="00CD2DFF" w:rsidRPr="00A61D56">
        <w:rPr>
          <w:b w:val="0"/>
        </w:rPr>
        <w:t>2</w:t>
      </w:r>
      <w:r w:rsidR="00331000" w:rsidRPr="00A61D56">
        <w:rPr>
          <w:b w:val="0"/>
        </w:rPr>
        <w:t>,</w:t>
      </w:r>
      <w:r w:rsidR="00CD2DFF" w:rsidRPr="00A61D56">
        <w:rPr>
          <w:b w:val="0"/>
        </w:rPr>
        <w:t>0</w:t>
      </w:r>
      <w:r w:rsidR="00331000" w:rsidRPr="00A61D56">
        <w:rPr>
          <w:b w:val="0"/>
        </w:rPr>
        <w:t>% w 201</w:t>
      </w:r>
      <w:r w:rsidR="00CD2DFF" w:rsidRPr="00A61D56">
        <w:rPr>
          <w:b w:val="0"/>
        </w:rPr>
        <w:t>6</w:t>
      </w:r>
      <w:r w:rsidR="00331000" w:rsidRPr="00A61D56">
        <w:rPr>
          <w:b w:val="0"/>
        </w:rPr>
        <w:t xml:space="preserve"> r.), a uzyskane przez nie przychody stanowiły 8</w:t>
      </w:r>
      <w:r w:rsidR="00CD2DFF" w:rsidRPr="00A61D56">
        <w:rPr>
          <w:b w:val="0"/>
        </w:rPr>
        <w:t>8</w:t>
      </w:r>
      <w:r w:rsidR="00331000" w:rsidRPr="00A61D56">
        <w:rPr>
          <w:b w:val="0"/>
        </w:rPr>
        <w:t>,</w:t>
      </w:r>
      <w:r w:rsidR="00CD2DFF" w:rsidRPr="00A61D56">
        <w:rPr>
          <w:b w:val="0"/>
        </w:rPr>
        <w:t>3</w:t>
      </w:r>
      <w:r w:rsidR="00331000" w:rsidRPr="00A61D56">
        <w:rPr>
          <w:b w:val="0"/>
        </w:rPr>
        <w:t xml:space="preserve">% przychodów </w:t>
      </w:r>
      <w:r w:rsidR="00CD2DFF" w:rsidRPr="00A61D56">
        <w:rPr>
          <w:b w:val="0"/>
        </w:rPr>
        <w:t>ogółem (w 2016</w:t>
      </w:r>
      <w:r w:rsidR="00331000" w:rsidRPr="00A61D56">
        <w:rPr>
          <w:b w:val="0"/>
        </w:rPr>
        <w:t xml:space="preserve"> r. 8</w:t>
      </w:r>
      <w:r w:rsidR="00CD2DFF" w:rsidRPr="00A61D56">
        <w:rPr>
          <w:b w:val="0"/>
        </w:rPr>
        <w:t>6</w:t>
      </w:r>
      <w:r w:rsidR="00331000" w:rsidRPr="00A61D56">
        <w:rPr>
          <w:b w:val="0"/>
        </w:rPr>
        <w:t>,</w:t>
      </w:r>
      <w:r w:rsidR="00CD2DFF" w:rsidRPr="00A61D56">
        <w:rPr>
          <w:b w:val="0"/>
        </w:rPr>
        <w:t>0</w:t>
      </w:r>
      <w:r w:rsidR="00331000" w:rsidRPr="00A61D56">
        <w:rPr>
          <w:b w:val="0"/>
        </w:rPr>
        <w:t>%).</w:t>
      </w:r>
    </w:p>
    <w:p w:rsidR="00331000" w:rsidRPr="00A61D56" w:rsidRDefault="00331000" w:rsidP="00331000">
      <w:pPr>
        <w:pStyle w:val="LID"/>
        <w:rPr>
          <w:b w:val="0"/>
        </w:rPr>
      </w:pPr>
      <w:r w:rsidRPr="00A61D56">
        <w:rPr>
          <w:b w:val="0"/>
        </w:rPr>
        <w:t>Podstawowe wskaźniki ekonomiczno-finansowe dla badanych przedsiębiorstw były korzystniejsze niż w roku 201</w:t>
      </w:r>
      <w:r w:rsidR="00F45BD2" w:rsidRPr="00A61D56">
        <w:rPr>
          <w:b w:val="0"/>
        </w:rPr>
        <w:t>6</w:t>
      </w:r>
      <w:r w:rsidRPr="00A61D56">
        <w:rPr>
          <w:b w:val="0"/>
        </w:rPr>
        <w:t xml:space="preserve">. Wskaźnik poziomu kosztów </w:t>
      </w:r>
      <w:r w:rsidR="0069050A" w:rsidRPr="00A61D56">
        <w:rPr>
          <w:b w:val="0"/>
        </w:rPr>
        <w:t>ogółem</w:t>
      </w:r>
      <w:r w:rsidRPr="00A61D56">
        <w:rPr>
          <w:b w:val="0"/>
        </w:rPr>
        <w:t xml:space="preserve"> wyniósł 9</w:t>
      </w:r>
      <w:r w:rsidR="00F45BD2" w:rsidRPr="00A61D56">
        <w:rPr>
          <w:b w:val="0"/>
        </w:rPr>
        <w:t>4</w:t>
      </w:r>
      <w:r w:rsidRPr="00A61D56">
        <w:rPr>
          <w:b w:val="0"/>
        </w:rPr>
        <w:t>,</w:t>
      </w:r>
      <w:r w:rsidR="00F45BD2" w:rsidRPr="00A61D56">
        <w:rPr>
          <w:b w:val="0"/>
        </w:rPr>
        <w:t>8</w:t>
      </w:r>
      <w:r w:rsidRPr="00A61D56">
        <w:rPr>
          <w:b w:val="0"/>
        </w:rPr>
        <w:t>% (w 201</w:t>
      </w:r>
      <w:r w:rsidR="00F45BD2" w:rsidRPr="00A61D56">
        <w:rPr>
          <w:b w:val="0"/>
        </w:rPr>
        <w:t>6</w:t>
      </w:r>
      <w:r w:rsidRPr="00A61D56">
        <w:rPr>
          <w:b w:val="0"/>
        </w:rPr>
        <w:t xml:space="preserve"> roku – 9</w:t>
      </w:r>
      <w:r w:rsidR="00F45BD2" w:rsidRPr="00A61D56">
        <w:rPr>
          <w:b w:val="0"/>
        </w:rPr>
        <w:t>5</w:t>
      </w:r>
      <w:r w:rsidRPr="00A61D56">
        <w:rPr>
          <w:b w:val="0"/>
        </w:rPr>
        <w:t>,3%), wska</w:t>
      </w:r>
      <w:r w:rsidR="00F45BD2" w:rsidRPr="00A61D56">
        <w:rPr>
          <w:b w:val="0"/>
        </w:rPr>
        <w:t>źnik rentowności obrotu brutto 5</w:t>
      </w:r>
      <w:r w:rsidRPr="00A61D56">
        <w:rPr>
          <w:b w:val="0"/>
        </w:rPr>
        <w:t>,</w:t>
      </w:r>
      <w:r w:rsidR="00F45BD2" w:rsidRPr="00A61D56">
        <w:rPr>
          <w:b w:val="0"/>
        </w:rPr>
        <w:t>2</w:t>
      </w:r>
      <w:r w:rsidRPr="00A61D56">
        <w:rPr>
          <w:b w:val="0"/>
        </w:rPr>
        <w:t>% (</w:t>
      </w:r>
      <w:r w:rsidR="00F45BD2" w:rsidRPr="00A61D56">
        <w:rPr>
          <w:b w:val="0"/>
        </w:rPr>
        <w:t>4</w:t>
      </w:r>
      <w:r w:rsidRPr="00A61D56">
        <w:rPr>
          <w:b w:val="0"/>
        </w:rPr>
        <w:t>,7%), wskaźnik rentowności obrotu netto 4,</w:t>
      </w:r>
      <w:r w:rsidR="00F45BD2" w:rsidRPr="00A61D56">
        <w:rPr>
          <w:b w:val="0"/>
        </w:rPr>
        <w:t>4% (4</w:t>
      </w:r>
      <w:r w:rsidRPr="00A61D56">
        <w:rPr>
          <w:b w:val="0"/>
        </w:rPr>
        <w:t>,</w:t>
      </w:r>
      <w:r w:rsidR="00F45BD2" w:rsidRPr="00A61D56">
        <w:rPr>
          <w:b w:val="0"/>
        </w:rPr>
        <w:t>0</w:t>
      </w:r>
      <w:r w:rsidRPr="00A61D56">
        <w:rPr>
          <w:b w:val="0"/>
        </w:rPr>
        <w:t>%).</w:t>
      </w:r>
    </w:p>
    <w:p w:rsidR="00FB076B" w:rsidRDefault="00331000" w:rsidP="00331000">
      <w:pPr>
        <w:pStyle w:val="LID"/>
        <w:rPr>
          <w:b w:val="0"/>
        </w:rPr>
      </w:pPr>
      <w:r w:rsidRPr="00A61D56">
        <w:rPr>
          <w:b w:val="0"/>
        </w:rPr>
        <w:t xml:space="preserve">Odnotowano zróżnicowanie wskaźników ekonomiczno-finansowych w zależności od rodzaju działalności prowadzonej przez badane przedsiębiorstwa. Poprawa wskaźnika rentowności obrotu netto wystąpiła między innymi w: wytwarzaniu i zaopatrywaniu w energię elektryczną, gaz, parę wodną i gorącą wodę (z </w:t>
      </w:r>
      <w:r w:rsidR="00DC71BF" w:rsidRPr="00A61D56">
        <w:rPr>
          <w:b w:val="0"/>
        </w:rPr>
        <w:t>6</w:t>
      </w:r>
      <w:r w:rsidRPr="00A61D56">
        <w:rPr>
          <w:b w:val="0"/>
        </w:rPr>
        <w:t>,</w:t>
      </w:r>
      <w:r w:rsidR="00DC71BF" w:rsidRPr="00A61D56">
        <w:rPr>
          <w:b w:val="0"/>
        </w:rPr>
        <w:t>2</w:t>
      </w:r>
      <w:r w:rsidRPr="00A61D56">
        <w:rPr>
          <w:b w:val="0"/>
        </w:rPr>
        <w:t xml:space="preserve">% do </w:t>
      </w:r>
      <w:r w:rsidR="00DC71BF" w:rsidRPr="00A61D56">
        <w:rPr>
          <w:b w:val="0"/>
        </w:rPr>
        <w:t>9</w:t>
      </w:r>
      <w:r w:rsidRPr="00A61D56">
        <w:rPr>
          <w:b w:val="0"/>
        </w:rPr>
        <w:t>,</w:t>
      </w:r>
      <w:r w:rsidR="00DC71BF" w:rsidRPr="00A61D56">
        <w:rPr>
          <w:b w:val="0"/>
        </w:rPr>
        <w:t>0</w:t>
      </w:r>
      <w:r w:rsidRPr="00A61D56">
        <w:rPr>
          <w:b w:val="0"/>
        </w:rPr>
        <w:t xml:space="preserve">%) oraz w górnictwie i wydobywaniu (z minus </w:t>
      </w:r>
      <w:r w:rsidR="00DC71BF" w:rsidRPr="00A61D56">
        <w:rPr>
          <w:b w:val="0"/>
        </w:rPr>
        <w:t>8</w:t>
      </w:r>
      <w:r w:rsidRPr="00A61D56">
        <w:rPr>
          <w:b w:val="0"/>
        </w:rPr>
        <w:t>,</w:t>
      </w:r>
      <w:r w:rsidR="00DC71BF" w:rsidRPr="00A61D56">
        <w:rPr>
          <w:b w:val="0"/>
        </w:rPr>
        <w:t>5</w:t>
      </w:r>
      <w:r w:rsidRPr="00A61D56">
        <w:rPr>
          <w:b w:val="0"/>
        </w:rPr>
        <w:t xml:space="preserve">% do </w:t>
      </w:r>
      <w:r w:rsidR="00DC71BF" w:rsidRPr="00A61D56">
        <w:rPr>
          <w:b w:val="0"/>
        </w:rPr>
        <w:t>7</w:t>
      </w:r>
      <w:r w:rsidRPr="00A61D56">
        <w:rPr>
          <w:b w:val="0"/>
        </w:rPr>
        <w:t>,</w:t>
      </w:r>
      <w:r w:rsidR="00DC71BF" w:rsidRPr="00A61D56">
        <w:rPr>
          <w:b w:val="0"/>
        </w:rPr>
        <w:t>2</w:t>
      </w:r>
      <w:r w:rsidRPr="00A61D56">
        <w:rPr>
          <w:b w:val="0"/>
        </w:rPr>
        <w:t>%). Najsilniejsze osłabienie wskaźnika rento</w:t>
      </w:r>
      <w:r w:rsidR="00C23F29" w:rsidRPr="00A61D56">
        <w:rPr>
          <w:b w:val="0"/>
        </w:rPr>
        <w:t>wności obrotu netto wystąpiło w </w:t>
      </w:r>
      <w:r w:rsidR="00DC71BF" w:rsidRPr="00A61D56">
        <w:rPr>
          <w:b w:val="0"/>
        </w:rPr>
        <w:t>budownictwie</w:t>
      </w:r>
      <w:r w:rsidRPr="00A61D56">
        <w:rPr>
          <w:b w:val="0"/>
        </w:rPr>
        <w:t xml:space="preserve"> (z </w:t>
      </w:r>
      <w:r w:rsidR="00DC71BF" w:rsidRPr="00A61D56">
        <w:rPr>
          <w:b w:val="0"/>
        </w:rPr>
        <w:t>5</w:t>
      </w:r>
      <w:r w:rsidRPr="00A61D56">
        <w:rPr>
          <w:b w:val="0"/>
        </w:rPr>
        <w:t>,</w:t>
      </w:r>
      <w:r w:rsidR="00DC71BF" w:rsidRPr="00A61D56">
        <w:rPr>
          <w:b w:val="0"/>
        </w:rPr>
        <w:t>0</w:t>
      </w:r>
      <w:r w:rsidRPr="00A61D56">
        <w:rPr>
          <w:b w:val="0"/>
        </w:rPr>
        <w:t>% do 4,</w:t>
      </w:r>
      <w:r w:rsidR="00DC71BF" w:rsidRPr="00A61D56">
        <w:rPr>
          <w:b w:val="0"/>
        </w:rPr>
        <w:t>1</w:t>
      </w:r>
      <w:r w:rsidRPr="00A61D56">
        <w:rPr>
          <w:b w:val="0"/>
        </w:rPr>
        <w:t xml:space="preserve">%) oraz w </w:t>
      </w:r>
      <w:r w:rsidR="00DC71BF" w:rsidRPr="00A61D56">
        <w:rPr>
          <w:b w:val="0"/>
        </w:rPr>
        <w:t>dostawie wody; gospodarowaniu</w:t>
      </w:r>
      <w:r w:rsidR="00C23F29" w:rsidRPr="00A61D56">
        <w:rPr>
          <w:b w:val="0"/>
        </w:rPr>
        <w:t xml:space="preserve"> ściekami i </w:t>
      </w:r>
      <w:r w:rsidR="00DC71BF" w:rsidRPr="00A61D56">
        <w:rPr>
          <w:b w:val="0"/>
        </w:rPr>
        <w:t xml:space="preserve">odpadami; rekultywacji </w:t>
      </w:r>
      <w:r w:rsidRPr="00A61D56">
        <w:rPr>
          <w:b w:val="0"/>
        </w:rPr>
        <w:t xml:space="preserve">(z </w:t>
      </w:r>
      <w:r w:rsidR="00DC71BF" w:rsidRPr="00A61D56">
        <w:rPr>
          <w:b w:val="0"/>
        </w:rPr>
        <w:t>5</w:t>
      </w:r>
      <w:r w:rsidRPr="00A61D56">
        <w:rPr>
          <w:b w:val="0"/>
        </w:rPr>
        <w:t>,</w:t>
      </w:r>
      <w:r w:rsidR="00DC71BF" w:rsidRPr="00A61D56">
        <w:rPr>
          <w:b w:val="0"/>
        </w:rPr>
        <w:t>8</w:t>
      </w:r>
      <w:r w:rsidRPr="00A61D56">
        <w:rPr>
          <w:b w:val="0"/>
        </w:rPr>
        <w:t>% do 5,</w:t>
      </w:r>
      <w:r w:rsidR="00DC71BF" w:rsidRPr="00A61D56">
        <w:rPr>
          <w:b w:val="0"/>
        </w:rPr>
        <w:t>1</w:t>
      </w:r>
      <w:r w:rsidRPr="00A61D56">
        <w:rPr>
          <w:b w:val="0"/>
        </w:rPr>
        <w:t>%).</w:t>
      </w:r>
    </w:p>
    <w:p w:rsidR="00A538BF" w:rsidRDefault="00976853" w:rsidP="00A538BF">
      <w:pPr>
        <w:pStyle w:val="LID"/>
        <w:spacing w:after="0"/>
        <w:contextualSpacing/>
      </w:pPr>
      <w:r>
        <w:drawing>
          <wp:anchor distT="0" distB="0" distL="114300" distR="114300" simplePos="0" relativeHeight="251689984" behindDoc="0" locked="0" layoutInCell="1" allowOverlap="1" wp14:anchorId="1D3944DD" wp14:editId="3913A502">
            <wp:simplePos x="0" y="0"/>
            <wp:positionH relativeFrom="column">
              <wp:posOffset>-457200</wp:posOffset>
            </wp:positionH>
            <wp:positionV relativeFrom="paragraph">
              <wp:posOffset>158750</wp:posOffset>
            </wp:positionV>
            <wp:extent cx="5257800" cy="2971800"/>
            <wp:effectExtent l="0" t="0" r="0" b="0"/>
            <wp:wrapSquare wrapText="bothSides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97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D83" w:rsidRPr="00A61D56">
        <w:t>Wykres 3. Podstawowe dane dla wybranych sekcji PKD w 2017 roku</w:t>
      </w:r>
    </w:p>
    <w:p w:rsidR="00A538BF" w:rsidRPr="00F23070" w:rsidRDefault="00A538BF" w:rsidP="00A538BF">
      <w:pPr>
        <w:jc w:val="both"/>
        <w:rPr>
          <w:rFonts w:cs="Arial"/>
          <w:szCs w:val="19"/>
        </w:rPr>
      </w:pPr>
      <w:r w:rsidRPr="00F23070">
        <w:rPr>
          <w:rFonts w:cs="Arial"/>
          <w:szCs w:val="19"/>
        </w:rPr>
        <w:t>Dane prezentowane w niniejszym opracowaniu pochodzą z rocznego bad</w:t>
      </w:r>
      <w:r w:rsidRPr="00F23070">
        <w:rPr>
          <w:rFonts w:cs="Arial"/>
          <w:szCs w:val="19"/>
        </w:rPr>
        <w:t>a</w:t>
      </w:r>
      <w:r w:rsidRPr="00F23070">
        <w:rPr>
          <w:rFonts w:cs="Arial"/>
          <w:szCs w:val="19"/>
        </w:rPr>
        <w:t xml:space="preserve">nia działalności gospodarczej przedsiębiorstw. </w:t>
      </w:r>
      <w:r w:rsidR="004929AF">
        <w:rPr>
          <w:rFonts w:cs="Arial"/>
          <w:szCs w:val="19"/>
        </w:rPr>
        <w:t>Dane dotyczą</w:t>
      </w:r>
      <w:r w:rsidRPr="00F23070">
        <w:rPr>
          <w:rFonts w:cs="Arial"/>
          <w:szCs w:val="19"/>
        </w:rPr>
        <w:t xml:space="preserve"> 5</w:t>
      </w:r>
      <w:r w:rsidR="00F23070" w:rsidRPr="00F23070">
        <w:rPr>
          <w:rFonts w:cs="Arial"/>
          <w:szCs w:val="19"/>
        </w:rPr>
        <w:t>0</w:t>
      </w:r>
      <w:r w:rsidRPr="00F23070">
        <w:rPr>
          <w:rFonts w:cs="Arial"/>
          <w:szCs w:val="19"/>
        </w:rPr>
        <w:t> 6</w:t>
      </w:r>
      <w:r w:rsidR="00F23070" w:rsidRPr="00F23070">
        <w:rPr>
          <w:rFonts w:cs="Arial"/>
          <w:szCs w:val="19"/>
        </w:rPr>
        <w:t>84</w:t>
      </w:r>
      <w:r w:rsidRPr="00F23070">
        <w:rPr>
          <w:rFonts w:cs="Arial"/>
          <w:szCs w:val="19"/>
        </w:rPr>
        <w:t xml:space="preserve"> jednostek o liczbie pracujących 10 i więcej osób, prowadzących księgi rachunkowe i zorganizowanych w formie spółek handl</w:t>
      </w:r>
      <w:r w:rsidRPr="00F23070">
        <w:rPr>
          <w:rFonts w:cs="Arial"/>
          <w:szCs w:val="19"/>
        </w:rPr>
        <w:t>o</w:t>
      </w:r>
      <w:r w:rsidRPr="00F23070">
        <w:rPr>
          <w:rFonts w:cs="Arial"/>
          <w:szCs w:val="19"/>
        </w:rPr>
        <w:t>wych (osobowych i kapitałowych), spółek cywilnych, przedsiębiorstw państwowych, spó</w:t>
      </w:r>
      <w:r w:rsidRPr="00F23070">
        <w:rPr>
          <w:rFonts w:cs="Arial"/>
          <w:szCs w:val="19"/>
        </w:rPr>
        <w:t>ł</w:t>
      </w:r>
      <w:r w:rsidRPr="00F23070">
        <w:rPr>
          <w:rFonts w:cs="Arial"/>
          <w:szCs w:val="19"/>
        </w:rPr>
        <w:t>dzielni, oddziałów przedsiębiorców zagranicznych, osób fizycznych prowadzących dzi</w:t>
      </w:r>
      <w:r w:rsidRPr="00F23070">
        <w:rPr>
          <w:rFonts w:cs="Arial"/>
          <w:szCs w:val="19"/>
        </w:rPr>
        <w:t>a</w:t>
      </w:r>
      <w:r w:rsidRPr="00F23070">
        <w:rPr>
          <w:rFonts w:cs="Arial"/>
          <w:szCs w:val="19"/>
        </w:rPr>
        <w:t>łalność gospodarczą i państwowych jednostek organizacyjnych. Przedstawione dane, zaró</w:t>
      </w:r>
      <w:r w:rsidRPr="00F23070">
        <w:rPr>
          <w:rFonts w:cs="Arial"/>
          <w:szCs w:val="19"/>
        </w:rPr>
        <w:t>w</w:t>
      </w:r>
      <w:r w:rsidRPr="00F23070">
        <w:rPr>
          <w:rFonts w:cs="Arial"/>
          <w:szCs w:val="19"/>
        </w:rPr>
        <w:t>no za rok 201</w:t>
      </w:r>
      <w:r w:rsidR="00F23070" w:rsidRPr="00F23070">
        <w:rPr>
          <w:rFonts w:cs="Arial"/>
          <w:szCs w:val="19"/>
        </w:rPr>
        <w:t>7 jak i za 2016</w:t>
      </w:r>
      <w:r w:rsidRPr="00F23070">
        <w:rPr>
          <w:rFonts w:cs="Arial"/>
          <w:szCs w:val="19"/>
        </w:rPr>
        <w:t>, nie obejmują: rolnictwa, leśnictwa, łowiectwa i rybactwa (sekcja A według PKD 2007); działalności finansowej i ubezpieczeniowej (sekcja K według PKD 2007); szkół wy</w:t>
      </w:r>
      <w:r w:rsidRPr="00F23070">
        <w:rPr>
          <w:rFonts w:cs="Arial"/>
          <w:szCs w:val="19"/>
        </w:rPr>
        <w:t>ż</w:t>
      </w:r>
      <w:r w:rsidRPr="00F23070">
        <w:rPr>
          <w:rFonts w:cs="Arial"/>
          <w:szCs w:val="19"/>
        </w:rPr>
        <w:t>szych; samodzielnych publicznych zakładów opieki zdrowotnej oraz instytucji kultury posi</w:t>
      </w:r>
      <w:r w:rsidRPr="00F23070">
        <w:rPr>
          <w:rFonts w:cs="Arial"/>
          <w:szCs w:val="19"/>
        </w:rPr>
        <w:t>a</w:t>
      </w:r>
      <w:r w:rsidRPr="00F23070">
        <w:rPr>
          <w:rFonts w:cs="Arial"/>
          <w:szCs w:val="19"/>
        </w:rPr>
        <w:t>dających osobowość prawną.</w:t>
      </w:r>
    </w:p>
    <w:p w:rsidR="00EA59B7" w:rsidRPr="00EA59B7" w:rsidRDefault="00A538BF" w:rsidP="00A538BF">
      <w:pPr>
        <w:jc w:val="both"/>
        <w:rPr>
          <w:rFonts w:cs="Arial"/>
          <w:szCs w:val="19"/>
        </w:rPr>
      </w:pPr>
      <w:r w:rsidRPr="00EA59B7">
        <w:rPr>
          <w:rFonts w:cs="Arial"/>
          <w:szCs w:val="19"/>
        </w:rPr>
        <w:t>W notatce zastosowano skróty niektórych nazw sekcji z PKD 2007; skrócone nazwy zostały oznaczone znakiem „Δ”. Zestawienie zastosowanych pełnych nazw przedstawia się następ</w:t>
      </w:r>
      <w:r w:rsidRPr="00EA59B7">
        <w:rPr>
          <w:rFonts w:cs="Arial"/>
          <w:szCs w:val="19"/>
        </w:rPr>
        <w:t>u</w:t>
      </w:r>
      <w:r w:rsidRPr="00EA59B7">
        <w:rPr>
          <w:rFonts w:cs="Arial"/>
          <w:szCs w:val="19"/>
        </w:rPr>
        <w:t>jąco:</w:t>
      </w:r>
    </w:p>
    <w:tbl>
      <w:tblPr>
        <w:tblStyle w:val="Tabela-Siatka"/>
        <w:tblW w:w="836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096"/>
      </w:tblGrid>
      <w:tr w:rsidR="00EA59B7" w:rsidRPr="00EA59B7" w:rsidTr="004929AF">
        <w:tc>
          <w:tcPr>
            <w:tcW w:w="2268" w:type="dxa"/>
          </w:tcPr>
          <w:p w:rsidR="00EA59B7" w:rsidRPr="00EA59B7" w:rsidRDefault="00EA59B7" w:rsidP="00EA59B7">
            <w:pPr>
              <w:spacing w:before="0" w:after="0"/>
              <w:jc w:val="center"/>
              <w:rPr>
                <w:rFonts w:cs="Arial"/>
                <w:szCs w:val="19"/>
              </w:rPr>
            </w:pPr>
            <w:r w:rsidRPr="00EA59B7">
              <w:rPr>
                <w:rFonts w:cs="Arial"/>
                <w:szCs w:val="19"/>
              </w:rPr>
              <w:t>skrót</w:t>
            </w:r>
          </w:p>
        </w:tc>
        <w:tc>
          <w:tcPr>
            <w:tcW w:w="6096" w:type="dxa"/>
          </w:tcPr>
          <w:p w:rsidR="00EA59B7" w:rsidRPr="00EA59B7" w:rsidRDefault="00EA59B7" w:rsidP="00EA59B7">
            <w:pPr>
              <w:spacing w:before="0" w:after="0"/>
              <w:jc w:val="center"/>
              <w:rPr>
                <w:rFonts w:cs="Arial"/>
                <w:szCs w:val="19"/>
              </w:rPr>
            </w:pPr>
            <w:r w:rsidRPr="00EA59B7">
              <w:rPr>
                <w:rFonts w:cs="Arial"/>
                <w:szCs w:val="19"/>
              </w:rPr>
              <w:t>pełna nazwa</w:t>
            </w:r>
          </w:p>
        </w:tc>
      </w:tr>
      <w:tr w:rsidR="00EA59B7" w:rsidRPr="00EA59B7" w:rsidTr="004929AF">
        <w:trPr>
          <w:trHeight w:val="757"/>
        </w:trPr>
        <w:tc>
          <w:tcPr>
            <w:tcW w:w="2268" w:type="dxa"/>
          </w:tcPr>
          <w:p w:rsidR="00EA59B7" w:rsidRPr="00EA59B7" w:rsidRDefault="00EA59B7" w:rsidP="00EA59B7">
            <w:pPr>
              <w:spacing w:before="0" w:after="0"/>
              <w:rPr>
                <w:rFonts w:cs="Arial"/>
                <w:szCs w:val="19"/>
              </w:rPr>
            </w:pPr>
            <w:r w:rsidRPr="00EA59B7">
              <w:rPr>
                <w:rFonts w:cs="Arial"/>
                <w:szCs w:val="19"/>
              </w:rPr>
              <w:t>Wytwarzanie i zaop</w:t>
            </w:r>
            <w:r w:rsidRPr="00EA59B7">
              <w:rPr>
                <w:rFonts w:cs="Arial"/>
                <w:szCs w:val="19"/>
              </w:rPr>
              <w:t>a</w:t>
            </w:r>
            <w:r w:rsidRPr="00EA59B7">
              <w:rPr>
                <w:rFonts w:cs="Arial"/>
                <w:szCs w:val="19"/>
              </w:rPr>
              <w:t>trywanie w energię</w:t>
            </w:r>
          </w:p>
        </w:tc>
        <w:tc>
          <w:tcPr>
            <w:tcW w:w="6096" w:type="dxa"/>
          </w:tcPr>
          <w:p w:rsidR="00EA59B7" w:rsidRPr="00EA59B7" w:rsidRDefault="00EA59B7" w:rsidP="00EA59B7">
            <w:pPr>
              <w:spacing w:before="0" w:after="0"/>
              <w:rPr>
                <w:rFonts w:cs="Arial"/>
                <w:szCs w:val="19"/>
              </w:rPr>
            </w:pPr>
            <w:r w:rsidRPr="00EA59B7">
              <w:rPr>
                <w:rFonts w:cs="Arial"/>
                <w:szCs w:val="19"/>
              </w:rPr>
              <w:t>Wytwarzanie i zaopatrywanie w energię elektryczną, gaz, parę wo</w:t>
            </w:r>
            <w:r w:rsidRPr="00EA59B7">
              <w:rPr>
                <w:rFonts w:cs="Arial"/>
                <w:szCs w:val="19"/>
              </w:rPr>
              <w:t>d</w:t>
            </w:r>
            <w:r w:rsidRPr="00EA59B7">
              <w:rPr>
                <w:rFonts w:cs="Arial"/>
                <w:szCs w:val="19"/>
              </w:rPr>
              <w:t>ną i gorącą wodę i powietrze do układów klimatyzacyjnych</w:t>
            </w:r>
          </w:p>
        </w:tc>
      </w:tr>
      <w:tr w:rsidR="00EA59B7" w:rsidRPr="00EA59B7" w:rsidTr="004929AF">
        <w:trPr>
          <w:trHeight w:val="725"/>
        </w:trPr>
        <w:tc>
          <w:tcPr>
            <w:tcW w:w="2268" w:type="dxa"/>
          </w:tcPr>
          <w:p w:rsidR="00EA59B7" w:rsidRPr="00EA59B7" w:rsidRDefault="00EA59B7" w:rsidP="00EA59B7">
            <w:pPr>
              <w:spacing w:before="0" w:after="0"/>
              <w:rPr>
                <w:rFonts w:cs="Arial"/>
                <w:szCs w:val="19"/>
              </w:rPr>
            </w:pPr>
            <w:r w:rsidRPr="00EA59B7">
              <w:rPr>
                <w:rFonts w:cs="Arial"/>
                <w:szCs w:val="19"/>
              </w:rPr>
              <w:t>Dostawa wody; gosp</w:t>
            </w:r>
            <w:r w:rsidRPr="00EA59B7">
              <w:rPr>
                <w:rFonts w:cs="Arial"/>
                <w:szCs w:val="19"/>
              </w:rPr>
              <w:t>o</w:t>
            </w:r>
            <w:r w:rsidRPr="00EA59B7">
              <w:rPr>
                <w:rFonts w:cs="Arial"/>
                <w:szCs w:val="19"/>
              </w:rPr>
              <w:t>darowanie ściekami i odpadami</w:t>
            </w:r>
          </w:p>
        </w:tc>
        <w:tc>
          <w:tcPr>
            <w:tcW w:w="6096" w:type="dxa"/>
          </w:tcPr>
          <w:p w:rsidR="00EA59B7" w:rsidRPr="00EA59B7" w:rsidRDefault="00EA59B7" w:rsidP="00EA59B7">
            <w:pPr>
              <w:spacing w:before="0" w:after="0"/>
              <w:rPr>
                <w:rFonts w:cs="Arial"/>
                <w:szCs w:val="19"/>
              </w:rPr>
            </w:pPr>
            <w:r w:rsidRPr="00EA59B7">
              <w:rPr>
                <w:rFonts w:cs="Arial"/>
                <w:szCs w:val="19"/>
              </w:rPr>
              <w:t>Dostawa wody; gospodarowanie ściekami i odpadami oraz działa</w:t>
            </w:r>
            <w:r w:rsidRPr="00EA59B7">
              <w:rPr>
                <w:rFonts w:cs="Arial"/>
                <w:szCs w:val="19"/>
              </w:rPr>
              <w:t>l</w:t>
            </w:r>
            <w:r w:rsidRPr="00EA59B7">
              <w:rPr>
                <w:rFonts w:cs="Arial"/>
                <w:szCs w:val="19"/>
              </w:rPr>
              <w:t>ność związana z rekultywacją</w:t>
            </w:r>
          </w:p>
        </w:tc>
      </w:tr>
    </w:tbl>
    <w:p w:rsidR="007F33B2" w:rsidRPr="00A61D56" w:rsidRDefault="00290E0E" w:rsidP="00976853">
      <w:pPr>
        <w:pStyle w:val="LID"/>
        <w:contextualSpacing/>
        <w:rPr>
          <w:rFonts w:cs="Arial"/>
          <w:b w:val="0"/>
          <w:bCs/>
        </w:rPr>
      </w:pPr>
      <w:r w:rsidRPr="00A61D56">
        <w:rPr>
          <w:b w:val="0"/>
        </w:rPr>
        <w:br w:type="page"/>
      </w:r>
      <w:r w:rsidR="007F33B2" w:rsidRPr="00A61D56">
        <w:lastRenderedPageBreak/>
        <w:t>Tabl.</w:t>
      </w:r>
      <w:r w:rsidR="00A61D56" w:rsidRPr="00A61D56">
        <w:t>2</w:t>
      </w:r>
      <w:r w:rsidR="007F33B2" w:rsidRPr="00A61D56">
        <w:t>. Dane bilansowe, wyniki finansowe i podstawowe wskaźniki ekonomiczne w 2017</w:t>
      </w:r>
      <w:r w:rsidR="007F33B2" w:rsidRPr="00A61D56">
        <w:rPr>
          <w:rFonts w:cs="Arial"/>
          <w:bCs/>
        </w:rPr>
        <w:t xml:space="preserve"> roku.</w:t>
      </w:r>
    </w:p>
    <w:tbl>
      <w:tblPr>
        <w:tblW w:w="811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8"/>
        <w:gridCol w:w="853"/>
        <w:gridCol w:w="995"/>
        <w:gridCol w:w="998"/>
        <w:gridCol w:w="853"/>
        <w:gridCol w:w="852"/>
        <w:gridCol w:w="1141"/>
      </w:tblGrid>
      <w:tr w:rsidR="007F33B2" w:rsidRPr="00A61D56" w:rsidTr="00976853">
        <w:trPr>
          <w:trHeight w:val="243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3B2" w:rsidRPr="00A61D56" w:rsidRDefault="007F33B2">
            <w:pPr>
              <w:jc w:val="center"/>
              <w:rPr>
                <w:rFonts w:cs="Arial"/>
                <w:b/>
                <w:szCs w:val="19"/>
              </w:rPr>
            </w:pPr>
            <w:r w:rsidRPr="00A61D56">
              <w:rPr>
                <w:rFonts w:cs="Arial"/>
                <w:b/>
                <w:szCs w:val="19"/>
              </w:rPr>
              <w:t>Wyszczególnienie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3B2" w:rsidRPr="00A61D56" w:rsidRDefault="007F33B2">
            <w:pPr>
              <w:jc w:val="center"/>
              <w:rPr>
                <w:rFonts w:cs="Arial"/>
                <w:b/>
                <w:szCs w:val="19"/>
              </w:rPr>
            </w:pPr>
            <w:r w:rsidRPr="00A61D56">
              <w:rPr>
                <w:rFonts w:cs="Arial"/>
                <w:b/>
                <w:szCs w:val="19"/>
              </w:rPr>
              <w:t>ogółem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B2" w:rsidRPr="00A61D56" w:rsidRDefault="007F33B2" w:rsidP="00DA1609">
            <w:pPr>
              <w:spacing w:before="0" w:after="0"/>
              <w:jc w:val="center"/>
              <w:rPr>
                <w:rFonts w:cs="Arial"/>
                <w:b/>
                <w:szCs w:val="19"/>
              </w:rPr>
            </w:pPr>
            <w:r w:rsidRPr="00A61D56">
              <w:rPr>
                <w:rFonts w:cs="Arial"/>
                <w:b/>
                <w:szCs w:val="19"/>
              </w:rPr>
              <w:t>podmioty</w:t>
            </w:r>
          </w:p>
          <w:p w:rsidR="007F33B2" w:rsidRPr="00A61D56" w:rsidRDefault="007F33B2" w:rsidP="00DA1609">
            <w:pPr>
              <w:spacing w:before="0" w:after="0"/>
              <w:jc w:val="center"/>
              <w:rPr>
                <w:rFonts w:cs="Arial"/>
                <w:b/>
                <w:szCs w:val="19"/>
              </w:rPr>
            </w:pPr>
            <w:r w:rsidRPr="00A61D56">
              <w:rPr>
                <w:rFonts w:cs="Arial"/>
                <w:b/>
                <w:szCs w:val="19"/>
              </w:rPr>
              <w:t>o liczbie pracujących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B2" w:rsidRPr="00A61D56" w:rsidRDefault="007F33B2" w:rsidP="000A24A6">
            <w:pPr>
              <w:spacing w:after="0"/>
              <w:jc w:val="center"/>
              <w:rPr>
                <w:rFonts w:cs="Arial"/>
                <w:b/>
                <w:szCs w:val="19"/>
              </w:rPr>
            </w:pPr>
            <w:r w:rsidRPr="00A61D56">
              <w:rPr>
                <w:rFonts w:cs="Arial"/>
                <w:b/>
                <w:szCs w:val="19"/>
              </w:rPr>
              <w:t>201</w:t>
            </w:r>
            <w:r w:rsidR="000A24A6" w:rsidRPr="00A61D56">
              <w:rPr>
                <w:rFonts w:cs="Arial"/>
                <w:b/>
                <w:szCs w:val="19"/>
              </w:rPr>
              <w:t>6</w:t>
            </w:r>
            <w:r w:rsidRPr="00A61D56">
              <w:rPr>
                <w:rFonts w:cs="Arial"/>
                <w:b/>
                <w:szCs w:val="19"/>
              </w:rPr>
              <w:t>=100</w:t>
            </w:r>
          </w:p>
        </w:tc>
      </w:tr>
      <w:tr w:rsidR="007F33B2" w:rsidRPr="00A61D56" w:rsidTr="00976853">
        <w:trPr>
          <w:trHeight w:val="426"/>
        </w:trPr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3B2" w:rsidRPr="00A61D56" w:rsidRDefault="007F33B2">
            <w:pPr>
              <w:spacing w:after="0"/>
              <w:rPr>
                <w:rFonts w:cs="Arial"/>
                <w:b/>
                <w:szCs w:val="19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3B2" w:rsidRPr="00A61D56" w:rsidRDefault="007F33B2">
            <w:pPr>
              <w:spacing w:after="0"/>
              <w:rPr>
                <w:rFonts w:cs="Arial"/>
                <w:b/>
                <w:szCs w:val="19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B2" w:rsidRPr="00A61D56" w:rsidRDefault="007F33B2">
            <w:pPr>
              <w:spacing w:after="0"/>
              <w:rPr>
                <w:rFonts w:cs="Arial"/>
                <w:b/>
                <w:szCs w:val="19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B2" w:rsidRPr="00A61D56" w:rsidRDefault="007F33B2">
            <w:pPr>
              <w:jc w:val="center"/>
              <w:rPr>
                <w:rFonts w:cs="Arial"/>
                <w:b/>
                <w:szCs w:val="19"/>
              </w:rPr>
            </w:pPr>
            <w:r w:rsidRPr="00A61D56">
              <w:rPr>
                <w:rFonts w:cs="Arial"/>
                <w:b/>
                <w:szCs w:val="19"/>
              </w:rPr>
              <w:t>ogółem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B2" w:rsidRPr="00A61D56" w:rsidRDefault="007F33B2">
            <w:pPr>
              <w:spacing w:after="0"/>
              <w:jc w:val="center"/>
              <w:rPr>
                <w:rFonts w:cs="Arial"/>
                <w:b/>
                <w:szCs w:val="19"/>
              </w:rPr>
            </w:pPr>
            <w:r w:rsidRPr="00A61D56">
              <w:rPr>
                <w:rFonts w:cs="Arial"/>
                <w:b/>
                <w:szCs w:val="19"/>
              </w:rPr>
              <w:t>podmioty</w:t>
            </w:r>
          </w:p>
          <w:p w:rsidR="007F33B2" w:rsidRPr="00A61D56" w:rsidRDefault="007F33B2" w:rsidP="00DA1609">
            <w:pPr>
              <w:spacing w:before="0" w:after="0"/>
              <w:jc w:val="center"/>
              <w:rPr>
                <w:rFonts w:cs="Arial"/>
                <w:b/>
                <w:szCs w:val="19"/>
              </w:rPr>
            </w:pPr>
            <w:r w:rsidRPr="00A61D56">
              <w:rPr>
                <w:rFonts w:cs="Arial"/>
                <w:b/>
                <w:szCs w:val="19"/>
              </w:rPr>
              <w:t xml:space="preserve">o liczbie </w:t>
            </w:r>
            <w:r w:rsidR="00A61D56">
              <w:rPr>
                <w:rFonts w:cs="Arial"/>
                <w:b/>
                <w:szCs w:val="19"/>
              </w:rPr>
              <w:br/>
            </w:r>
            <w:r w:rsidRPr="00A61D56">
              <w:rPr>
                <w:rFonts w:cs="Arial"/>
                <w:b/>
                <w:szCs w:val="19"/>
              </w:rPr>
              <w:t>pracujących</w:t>
            </w:r>
          </w:p>
        </w:tc>
      </w:tr>
      <w:tr w:rsidR="007F33B2" w:rsidRPr="00A61D56" w:rsidTr="00976853">
        <w:trPr>
          <w:trHeight w:val="380"/>
        </w:trPr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3B2" w:rsidRPr="00A61D56" w:rsidRDefault="007F33B2">
            <w:pPr>
              <w:spacing w:after="0"/>
              <w:rPr>
                <w:rFonts w:cs="Arial"/>
                <w:b/>
                <w:szCs w:val="19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3B2" w:rsidRPr="00A61D56" w:rsidRDefault="007F33B2">
            <w:pPr>
              <w:spacing w:after="0"/>
              <w:rPr>
                <w:rFonts w:cs="Arial"/>
                <w:b/>
                <w:szCs w:val="19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  <w:hideMark/>
          </w:tcPr>
          <w:p w:rsidR="007F33B2" w:rsidRPr="00A61D56" w:rsidRDefault="007F33B2">
            <w:pPr>
              <w:spacing w:line="240" w:lineRule="auto"/>
              <w:jc w:val="center"/>
              <w:rPr>
                <w:rFonts w:cs="Arial"/>
                <w:color w:val="000000"/>
                <w:szCs w:val="19"/>
              </w:rPr>
            </w:pPr>
            <w:r w:rsidRPr="00A61D56">
              <w:rPr>
                <w:rFonts w:cs="Arial"/>
                <w:b/>
                <w:szCs w:val="19"/>
              </w:rPr>
              <w:t>10-249 osób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  <w:hideMark/>
          </w:tcPr>
          <w:p w:rsidR="007F33B2" w:rsidRPr="00A61D56" w:rsidRDefault="007F33B2">
            <w:pPr>
              <w:spacing w:line="240" w:lineRule="auto"/>
              <w:jc w:val="center"/>
              <w:rPr>
                <w:rFonts w:cs="Arial"/>
                <w:color w:val="000000"/>
                <w:szCs w:val="19"/>
              </w:rPr>
            </w:pPr>
            <w:r w:rsidRPr="00A61D56">
              <w:rPr>
                <w:rFonts w:cs="Arial"/>
                <w:b/>
                <w:szCs w:val="19"/>
              </w:rPr>
              <w:t>250 i więcej osób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B2" w:rsidRPr="00A61D56" w:rsidRDefault="007F33B2">
            <w:pPr>
              <w:spacing w:after="0"/>
              <w:rPr>
                <w:rFonts w:cs="Arial"/>
                <w:b/>
                <w:szCs w:val="19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B2" w:rsidRPr="00A61D56" w:rsidRDefault="007F33B2">
            <w:pPr>
              <w:spacing w:line="240" w:lineRule="auto"/>
              <w:jc w:val="center"/>
              <w:rPr>
                <w:rFonts w:cs="Arial"/>
                <w:color w:val="000000"/>
                <w:szCs w:val="19"/>
              </w:rPr>
            </w:pPr>
            <w:r w:rsidRPr="00A61D56">
              <w:rPr>
                <w:rFonts w:cs="Arial"/>
                <w:b/>
                <w:szCs w:val="19"/>
              </w:rPr>
              <w:t>10-249 osób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B2" w:rsidRPr="00A61D56" w:rsidRDefault="007F33B2">
            <w:pPr>
              <w:spacing w:line="240" w:lineRule="auto"/>
              <w:jc w:val="center"/>
              <w:rPr>
                <w:rFonts w:cs="Arial"/>
                <w:color w:val="000000"/>
                <w:szCs w:val="19"/>
              </w:rPr>
            </w:pPr>
            <w:r w:rsidRPr="00A61D56">
              <w:rPr>
                <w:rFonts w:cs="Arial"/>
                <w:b/>
                <w:szCs w:val="19"/>
              </w:rPr>
              <w:t>250 i wi</w:t>
            </w:r>
            <w:r w:rsidRPr="00A61D56">
              <w:rPr>
                <w:rFonts w:cs="Arial"/>
                <w:b/>
                <w:szCs w:val="19"/>
              </w:rPr>
              <w:t>ę</w:t>
            </w:r>
            <w:r w:rsidRPr="00A61D56">
              <w:rPr>
                <w:rFonts w:cs="Arial"/>
                <w:b/>
                <w:szCs w:val="19"/>
              </w:rPr>
              <w:t>cej osób</w:t>
            </w:r>
          </w:p>
        </w:tc>
      </w:tr>
      <w:tr w:rsidR="007F33B2" w:rsidRPr="00A61D56" w:rsidTr="00976853">
        <w:trPr>
          <w:trHeight w:val="36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F33B2" w:rsidRPr="00A61D56" w:rsidRDefault="007F33B2" w:rsidP="000A24A6">
            <w:pPr>
              <w:tabs>
                <w:tab w:val="right" w:leader="dot" w:pos="3368"/>
              </w:tabs>
              <w:spacing w:before="0" w:after="0" w:line="240" w:lineRule="auto"/>
              <w:rPr>
                <w:rFonts w:cs="Arial"/>
                <w:b/>
                <w:szCs w:val="19"/>
              </w:rPr>
            </w:pPr>
            <w:r w:rsidRPr="00A61D56">
              <w:rPr>
                <w:rFonts w:cs="Arial"/>
                <w:b/>
                <w:szCs w:val="19"/>
              </w:rPr>
              <w:t xml:space="preserve">Liczba jednostek </w:t>
            </w:r>
            <w:r w:rsidRPr="00A61D56">
              <w:rPr>
                <w:rFonts w:cs="Arial"/>
                <w:szCs w:val="19"/>
              </w:rPr>
              <w:tab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bottom"/>
            <w:hideMark/>
          </w:tcPr>
          <w:p w:rsidR="007F33B2" w:rsidRPr="00A61D56" w:rsidRDefault="007F33B2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</w:rPr>
            </w:pPr>
            <w:r w:rsidRPr="00A61D56">
              <w:rPr>
                <w:rFonts w:cs="Arial"/>
                <w:color w:val="000000"/>
                <w:szCs w:val="19"/>
              </w:rPr>
              <w:t>5</w:t>
            </w:r>
            <w:r w:rsidR="000A24A6" w:rsidRPr="00A61D56">
              <w:rPr>
                <w:rFonts w:cs="Arial"/>
                <w:color w:val="000000"/>
                <w:szCs w:val="19"/>
              </w:rPr>
              <w:t>0</w:t>
            </w:r>
            <w:r w:rsidRPr="00A61D56">
              <w:rPr>
                <w:rFonts w:cs="Arial"/>
                <w:color w:val="000000"/>
                <w:szCs w:val="19"/>
              </w:rPr>
              <w:t xml:space="preserve"> 6</w:t>
            </w:r>
            <w:r w:rsidR="000A24A6" w:rsidRPr="00A61D56">
              <w:rPr>
                <w:rFonts w:cs="Arial"/>
                <w:color w:val="000000"/>
                <w:szCs w:val="19"/>
              </w:rPr>
              <w:t>84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bottom"/>
            <w:hideMark/>
          </w:tcPr>
          <w:p w:rsidR="007F33B2" w:rsidRPr="00A61D56" w:rsidRDefault="000A24A6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</w:rPr>
            </w:pPr>
            <w:r w:rsidRPr="00A61D56">
              <w:rPr>
                <w:rFonts w:cs="Arial"/>
                <w:color w:val="000000"/>
                <w:szCs w:val="19"/>
              </w:rPr>
              <w:t>47</w:t>
            </w:r>
            <w:r w:rsidR="007F33B2" w:rsidRPr="00A61D56">
              <w:rPr>
                <w:rFonts w:cs="Arial"/>
                <w:color w:val="000000"/>
                <w:szCs w:val="19"/>
              </w:rPr>
              <w:t xml:space="preserve"> </w:t>
            </w:r>
            <w:r w:rsidRPr="00A61D56">
              <w:rPr>
                <w:rFonts w:cs="Arial"/>
                <w:color w:val="000000"/>
                <w:szCs w:val="19"/>
              </w:rPr>
              <w:t>087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bottom"/>
            <w:hideMark/>
          </w:tcPr>
          <w:p w:rsidR="007F33B2" w:rsidRPr="00A61D56" w:rsidRDefault="000A24A6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</w:rPr>
            </w:pPr>
            <w:r w:rsidRPr="00A61D56">
              <w:rPr>
                <w:rFonts w:cs="Arial"/>
                <w:color w:val="000000"/>
                <w:szCs w:val="19"/>
              </w:rPr>
              <w:t>3 597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bottom"/>
            <w:hideMark/>
          </w:tcPr>
          <w:p w:rsidR="007F33B2" w:rsidRPr="00A61D56" w:rsidRDefault="000A24A6" w:rsidP="000A24A6">
            <w:pPr>
              <w:spacing w:before="0" w:after="0"/>
              <w:jc w:val="right"/>
              <w:rPr>
                <w:rFonts w:cs="Arial"/>
                <w:szCs w:val="19"/>
              </w:rPr>
            </w:pPr>
            <w:r w:rsidRPr="00A61D56">
              <w:rPr>
                <w:rFonts w:cs="Arial"/>
                <w:szCs w:val="19"/>
              </w:rPr>
              <w:t>94,4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F33B2" w:rsidRPr="00A61D56" w:rsidRDefault="000A24A6" w:rsidP="000A24A6">
            <w:pPr>
              <w:spacing w:before="0" w:after="0"/>
              <w:jc w:val="right"/>
              <w:rPr>
                <w:rFonts w:cs="Arial"/>
                <w:szCs w:val="19"/>
              </w:rPr>
            </w:pPr>
            <w:r w:rsidRPr="00A61D56">
              <w:rPr>
                <w:rFonts w:cs="Arial"/>
                <w:szCs w:val="19"/>
              </w:rPr>
              <w:t>94,0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F33B2" w:rsidRPr="00A61D56" w:rsidRDefault="000A24A6" w:rsidP="000A24A6">
            <w:pPr>
              <w:spacing w:before="0" w:after="0"/>
              <w:jc w:val="right"/>
              <w:rPr>
                <w:rFonts w:cs="Arial"/>
                <w:szCs w:val="19"/>
              </w:rPr>
            </w:pPr>
            <w:r w:rsidRPr="00A61D56">
              <w:rPr>
                <w:rFonts w:cs="Arial"/>
                <w:szCs w:val="19"/>
              </w:rPr>
              <w:t>101,2</w:t>
            </w:r>
          </w:p>
        </w:tc>
      </w:tr>
      <w:tr w:rsidR="007F33B2" w:rsidRPr="00A61D56" w:rsidTr="00976853">
        <w:trPr>
          <w:trHeight w:val="341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F33B2" w:rsidRPr="00A61D56" w:rsidRDefault="007F33B2" w:rsidP="000A24A6">
            <w:pPr>
              <w:tabs>
                <w:tab w:val="right" w:leader="dot" w:pos="3368"/>
              </w:tabs>
              <w:spacing w:before="0" w:line="240" w:lineRule="auto"/>
              <w:rPr>
                <w:rFonts w:cs="Arial"/>
                <w:b/>
                <w:szCs w:val="19"/>
              </w:rPr>
            </w:pPr>
          </w:p>
        </w:tc>
        <w:tc>
          <w:tcPr>
            <w:tcW w:w="28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bottom"/>
            <w:hideMark/>
          </w:tcPr>
          <w:p w:rsidR="007F33B2" w:rsidRPr="00A61D56" w:rsidRDefault="007F33B2" w:rsidP="00F3769B">
            <w:pPr>
              <w:spacing w:line="240" w:lineRule="auto"/>
              <w:jc w:val="center"/>
              <w:rPr>
                <w:rFonts w:cs="Arial"/>
                <w:szCs w:val="19"/>
              </w:rPr>
            </w:pPr>
            <w:r w:rsidRPr="00A61D56">
              <w:rPr>
                <w:rFonts w:cs="Arial"/>
                <w:szCs w:val="19"/>
              </w:rPr>
              <w:t>w miliardach złotych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bottom"/>
          </w:tcPr>
          <w:p w:rsidR="007F33B2" w:rsidRPr="00A61D56" w:rsidRDefault="007F33B2" w:rsidP="000A24A6">
            <w:pPr>
              <w:spacing w:before="0" w:line="240" w:lineRule="auto"/>
              <w:jc w:val="right"/>
              <w:rPr>
                <w:rFonts w:cs="Arial"/>
                <w:szCs w:val="19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33B2" w:rsidRPr="00A61D56" w:rsidRDefault="007F33B2" w:rsidP="000A24A6">
            <w:pPr>
              <w:spacing w:before="0" w:line="240" w:lineRule="auto"/>
              <w:jc w:val="right"/>
              <w:rPr>
                <w:rFonts w:cs="Arial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33B2" w:rsidRPr="00A61D56" w:rsidRDefault="007F33B2" w:rsidP="000A24A6">
            <w:pPr>
              <w:spacing w:before="0" w:line="240" w:lineRule="auto"/>
              <w:jc w:val="right"/>
              <w:rPr>
                <w:rFonts w:cs="Arial"/>
                <w:szCs w:val="19"/>
              </w:rPr>
            </w:pPr>
          </w:p>
        </w:tc>
      </w:tr>
      <w:tr w:rsidR="007F33B2" w:rsidRPr="00A61D56" w:rsidTr="00976853">
        <w:trPr>
          <w:trHeight w:val="383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F33B2" w:rsidRPr="00A61D56" w:rsidRDefault="007F33B2" w:rsidP="000A24A6">
            <w:pPr>
              <w:tabs>
                <w:tab w:val="right" w:leader="dot" w:pos="3368"/>
              </w:tabs>
              <w:spacing w:before="0" w:after="0" w:line="240" w:lineRule="auto"/>
              <w:rPr>
                <w:rFonts w:cs="Arial"/>
                <w:b/>
                <w:szCs w:val="19"/>
              </w:rPr>
            </w:pPr>
            <w:r w:rsidRPr="00A61D56">
              <w:rPr>
                <w:rFonts w:cs="Arial"/>
                <w:b/>
                <w:szCs w:val="19"/>
              </w:rPr>
              <w:t xml:space="preserve">Aktywa (Pasywa) </w:t>
            </w:r>
            <w:r w:rsidRPr="00A61D56">
              <w:rPr>
                <w:rFonts w:cs="Arial"/>
                <w:szCs w:val="19"/>
              </w:rPr>
              <w:tab/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bottom"/>
            <w:hideMark/>
          </w:tcPr>
          <w:p w:rsidR="007F33B2" w:rsidRPr="00A61D56" w:rsidRDefault="000A24A6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2 917,6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bottom"/>
            <w:hideMark/>
          </w:tcPr>
          <w:p w:rsidR="007F33B2" w:rsidRPr="00A61D56" w:rsidRDefault="000A24A6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1 063,3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bottom"/>
            <w:hideMark/>
          </w:tcPr>
          <w:p w:rsidR="007F33B2" w:rsidRPr="00A61D56" w:rsidRDefault="000A24A6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1 854,3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bottom"/>
            <w:hideMark/>
          </w:tcPr>
          <w:p w:rsidR="007F33B2" w:rsidRPr="00A61D56" w:rsidRDefault="000A24A6" w:rsidP="000A24A6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  <w:r w:rsidRPr="00A61D56">
              <w:rPr>
                <w:rFonts w:cs="Arial"/>
                <w:szCs w:val="19"/>
              </w:rPr>
              <w:t>104,5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F33B2" w:rsidRPr="00A61D56" w:rsidRDefault="000A24A6" w:rsidP="000A24A6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  <w:r w:rsidRPr="00A61D56">
              <w:rPr>
                <w:rFonts w:cs="Arial"/>
                <w:szCs w:val="19"/>
              </w:rPr>
              <w:t>101,4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F33B2" w:rsidRPr="00A61D56" w:rsidRDefault="000A24A6" w:rsidP="000A24A6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  <w:r w:rsidRPr="00A61D56">
              <w:rPr>
                <w:rFonts w:cs="Arial"/>
                <w:szCs w:val="19"/>
              </w:rPr>
              <w:t>106,3</w:t>
            </w:r>
          </w:p>
        </w:tc>
      </w:tr>
      <w:tr w:rsidR="007F33B2" w:rsidRPr="00A61D56" w:rsidTr="00976853">
        <w:trPr>
          <w:trHeight w:val="383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F33B2" w:rsidRPr="00A61D56" w:rsidRDefault="007F33B2" w:rsidP="000A24A6">
            <w:pPr>
              <w:tabs>
                <w:tab w:val="left" w:pos="108"/>
              </w:tabs>
              <w:spacing w:before="0" w:after="0" w:line="240" w:lineRule="auto"/>
              <w:rPr>
                <w:rFonts w:cs="Arial"/>
                <w:szCs w:val="19"/>
              </w:rPr>
            </w:pPr>
            <w:r w:rsidRPr="00A61D56">
              <w:rPr>
                <w:rFonts w:cs="Arial"/>
                <w:szCs w:val="19"/>
              </w:rPr>
              <w:tab/>
              <w:t>w tym: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bottom"/>
          </w:tcPr>
          <w:p w:rsidR="007F33B2" w:rsidRPr="00A61D56" w:rsidRDefault="007F33B2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bottom"/>
          </w:tcPr>
          <w:p w:rsidR="007F33B2" w:rsidRPr="00A61D56" w:rsidRDefault="007F33B2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bottom"/>
          </w:tcPr>
          <w:p w:rsidR="007F33B2" w:rsidRPr="00A61D56" w:rsidRDefault="007F33B2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bottom"/>
          </w:tcPr>
          <w:p w:rsidR="007F33B2" w:rsidRPr="00A61D56" w:rsidRDefault="007F33B2" w:rsidP="000A24A6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33B2" w:rsidRPr="00A61D56" w:rsidRDefault="007F33B2" w:rsidP="000A24A6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33B2" w:rsidRPr="00A61D56" w:rsidRDefault="007F33B2" w:rsidP="000A24A6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</w:p>
        </w:tc>
      </w:tr>
      <w:tr w:rsidR="007F33B2" w:rsidRPr="00A61D56" w:rsidTr="00976853">
        <w:trPr>
          <w:trHeight w:val="383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F33B2" w:rsidRPr="00A61D56" w:rsidRDefault="007F33B2" w:rsidP="000A24A6">
            <w:pPr>
              <w:tabs>
                <w:tab w:val="left" w:pos="108"/>
                <w:tab w:val="right" w:leader="dot" w:pos="3327"/>
              </w:tabs>
              <w:spacing w:before="0" w:after="0" w:line="240" w:lineRule="auto"/>
              <w:rPr>
                <w:rFonts w:cs="Arial"/>
                <w:b/>
                <w:szCs w:val="19"/>
              </w:rPr>
            </w:pPr>
            <w:r w:rsidRPr="00A61D56">
              <w:rPr>
                <w:rFonts w:cs="Arial"/>
                <w:szCs w:val="19"/>
              </w:rPr>
              <w:tab/>
            </w:r>
            <w:r w:rsidRPr="00A61D56">
              <w:rPr>
                <w:rFonts w:cs="Arial"/>
                <w:b/>
                <w:szCs w:val="19"/>
              </w:rPr>
              <w:t xml:space="preserve">aktywa trwałe </w:t>
            </w:r>
            <w:r w:rsidRPr="00A61D56">
              <w:rPr>
                <w:rFonts w:cs="Arial"/>
                <w:szCs w:val="19"/>
              </w:rPr>
              <w:tab/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bottom"/>
            <w:hideMark/>
          </w:tcPr>
          <w:p w:rsidR="007F33B2" w:rsidRPr="00A61D56" w:rsidRDefault="00B96E4D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1 757,4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bottom"/>
            <w:hideMark/>
          </w:tcPr>
          <w:p w:rsidR="007F33B2" w:rsidRPr="00A61D56" w:rsidRDefault="00B96E4D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556,0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bottom"/>
            <w:hideMark/>
          </w:tcPr>
          <w:p w:rsidR="007F33B2" w:rsidRPr="00A61D56" w:rsidRDefault="00B96E4D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1 201,4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bottom"/>
            <w:hideMark/>
          </w:tcPr>
          <w:p w:rsidR="007F33B2" w:rsidRPr="00A61D56" w:rsidRDefault="00B96E4D" w:rsidP="000A24A6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  <w:r w:rsidRPr="00A61D56">
              <w:rPr>
                <w:rFonts w:cs="Arial"/>
                <w:szCs w:val="19"/>
              </w:rPr>
              <w:t>103,2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F33B2" w:rsidRPr="00A61D56" w:rsidRDefault="00B96E4D" w:rsidP="000A24A6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  <w:r w:rsidRPr="00A61D56">
              <w:rPr>
                <w:rFonts w:cs="Arial"/>
                <w:szCs w:val="19"/>
              </w:rPr>
              <w:t>100,5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F33B2" w:rsidRPr="00A61D56" w:rsidRDefault="00B96E4D" w:rsidP="000A24A6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  <w:r w:rsidRPr="00A61D56">
              <w:rPr>
                <w:rFonts w:cs="Arial"/>
                <w:szCs w:val="19"/>
              </w:rPr>
              <w:t>104,6</w:t>
            </w:r>
          </w:p>
        </w:tc>
      </w:tr>
      <w:tr w:rsidR="007F33B2" w:rsidRPr="00A61D56" w:rsidTr="00976853">
        <w:trPr>
          <w:trHeight w:val="383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F33B2" w:rsidRPr="00A61D56" w:rsidRDefault="007F33B2" w:rsidP="000A24A6">
            <w:pPr>
              <w:tabs>
                <w:tab w:val="left" w:pos="108"/>
                <w:tab w:val="right" w:leader="dot" w:pos="3368"/>
              </w:tabs>
              <w:spacing w:before="0" w:after="0" w:line="240" w:lineRule="auto"/>
              <w:rPr>
                <w:rFonts w:cs="Arial"/>
                <w:b/>
                <w:szCs w:val="19"/>
              </w:rPr>
            </w:pPr>
            <w:r w:rsidRPr="00A61D56">
              <w:rPr>
                <w:rFonts w:cs="Arial"/>
                <w:szCs w:val="19"/>
              </w:rPr>
              <w:tab/>
            </w:r>
            <w:r w:rsidRPr="00A61D56">
              <w:rPr>
                <w:rFonts w:cs="Arial"/>
                <w:b/>
                <w:szCs w:val="19"/>
              </w:rPr>
              <w:t xml:space="preserve">aktywa obrotowe </w:t>
            </w:r>
            <w:r w:rsidRPr="00A61D56">
              <w:rPr>
                <w:rFonts w:cs="Arial"/>
                <w:szCs w:val="19"/>
              </w:rPr>
              <w:tab/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bottom"/>
            <w:hideMark/>
          </w:tcPr>
          <w:p w:rsidR="007F33B2" w:rsidRPr="00A61D56" w:rsidRDefault="00B96E4D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1 157,3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bottom"/>
            <w:hideMark/>
          </w:tcPr>
          <w:p w:rsidR="007F33B2" w:rsidRPr="00A61D56" w:rsidRDefault="00B96E4D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505,9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bottom"/>
            <w:hideMark/>
          </w:tcPr>
          <w:p w:rsidR="007F33B2" w:rsidRPr="00A61D56" w:rsidRDefault="00B96E4D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651,4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bottom"/>
            <w:hideMark/>
          </w:tcPr>
          <w:p w:rsidR="007F33B2" w:rsidRPr="00A61D56" w:rsidRDefault="00B96E4D" w:rsidP="000A24A6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  <w:r w:rsidRPr="00A61D56">
              <w:rPr>
                <w:rFonts w:cs="Arial"/>
                <w:szCs w:val="19"/>
              </w:rPr>
              <w:t>106,5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F33B2" w:rsidRPr="00A61D56" w:rsidRDefault="00B96E4D" w:rsidP="000A24A6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  <w:r w:rsidRPr="00A61D56">
              <w:rPr>
                <w:rFonts w:cs="Arial"/>
                <w:szCs w:val="19"/>
              </w:rPr>
              <w:t>102,6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F33B2" w:rsidRPr="00A61D56" w:rsidRDefault="00B96E4D" w:rsidP="000A24A6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  <w:r w:rsidRPr="00A61D56">
              <w:rPr>
                <w:rFonts w:cs="Arial"/>
                <w:szCs w:val="19"/>
              </w:rPr>
              <w:t>109,6</w:t>
            </w:r>
          </w:p>
        </w:tc>
      </w:tr>
      <w:tr w:rsidR="007F33B2" w:rsidRPr="00A61D56" w:rsidTr="00976853">
        <w:trPr>
          <w:trHeight w:val="383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F33B2" w:rsidRPr="00A61D56" w:rsidRDefault="007F33B2" w:rsidP="000A24A6">
            <w:pPr>
              <w:tabs>
                <w:tab w:val="right" w:leader="dot" w:pos="3368"/>
              </w:tabs>
              <w:spacing w:before="0" w:after="0" w:line="240" w:lineRule="auto"/>
              <w:rPr>
                <w:rFonts w:cs="Arial"/>
                <w:b/>
                <w:szCs w:val="19"/>
              </w:rPr>
            </w:pPr>
            <w:r w:rsidRPr="00A61D56">
              <w:rPr>
                <w:rFonts w:cs="Arial"/>
                <w:b/>
                <w:szCs w:val="19"/>
              </w:rPr>
              <w:t xml:space="preserve">Kapitał (fundusz) własny </w:t>
            </w:r>
            <w:r w:rsidRPr="00A61D56">
              <w:rPr>
                <w:rFonts w:cs="Arial"/>
                <w:szCs w:val="19"/>
              </w:rPr>
              <w:tab/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bottom"/>
            <w:hideMark/>
          </w:tcPr>
          <w:p w:rsidR="007F33B2" w:rsidRPr="00A61D56" w:rsidRDefault="00137465" w:rsidP="0069050A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1 451,1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bottom"/>
            <w:hideMark/>
          </w:tcPr>
          <w:p w:rsidR="007F33B2" w:rsidRPr="00A61D56" w:rsidRDefault="00137465" w:rsidP="0069050A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522,7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bottom"/>
            <w:hideMark/>
          </w:tcPr>
          <w:p w:rsidR="007F33B2" w:rsidRPr="00A61D56" w:rsidRDefault="00137465" w:rsidP="0069050A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928,</w:t>
            </w:r>
            <w:r w:rsidR="0069050A" w:rsidRPr="00A61D56">
              <w:rPr>
                <w:rFonts w:cs="Arial"/>
                <w:color w:val="000000"/>
                <w:szCs w:val="19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bottom"/>
            <w:hideMark/>
          </w:tcPr>
          <w:p w:rsidR="007F33B2" w:rsidRPr="00A61D56" w:rsidRDefault="00137465" w:rsidP="000A24A6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  <w:r w:rsidRPr="00A61D56">
              <w:rPr>
                <w:rFonts w:cs="Arial"/>
                <w:szCs w:val="19"/>
              </w:rPr>
              <w:t>106,2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F33B2" w:rsidRPr="00A61D56" w:rsidRDefault="00137465" w:rsidP="000A24A6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  <w:r w:rsidRPr="00A61D56">
              <w:rPr>
                <w:rFonts w:cs="Arial"/>
                <w:szCs w:val="19"/>
              </w:rPr>
              <w:t>102,7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F33B2" w:rsidRPr="00A61D56" w:rsidRDefault="00137465" w:rsidP="000A24A6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  <w:r w:rsidRPr="00A61D56">
              <w:rPr>
                <w:rFonts w:cs="Arial"/>
                <w:szCs w:val="19"/>
              </w:rPr>
              <w:t>108,3</w:t>
            </w:r>
          </w:p>
        </w:tc>
      </w:tr>
      <w:tr w:rsidR="007F33B2" w:rsidRPr="00A61D56" w:rsidTr="00976853">
        <w:trPr>
          <w:trHeight w:val="383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F33B2" w:rsidRPr="00A61D56" w:rsidRDefault="007F33B2" w:rsidP="000A24A6">
            <w:pPr>
              <w:tabs>
                <w:tab w:val="right" w:leader="dot" w:pos="3368"/>
              </w:tabs>
              <w:spacing w:before="0" w:line="240" w:lineRule="auto"/>
              <w:rPr>
                <w:rFonts w:cs="Arial"/>
                <w:b/>
                <w:szCs w:val="19"/>
              </w:rPr>
            </w:pPr>
            <w:r w:rsidRPr="00A61D56">
              <w:rPr>
                <w:rFonts w:cs="Arial"/>
                <w:b/>
                <w:szCs w:val="19"/>
              </w:rPr>
              <w:t xml:space="preserve">Zobowiązania i rezerwy na zobowiązania </w:t>
            </w:r>
            <w:r w:rsidRPr="00A61D56">
              <w:rPr>
                <w:rFonts w:cs="Arial"/>
                <w:szCs w:val="19"/>
              </w:rPr>
              <w:tab/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</w:tcPr>
          <w:p w:rsidR="007F33B2" w:rsidRPr="00A61D56" w:rsidRDefault="00137465" w:rsidP="0069050A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1 466,</w:t>
            </w:r>
            <w:r w:rsidR="0069050A" w:rsidRPr="00A61D56">
              <w:rPr>
                <w:rFonts w:cs="Arial"/>
                <w:color w:val="000000"/>
                <w:szCs w:val="19"/>
              </w:rPr>
              <w:t>5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</w:tcPr>
          <w:p w:rsidR="007F33B2" w:rsidRPr="00A61D56" w:rsidRDefault="00137465" w:rsidP="0069050A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540,5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</w:tcPr>
          <w:p w:rsidR="007F33B2" w:rsidRPr="00A61D56" w:rsidRDefault="00137465" w:rsidP="0069050A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92</w:t>
            </w:r>
            <w:r w:rsidR="0069050A" w:rsidRPr="00A61D56">
              <w:rPr>
                <w:rFonts w:cs="Arial"/>
                <w:color w:val="000000"/>
                <w:szCs w:val="19"/>
              </w:rPr>
              <w:t>6</w:t>
            </w:r>
            <w:r w:rsidRPr="00A61D56">
              <w:rPr>
                <w:rFonts w:cs="Arial"/>
                <w:color w:val="000000"/>
                <w:szCs w:val="19"/>
              </w:rPr>
              <w:t>,</w:t>
            </w:r>
            <w:r w:rsidR="0069050A" w:rsidRPr="00A61D56">
              <w:rPr>
                <w:rFonts w:cs="Arial"/>
                <w:color w:val="000000"/>
                <w:szCs w:val="19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</w:tcPr>
          <w:p w:rsidR="007F33B2" w:rsidRPr="00A61D56" w:rsidRDefault="00137465" w:rsidP="0069050A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  <w:r w:rsidRPr="00A61D56">
              <w:rPr>
                <w:rFonts w:cs="Arial"/>
                <w:szCs w:val="19"/>
              </w:rPr>
              <w:t>102,8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33B2" w:rsidRPr="00A61D56" w:rsidRDefault="007F33B2" w:rsidP="0069050A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  <w:r w:rsidRPr="00A61D56">
              <w:rPr>
                <w:rFonts w:cs="Arial"/>
                <w:szCs w:val="19"/>
              </w:rPr>
              <w:t>10</w:t>
            </w:r>
            <w:r w:rsidR="00137465" w:rsidRPr="00A61D56">
              <w:rPr>
                <w:rFonts w:cs="Arial"/>
                <w:szCs w:val="19"/>
              </w:rPr>
              <w:t>0</w:t>
            </w:r>
            <w:r w:rsidRPr="00A61D56">
              <w:rPr>
                <w:rFonts w:cs="Arial"/>
                <w:szCs w:val="19"/>
              </w:rPr>
              <w:t>,</w:t>
            </w:r>
            <w:r w:rsidR="00137465" w:rsidRPr="00A61D56">
              <w:rPr>
                <w:rFonts w:cs="Arial"/>
                <w:szCs w:val="19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33B2" w:rsidRPr="00A61D56" w:rsidRDefault="00137465" w:rsidP="0069050A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  <w:r w:rsidRPr="00A61D56">
              <w:rPr>
                <w:rFonts w:cs="Arial"/>
                <w:szCs w:val="19"/>
              </w:rPr>
              <w:t>104,4</w:t>
            </w:r>
          </w:p>
        </w:tc>
      </w:tr>
      <w:tr w:rsidR="007F33B2" w:rsidRPr="00A61D56" w:rsidTr="00976853">
        <w:trPr>
          <w:trHeight w:val="383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F33B2" w:rsidRPr="00A61D56" w:rsidRDefault="007F33B2" w:rsidP="000A24A6">
            <w:pPr>
              <w:tabs>
                <w:tab w:val="left" w:pos="108"/>
                <w:tab w:val="right" w:leader="dot" w:pos="3368"/>
              </w:tabs>
              <w:spacing w:before="0" w:line="240" w:lineRule="auto"/>
              <w:rPr>
                <w:rFonts w:cs="Arial"/>
                <w:bCs/>
                <w:szCs w:val="19"/>
              </w:rPr>
            </w:pPr>
            <w:r w:rsidRPr="00A61D56">
              <w:rPr>
                <w:rFonts w:cs="Arial"/>
                <w:szCs w:val="19"/>
              </w:rPr>
              <w:tab/>
            </w:r>
            <w:r w:rsidRPr="00A61D56">
              <w:rPr>
                <w:rFonts w:cs="Arial"/>
                <w:bCs/>
                <w:szCs w:val="19"/>
              </w:rPr>
              <w:t>w tym:</w:t>
            </w:r>
          </w:p>
          <w:p w:rsidR="007F33B2" w:rsidRPr="00A61D56" w:rsidRDefault="007F33B2" w:rsidP="000A24A6">
            <w:pPr>
              <w:tabs>
                <w:tab w:val="left" w:pos="108"/>
                <w:tab w:val="right" w:leader="dot" w:pos="3368"/>
              </w:tabs>
              <w:spacing w:before="0" w:line="240" w:lineRule="auto"/>
              <w:rPr>
                <w:rFonts w:cs="Arial"/>
                <w:b/>
                <w:szCs w:val="19"/>
              </w:rPr>
            </w:pPr>
            <w:r w:rsidRPr="00A61D56">
              <w:rPr>
                <w:rFonts w:cs="Arial"/>
                <w:szCs w:val="19"/>
              </w:rPr>
              <w:tab/>
            </w:r>
            <w:r w:rsidRPr="00A61D56">
              <w:rPr>
                <w:rFonts w:cs="Arial"/>
                <w:b/>
                <w:szCs w:val="19"/>
              </w:rPr>
              <w:t>zobowiązania długote</w:t>
            </w:r>
            <w:r w:rsidRPr="00A61D56">
              <w:rPr>
                <w:rFonts w:cs="Arial"/>
                <w:b/>
                <w:szCs w:val="19"/>
              </w:rPr>
              <w:t>r</w:t>
            </w:r>
            <w:r w:rsidRPr="00A61D56">
              <w:rPr>
                <w:rFonts w:cs="Arial"/>
                <w:b/>
                <w:szCs w:val="19"/>
              </w:rPr>
              <w:t>minowe</w:t>
            </w:r>
            <w:r w:rsidRPr="00A61D56">
              <w:rPr>
                <w:rFonts w:cs="Arial"/>
                <w:szCs w:val="19"/>
              </w:rPr>
              <w:tab/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bottom"/>
          </w:tcPr>
          <w:p w:rsidR="007F33B2" w:rsidRPr="00A61D56" w:rsidRDefault="00656CF9" w:rsidP="0069050A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422,9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bottom"/>
          </w:tcPr>
          <w:p w:rsidR="007F33B2" w:rsidRPr="00A61D56" w:rsidRDefault="00656CF9" w:rsidP="0069050A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146,2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bottom"/>
          </w:tcPr>
          <w:p w:rsidR="007F33B2" w:rsidRPr="00A61D56" w:rsidRDefault="00656CF9" w:rsidP="0069050A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276,7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bottom"/>
          </w:tcPr>
          <w:p w:rsidR="007F33B2" w:rsidRPr="00A61D56" w:rsidRDefault="00656CF9" w:rsidP="0069050A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  <w:r w:rsidRPr="00A61D56">
              <w:rPr>
                <w:rFonts w:cs="Arial"/>
                <w:szCs w:val="19"/>
              </w:rPr>
              <w:t>97,4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33B2" w:rsidRPr="00A61D56" w:rsidRDefault="00656CF9" w:rsidP="0069050A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  <w:r w:rsidRPr="00A61D56">
              <w:rPr>
                <w:rFonts w:cs="Arial"/>
                <w:szCs w:val="19"/>
              </w:rPr>
              <w:t>94,4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33B2" w:rsidRPr="00A61D56" w:rsidRDefault="00656CF9" w:rsidP="0069050A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  <w:r w:rsidRPr="00A61D56">
              <w:rPr>
                <w:rFonts w:cs="Arial"/>
                <w:szCs w:val="19"/>
              </w:rPr>
              <w:t>99,0</w:t>
            </w:r>
          </w:p>
        </w:tc>
      </w:tr>
      <w:tr w:rsidR="007F33B2" w:rsidRPr="00A61D56" w:rsidTr="00976853">
        <w:trPr>
          <w:trHeight w:val="383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F33B2" w:rsidRPr="00A61D56" w:rsidRDefault="007F33B2" w:rsidP="000A24A6">
            <w:pPr>
              <w:tabs>
                <w:tab w:val="left" w:pos="108"/>
                <w:tab w:val="left" w:pos="158"/>
                <w:tab w:val="right" w:leader="dot" w:pos="3368"/>
              </w:tabs>
              <w:spacing w:before="0" w:line="240" w:lineRule="auto"/>
              <w:rPr>
                <w:rFonts w:cs="Arial"/>
                <w:b/>
                <w:szCs w:val="19"/>
              </w:rPr>
            </w:pPr>
            <w:r w:rsidRPr="00A61D56">
              <w:rPr>
                <w:rFonts w:cs="Arial"/>
                <w:szCs w:val="19"/>
              </w:rPr>
              <w:tab/>
            </w:r>
            <w:r w:rsidRPr="00A61D56">
              <w:rPr>
                <w:rFonts w:cs="Arial"/>
                <w:b/>
                <w:szCs w:val="19"/>
              </w:rPr>
              <w:t>zobowiązania krótk</w:t>
            </w:r>
            <w:r w:rsidRPr="00A61D56">
              <w:rPr>
                <w:rFonts w:cs="Arial"/>
                <w:b/>
                <w:szCs w:val="19"/>
              </w:rPr>
              <w:t>o</w:t>
            </w:r>
            <w:r w:rsidRPr="00A61D56">
              <w:rPr>
                <w:rFonts w:cs="Arial"/>
                <w:b/>
                <w:szCs w:val="19"/>
              </w:rPr>
              <w:t xml:space="preserve">terminowe </w:t>
            </w:r>
            <w:r w:rsidRPr="00A61D56">
              <w:rPr>
                <w:rFonts w:cs="Arial"/>
                <w:szCs w:val="19"/>
              </w:rPr>
              <w:tab/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790,8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324,4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466,4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  <w:r w:rsidRPr="00A61D56">
              <w:rPr>
                <w:rFonts w:cs="Arial"/>
                <w:szCs w:val="19"/>
              </w:rPr>
              <w:t>106,8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  <w:r w:rsidRPr="00A61D56">
              <w:rPr>
                <w:rFonts w:cs="Arial"/>
                <w:szCs w:val="19"/>
              </w:rPr>
              <w:t>103,6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  <w:r w:rsidRPr="00A61D56">
              <w:rPr>
                <w:rFonts w:cs="Arial"/>
                <w:szCs w:val="19"/>
              </w:rPr>
              <w:t>109,2</w:t>
            </w:r>
          </w:p>
        </w:tc>
      </w:tr>
      <w:tr w:rsidR="007F33B2" w:rsidRPr="00A61D56" w:rsidTr="00976853">
        <w:trPr>
          <w:trHeight w:val="564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F33B2" w:rsidRPr="00A61D56" w:rsidRDefault="007F33B2" w:rsidP="00DA7CD1">
            <w:pPr>
              <w:tabs>
                <w:tab w:val="right" w:leader="dot" w:pos="3368"/>
              </w:tabs>
              <w:spacing w:before="0" w:line="240" w:lineRule="auto"/>
              <w:rPr>
                <w:rFonts w:cs="Arial"/>
                <w:b/>
                <w:szCs w:val="19"/>
              </w:rPr>
            </w:pPr>
            <w:r w:rsidRPr="00A61D56">
              <w:rPr>
                <w:rFonts w:cs="Arial"/>
                <w:b/>
                <w:szCs w:val="19"/>
              </w:rPr>
              <w:t>Przychody ogółem</w:t>
            </w:r>
            <w:r w:rsidRPr="00A61D56">
              <w:rPr>
                <w:rFonts w:cs="Arial"/>
                <w:szCs w:val="19"/>
              </w:rPr>
              <w:tab/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</w:tcPr>
          <w:p w:rsidR="007F33B2" w:rsidRPr="00A61D56" w:rsidRDefault="0051323E" w:rsidP="0051323E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3 409,0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1 368,6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2 040,4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</w:tcPr>
          <w:p w:rsidR="007F33B2" w:rsidRPr="00A61D56" w:rsidRDefault="0051323E" w:rsidP="0051323E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  <w:r w:rsidRPr="00A61D56">
              <w:rPr>
                <w:rFonts w:cs="Arial"/>
                <w:szCs w:val="19"/>
              </w:rPr>
              <w:t>107,2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  <w:r w:rsidRPr="00A61D56">
              <w:rPr>
                <w:rFonts w:cs="Arial"/>
                <w:szCs w:val="19"/>
              </w:rPr>
              <w:t>103,8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  <w:r w:rsidRPr="00A61D56">
              <w:rPr>
                <w:rFonts w:cs="Arial"/>
                <w:szCs w:val="19"/>
              </w:rPr>
              <w:t>109,6</w:t>
            </w:r>
          </w:p>
        </w:tc>
      </w:tr>
      <w:tr w:rsidR="007F33B2" w:rsidRPr="00A61D56" w:rsidTr="00976853">
        <w:trPr>
          <w:trHeight w:val="564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F33B2" w:rsidRPr="00A61D56" w:rsidRDefault="007F33B2" w:rsidP="00DA7CD1">
            <w:pPr>
              <w:tabs>
                <w:tab w:val="left" w:pos="108"/>
                <w:tab w:val="right" w:leader="dot" w:pos="3368"/>
              </w:tabs>
              <w:spacing w:before="0" w:line="240" w:lineRule="auto"/>
              <w:rPr>
                <w:rFonts w:cs="Arial"/>
                <w:b/>
                <w:szCs w:val="19"/>
              </w:rPr>
            </w:pPr>
            <w:r w:rsidRPr="00A61D56">
              <w:rPr>
                <w:rFonts w:cs="Arial"/>
                <w:b/>
                <w:szCs w:val="19"/>
              </w:rPr>
              <w:t xml:space="preserve">Koszty </w:t>
            </w:r>
            <w:r w:rsidR="00DA7CD1" w:rsidRPr="00A61D56">
              <w:rPr>
                <w:rFonts w:cs="Arial"/>
                <w:b/>
                <w:szCs w:val="19"/>
              </w:rPr>
              <w:t>ogółem</w:t>
            </w:r>
            <w:r w:rsidRPr="00A61D56">
              <w:rPr>
                <w:rFonts w:cs="Arial"/>
                <w:szCs w:val="19"/>
              </w:rPr>
              <w:tab/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</w:tcPr>
          <w:p w:rsidR="007F33B2" w:rsidRPr="00A61D56" w:rsidRDefault="0051323E" w:rsidP="0069050A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3 232,5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</w:tcPr>
          <w:p w:rsidR="007F33B2" w:rsidRPr="00A61D56" w:rsidRDefault="0051323E" w:rsidP="0069050A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1 301,5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</w:tcPr>
          <w:p w:rsidR="007F33B2" w:rsidRPr="00A61D56" w:rsidRDefault="0051323E" w:rsidP="0069050A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1 931,0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</w:tcPr>
          <w:p w:rsidR="007F33B2" w:rsidRPr="00A61D56" w:rsidRDefault="0051323E" w:rsidP="0069050A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106,7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33B2" w:rsidRPr="00A61D56" w:rsidRDefault="0051323E" w:rsidP="0069050A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  <w:r w:rsidRPr="00A61D56">
              <w:rPr>
                <w:rFonts w:cs="Arial"/>
                <w:szCs w:val="19"/>
              </w:rPr>
              <w:t>103,7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33B2" w:rsidRPr="00A61D56" w:rsidRDefault="0051323E" w:rsidP="0069050A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  <w:r w:rsidRPr="00A61D56">
              <w:rPr>
                <w:rFonts w:cs="Arial"/>
                <w:szCs w:val="19"/>
              </w:rPr>
              <w:t>108,8</w:t>
            </w:r>
          </w:p>
        </w:tc>
      </w:tr>
      <w:tr w:rsidR="007F33B2" w:rsidRPr="00A61D56" w:rsidTr="00976853">
        <w:trPr>
          <w:trHeight w:val="383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F33B2" w:rsidRPr="00A61D56" w:rsidRDefault="007F33B2" w:rsidP="000A24A6">
            <w:pPr>
              <w:tabs>
                <w:tab w:val="right" w:leader="dot" w:pos="3368"/>
              </w:tabs>
              <w:spacing w:before="0" w:line="240" w:lineRule="auto"/>
              <w:rPr>
                <w:rFonts w:cs="Arial"/>
                <w:b/>
                <w:szCs w:val="19"/>
              </w:rPr>
            </w:pPr>
            <w:r w:rsidRPr="00A61D56">
              <w:rPr>
                <w:rFonts w:cs="Arial"/>
                <w:b/>
                <w:szCs w:val="19"/>
              </w:rPr>
              <w:t xml:space="preserve">Wynik finansowy brutto </w:t>
            </w:r>
            <w:r w:rsidRPr="00A61D56">
              <w:rPr>
                <w:rFonts w:cs="Arial"/>
                <w:szCs w:val="19"/>
              </w:rPr>
              <w:tab/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176,5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67,2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109,4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117,3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  <w:r w:rsidRPr="00A61D56">
              <w:rPr>
                <w:rFonts w:cs="Arial"/>
                <w:szCs w:val="19"/>
              </w:rPr>
              <w:t>105,6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  <w:r w:rsidRPr="00A61D56">
              <w:rPr>
                <w:rFonts w:cs="Arial"/>
                <w:szCs w:val="19"/>
              </w:rPr>
              <w:t>125,9</w:t>
            </w:r>
          </w:p>
        </w:tc>
      </w:tr>
      <w:tr w:rsidR="007F33B2" w:rsidRPr="00A61D56" w:rsidTr="00976853">
        <w:trPr>
          <w:trHeight w:val="383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F33B2" w:rsidRPr="00A61D56" w:rsidRDefault="007F33B2" w:rsidP="000A24A6">
            <w:pPr>
              <w:tabs>
                <w:tab w:val="left" w:pos="108"/>
                <w:tab w:val="right" w:leader="dot" w:pos="3368"/>
              </w:tabs>
              <w:spacing w:before="0" w:line="240" w:lineRule="auto"/>
              <w:rPr>
                <w:rFonts w:cs="Arial"/>
                <w:b/>
                <w:szCs w:val="19"/>
              </w:rPr>
            </w:pPr>
            <w:r w:rsidRPr="00A61D56">
              <w:rPr>
                <w:rFonts w:cs="Arial"/>
                <w:szCs w:val="19"/>
              </w:rPr>
              <w:tab/>
            </w:r>
            <w:r w:rsidRPr="00A61D56">
              <w:rPr>
                <w:rFonts w:cs="Arial"/>
                <w:b/>
                <w:szCs w:val="19"/>
              </w:rPr>
              <w:t xml:space="preserve">zysk brutto </w:t>
            </w:r>
            <w:r w:rsidRPr="00A61D56">
              <w:rPr>
                <w:rFonts w:cs="Arial"/>
                <w:szCs w:val="19"/>
              </w:rPr>
              <w:tab/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202,0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81,2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120,8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107,5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  <w:r w:rsidRPr="00A61D56">
              <w:rPr>
                <w:rFonts w:cs="Arial"/>
                <w:szCs w:val="19"/>
              </w:rPr>
              <w:t>99,1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  <w:r w:rsidRPr="00A61D56">
              <w:rPr>
                <w:rFonts w:cs="Arial"/>
                <w:szCs w:val="19"/>
              </w:rPr>
              <w:t>114,1</w:t>
            </w:r>
          </w:p>
        </w:tc>
      </w:tr>
      <w:tr w:rsidR="007F33B2" w:rsidRPr="00A61D56" w:rsidTr="00976853">
        <w:trPr>
          <w:trHeight w:val="383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F33B2" w:rsidRPr="00A61D56" w:rsidRDefault="007F33B2" w:rsidP="000A24A6">
            <w:pPr>
              <w:tabs>
                <w:tab w:val="left" w:pos="108"/>
                <w:tab w:val="right" w:leader="dot" w:pos="3368"/>
              </w:tabs>
              <w:spacing w:before="0" w:line="240" w:lineRule="auto"/>
              <w:rPr>
                <w:rFonts w:cs="Arial"/>
                <w:b/>
                <w:szCs w:val="19"/>
              </w:rPr>
            </w:pPr>
            <w:r w:rsidRPr="00A61D56">
              <w:rPr>
                <w:rFonts w:cs="Arial"/>
                <w:szCs w:val="19"/>
              </w:rPr>
              <w:tab/>
            </w:r>
            <w:r w:rsidRPr="00A61D56">
              <w:rPr>
                <w:rFonts w:cs="Arial"/>
                <w:b/>
                <w:szCs w:val="19"/>
              </w:rPr>
              <w:t xml:space="preserve">strata brutto </w:t>
            </w:r>
            <w:r w:rsidRPr="00A61D56">
              <w:rPr>
                <w:rFonts w:cs="Arial"/>
                <w:szCs w:val="19"/>
              </w:rPr>
              <w:tab/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25,5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14,1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11,4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68,1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  <w:r w:rsidRPr="00A61D56">
              <w:rPr>
                <w:rFonts w:cs="Arial"/>
                <w:szCs w:val="19"/>
              </w:rPr>
              <w:t>76,4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  <w:r w:rsidRPr="00A61D56">
              <w:rPr>
                <w:rFonts w:cs="Arial"/>
                <w:szCs w:val="19"/>
              </w:rPr>
              <w:t>60,1</w:t>
            </w:r>
          </w:p>
        </w:tc>
      </w:tr>
      <w:tr w:rsidR="007F33B2" w:rsidRPr="00A61D56" w:rsidTr="00976853">
        <w:trPr>
          <w:trHeight w:val="383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F33B2" w:rsidRPr="00A61D56" w:rsidRDefault="007F33B2" w:rsidP="000A24A6">
            <w:pPr>
              <w:tabs>
                <w:tab w:val="right" w:leader="dot" w:pos="3368"/>
              </w:tabs>
              <w:spacing w:before="0" w:line="240" w:lineRule="auto"/>
              <w:rPr>
                <w:rFonts w:cs="Arial"/>
                <w:b/>
                <w:szCs w:val="19"/>
              </w:rPr>
            </w:pPr>
            <w:r w:rsidRPr="00A61D56">
              <w:rPr>
                <w:rFonts w:cs="Arial"/>
                <w:b/>
                <w:szCs w:val="19"/>
              </w:rPr>
              <w:t xml:space="preserve">Podatek dochodowy </w:t>
            </w:r>
            <w:r w:rsidRPr="00A61D56">
              <w:rPr>
                <w:rFonts w:cs="Arial"/>
                <w:szCs w:val="19"/>
              </w:rPr>
              <w:tab/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27,7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9,3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18,4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118,2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  <w:r w:rsidRPr="00A61D56">
              <w:rPr>
                <w:rFonts w:cs="Arial"/>
                <w:szCs w:val="19"/>
              </w:rPr>
              <w:t>106,5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  <w:r w:rsidRPr="00A61D56">
              <w:rPr>
                <w:rFonts w:cs="Arial"/>
                <w:szCs w:val="19"/>
              </w:rPr>
              <w:t>125,2</w:t>
            </w:r>
          </w:p>
        </w:tc>
      </w:tr>
      <w:tr w:rsidR="007F33B2" w:rsidRPr="00A61D56" w:rsidTr="00976853">
        <w:trPr>
          <w:trHeight w:val="383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F33B2" w:rsidRPr="00A61D56" w:rsidRDefault="007F33B2" w:rsidP="000A24A6">
            <w:pPr>
              <w:tabs>
                <w:tab w:val="right" w:leader="dot" w:pos="3368"/>
              </w:tabs>
              <w:spacing w:before="0" w:line="240" w:lineRule="auto"/>
              <w:rPr>
                <w:rFonts w:cs="Arial"/>
                <w:b/>
                <w:szCs w:val="19"/>
              </w:rPr>
            </w:pPr>
            <w:r w:rsidRPr="00A61D56">
              <w:rPr>
                <w:rFonts w:cs="Arial"/>
                <w:b/>
                <w:szCs w:val="19"/>
              </w:rPr>
              <w:t xml:space="preserve">Wynik finansowy netto </w:t>
            </w:r>
            <w:r w:rsidRPr="00A61D56">
              <w:rPr>
                <w:rFonts w:cs="Arial"/>
                <w:szCs w:val="19"/>
              </w:rPr>
              <w:tab/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148,9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57,8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91,0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117,2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  <w:r w:rsidRPr="00A61D56">
              <w:rPr>
                <w:rFonts w:cs="Arial"/>
                <w:szCs w:val="19"/>
              </w:rPr>
              <w:t>105,5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  <w:r w:rsidRPr="00A61D56">
              <w:rPr>
                <w:rFonts w:cs="Arial"/>
                <w:szCs w:val="19"/>
              </w:rPr>
              <w:t>126,1</w:t>
            </w:r>
          </w:p>
        </w:tc>
      </w:tr>
      <w:tr w:rsidR="007F33B2" w:rsidRPr="00A61D56" w:rsidTr="00976853">
        <w:trPr>
          <w:trHeight w:val="383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F33B2" w:rsidRPr="00A61D56" w:rsidRDefault="007F33B2" w:rsidP="000A24A6">
            <w:pPr>
              <w:tabs>
                <w:tab w:val="left" w:pos="108"/>
                <w:tab w:val="right" w:leader="dot" w:pos="3368"/>
              </w:tabs>
              <w:spacing w:before="0" w:line="240" w:lineRule="auto"/>
              <w:rPr>
                <w:rFonts w:cs="Arial"/>
                <w:b/>
                <w:szCs w:val="19"/>
              </w:rPr>
            </w:pPr>
            <w:r w:rsidRPr="00A61D56">
              <w:rPr>
                <w:rFonts w:cs="Arial"/>
                <w:szCs w:val="19"/>
              </w:rPr>
              <w:tab/>
            </w:r>
            <w:r w:rsidRPr="00A61D56">
              <w:rPr>
                <w:rFonts w:cs="Arial"/>
                <w:b/>
                <w:szCs w:val="19"/>
              </w:rPr>
              <w:t xml:space="preserve">zysk netto </w:t>
            </w:r>
            <w:r w:rsidRPr="00A61D56">
              <w:rPr>
                <w:rFonts w:cs="Arial"/>
                <w:szCs w:val="19"/>
              </w:rPr>
              <w:tab/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174,8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72,1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102,8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106,1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  <w:r w:rsidRPr="00A61D56">
              <w:rPr>
                <w:rFonts w:cs="Arial"/>
                <w:szCs w:val="19"/>
              </w:rPr>
              <w:t>98,6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  <w:r w:rsidRPr="00A61D56">
              <w:rPr>
                <w:rFonts w:cs="Arial"/>
                <w:szCs w:val="19"/>
              </w:rPr>
              <w:t>112,0</w:t>
            </w:r>
          </w:p>
        </w:tc>
      </w:tr>
      <w:tr w:rsidR="007F33B2" w:rsidRPr="00A61D56" w:rsidTr="00976853">
        <w:trPr>
          <w:trHeight w:val="383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F33B2" w:rsidRPr="00A61D56" w:rsidRDefault="007F33B2" w:rsidP="000A24A6">
            <w:pPr>
              <w:tabs>
                <w:tab w:val="left" w:pos="108"/>
                <w:tab w:val="right" w:leader="dot" w:pos="3368"/>
              </w:tabs>
              <w:spacing w:before="0" w:line="240" w:lineRule="auto"/>
              <w:rPr>
                <w:rFonts w:cs="Arial"/>
                <w:b/>
                <w:szCs w:val="19"/>
              </w:rPr>
            </w:pPr>
            <w:r w:rsidRPr="00A61D56">
              <w:rPr>
                <w:rFonts w:cs="Arial"/>
                <w:szCs w:val="19"/>
              </w:rPr>
              <w:tab/>
            </w:r>
            <w:r w:rsidRPr="00A61D56">
              <w:rPr>
                <w:rFonts w:cs="Arial"/>
                <w:b/>
                <w:szCs w:val="19"/>
              </w:rPr>
              <w:t xml:space="preserve">strata netto </w:t>
            </w:r>
            <w:r w:rsidRPr="00A61D56">
              <w:rPr>
                <w:rFonts w:cs="Arial"/>
                <w:szCs w:val="19"/>
              </w:rPr>
              <w:tab/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26,0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14,2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11,7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68,7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  <w:r w:rsidRPr="00A61D56">
              <w:rPr>
                <w:rFonts w:cs="Arial"/>
                <w:szCs w:val="19"/>
              </w:rPr>
              <w:t>77,9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33B2" w:rsidRPr="00A61D56" w:rsidRDefault="0051323E" w:rsidP="000A24A6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  <w:r w:rsidRPr="00A61D56">
              <w:rPr>
                <w:rFonts w:cs="Arial"/>
                <w:szCs w:val="19"/>
              </w:rPr>
              <w:t>60,1</w:t>
            </w:r>
          </w:p>
        </w:tc>
      </w:tr>
      <w:tr w:rsidR="007F33B2" w:rsidRPr="00A61D56" w:rsidTr="00976853">
        <w:trPr>
          <w:trHeight w:val="344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33B2" w:rsidRPr="00A61D56" w:rsidRDefault="007F33B2" w:rsidP="000A24A6">
            <w:pPr>
              <w:tabs>
                <w:tab w:val="left" w:pos="108"/>
                <w:tab w:val="right" w:leader="dot" w:pos="3368"/>
              </w:tabs>
              <w:spacing w:before="0" w:line="240" w:lineRule="auto"/>
              <w:rPr>
                <w:rFonts w:cs="Arial"/>
                <w:b/>
                <w:szCs w:val="19"/>
              </w:rPr>
            </w:pPr>
          </w:p>
        </w:tc>
        <w:tc>
          <w:tcPr>
            <w:tcW w:w="28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bottom"/>
            <w:hideMark/>
          </w:tcPr>
          <w:p w:rsidR="007F33B2" w:rsidRPr="00A61D56" w:rsidRDefault="007F33B2" w:rsidP="000A24A6">
            <w:pPr>
              <w:spacing w:before="0" w:line="240" w:lineRule="auto"/>
              <w:jc w:val="center"/>
              <w:rPr>
                <w:rFonts w:cs="Arial"/>
                <w:szCs w:val="19"/>
              </w:rPr>
            </w:pPr>
            <w:r w:rsidRPr="00A61D56">
              <w:rPr>
                <w:rFonts w:cs="Arial"/>
                <w:szCs w:val="19"/>
              </w:rPr>
              <w:t>w procentach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bottom"/>
          </w:tcPr>
          <w:p w:rsidR="007F33B2" w:rsidRPr="00A61D56" w:rsidRDefault="007F33B2" w:rsidP="000A24A6">
            <w:pPr>
              <w:spacing w:before="0" w:after="0"/>
              <w:jc w:val="right"/>
              <w:rPr>
                <w:rFonts w:cs="Arial"/>
                <w:szCs w:val="19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33B2" w:rsidRPr="00A61D56" w:rsidRDefault="007F33B2" w:rsidP="000A24A6">
            <w:pPr>
              <w:spacing w:before="0" w:line="240" w:lineRule="auto"/>
              <w:jc w:val="right"/>
              <w:rPr>
                <w:rFonts w:cs="Arial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33B2" w:rsidRPr="00A61D56" w:rsidRDefault="007F33B2" w:rsidP="000A24A6">
            <w:pPr>
              <w:spacing w:before="0" w:line="240" w:lineRule="auto"/>
              <w:jc w:val="right"/>
              <w:rPr>
                <w:rFonts w:cs="Arial"/>
                <w:szCs w:val="19"/>
              </w:rPr>
            </w:pPr>
          </w:p>
        </w:tc>
      </w:tr>
      <w:tr w:rsidR="007F33B2" w:rsidRPr="00A61D56" w:rsidTr="00976853">
        <w:trPr>
          <w:trHeight w:val="491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F33B2" w:rsidRPr="00A61D56" w:rsidRDefault="007F33B2" w:rsidP="00A61D56">
            <w:pPr>
              <w:tabs>
                <w:tab w:val="left" w:pos="108"/>
                <w:tab w:val="right" w:leader="dot" w:pos="3368"/>
              </w:tabs>
              <w:spacing w:before="0" w:line="240" w:lineRule="auto"/>
              <w:rPr>
                <w:rFonts w:cs="Arial"/>
                <w:b/>
                <w:szCs w:val="19"/>
              </w:rPr>
            </w:pPr>
            <w:r w:rsidRPr="00A61D56">
              <w:rPr>
                <w:rFonts w:cs="Arial"/>
                <w:b/>
                <w:szCs w:val="19"/>
              </w:rPr>
              <w:t>Wskaźnik poziomu kos</w:t>
            </w:r>
            <w:r w:rsidRPr="00A61D56">
              <w:rPr>
                <w:rFonts w:cs="Arial"/>
                <w:b/>
                <w:szCs w:val="19"/>
              </w:rPr>
              <w:t>z</w:t>
            </w:r>
            <w:r w:rsidRPr="00A61D56">
              <w:rPr>
                <w:rFonts w:cs="Arial"/>
                <w:b/>
                <w:szCs w:val="19"/>
              </w:rPr>
              <w:t>tów</w:t>
            </w:r>
            <w:r w:rsidR="00A61D56">
              <w:rPr>
                <w:rFonts w:cs="Arial"/>
                <w:b/>
                <w:szCs w:val="19"/>
              </w:rPr>
              <w:t xml:space="preserve"> ogółem</w:t>
            </w:r>
            <w:r w:rsidRPr="00A61D56">
              <w:rPr>
                <w:rFonts w:cs="Arial"/>
                <w:b/>
                <w:szCs w:val="19"/>
              </w:rPr>
              <w:t xml:space="preserve"> </w:t>
            </w:r>
            <w:r w:rsidRPr="00A61D56">
              <w:rPr>
                <w:rFonts w:cs="Arial"/>
                <w:szCs w:val="19"/>
                <w:vertAlign w:val="superscript"/>
              </w:rPr>
              <w:t xml:space="preserve">1) </w:t>
            </w:r>
            <w:r w:rsidRPr="00A61D56">
              <w:rPr>
                <w:rFonts w:cs="Arial"/>
                <w:szCs w:val="19"/>
              </w:rPr>
              <w:tab/>
            </w:r>
            <w:r w:rsidRPr="00A61D56">
              <w:rPr>
                <w:rFonts w:cs="Arial"/>
                <w:b/>
                <w:szCs w:val="19"/>
                <w:vertAlign w:val="superscript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  <w:hideMark/>
          </w:tcPr>
          <w:p w:rsidR="007F33B2" w:rsidRPr="00A61D56" w:rsidRDefault="00A112CD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94,8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  <w:hideMark/>
          </w:tcPr>
          <w:p w:rsidR="007F33B2" w:rsidRPr="00A61D56" w:rsidRDefault="00A112CD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95,1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  <w:hideMark/>
          </w:tcPr>
          <w:p w:rsidR="007F33B2" w:rsidRPr="00A61D56" w:rsidRDefault="00A112CD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94,6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bottom"/>
            <w:hideMark/>
          </w:tcPr>
          <w:p w:rsidR="007F33B2" w:rsidRPr="00A61D56" w:rsidRDefault="007F33B2" w:rsidP="000A24A6">
            <w:pPr>
              <w:spacing w:before="0" w:line="240" w:lineRule="auto"/>
              <w:jc w:val="right"/>
              <w:rPr>
                <w:rFonts w:cs="Arial"/>
                <w:szCs w:val="19"/>
              </w:rPr>
            </w:pPr>
            <w:r w:rsidRPr="00A61D56">
              <w:rPr>
                <w:rFonts w:cs="Arial"/>
                <w:szCs w:val="19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F33B2" w:rsidRPr="00A61D56" w:rsidRDefault="007F33B2" w:rsidP="000A24A6">
            <w:pPr>
              <w:spacing w:before="0" w:line="240" w:lineRule="auto"/>
              <w:jc w:val="right"/>
              <w:rPr>
                <w:rFonts w:cs="Arial"/>
                <w:szCs w:val="19"/>
              </w:rPr>
            </w:pPr>
            <w:r w:rsidRPr="00A61D56">
              <w:rPr>
                <w:rFonts w:cs="Arial"/>
                <w:szCs w:val="19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F33B2" w:rsidRPr="00A61D56" w:rsidRDefault="00976853" w:rsidP="000A24A6">
            <w:pPr>
              <w:spacing w:before="0" w:line="240" w:lineRule="auto"/>
              <w:jc w:val="right"/>
              <w:rPr>
                <w:rFonts w:cs="Arial"/>
                <w:szCs w:val="19"/>
              </w:rPr>
            </w:pPr>
            <w:r w:rsidRPr="00A61D56">
              <w:rPr>
                <w:rFonts w:cs="Arial"/>
                <w:szCs w:val="19"/>
              </w:rPr>
              <w:t>X</w:t>
            </w:r>
          </w:p>
        </w:tc>
      </w:tr>
      <w:tr w:rsidR="007F33B2" w:rsidRPr="00A61D56" w:rsidTr="00976853">
        <w:trPr>
          <w:trHeight w:val="491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F33B2" w:rsidRPr="00A61D56" w:rsidRDefault="007F33B2" w:rsidP="000A24A6">
            <w:pPr>
              <w:tabs>
                <w:tab w:val="left" w:pos="108"/>
                <w:tab w:val="right" w:leader="dot" w:pos="3368"/>
              </w:tabs>
              <w:spacing w:before="0" w:line="240" w:lineRule="auto"/>
              <w:rPr>
                <w:rFonts w:cs="Arial"/>
                <w:b/>
                <w:szCs w:val="19"/>
              </w:rPr>
            </w:pPr>
            <w:r w:rsidRPr="00A61D56">
              <w:rPr>
                <w:rFonts w:cs="Arial"/>
                <w:b/>
                <w:szCs w:val="19"/>
              </w:rPr>
              <w:t>Wskaźnik rentowności</w:t>
            </w:r>
            <w:r w:rsidRPr="00A61D56">
              <w:rPr>
                <w:rFonts w:cs="Arial"/>
                <w:b/>
                <w:szCs w:val="19"/>
              </w:rPr>
              <w:br/>
              <w:t xml:space="preserve">obrotu brutto </w:t>
            </w:r>
            <w:r w:rsidRPr="00A61D56">
              <w:rPr>
                <w:rFonts w:cs="Arial"/>
                <w:szCs w:val="19"/>
                <w:vertAlign w:val="superscript"/>
              </w:rPr>
              <w:t xml:space="preserve">2) </w:t>
            </w:r>
            <w:r w:rsidRPr="00A61D56">
              <w:rPr>
                <w:rFonts w:cs="Arial"/>
                <w:szCs w:val="19"/>
              </w:rPr>
              <w:tab/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  <w:hideMark/>
          </w:tcPr>
          <w:p w:rsidR="007F33B2" w:rsidRPr="00A61D56" w:rsidRDefault="00A112CD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5,2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  <w:hideMark/>
          </w:tcPr>
          <w:p w:rsidR="007F33B2" w:rsidRPr="00A61D56" w:rsidRDefault="00A112CD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4,9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  <w:hideMark/>
          </w:tcPr>
          <w:p w:rsidR="007F33B2" w:rsidRPr="00A61D56" w:rsidRDefault="00A112CD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5,4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bottom"/>
            <w:hideMark/>
          </w:tcPr>
          <w:p w:rsidR="007F33B2" w:rsidRPr="00A61D56" w:rsidRDefault="007F33B2" w:rsidP="000A24A6">
            <w:pPr>
              <w:spacing w:before="0" w:line="240" w:lineRule="auto"/>
              <w:jc w:val="right"/>
              <w:rPr>
                <w:rFonts w:cs="Arial"/>
                <w:szCs w:val="19"/>
              </w:rPr>
            </w:pPr>
            <w:r w:rsidRPr="00A61D56">
              <w:rPr>
                <w:rFonts w:cs="Arial"/>
                <w:szCs w:val="19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F33B2" w:rsidRPr="00A61D56" w:rsidRDefault="007F33B2" w:rsidP="000A24A6">
            <w:pPr>
              <w:spacing w:before="0" w:line="240" w:lineRule="auto"/>
              <w:jc w:val="right"/>
              <w:rPr>
                <w:rFonts w:cs="Arial"/>
                <w:szCs w:val="19"/>
              </w:rPr>
            </w:pPr>
            <w:r w:rsidRPr="00A61D56">
              <w:rPr>
                <w:rFonts w:cs="Arial"/>
                <w:szCs w:val="19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F33B2" w:rsidRPr="00A61D56" w:rsidRDefault="00976853" w:rsidP="000A24A6">
            <w:pPr>
              <w:spacing w:before="0" w:line="240" w:lineRule="auto"/>
              <w:jc w:val="right"/>
              <w:rPr>
                <w:rFonts w:cs="Arial"/>
                <w:szCs w:val="19"/>
              </w:rPr>
            </w:pPr>
            <w:r w:rsidRPr="00A61D56">
              <w:rPr>
                <w:rFonts w:cs="Arial"/>
                <w:szCs w:val="19"/>
              </w:rPr>
              <w:t>X</w:t>
            </w:r>
          </w:p>
        </w:tc>
      </w:tr>
      <w:tr w:rsidR="007F33B2" w:rsidRPr="00A61D56" w:rsidTr="00976853">
        <w:trPr>
          <w:trHeight w:val="491"/>
        </w:trPr>
        <w:tc>
          <w:tcPr>
            <w:tcW w:w="2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F33B2" w:rsidRPr="00A61D56" w:rsidRDefault="007F33B2" w:rsidP="000A24A6">
            <w:pPr>
              <w:tabs>
                <w:tab w:val="left" w:pos="108"/>
                <w:tab w:val="right" w:leader="dot" w:pos="3368"/>
              </w:tabs>
              <w:spacing w:before="0" w:line="240" w:lineRule="auto"/>
              <w:rPr>
                <w:rFonts w:cs="Arial"/>
                <w:b/>
                <w:szCs w:val="19"/>
              </w:rPr>
            </w:pPr>
            <w:r w:rsidRPr="00A61D56">
              <w:rPr>
                <w:rFonts w:cs="Arial"/>
                <w:b/>
                <w:szCs w:val="19"/>
              </w:rPr>
              <w:t>Wskaźnik rentowności</w:t>
            </w:r>
            <w:r w:rsidRPr="00A61D56">
              <w:rPr>
                <w:rFonts w:cs="Arial"/>
                <w:b/>
                <w:szCs w:val="19"/>
              </w:rPr>
              <w:br/>
              <w:t>obrotu netto</w:t>
            </w:r>
            <w:r w:rsidRPr="00A61D56">
              <w:rPr>
                <w:rFonts w:cs="Arial"/>
                <w:b/>
                <w:szCs w:val="19"/>
                <w:vertAlign w:val="superscript"/>
              </w:rPr>
              <w:t xml:space="preserve">  </w:t>
            </w:r>
            <w:r w:rsidRPr="00A61D56">
              <w:rPr>
                <w:rFonts w:cs="Arial"/>
                <w:szCs w:val="19"/>
                <w:vertAlign w:val="superscript"/>
              </w:rPr>
              <w:t xml:space="preserve">3) </w:t>
            </w:r>
            <w:r w:rsidRPr="00A61D56">
              <w:rPr>
                <w:rFonts w:cs="Arial"/>
                <w:szCs w:val="19"/>
              </w:rPr>
              <w:tab/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  <w:hideMark/>
          </w:tcPr>
          <w:p w:rsidR="007F33B2" w:rsidRPr="00A61D56" w:rsidRDefault="004821E8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4,4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  <w:hideMark/>
          </w:tcPr>
          <w:p w:rsidR="007F33B2" w:rsidRPr="00A61D56" w:rsidRDefault="004821E8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4,2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  <w:hideMark/>
          </w:tcPr>
          <w:p w:rsidR="007F33B2" w:rsidRPr="00A61D56" w:rsidRDefault="004821E8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4,5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bottom"/>
            <w:hideMark/>
          </w:tcPr>
          <w:p w:rsidR="007F33B2" w:rsidRPr="00A61D56" w:rsidRDefault="007F33B2" w:rsidP="000A24A6">
            <w:pPr>
              <w:spacing w:before="0" w:line="240" w:lineRule="auto"/>
              <w:jc w:val="right"/>
              <w:rPr>
                <w:rFonts w:cs="Arial"/>
                <w:szCs w:val="19"/>
              </w:rPr>
            </w:pPr>
            <w:r w:rsidRPr="00A61D56">
              <w:rPr>
                <w:rFonts w:cs="Arial"/>
                <w:szCs w:val="19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F33B2" w:rsidRPr="00A61D56" w:rsidRDefault="007F33B2" w:rsidP="000A24A6">
            <w:pPr>
              <w:spacing w:before="0" w:line="240" w:lineRule="auto"/>
              <w:jc w:val="right"/>
              <w:rPr>
                <w:rFonts w:cs="Arial"/>
                <w:szCs w:val="19"/>
              </w:rPr>
            </w:pPr>
            <w:r w:rsidRPr="00A61D56">
              <w:rPr>
                <w:rFonts w:cs="Arial"/>
                <w:szCs w:val="19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F33B2" w:rsidRPr="00A61D56" w:rsidRDefault="00976853" w:rsidP="000A24A6">
            <w:pPr>
              <w:spacing w:before="0" w:line="240" w:lineRule="auto"/>
              <w:jc w:val="right"/>
              <w:rPr>
                <w:rFonts w:cs="Arial"/>
                <w:szCs w:val="19"/>
              </w:rPr>
            </w:pPr>
            <w:r w:rsidRPr="00A61D56">
              <w:rPr>
                <w:rFonts w:cs="Arial"/>
                <w:szCs w:val="19"/>
              </w:rPr>
              <w:t>X</w:t>
            </w:r>
          </w:p>
        </w:tc>
      </w:tr>
      <w:tr w:rsidR="007F33B2" w:rsidRPr="00A61D56" w:rsidTr="00976853">
        <w:trPr>
          <w:trHeight w:val="383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3B2" w:rsidRPr="00A61D56" w:rsidRDefault="007F33B2" w:rsidP="000A24A6">
            <w:pPr>
              <w:tabs>
                <w:tab w:val="left" w:pos="108"/>
                <w:tab w:val="right" w:leader="dot" w:pos="3368"/>
              </w:tabs>
              <w:spacing w:before="0" w:line="240" w:lineRule="auto"/>
              <w:rPr>
                <w:rFonts w:cs="Arial"/>
                <w:b/>
                <w:szCs w:val="19"/>
              </w:rPr>
            </w:pPr>
            <w:r w:rsidRPr="00A61D56">
              <w:rPr>
                <w:rFonts w:cs="Arial"/>
                <w:b/>
                <w:szCs w:val="19"/>
              </w:rPr>
              <w:t xml:space="preserve">Wskaźnik płynności I stopnia </w:t>
            </w:r>
            <w:r w:rsidRPr="00A61D56">
              <w:rPr>
                <w:rFonts w:cs="Arial"/>
                <w:szCs w:val="19"/>
                <w:vertAlign w:val="superscript"/>
              </w:rPr>
              <w:t xml:space="preserve">4) </w:t>
            </w:r>
            <w:r w:rsidRPr="00A61D56">
              <w:rPr>
                <w:rFonts w:cs="Arial"/>
                <w:szCs w:val="19"/>
              </w:rPr>
              <w:tab/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  <w:hideMark/>
          </w:tcPr>
          <w:p w:rsidR="007F33B2" w:rsidRPr="00A61D56" w:rsidRDefault="004821E8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39,1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  <w:hideMark/>
          </w:tcPr>
          <w:p w:rsidR="007F33B2" w:rsidRPr="00A61D56" w:rsidRDefault="004821E8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39,1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center"/>
            <w:hideMark/>
          </w:tcPr>
          <w:p w:rsidR="007F33B2" w:rsidRPr="00A61D56" w:rsidRDefault="004821E8" w:rsidP="000A24A6">
            <w:pPr>
              <w:spacing w:before="0" w:after="0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39,0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68" w:type="dxa"/>
            </w:tcMar>
            <w:vAlign w:val="bottom"/>
            <w:hideMark/>
          </w:tcPr>
          <w:p w:rsidR="007F33B2" w:rsidRPr="00A61D56" w:rsidRDefault="007F33B2" w:rsidP="000A24A6">
            <w:pPr>
              <w:spacing w:before="0" w:line="240" w:lineRule="auto"/>
              <w:jc w:val="right"/>
              <w:rPr>
                <w:rFonts w:cs="Arial"/>
                <w:szCs w:val="19"/>
              </w:rPr>
            </w:pPr>
            <w:r w:rsidRPr="00A61D56">
              <w:rPr>
                <w:rFonts w:cs="Arial"/>
                <w:szCs w:val="19"/>
              </w:rPr>
              <w:t>x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33B2" w:rsidRPr="00A61D56" w:rsidRDefault="007F33B2" w:rsidP="000A24A6">
            <w:pPr>
              <w:spacing w:before="0" w:line="240" w:lineRule="auto"/>
              <w:jc w:val="right"/>
              <w:rPr>
                <w:rFonts w:cs="Arial"/>
                <w:szCs w:val="19"/>
              </w:rPr>
            </w:pPr>
            <w:r w:rsidRPr="00A61D56">
              <w:rPr>
                <w:rFonts w:cs="Arial"/>
                <w:szCs w:val="19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33B2" w:rsidRPr="00A61D56" w:rsidRDefault="00976853" w:rsidP="000A24A6">
            <w:pPr>
              <w:spacing w:before="0" w:line="240" w:lineRule="auto"/>
              <w:jc w:val="right"/>
              <w:rPr>
                <w:rFonts w:cs="Arial"/>
                <w:szCs w:val="19"/>
              </w:rPr>
            </w:pPr>
            <w:r w:rsidRPr="00A61D56">
              <w:rPr>
                <w:rFonts w:cs="Arial"/>
                <w:szCs w:val="19"/>
              </w:rPr>
              <w:t>X</w:t>
            </w:r>
          </w:p>
        </w:tc>
      </w:tr>
    </w:tbl>
    <w:p w:rsidR="00DA1609" w:rsidRPr="00A61D56" w:rsidRDefault="00DA1609" w:rsidP="00DA1609">
      <w:pPr>
        <w:pStyle w:val="Akapitzlist"/>
        <w:numPr>
          <w:ilvl w:val="0"/>
          <w:numId w:val="3"/>
        </w:numPr>
        <w:spacing w:before="0" w:after="0" w:line="240" w:lineRule="auto"/>
        <w:jc w:val="both"/>
        <w:rPr>
          <w:rFonts w:cs="Arial"/>
          <w:szCs w:val="19"/>
        </w:rPr>
      </w:pPr>
      <w:r w:rsidRPr="00A61D56">
        <w:rPr>
          <w:rFonts w:cs="Arial"/>
          <w:szCs w:val="19"/>
        </w:rPr>
        <w:t xml:space="preserve">Relacja kosztów </w:t>
      </w:r>
      <w:r w:rsidR="00DA7CD1" w:rsidRPr="00A61D56">
        <w:rPr>
          <w:rFonts w:cs="Arial"/>
          <w:szCs w:val="19"/>
        </w:rPr>
        <w:t>ogółem</w:t>
      </w:r>
      <w:r w:rsidR="000A24A6" w:rsidRPr="00A61D56">
        <w:rPr>
          <w:rFonts w:cs="Arial"/>
          <w:szCs w:val="19"/>
        </w:rPr>
        <w:t xml:space="preserve"> </w:t>
      </w:r>
      <w:r w:rsidRPr="00A61D56">
        <w:rPr>
          <w:rFonts w:cs="Arial"/>
          <w:szCs w:val="19"/>
        </w:rPr>
        <w:t xml:space="preserve">do przychodów </w:t>
      </w:r>
      <w:r w:rsidR="00DA7CD1" w:rsidRPr="00A61D56">
        <w:rPr>
          <w:rFonts w:cs="Arial"/>
          <w:szCs w:val="19"/>
        </w:rPr>
        <w:t>ogółem</w:t>
      </w:r>
      <w:r w:rsidRPr="00A61D56">
        <w:rPr>
          <w:rFonts w:cs="Arial"/>
          <w:szCs w:val="19"/>
        </w:rPr>
        <w:t>.</w:t>
      </w:r>
    </w:p>
    <w:p w:rsidR="00DA1609" w:rsidRPr="00A61D56" w:rsidRDefault="00DA1609" w:rsidP="00DA1609">
      <w:pPr>
        <w:pStyle w:val="Akapitzlist"/>
        <w:numPr>
          <w:ilvl w:val="0"/>
          <w:numId w:val="3"/>
        </w:numPr>
        <w:spacing w:before="0" w:after="0" w:line="240" w:lineRule="auto"/>
        <w:jc w:val="both"/>
        <w:rPr>
          <w:rFonts w:cs="Arial"/>
          <w:szCs w:val="19"/>
        </w:rPr>
      </w:pPr>
      <w:r w:rsidRPr="00A61D56">
        <w:rPr>
          <w:rFonts w:cs="Arial"/>
          <w:szCs w:val="19"/>
        </w:rPr>
        <w:t xml:space="preserve">Relacja wyniku finansowego brutto do przychodów </w:t>
      </w:r>
      <w:r w:rsidR="000A24A6" w:rsidRPr="00A61D56">
        <w:rPr>
          <w:rFonts w:cs="Arial"/>
          <w:szCs w:val="19"/>
        </w:rPr>
        <w:t>ogółem</w:t>
      </w:r>
      <w:r w:rsidRPr="00A61D56">
        <w:rPr>
          <w:rFonts w:cs="Arial"/>
          <w:szCs w:val="19"/>
        </w:rPr>
        <w:t>.</w:t>
      </w:r>
    </w:p>
    <w:p w:rsidR="00DA1609" w:rsidRPr="00A61D56" w:rsidRDefault="00DA1609" w:rsidP="00DA1609">
      <w:pPr>
        <w:pStyle w:val="Akapitzlist"/>
        <w:numPr>
          <w:ilvl w:val="0"/>
          <w:numId w:val="3"/>
        </w:numPr>
        <w:spacing w:before="0" w:after="0" w:line="240" w:lineRule="auto"/>
        <w:jc w:val="both"/>
        <w:rPr>
          <w:rFonts w:cs="Arial"/>
          <w:szCs w:val="19"/>
        </w:rPr>
      </w:pPr>
      <w:r w:rsidRPr="00A61D56">
        <w:rPr>
          <w:rFonts w:cs="Arial"/>
          <w:szCs w:val="19"/>
        </w:rPr>
        <w:t xml:space="preserve">Relacja wyniku finansowego netto do przychodów </w:t>
      </w:r>
      <w:r w:rsidR="000A24A6" w:rsidRPr="00A61D56">
        <w:rPr>
          <w:rFonts w:cs="Arial"/>
          <w:szCs w:val="19"/>
        </w:rPr>
        <w:t>ogółem</w:t>
      </w:r>
      <w:r w:rsidRPr="00A61D56">
        <w:rPr>
          <w:rFonts w:cs="Arial"/>
          <w:szCs w:val="19"/>
        </w:rPr>
        <w:t>.</w:t>
      </w:r>
    </w:p>
    <w:p w:rsidR="00DA7CD1" w:rsidRPr="00A61D56" w:rsidRDefault="00DA1609" w:rsidP="00A61D56">
      <w:pPr>
        <w:pStyle w:val="Akapitzlist"/>
        <w:numPr>
          <w:ilvl w:val="0"/>
          <w:numId w:val="3"/>
        </w:numPr>
        <w:spacing w:before="0" w:after="160" w:line="259" w:lineRule="auto"/>
        <w:jc w:val="both"/>
        <w:rPr>
          <w:b/>
          <w:noProof/>
          <w:sz w:val="18"/>
          <w:szCs w:val="18"/>
          <w:lang w:eastAsia="pl-PL"/>
        </w:rPr>
      </w:pPr>
      <w:r w:rsidRPr="00A61D56">
        <w:rPr>
          <w:rFonts w:cs="Arial"/>
          <w:szCs w:val="19"/>
        </w:rPr>
        <w:t>Relacja inwestycji krótkoterminowych do zobowiązań krótkoterminowych (bez fu</w:t>
      </w:r>
      <w:r w:rsidRPr="00A61D56">
        <w:rPr>
          <w:rFonts w:cs="Arial"/>
          <w:szCs w:val="19"/>
        </w:rPr>
        <w:t>n</w:t>
      </w:r>
      <w:r w:rsidRPr="00A61D56">
        <w:rPr>
          <w:rFonts w:cs="Arial"/>
          <w:szCs w:val="19"/>
        </w:rPr>
        <w:t>duszy specjalnych).</w:t>
      </w:r>
      <w:r w:rsidR="00DA7CD1" w:rsidRPr="00A61D56">
        <w:rPr>
          <w:b/>
          <w:noProof/>
          <w:sz w:val="18"/>
          <w:szCs w:val="18"/>
          <w:lang w:eastAsia="pl-PL"/>
        </w:rPr>
        <w:br w:type="page"/>
      </w:r>
    </w:p>
    <w:p w:rsidR="00DA1609" w:rsidRPr="00A61D56" w:rsidRDefault="00DA1609" w:rsidP="00DA1609">
      <w:pPr>
        <w:pStyle w:val="Tekstpodstawowy2"/>
        <w:tabs>
          <w:tab w:val="left" w:pos="708"/>
        </w:tabs>
        <w:spacing w:line="280" w:lineRule="exact"/>
        <w:ind w:left="794" w:hanging="794"/>
        <w:rPr>
          <w:b/>
          <w:noProof/>
          <w:szCs w:val="19"/>
          <w:lang w:eastAsia="pl-PL"/>
        </w:rPr>
      </w:pPr>
      <w:r w:rsidRPr="00A61D56">
        <w:rPr>
          <w:b/>
          <w:noProof/>
          <w:szCs w:val="19"/>
          <w:lang w:eastAsia="pl-PL"/>
        </w:rPr>
        <w:lastRenderedPageBreak/>
        <w:t>Tabl.3. Wybrane aktywa i pasywa według sekcji PKD (stan na 31.12.2017 r.)</w:t>
      </w:r>
    </w:p>
    <w:tbl>
      <w:tblPr>
        <w:tblW w:w="8356" w:type="dxa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2"/>
        <w:gridCol w:w="850"/>
        <w:gridCol w:w="709"/>
        <w:gridCol w:w="709"/>
        <w:gridCol w:w="850"/>
        <w:gridCol w:w="992"/>
        <w:gridCol w:w="851"/>
        <w:gridCol w:w="850"/>
        <w:gridCol w:w="993"/>
      </w:tblGrid>
      <w:tr w:rsidR="00620EF5" w:rsidRPr="00A61D56" w:rsidTr="00620EF5">
        <w:trPr>
          <w:trHeight w:val="90"/>
          <w:jc w:val="center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20EF5" w:rsidRPr="00A61D56" w:rsidRDefault="00620EF5">
            <w:pPr>
              <w:spacing w:after="0"/>
              <w:jc w:val="center"/>
              <w:rPr>
                <w:rFonts w:cs="Arial"/>
                <w:b/>
                <w:szCs w:val="19"/>
              </w:rPr>
            </w:pPr>
            <w:r w:rsidRPr="00A61D56">
              <w:rPr>
                <w:rFonts w:cs="Arial"/>
                <w:b/>
                <w:szCs w:val="19"/>
              </w:rPr>
              <w:t>Wyszczególni</w:t>
            </w:r>
            <w:r w:rsidRPr="00A61D56">
              <w:rPr>
                <w:rFonts w:cs="Arial"/>
                <w:b/>
                <w:szCs w:val="19"/>
              </w:rPr>
              <w:t>e</w:t>
            </w:r>
            <w:r w:rsidRPr="00A61D56">
              <w:rPr>
                <w:rFonts w:cs="Arial"/>
                <w:b/>
                <w:szCs w:val="19"/>
              </w:rPr>
              <w:t>nie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20EF5" w:rsidRPr="00A61D56" w:rsidRDefault="00620EF5">
            <w:pPr>
              <w:spacing w:after="0"/>
              <w:jc w:val="center"/>
              <w:rPr>
                <w:rFonts w:cs="Arial"/>
                <w:b/>
                <w:szCs w:val="19"/>
              </w:rPr>
            </w:pPr>
            <w:r w:rsidRPr="00A61D56">
              <w:rPr>
                <w:rFonts w:cs="Arial"/>
                <w:b/>
                <w:szCs w:val="19"/>
              </w:rPr>
              <w:t>Aktywa trwałe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620EF5" w:rsidRPr="00A61D56" w:rsidRDefault="00620EF5">
            <w:pPr>
              <w:spacing w:after="0"/>
              <w:ind w:right="-57"/>
              <w:jc w:val="center"/>
              <w:rPr>
                <w:rFonts w:cs="Arial"/>
                <w:b/>
                <w:szCs w:val="19"/>
              </w:rPr>
            </w:pPr>
            <w:r w:rsidRPr="00A61D56">
              <w:rPr>
                <w:rFonts w:cs="Arial"/>
                <w:b/>
                <w:szCs w:val="19"/>
              </w:rPr>
              <w:t>Aktywa obr</w:t>
            </w:r>
            <w:r w:rsidRPr="00A61D56">
              <w:rPr>
                <w:rFonts w:cs="Arial"/>
                <w:b/>
                <w:szCs w:val="19"/>
              </w:rPr>
              <w:t>o</w:t>
            </w:r>
            <w:r w:rsidRPr="00A61D56">
              <w:rPr>
                <w:rFonts w:cs="Arial"/>
                <w:b/>
                <w:szCs w:val="19"/>
              </w:rPr>
              <w:t>towe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0EF5" w:rsidRPr="00A61D56" w:rsidRDefault="00620EF5">
            <w:pPr>
              <w:spacing w:after="0"/>
              <w:jc w:val="center"/>
              <w:rPr>
                <w:rFonts w:cs="Arial"/>
                <w:b/>
                <w:szCs w:val="19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0EF5" w:rsidRPr="00A61D56" w:rsidRDefault="00620EF5">
            <w:pPr>
              <w:spacing w:after="0"/>
              <w:ind w:left="-57" w:right="-57"/>
              <w:jc w:val="center"/>
              <w:rPr>
                <w:rFonts w:cs="Arial"/>
                <w:b/>
                <w:szCs w:val="19"/>
              </w:rPr>
            </w:pPr>
            <w:r w:rsidRPr="00A61D56">
              <w:rPr>
                <w:rFonts w:cs="Arial"/>
                <w:b/>
                <w:szCs w:val="19"/>
              </w:rPr>
              <w:t>Kapitały (fund</w:t>
            </w:r>
            <w:r w:rsidRPr="00A61D56">
              <w:rPr>
                <w:rFonts w:cs="Arial"/>
                <w:b/>
                <w:szCs w:val="19"/>
              </w:rPr>
              <w:t>u</w:t>
            </w:r>
            <w:r w:rsidRPr="00A61D56">
              <w:rPr>
                <w:rFonts w:cs="Arial"/>
                <w:b/>
                <w:szCs w:val="19"/>
              </w:rPr>
              <w:t>sze) własne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20EF5" w:rsidRPr="00A61D56" w:rsidRDefault="00620EF5">
            <w:pPr>
              <w:spacing w:after="0"/>
              <w:jc w:val="center"/>
              <w:rPr>
                <w:rFonts w:cs="Arial"/>
                <w:b/>
                <w:szCs w:val="19"/>
              </w:rPr>
            </w:pPr>
            <w:r w:rsidRPr="00A61D56">
              <w:rPr>
                <w:rFonts w:cs="Arial"/>
                <w:b/>
                <w:szCs w:val="19"/>
              </w:rPr>
              <w:t>Zobowią-</w:t>
            </w:r>
            <w:r w:rsidRPr="00A61D56">
              <w:rPr>
                <w:rFonts w:cs="Arial"/>
                <w:b/>
                <w:szCs w:val="19"/>
              </w:rPr>
              <w:br/>
              <w:t>zania i rezerwy</w:t>
            </w:r>
            <w:r w:rsidRPr="00A61D56">
              <w:rPr>
                <w:rFonts w:cs="Arial"/>
                <w:b/>
                <w:szCs w:val="19"/>
              </w:rPr>
              <w:br/>
              <w:t>na zobo-</w:t>
            </w:r>
            <w:r w:rsidRPr="00A61D56">
              <w:rPr>
                <w:rFonts w:cs="Arial"/>
                <w:b/>
                <w:szCs w:val="19"/>
              </w:rPr>
              <w:br/>
              <w:t>wiązania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0EF5" w:rsidRPr="00A61D56" w:rsidRDefault="00620EF5">
            <w:pPr>
              <w:spacing w:after="0"/>
              <w:jc w:val="center"/>
              <w:rPr>
                <w:rFonts w:cs="Arial"/>
                <w:b/>
                <w:szCs w:val="19"/>
              </w:rPr>
            </w:pPr>
          </w:p>
        </w:tc>
      </w:tr>
      <w:tr w:rsidR="00620EF5" w:rsidRPr="00A61D56" w:rsidTr="00620EF5">
        <w:trPr>
          <w:trHeight w:val="195"/>
          <w:jc w:val="center"/>
        </w:trPr>
        <w:tc>
          <w:tcPr>
            <w:tcW w:w="1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0EF5" w:rsidRPr="00A61D56" w:rsidRDefault="00620EF5">
            <w:pPr>
              <w:spacing w:after="0"/>
              <w:rPr>
                <w:rFonts w:cs="Arial"/>
                <w:b/>
                <w:szCs w:val="19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0EF5" w:rsidRPr="00A61D56" w:rsidRDefault="00620EF5">
            <w:pPr>
              <w:spacing w:after="0"/>
              <w:rPr>
                <w:rFonts w:cs="Arial"/>
                <w:b/>
                <w:szCs w:val="19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20EF5" w:rsidRPr="00A61D56" w:rsidRDefault="00620EF5">
            <w:pPr>
              <w:spacing w:after="0"/>
              <w:rPr>
                <w:rFonts w:cs="Arial"/>
                <w:b/>
                <w:szCs w:val="19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20EF5" w:rsidRPr="00A61D56" w:rsidRDefault="00620EF5">
            <w:pPr>
              <w:spacing w:after="0"/>
              <w:jc w:val="center"/>
              <w:rPr>
                <w:rFonts w:cs="Arial"/>
                <w:b/>
                <w:szCs w:val="19"/>
              </w:rPr>
            </w:pPr>
            <w:r w:rsidRPr="00A61D56">
              <w:rPr>
                <w:rFonts w:cs="Arial"/>
                <w:b/>
                <w:szCs w:val="19"/>
              </w:rPr>
              <w:t>zap</w:t>
            </w:r>
            <w:r w:rsidRPr="00A61D56">
              <w:rPr>
                <w:rFonts w:cs="Arial"/>
                <w:b/>
                <w:szCs w:val="19"/>
              </w:rPr>
              <w:t>a</w:t>
            </w:r>
            <w:r w:rsidRPr="00A61D56">
              <w:rPr>
                <w:rFonts w:cs="Arial"/>
                <w:b/>
                <w:szCs w:val="19"/>
              </w:rPr>
              <w:t>sy</w:t>
            </w: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0EF5" w:rsidRPr="00A61D56" w:rsidRDefault="00620EF5">
            <w:pPr>
              <w:spacing w:after="0"/>
              <w:rPr>
                <w:rFonts w:cs="Arial"/>
                <w:b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20EF5" w:rsidRPr="00A61D56" w:rsidRDefault="00620EF5">
            <w:pPr>
              <w:spacing w:after="0"/>
              <w:rPr>
                <w:rFonts w:cs="Arial"/>
                <w:b/>
                <w:szCs w:val="19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20EF5" w:rsidRPr="00A61D56" w:rsidRDefault="00A61D56">
            <w:pPr>
              <w:spacing w:after="0"/>
              <w:jc w:val="center"/>
              <w:rPr>
                <w:rFonts w:cs="Arial"/>
                <w:b/>
                <w:szCs w:val="19"/>
              </w:rPr>
            </w:pPr>
            <w:r>
              <w:rPr>
                <w:rFonts w:cs="Arial"/>
                <w:b/>
                <w:szCs w:val="19"/>
              </w:rPr>
              <w:t>zob</w:t>
            </w:r>
            <w:r>
              <w:rPr>
                <w:rFonts w:cs="Arial"/>
                <w:b/>
                <w:szCs w:val="19"/>
              </w:rPr>
              <w:t>o</w:t>
            </w:r>
            <w:r>
              <w:rPr>
                <w:rFonts w:cs="Arial"/>
                <w:b/>
                <w:szCs w:val="19"/>
              </w:rPr>
              <w:t>wią</w:t>
            </w:r>
            <w:r w:rsidR="00620EF5" w:rsidRPr="00A61D56">
              <w:rPr>
                <w:rFonts w:cs="Arial"/>
                <w:b/>
                <w:szCs w:val="19"/>
              </w:rPr>
              <w:t>z</w:t>
            </w:r>
            <w:r w:rsidR="00620EF5" w:rsidRPr="00A61D56">
              <w:rPr>
                <w:rFonts w:cs="Arial"/>
                <w:b/>
                <w:szCs w:val="19"/>
              </w:rPr>
              <w:t>a</w:t>
            </w:r>
            <w:r w:rsidR="00620EF5" w:rsidRPr="00A61D56">
              <w:rPr>
                <w:rFonts w:cs="Arial"/>
                <w:b/>
                <w:szCs w:val="19"/>
              </w:rPr>
              <w:t>nia długo-termi-nowe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620EF5" w:rsidRPr="00A61D56" w:rsidRDefault="00A61D56">
            <w:pPr>
              <w:spacing w:after="0"/>
              <w:jc w:val="center"/>
              <w:rPr>
                <w:rFonts w:cs="Arial"/>
                <w:b/>
                <w:szCs w:val="19"/>
              </w:rPr>
            </w:pPr>
            <w:r>
              <w:rPr>
                <w:rFonts w:cs="Arial"/>
                <w:b/>
                <w:szCs w:val="19"/>
              </w:rPr>
              <w:t>zob</w:t>
            </w:r>
            <w:r>
              <w:rPr>
                <w:rFonts w:cs="Arial"/>
                <w:b/>
                <w:szCs w:val="19"/>
              </w:rPr>
              <w:t>o</w:t>
            </w:r>
            <w:r>
              <w:rPr>
                <w:rFonts w:cs="Arial"/>
                <w:b/>
                <w:szCs w:val="19"/>
              </w:rPr>
              <w:t>wią</w:t>
            </w:r>
            <w:r w:rsidR="00620EF5" w:rsidRPr="00A61D56">
              <w:rPr>
                <w:rFonts w:cs="Arial"/>
                <w:b/>
                <w:szCs w:val="19"/>
              </w:rPr>
              <w:t>z</w:t>
            </w:r>
            <w:r w:rsidR="00620EF5" w:rsidRPr="00A61D56">
              <w:rPr>
                <w:rFonts w:cs="Arial"/>
                <w:b/>
                <w:szCs w:val="19"/>
              </w:rPr>
              <w:t>a</w:t>
            </w:r>
            <w:r w:rsidR="00620EF5" w:rsidRPr="00A61D56">
              <w:rPr>
                <w:rFonts w:cs="Arial"/>
                <w:b/>
                <w:szCs w:val="19"/>
              </w:rPr>
              <w:t>nia krótko-termi-nowe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0EF5" w:rsidRPr="00A61D56" w:rsidRDefault="00620EF5">
            <w:pPr>
              <w:spacing w:after="0"/>
              <w:jc w:val="center"/>
              <w:rPr>
                <w:rFonts w:cs="Arial"/>
                <w:b/>
                <w:szCs w:val="19"/>
              </w:rPr>
            </w:pPr>
          </w:p>
        </w:tc>
      </w:tr>
      <w:tr w:rsidR="00620EF5" w:rsidRPr="00A61D56" w:rsidTr="00620EF5">
        <w:trPr>
          <w:trHeight w:val="1036"/>
          <w:jc w:val="center"/>
        </w:trPr>
        <w:tc>
          <w:tcPr>
            <w:tcW w:w="1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0EF5" w:rsidRPr="00A61D56" w:rsidRDefault="00620EF5">
            <w:pPr>
              <w:spacing w:after="0"/>
              <w:rPr>
                <w:rFonts w:cs="Arial"/>
                <w:b/>
                <w:szCs w:val="19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0EF5" w:rsidRPr="00A61D56" w:rsidRDefault="00620EF5">
            <w:pPr>
              <w:spacing w:after="0"/>
              <w:rPr>
                <w:rFonts w:cs="Arial"/>
                <w:b/>
                <w:szCs w:val="19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20EF5" w:rsidRPr="00A61D56" w:rsidRDefault="00620EF5">
            <w:pPr>
              <w:spacing w:after="0"/>
              <w:rPr>
                <w:rFonts w:cs="Arial"/>
                <w:b/>
                <w:szCs w:val="19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0EF5" w:rsidRPr="00A61D56" w:rsidRDefault="00620EF5">
            <w:pPr>
              <w:spacing w:after="0"/>
              <w:rPr>
                <w:rFonts w:cs="Arial"/>
                <w:b/>
                <w:szCs w:val="19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0EF5" w:rsidRPr="00A61D56" w:rsidRDefault="00620EF5">
            <w:pPr>
              <w:spacing w:after="0"/>
              <w:rPr>
                <w:rFonts w:cs="Arial"/>
                <w:b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20EF5" w:rsidRPr="00A61D56" w:rsidRDefault="00620EF5">
            <w:pPr>
              <w:spacing w:after="0"/>
              <w:rPr>
                <w:rFonts w:cs="Arial"/>
                <w:b/>
                <w:szCs w:val="19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0EF5" w:rsidRPr="00A61D56" w:rsidRDefault="00620EF5">
            <w:pPr>
              <w:spacing w:after="0"/>
              <w:rPr>
                <w:rFonts w:cs="Arial"/>
                <w:b/>
                <w:szCs w:val="19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20EF5" w:rsidRPr="00A61D56" w:rsidRDefault="00620EF5">
            <w:pPr>
              <w:spacing w:after="0"/>
              <w:rPr>
                <w:rFonts w:cs="Arial"/>
                <w:b/>
                <w:szCs w:val="19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0EF5" w:rsidRPr="00A61D56" w:rsidRDefault="00620EF5" w:rsidP="00A61D56">
            <w:pPr>
              <w:spacing w:after="0"/>
              <w:jc w:val="center"/>
              <w:rPr>
                <w:rFonts w:cs="Arial"/>
                <w:b/>
                <w:szCs w:val="19"/>
              </w:rPr>
            </w:pPr>
            <w:r w:rsidRPr="00A61D56">
              <w:rPr>
                <w:rFonts w:cs="Arial"/>
                <w:b/>
                <w:szCs w:val="19"/>
              </w:rPr>
              <w:t>zobowią-zania z tytułu dostaw i</w:t>
            </w:r>
            <w:r w:rsidR="00A61D56">
              <w:rPr>
                <w:rFonts w:cs="Arial"/>
                <w:b/>
                <w:szCs w:val="19"/>
              </w:rPr>
              <w:t> </w:t>
            </w:r>
            <w:r w:rsidRPr="00A61D56">
              <w:rPr>
                <w:rFonts w:cs="Arial"/>
                <w:b/>
                <w:szCs w:val="19"/>
              </w:rPr>
              <w:t>usług</w:t>
            </w:r>
          </w:p>
        </w:tc>
      </w:tr>
      <w:tr w:rsidR="00620EF5" w:rsidRPr="00A61D56" w:rsidTr="00620EF5">
        <w:trPr>
          <w:trHeight w:val="230"/>
          <w:jc w:val="center"/>
        </w:trPr>
        <w:tc>
          <w:tcPr>
            <w:tcW w:w="1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0EF5" w:rsidRPr="00A61D56" w:rsidRDefault="00620EF5">
            <w:pPr>
              <w:spacing w:after="0"/>
              <w:rPr>
                <w:rFonts w:cs="Arial"/>
                <w:b/>
                <w:szCs w:val="19"/>
              </w:rPr>
            </w:pPr>
          </w:p>
        </w:tc>
        <w:tc>
          <w:tcPr>
            <w:tcW w:w="68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20EF5" w:rsidRPr="00A61D56" w:rsidRDefault="00620EF5">
            <w:pPr>
              <w:spacing w:after="0"/>
              <w:jc w:val="center"/>
              <w:rPr>
                <w:rFonts w:cs="Arial"/>
                <w:szCs w:val="19"/>
              </w:rPr>
            </w:pPr>
            <w:r w:rsidRPr="00A61D56">
              <w:rPr>
                <w:rFonts w:cs="Arial"/>
                <w:szCs w:val="19"/>
              </w:rPr>
              <w:t>w miliardach złotych</w:t>
            </w:r>
          </w:p>
        </w:tc>
      </w:tr>
      <w:tr w:rsidR="00620EF5" w:rsidRPr="00A61D56" w:rsidTr="007B6C7F">
        <w:trPr>
          <w:trHeight w:val="624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A61D56" w:rsidP="000A24A6">
            <w:pPr>
              <w:tabs>
                <w:tab w:val="right" w:pos="108"/>
                <w:tab w:val="right" w:leader="dot" w:pos="2807"/>
              </w:tabs>
              <w:spacing w:before="0" w:after="0"/>
              <w:rPr>
                <w:rFonts w:cs="Arial"/>
                <w:b/>
                <w:bCs/>
                <w:szCs w:val="19"/>
              </w:rPr>
            </w:pPr>
            <w:r>
              <w:rPr>
                <w:rFonts w:cs="Arial"/>
                <w:b/>
                <w:bCs/>
                <w:szCs w:val="19"/>
              </w:rPr>
              <w:t>OGÓŁEM</w:t>
            </w:r>
            <w:r w:rsidR="00620EF5" w:rsidRPr="00A61D56">
              <w:rPr>
                <w:rFonts w:cs="Arial"/>
                <w:bCs/>
                <w:szCs w:val="19"/>
              </w:rPr>
              <w:tab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7B6C7F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1 757,4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4A0C5A" w:rsidP="007B6C7F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1 157,3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4A0C5A" w:rsidP="007B6C7F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319,3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4A0C5A" w:rsidP="007B6C7F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1 451,1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4A0C5A" w:rsidP="007B6C7F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1 466,5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4A0C5A" w:rsidP="007B6C7F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422,9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4A0C5A" w:rsidP="007B6C7F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790,8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4A0C5A" w:rsidP="007B6C7F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401,8</w:t>
            </w:r>
          </w:p>
        </w:tc>
      </w:tr>
      <w:tr w:rsidR="00620EF5" w:rsidRPr="00A61D56" w:rsidTr="00890481">
        <w:trPr>
          <w:trHeight w:val="396"/>
          <w:jc w:val="center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620EF5" w:rsidP="000A24A6">
            <w:pPr>
              <w:tabs>
                <w:tab w:val="left" w:pos="108"/>
                <w:tab w:val="left" w:pos="219"/>
                <w:tab w:val="right" w:leader="dot" w:pos="2283"/>
                <w:tab w:val="right" w:leader="dot" w:pos="2771"/>
                <w:tab w:val="right" w:leader="dot" w:pos="2807"/>
              </w:tabs>
              <w:spacing w:before="0" w:after="0"/>
              <w:rPr>
                <w:rFonts w:cs="Arial"/>
                <w:bCs/>
                <w:szCs w:val="19"/>
              </w:rPr>
            </w:pPr>
            <w:r w:rsidRPr="00A61D56">
              <w:rPr>
                <w:rFonts w:cs="Arial"/>
                <w:bCs/>
                <w:szCs w:val="19"/>
              </w:rPr>
              <w:tab/>
              <w:t>w tym: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620EF5" w:rsidP="00890481">
            <w:pPr>
              <w:spacing w:before="0"/>
              <w:jc w:val="right"/>
              <w:rPr>
                <w:rFonts w:cs="Arial"/>
                <w:szCs w:val="19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620EF5" w:rsidP="00890481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620EF5" w:rsidP="00890481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620EF5" w:rsidP="00890481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620EF5" w:rsidP="00890481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620EF5" w:rsidP="00890481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620EF5" w:rsidP="00890481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620EF5" w:rsidP="00890481">
            <w:pPr>
              <w:spacing w:before="0" w:after="0"/>
              <w:jc w:val="right"/>
              <w:rPr>
                <w:rFonts w:cs="Arial"/>
                <w:szCs w:val="19"/>
                <w:highlight w:val="yellow"/>
              </w:rPr>
            </w:pPr>
          </w:p>
        </w:tc>
      </w:tr>
      <w:tr w:rsidR="00620EF5" w:rsidRPr="00A61D56" w:rsidTr="00DE68B4">
        <w:trPr>
          <w:trHeight w:val="383"/>
          <w:jc w:val="center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A61D56" w:rsidP="000A24A6">
            <w:pPr>
              <w:tabs>
                <w:tab w:val="left" w:pos="108"/>
                <w:tab w:val="left" w:pos="219"/>
                <w:tab w:val="right" w:leader="dot" w:pos="2771"/>
                <w:tab w:val="right" w:leader="dot" w:pos="2807"/>
              </w:tabs>
              <w:spacing w:before="0" w:after="0"/>
              <w:rPr>
                <w:rFonts w:cs="Arial"/>
                <w:b/>
                <w:bCs/>
                <w:szCs w:val="19"/>
              </w:rPr>
            </w:pPr>
            <w:r>
              <w:rPr>
                <w:rFonts w:cs="Arial"/>
                <w:b/>
                <w:bCs/>
                <w:szCs w:val="19"/>
              </w:rPr>
              <w:t>Przemysł</w:t>
            </w:r>
            <w:r w:rsidR="00620EF5" w:rsidRPr="00A61D56">
              <w:rPr>
                <w:rFonts w:cs="Arial"/>
                <w:bCs/>
                <w:szCs w:val="19"/>
              </w:rPr>
              <w:tab/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890481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953,6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890481" w:rsidP="00DE68B4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540,7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890481" w:rsidP="00DE68B4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162,0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890481" w:rsidP="00DE68B4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824,8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890481" w:rsidP="00DE68B4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670,5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890481" w:rsidP="00DE68B4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185,9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890481" w:rsidP="00DE68B4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362,2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890481" w:rsidP="00DE68B4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176,8</w:t>
            </w:r>
          </w:p>
        </w:tc>
      </w:tr>
      <w:tr w:rsidR="00620EF5" w:rsidRPr="00A61D56" w:rsidTr="00DE68B4">
        <w:trPr>
          <w:trHeight w:val="416"/>
          <w:jc w:val="center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20EF5" w:rsidRPr="00A61D56" w:rsidRDefault="00620EF5" w:rsidP="000A24A6">
            <w:pPr>
              <w:tabs>
                <w:tab w:val="right" w:leader="dot" w:pos="-2475"/>
                <w:tab w:val="left" w:pos="108"/>
                <w:tab w:val="left" w:pos="219"/>
                <w:tab w:val="right" w:leader="dot" w:pos="2771"/>
                <w:tab w:val="right" w:leader="dot" w:pos="2807"/>
              </w:tabs>
              <w:spacing w:before="0" w:after="0"/>
              <w:rPr>
                <w:rFonts w:cs="Arial"/>
                <w:szCs w:val="19"/>
              </w:rPr>
            </w:pPr>
            <w:r w:rsidRPr="00A61D56">
              <w:rPr>
                <w:rFonts w:cs="Arial"/>
                <w:bCs/>
                <w:szCs w:val="19"/>
              </w:rPr>
              <w:tab/>
            </w:r>
            <w:r w:rsidR="00A61D56">
              <w:rPr>
                <w:rFonts w:cs="Arial"/>
                <w:szCs w:val="19"/>
              </w:rPr>
              <w:t>Górnictwo i </w:t>
            </w:r>
            <w:r w:rsidRPr="00A61D56">
              <w:rPr>
                <w:rFonts w:cs="Arial"/>
                <w:szCs w:val="19"/>
              </w:rPr>
              <w:t>wydobywanie</w:t>
            </w:r>
            <w:r w:rsidRPr="00A61D56">
              <w:rPr>
                <w:rFonts w:cs="Arial"/>
                <w:bCs/>
                <w:szCs w:val="19"/>
              </w:rPr>
              <w:tab/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4E5D28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62,5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4E5D28" w:rsidP="00DE68B4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19,6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4E5D28" w:rsidP="00DE68B4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5,3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4E5D28" w:rsidP="00DE68B4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41,2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4E5D28" w:rsidP="00DE68B4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40,9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4E5D28" w:rsidP="00DE68B4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11,9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4E5D28" w:rsidP="00DE68B4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15,5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4E5D28" w:rsidP="00DE68B4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6,3</w:t>
            </w:r>
          </w:p>
        </w:tc>
      </w:tr>
      <w:tr w:rsidR="00620EF5" w:rsidRPr="00A61D56" w:rsidTr="00620EF5">
        <w:trPr>
          <w:trHeight w:val="572"/>
          <w:jc w:val="center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620EF5" w:rsidRPr="00A61D56" w:rsidRDefault="00A61D56" w:rsidP="000A24A6">
            <w:pPr>
              <w:tabs>
                <w:tab w:val="right" w:leader="dot" w:pos="-2475"/>
                <w:tab w:val="left" w:pos="108"/>
                <w:tab w:val="left" w:pos="219"/>
                <w:tab w:val="right" w:leader="dot" w:pos="2771"/>
                <w:tab w:val="right" w:leader="dot" w:pos="2807"/>
              </w:tabs>
              <w:spacing w:before="0" w:after="0"/>
              <w:rPr>
                <w:rFonts w:cs="Arial"/>
                <w:bCs/>
                <w:szCs w:val="19"/>
              </w:rPr>
            </w:pPr>
            <w:r>
              <w:rPr>
                <w:rFonts w:cs="Arial"/>
                <w:bCs/>
                <w:szCs w:val="19"/>
              </w:rPr>
              <w:tab/>
              <w:t>Przetwórstwo przemysłowe</w:t>
            </w:r>
            <w:r w:rsidR="00620EF5" w:rsidRPr="00A61D56">
              <w:rPr>
                <w:rFonts w:cs="Arial"/>
                <w:bCs/>
                <w:szCs w:val="19"/>
              </w:rPr>
              <w:tab/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B95731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503,4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B95731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445,5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B95731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147,8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B95731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503,1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B95731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446,8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B95731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101,1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B95731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293,3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B95731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152,0</w:t>
            </w:r>
          </w:p>
        </w:tc>
      </w:tr>
      <w:tr w:rsidR="00620EF5" w:rsidRPr="00A61D56" w:rsidTr="00620EF5">
        <w:trPr>
          <w:trHeight w:val="708"/>
          <w:jc w:val="center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620EF5" w:rsidRPr="00A61D56" w:rsidRDefault="00620EF5" w:rsidP="000A24A6">
            <w:pPr>
              <w:tabs>
                <w:tab w:val="left" w:pos="-1979"/>
                <w:tab w:val="left" w:pos="148"/>
                <w:tab w:val="right" w:leader="dot" w:pos="2771"/>
                <w:tab w:val="right" w:leader="dot" w:pos="2807"/>
              </w:tabs>
              <w:spacing w:before="0" w:after="0"/>
              <w:rPr>
                <w:rFonts w:cs="Arial"/>
                <w:szCs w:val="19"/>
              </w:rPr>
            </w:pPr>
            <w:r w:rsidRPr="00A61D56">
              <w:rPr>
                <w:rFonts w:cs="Arial"/>
                <w:bCs/>
                <w:szCs w:val="19"/>
              </w:rPr>
              <w:tab/>
            </w:r>
            <w:r w:rsidR="00A61D56">
              <w:rPr>
                <w:rFonts w:cs="Arial"/>
                <w:szCs w:val="19"/>
              </w:rPr>
              <w:t>Wytwarzanie i </w:t>
            </w:r>
            <w:r w:rsidRPr="00A61D56">
              <w:rPr>
                <w:rFonts w:cs="Arial"/>
                <w:szCs w:val="19"/>
              </w:rPr>
              <w:t>zaopatrywanie</w:t>
            </w:r>
          </w:p>
          <w:p w:rsidR="00620EF5" w:rsidRPr="00A61D56" w:rsidRDefault="00620EF5" w:rsidP="000A24A6">
            <w:pPr>
              <w:tabs>
                <w:tab w:val="left" w:pos="-1979"/>
                <w:tab w:val="left" w:pos="290"/>
                <w:tab w:val="right" w:leader="dot" w:pos="2807"/>
                <w:tab w:val="right" w:leader="dot" w:pos="2842"/>
              </w:tabs>
              <w:spacing w:before="0" w:after="0"/>
              <w:rPr>
                <w:rFonts w:cs="Arial"/>
                <w:szCs w:val="19"/>
              </w:rPr>
            </w:pPr>
            <w:r w:rsidRPr="00A61D56">
              <w:rPr>
                <w:rFonts w:cs="Arial"/>
                <w:szCs w:val="19"/>
              </w:rPr>
              <w:t xml:space="preserve">w energię </w:t>
            </w:r>
            <w:r w:rsidRPr="00A61D56">
              <w:rPr>
                <w:rFonts w:cs="Arial"/>
                <w:szCs w:val="19"/>
                <w:vertAlign w:val="superscript"/>
              </w:rPr>
              <w:t>Δ</w:t>
            </w:r>
            <w:r w:rsidRPr="00A61D56">
              <w:rPr>
                <w:rFonts w:cs="Arial"/>
                <w:szCs w:val="19"/>
              </w:rPr>
              <w:tab/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DA796F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317,4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DA796F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62,8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DA796F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7,9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DA796F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233,8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DA796F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146,5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DA796F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63,5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DA796F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46,1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DA796F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16,2</w:t>
            </w:r>
          </w:p>
        </w:tc>
      </w:tr>
      <w:tr w:rsidR="00620EF5" w:rsidRPr="00A61D56" w:rsidTr="00DE68B4">
        <w:trPr>
          <w:trHeight w:val="1134"/>
          <w:jc w:val="center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20EF5" w:rsidRPr="00A61D56" w:rsidRDefault="00620EF5" w:rsidP="000A24A6">
            <w:pPr>
              <w:tabs>
                <w:tab w:val="left" w:pos="108"/>
                <w:tab w:val="left" w:pos="219"/>
                <w:tab w:val="right" w:leader="dot" w:pos="2283"/>
                <w:tab w:val="right" w:leader="dot" w:pos="2771"/>
                <w:tab w:val="right" w:leader="dot" w:pos="2807"/>
              </w:tabs>
              <w:spacing w:before="0" w:after="0"/>
              <w:rPr>
                <w:rFonts w:cs="Arial"/>
                <w:szCs w:val="19"/>
              </w:rPr>
            </w:pPr>
            <w:r w:rsidRPr="00A61D56">
              <w:rPr>
                <w:rFonts w:cs="Arial"/>
                <w:bCs/>
                <w:szCs w:val="19"/>
              </w:rPr>
              <w:tab/>
            </w:r>
            <w:r w:rsidRPr="00A61D56">
              <w:rPr>
                <w:rFonts w:cs="Arial"/>
                <w:szCs w:val="19"/>
              </w:rPr>
              <w:t>Dostawa wody;</w:t>
            </w:r>
          </w:p>
          <w:p w:rsidR="00620EF5" w:rsidRPr="00A61D56" w:rsidRDefault="00EB15B0" w:rsidP="00DA7CD1">
            <w:pPr>
              <w:tabs>
                <w:tab w:val="left" w:pos="284"/>
                <w:tab w:val="left" w:leader="dot" w:pos="1353"/>
              </w:tabs>
              <w:spacing w:before="0" w:after="0"/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Gospodarow</w:t>
            </w:r>
            <w:r>
              <w:rPr>
                <w:rFonts w:cs="Arial"/>
                <w:szCs w:val="19"/>
              </w:rPr>
              <w:t>a</w:t>
            </w:r>
            <w:r>
              <w:rPr>
                <w:rFonts w:cs="Arial"/>
                <w:szCs w:val="19"/>
              </w:rPr>
              <w:t>nie ściekami i </w:t>
            </w:r>
            <w:r w:rsidR="00DE68B4" w:rsidRPr="00A61D56">
              <w:rPr>
                <w:rFonts w:cs="Arial"/>
                <w:szCs w:val="19"/>
              </w:rPr>
              <w:t>o</w:t>
            </w:r>
            <w:r w:rsidR="00620EF5" w:rsidRPr="00A61D56">
              <w:rPr>
                <w:rFonts w:cs="Arial"/>
                <w:szCs w:val="19"/>
              </w:rPr>
              <w:t>dpadami</w:t>
            </w:r>
            <w:r w:rsidR="00620EF5" w:rsidRPr="00A61D56">
              <w:rPr>
                <w:rFonts w:cs="Arial"/>
                <w:szCs w:val="19"/>
                <w:vertAlign w:val="superscript"/>
              </w:rPr>
              <w:t xml:space="preserve"> Δ</w:t>
            </w:r>
            <w:r w:rsidR="00DE68B4" w:rsidRPr="00A61D56">
              <w:rPr>
                <w:rFonts w:cs="Arial"/>
                <w:szCs w:val="19"/>
              </w:rPr>
              <w:tab/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506D17" w:rsidP="00DE68B4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70,3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506D17" w:rsidP="00DE68B4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12,8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506D17" w:rsidP="00DE68B4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0,9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506D17" w:rsidP="00DE68B4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46,7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506D17" w:rsidP="00DE68B4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36,4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506D17" w:rsidP="00DE68B4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9,5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506D17" w:rsidP="00DE68B4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7,3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506D17" w:rsidP="00DE68B4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2,4</w:t>
            </w:r>
          </w:p>
        </w:tc>
      </w:tr>
      <w:tr w:rsidR="00620EF5" w:rsidRPr="00A61D56" w:rsidTr="00DE68B4">
        <w:trPr>
          <w:trHeight w:val="421"/>
          <w:jc w:val="center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EB15B0" w:rsidP="000A24A6">
            <w:pPr>
              <w:tabs>
                <w:tab w:val="right" w:leader="dot" w:pos="2771"/>
                <w:tab w:val="right" w:leader="dot" w:pos="2807"/>
              </w:tabs>
              <w:spacing w:before="0" w:after="0"/>
              <w:rPr>
                <w:rFonts w:cs="Arial"/>
                <w:b/>
                <w:bCs/>
                <w:szCs w:val="19"/>
              </w:rPr>
            </w:pPr>
            <w:r>
              <w:rPr>
                <w:rFonts w:cs="Arial"/>
                <w:b/>
                <w:bCs/>
                <w:szCs w:val="19"/>
              </w:rPr>
              <w:t>Budownictwo</w:t>
            </w:r>
            <w:r w:rsidR="00620EF5" w:rsidRPr="00A61D56">
              <w:rPr>
                <w:rFonts w:cs="Arial"/>
                <w:bCs/>
                <w:szCs w:val="19"/>
              </w:rPr>
              <w:tab/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D415DA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45,9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D415DA" w:rsidP="00DE68B4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87,2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D415DA" w:rsidP="00DE68B4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20,7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D415DA" w:rsidP="00DE68B4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50,1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D415DA" w:rsidP="00DE68B4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83,1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D415DA" w:rsidP="00DE68B4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17,1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D415DA" w:rsidP="00DE68B4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52,8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D415DA" w:rsidP="00DE68B4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25,0</w:t>
            </w:r>
          </w:p>
        </w:tc>
      </w:tr>
      <w:tr w:rsidR="00620EF5" w:rsidRPr="00A61D56" w:rsidTr="00DE68B4">
        <w:trPr>
          <w:trHeight w:val="852"/>
          <w:jc w:val="center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620EF5" w:rsidP="00F3769B">
            <w:pPr>
              <w:tabs>
                <w:tab w:val="left" w:pos="108"/>
                <w:tab w:val="left" w:pos="219"/>
                <w:tab w:val="right" w:leader="dot" w:pos="2283"/>
                <w:tab w:val="right" w:leader="dot" w:pos="2771"/>
                <w:tab w:val="right" w:leader="dot" w:pos="2807"/>
              </w:tabs>
              <w:spacing w:after="0"/>
              <w:rPr>
                <w:rFonts w:cs="Arial"/>
                <w:b/>
                <w:bCs/>
                <w:szCs w:val="19"/>
              </w:rPr>
            </w:pPr>
            <w:r w:rsidRPr="00A61D56">
              <w:rPr>
                <w:rFonts w:cs="Arial"/>
                <w:b/>
                <w:bCs/>
                <w:szCs w:val="19"/>
              </w:rPr>
              <w:t>Handel; napr</w:t>
            </w:r>
            <w:r w:rsidRPr="00A61D56">
              <w:rPr>
                <w:rFonts w:cs="Arial"/>
                <w:b/>
                <w:bCs/>
                <w:szCs w:val="19"/>
              </w:rPr>
              <w:t>a</w:t>
            </w:r>
            <w:r w:rsidRPr="00A61D56">
              <w:rPr>
                <w:rFonts w:cs="Arial"/>
                <w:b/>
                <w:bCs/>
                <w:szCs w:val="19"/>
              </w:rPr>
              <w:t>wa pojazdów</w:t>
            </w:r>
            <w:r w:rsidR="00DE68B4" w:rsidRPr="00A61D56">
              <w:rPr>
                <w:rFonts w:cs="Arial"/>
                <w:b/>
                <w:bCs/>
                <w:szCs w:val="19"/>
              </w:rPr>
              <w:t xml:space="preserve"> </w:t>
            </w:r>
            <w:r w:rsidR="00EB15B0">
              <w:rPr>
                <w:rFonts w:cs="Arial"/>
                <w:b/>
                <w:bCs/>
                <w:szCs w:val="19"/>
              </w:rPr>
              <w:t>samochod</w:t>
            </w:r>
            <w:r w:rsidR="00EB15B0">
              <w:rPr>
                <w:rFonts w:cs="Arial"/>
                <w:b/>
                <w:bCs/>
                <w:szCs w:val="19"/>
              </w:rPr>
              <w:t>o</w:t>
            </w:r>
            <w:r w:rsidR="00EB15B0">
              <w:rPr>
                <w:rFonts w:cs="Arial"/>
                <w:b/>
                <w:bCs/>
                <w:szCs w:val="19"/>
              </w:rPr>
              <w:t>wych</w:t>
            </w:r>
            <w:r w:rsidRPr="00A61D56">
              <w:rPr>
                <w:rFonts w:cs="Arial"/>
                <w:bCs/>
                <w:szCs w:val="19"/>
              </w:rPr>
              <w:tab/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D415DA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185,2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852EE4" w:rsidP="00DE68B4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320,7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852EE4" w:rsidP="00DE68B4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121,2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852EE4" w:rsidP="00DE68B4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209,2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852EE4" w:rsidP="00DE68B4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297,2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852EE4" w:rsidP="00DE68B4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43,2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852EE4" w:rsidP="00DE68B4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230,1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852EE4" w:rsidP="00DE68B4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146,2</w:t>
            </w:r>
          </w:p>
        </w:tc>
      </w:tr>
      <w:tr w:rsidR="00620EF5" w:rsidRPr="00A61D56" w:rsidTr="00590BDB">
        <w:trPr>
          <w:trHeight w:val="624"/>
          <w:jc w:val="center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620EF5" w:rsidRPr="00A61D56" w:rsidRDefault="00DA7CD1" w:rsidP="00F3769B">
            <w:pPr>
              <w:tabs>
                <w:tab w:val="left" w:pos="108"/>
                <w:tab w:val="left" w:pos="219"/>
                <w:tab w:val="right" w:leader="dot" w:pos="2283"/>
                <w:tab w:val="right" w:leader="dot" w:pos="2771"/>
                <w:tab w:val="right" w:leader="dot" w:pos="2807"/>
              </w:tabs>
              <w:spacing w:after="0"/>
              <w:rPr>
                <w:rFonts w:cs="Arial"/>
                <w:b/>
                <w:bCs/>
                <w:szCs w:val="19"/>
              </w:rPr>
            </w:pPr>
            <w:r w:rsidRPr="00A61D56">
              <w:rPr>
                <w:rFonts w:cs="Arial"/>
                <w:b/>
                <w:bCs/>
                <w:szCs w:val="19"/>
              </w:rPr>
              <w:t>Transport</w:t>
            </w:r>
            <w:r w:rsidRPr="00A61D56">
              <w:rPr>
                <w:rFonts w:cs="Arial"/>
                <w:b/>
                <w:bCs/>
                <w:szCs w:val="19"/>
              </w:rPr>
              <w:br/>
            </w:r>
            <w:r w:rsidR="00620EF5" w:rsidRPr="00A61D56">
              <w:rPr>
                <w:rFonts w:cs="Arial"/>
                <w:b/>
                <w:bCs/>
                <w:szCs w:val="19"/>
              </w:rPr>
              <w:t>i gospodarka</w:t>
            </w:r>
            <w:r w:rsidRPr="00A61D56">
              <w:rPr>
                <w:rFonts w:cs="Arial"/>
                <w:b/>
                <w:bCs/>
                <w:szCs w:val="19"/>
              </w:rPr>
              <w:br/>
            </w:r>
            <w:r w:rsidR="00EB15B0">
              <w:rPr>
                <w:rFonts w:cs="Arial"/>
                <w:b/>
                <w:bCs/>
                <w:szCs w:val="19"/>
              </w:rPr>
              <w:t>magazynowa</w:t>
            </w:r>
            <w:r w:rsidR="00620EF5" w:rsidRPr="00A61D56">
              <w:rPr>
                <w:rFonts w:cs="Arial"/>
                <w:bCs/>
                <w:szCs w:val="19"/>
              </w:rPr>
              <w:tab/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852EE4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155,3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852EE4" w:rsidP="00590BDB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57,7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852EE4" w:rsidP="00590BDB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3,4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852EE4" w:rsidP="00590BDB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72,7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852EE4" w:rsidP="00590BDB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140,7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852EE4" w:rsidP="00590BDB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47,1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852EE4" w:rsidP="00590BDB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38,0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852EE4" w:rsidP="00590BDB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16,5</w:t>
            </w:r>
          </w:p>
        </w:tc>
      </w:tr>
      <w:tr w:rsidR="00620EF5" w:rsidRPr="00A61D56" w:rsidTr="00590BDB">
        <w:trPr>
          <w:trHeight w:val="694"/>
          <w:jc w:val="center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620EF5" w:rsidRPr="00A61D56" w:rsidRDefault="00620EF5" w:rsidP="00F3769B">
            <w:pPr>
              <w:tabs>
                <w:tab w:val="left" w:pos="108"/>
                <w:tab w:val="left" w:pos="219"/>
                <w:tab w:val="right" w:leader="dot" w:pos="2771"/>
                <w:tab w:val="right" w:leader="dot" w:pos="2807"/>
              </w:tabs>
              <w:spacing w:after="0"/>
              <w:rPr>
                <w:rFonts w:cs="Arial"/>
                <w:b/>
                <w:bCs/>
                <w:szCs w:val="19"/>
              </w:rPr>
            </w:pPr>
            <w:r w:rsidRPr="00A61D56">
              <w:rPr>
                <w:rFonts w:cs="Arial"/>
                <w:b/>
                <w:bCs/>
                <w:szCs w:val="19"/>
              </w:rPr>
              <w:t>Zakwaterow</w:t>
            </w:r>
            <w:r w:rsidRPr="00A61D56">
              <w:rPr>
                <w:rFonts w:cs="Arial"/>
                <w:b/>
                <w:bCs/>
                <w:szCs w:val="19"/>
              </w:rPr>
              <w:t>a</w:t>
            </w:r>
            <w:r w:rsidRPr="00A61D56">
              <w:rPr>
                <w:rFonts w:cs="Arial"/>
                <w:b/>
                <w:bCs/>
                <w:szCs w:val="19"/>
              </w:rPr>
              <w:t>nie</w:t>
            </w:r>
            <w:r w:rsidR="00EB15B0">
              <w:rPr>
                <w:rFonts w:cs="Arial"/>
                <w:b/>
                <w:bCs/>
                <w:szCs w:val="19"/>
              </w:rPr>
              <w:t xml:space="preserve"> </w:t>
            </w:r>
            <w:r w:rsidRPr="00A61D56">
              <w:rPr>
                <w:rFonts w:cs="Arial"/>
                <w:b/>
                <w:bCs/>
                <w:szCs w:val="19"/>
              </w:rPr>
              <w:t>i gastron</w:t>
            </w:r>
            <w:r w:rsidRPr="00A61D56">
              <w:rPr>
                <w:rFonts w:cs="Arial"/>
                <w:b/>
                <w:bCs/>
                <w:szCs w:val="19"/>
              </w:rPr>
              <w:t>o</w:t>
            </w:r>
            <w:r w:rsidRPr="00A61D56">
              <w:rPr>
                <w:rFonts w:cs="Arial"/>
                <w:b/>
                <w:bCs/>
                <w:szCs w:val="19"/>
              </w:rPr>
              <w:t>mia</w:t>
            </w:r>
            <w:r w:rsidRPr="00A61D56">
              <w:rPr>
                <w:rFonts w:cs="Arial"/>
                <w:bCs/>
                <w:szCs w:val="19"/>
              </w:rPr>
              <w:tab/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AD3DCC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22,5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AD3DCC" w:rsidP="00590BDB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4,2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AD3DCC" w:rsidP="00590BDB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0,3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AD3DCC" w:rsidP="00590BDB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14,4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AD3DCC" w:rsidP="00590BDB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12,4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AD3DCC" w:rsidP="00590BDB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7,9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AD3DCC" w:rsidP="00590BDB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3,4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620EF5" w:rsidP="00AD3DCC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1,2</w:t>
            </w:r>
          </w:p>
        </w:tc>
      </w:tr>
      <w:tr w:rsidR="00620EF5" w:rsidRPr="00A61D56" w:rsidTr="00590BDB">
        <w:trPr>
          <w:trHeight w:val="421"/>
          <w:jc w:val="center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620EF5" w:rsidRPr="00A61D56" w:rsidRDefault="00620EF5" w:rsidP="00F3769B">
            <w:pPr>
              <w:tabs>
                <w:tab w:val="left" w:pos="108"/>
                <w:tab w:val="left" w:pos="219"/>
                <w:tab w:val="right" w:leader="dot" w:pos="2771"/>
                <w:tab w:val="right" w:leader="dot" w:pos="2807"/>
              </w:tabs>
              <w:spacing w:after="0"/>
              <w:rPr>
                <w:rFonts w:cs="Arial"/>
                <w:b/>
                <w:bCs/>
                <w:szCs w:val="19"/>
              </w:rPr>
            </w:pPr>
            <w:r w:rsidRPr="00A61D56">
              <w:rPr>
                <w:rFonts w:cs="Arial"/>
                <w:b/>
                <w:bCs/>
                <w:szCs w:val="19"/>
              </w:rPr>
              <w:t>Informacja i komunikacja</w:t>
            </w:r>
            <w:r w:rsidRPr="00A61D56">
              <w:rPr>
                <w:rFonts w:cs="Arial"/>
                <w:bCs/>
                <w:szCs w:val="19"/>
              </w:rPr>
              <w:tab/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62794F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128,7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62794F" w:rsidP="00590BDB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42,5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62794F" w:rsidP="00590BDB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3,2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62794F" w:rsidP="00590BDB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82,3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62794F" w:rsidP="00590BDB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89,1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62794F" w:rsidP="00590BDB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46,5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62794F" w:rsidP="00590BDB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29,8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62794F" w:rsidP="00590BDB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14,5</w:t>
            </w:r>
          </w:p>
        </w:tc>
      </w:tr>
      <w:tr w:rsidR="00620EF5" w:rsidRPr="00A61D56" w:rsidTr="00590BDB">
        <w:trPr>
          <w:trHeight w:val="662"/>
          <w:jc w:val="center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620EF5" w:rsidRPr="00A61D56" w:rsidRDefault="00620EF5" w:rsidP="00EB15B0">
            <w:pPr>
              <w:tabs>
                <w:tab w:val="left" w:pos="108"/>
                <w:tab w:val="left" w:pos="219"/>
                <w:tab w:val="right" w:leader="dot" w:pos="2771"/>
                <w:tab w:val="right" w:leader="dot" w:pos="2807"/>
              </w:tabs>
              <w:spacing w:before="0" w:after="0"/>
              <w:rPr>
                <w:rFonts w:cs="Arial"/>
                <w:b/>
                <w:bCs/>
                <w:szCs w:val="19"/>
              </w:rPr>
            </w:pPr>
            <w:r w:rsidRPr="00A61D56">
              <w:rPr>
                <w:rFonts w:cs="Arial"/>
                <w:b/>
                <w:bCs/>
                <w:szCs w:val="19"/>
              </w:rPr>
              <w:t>Obsługa rynku</w:t>
            </w:r>
            <w:r w:rsidR="00EB15B0">
              <w:rPr>
                <w:rFonts w:cs="Arial"/>
                <w:b/>
                <w:bCs/>
                <w:szCs w:val="19"/>
              </w:rPr>
              <w:t xml:space="preserve"> </w:t>
            </w:r>
            <w:r w:rsidRPr="00A61D56">
              <w:rPr>
                <w:rFonts w:cs="Arial"/>
                <w:b/>
                <w:bCs/>
                <w:szCs w:val="19"/>
              </w:rPr>
              <w:t>nieruchomości</w:t>
            </w:r>
            <w:r w:rsidRPr="00A61D56">
              <w:rPr>
                <w:rFonts w:cs="Arial"/>
                <w:bCs/>
                <w:szCs w:val="19"/>
              </w:rPr>
              <w:tab/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CB0CF6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114,6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CB0CF6" w:rsidP="00590BDB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28,7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CB0CF6" w:rsidP="00590BDB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4,6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CB0CF6" w:rsidP="00590BDB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95,4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CB0CF6" w:rsidP="00590BDB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48,6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CB0CF6" w:rsidP="00590BDB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23,6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CB0CF6" w:rsidP="00590BDB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17,8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:rsidR="00620EF5" w:rsidRPr="00A61D56" w:rsidRDefault="00CB0CF6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4,5</w:t>
            </w:r>
          </w:p>
        </w:tc>
      </w:tr>
      <w:tr w:rsidR="00620EF5" w:rsidRPr="00A61D56" w:rsidTr="00620EF5">
        <w:trPr>
          <w:trHeight w:val="624"/>
          <w:jc w:val="center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620EF5" w:rsidRPr="00A61D56" w:rsidRDefault="00620EF5" w:rsidP="00F3769B">
            <w:pPr>
              <w:tabs>
                <w:tab w:val="left" w:pos="108"/>
                <w:tab w:val="left" w:pos="219"/>
                <w:tab w:val="right" w:leader="dot" w:pos="2283"/>
                <w:tab w:val="right" w:leader="dot" w:pos="2771"/>
                <w:tab w:val="right" w:leader="dot" w:pos="2807"/>
              </w:tabs>
              <w:spacing w:after="0"/>
              <w:rPr>
                <w:rFonts w:cs="Arial"/>
                <w:b/>
                <w:bCs/>
                <w:szCs w:val="19"/>
              </w:rPr>
            </w:pPr>
            <w:r w:rsidRPr="00A61D56">
              <w:rPr>
                <w:rFonts w:cs="Arial"/>
                <w:b/>
                <w:bCs/>
                <w:szCs w:val="19"/>
              </w:rPr>
              <w:t>Działalność profesjonalna,</w:t>
            </w:r>
            <w:r w:rsidR="00DA7CD1" w:rsidRPr="00A61D56">
              <w:rPr>
                <w:rFonts w:cs="Arial"/>
                <w:b/>
                <w:bCs/>
                <w:szCs w:val="19"/>
              </w:rPr>
              <w:t xml:space="preserve"> </w:t>
            </w:r>
            <w:r w:rsidR="00EB15B0">
              <w:rPr>
                <w:rFonts w:cs="Arial"/>
                <w:b/>
                <w:bCs/>
                <w:szCs w:val="19"/>
              </w:rPr>
              <w:t>naukowa i tec</w:t>
            </w:r>
            <w:r w:rsidR="00EB15B0">
              <w:rPr>
                <w:rFonts w:cs="Arial"/>
                <w:b/>
                <w:bCs/>
                <w:szCs w:val="19"/>
              </w:rPr>
              <w:t>h</w:t>
            </w:r>
            <w:r w:rsidR="00EB15B0">
              <w:rPr>
                <w:rFonts w:cs="Arial"/>
                <w:b/>
                <w:bCs/>
                <w:szCs w:val="19"/>
              </w:rPr>
              <w:t>niczna</w:t>
            </w:r>
            <w:r w:rsidRPr="00A61D56">
              <w:rPr>
                <w:rFonts w:cs="Arial"/>
                <w:bCs/>
                <w:szCs w:val="19"/>
              </w:rPr>
              <w:tab/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452BA8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77,4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452BA8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35,7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452BA8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1,6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452BA8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66,3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452BA8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46,8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452BA8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14,5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452BA8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23,0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452BA8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8,7</w:t>
            </w:r>
          </w:p>
        </w:tc>
      </w:tr>
      <w:tr w:rsidR="00620EF5" w:rsidRPr="00A61D56" w:rsidTr="00620EF5">
        <w:trPr>
          <w:trHeight w:val="605"/>
          <w:jc w:val="center"/>
        </w:trPr>
        <w:tc>
          <w:tcPr>
            <w:tcW w:w="1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620EF5" w:rsidRPr="00A61D56" w:rsidRDefault="00620EF5" w:rsidP="00F3769B">
            <w:pPr>
              <w:tabs>
                <w:tab w:val="left" w:pos="108"/>
                <w:tab w:val="left" w:pos="219"/>
                <w:tab w:val="right" w:leader="dot" w:pos="2283"/>
                <w:tab w:val="right" w:leader="dot" w:pos="2771"/>
                <w:tab w:val="right" w:leader="dot" w:pos="2807"/>
              </w:tabs>
              <w:spacing w:after="0"/>
              <w:rPr>
                <w:rFonts w:cs="Arial"/>
                <w:b/>
                <w:bCs/>
                <w:szCs w:val="19"/>
              </w:rPr>
            </w:pPr>
            <w:r w:rsidRPr="00A61D56">
              <w:rPr>
                <w:rFonts w:cs="Arial"/>
                <w:b/>
                <w:bCs/>
                <w:szCs w:val="19"/>
              </w:rPr>
              <w:t>Administrow</w:t>
            </w:r>
            <w:r w:rsidRPr="00A61D56">
              <w:rPr>
                <w:rFonts w:cs="Arial"/>
                <w:b/>
                <w:bCs/>
                <w:szCs w:val="19"/>
              </w:rPr>
              <w:t>a</w:t>
            </w:r>
            <w:r w:rsidRPr="00A61D56">
              <w:rPr>
                <w:rFonts w:cs="Arial"/>
                <w:b/>
                <w:bCs/>
                <w:szCs w:val="19"/>
              </w:rPr>
              <w:t>nie</w:t>
            </w:r>
            <w:r w:rsidR="00DA7CD1" w:rsidRPr="00A61D56">
              <w:rPr>
                <w:rFonts w:cs="Arial"/>
                <w:b/>
                <w:bCs/>
                <w:szCs w:val="19"/>
              </w:rPr>
              <w:t xml:space="preserve"> </w:t>
            </w:r>
            <w:r w:rsidRPr="00A61D56">
              <w:rPr>
                <w:rFonts w:cs="Arial"/>
                <w:b/>
                <w:bCs/>
                <w:szCs w:val="19"/>
              </w:rPr>
              <w:t>i działalność wspierająca</w:t>
            </w:r>
            <w:r w:rsidRPr="00A61D56">
              <w:rPr>
                <w:rFonts w:cs="Arial"/>
                <w:bCs/>
                <w:szCs w:val="19"/>
              </w:rPr>
              <w:tab/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3E1F4F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43,9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3E1F4F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27,7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3E1F4F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1,6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3E1F4F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16,6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3E1F4F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55,0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3E1F4F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26,7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3E1F4F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25,2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3E1F4F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5,1</w:t>
            </w:r>
          </w:p>
        </w:tc>
      </w:tr>
      <w:tr w:rsidR="00620EF5" w:rsidRPr="00A61D56" w:rsidTr="00620EF5">
        <w:trPr>
          <w:trHeight w:val="564"/>
          <w:jc w:val="center"/>
        </w:trPr>
        <w:tc>
          <w:tcPr>
            <w:tcW w:w="1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20EF5" w:rsidRPr="00A61D56" w:rsidRDefault="00EB15B0" w:rsidP="00F3769B">
            <w:pPr>
              <w:tabs>
                <w:tab w:val="right" w:leader="dot" w:pos="-1624"/>
                <w:tab w:val="left" w:pos="108"/>
                <w:tab w:val="left" w:pos="219"/>
                <w:tab w:val="right" w:leader="dot" w:pos="2771"/>
                <w:tab w:val="right" w:leader="dot" w:pos="2807"/>
              </w:tabs>
              <w:spacing w:after="0"/>
              <w:rPr>
                <w:rFonts w:cs="Arial"/>
                <w:b/>
                <w:bCs/>
                <w:szCs w:val="19"/>
              </w:rPr>
            </w:pPr>
            <w:r>
              <w:rPr>
                <w:rFonts w:cs="Arial"/>
                <w:b/>
                <w:bCs/>
                <w:szCs w:val="19"/>
              </w:rPr>
              <w:t>Pozostała dzi</w:t>
            </w:r>
            <w:r>
              <w:rPr>
                <w:rFonts w:cs="Arial"/>
                <w:b/>
                <w:bCs/>
                <w:szCs w:val="19"/>
              </w:rPr>
              <w:t>a</w:t>
            </w:r>
            <w:r>
              <w:rPr>
                <w:rFonts w:cs="Arial"/>
                <w:b/>
                <w:bCs/>
                <w:szCs w:val="19"/>
              </w:rPr>
              <w:t>łalność usług</w:t>
            </w:r>
            <w:r>
              <w:rPr>
                <w:rFonts w:cs="Arial"/>
                <w:b/>
                <w:bCs/>
                <w:szCs w:val="19"/>
              </w:rPr>
              <w:t>o</w:t>
            </w:r>
            <w:r>
              <w:rPr>
                <w:rFonts w:cs="Arial"/>
                <w:b/>
                <w:bCs/>
                <w:szCs w:val="19"/>
              </w:rPr>
              <w:t>wa</w:t>
            </w:r>
            <w:r w:rsidR="00620EF5" w:rsidRPr="00A61D56">
              <w:rPr>
                <w:rFonts w:cs="Arial"/>
                <w:bCs/>
                <w:szCs w:val="19"/>
              </w:rPr>
              <w:tab/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925EB3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2,1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620EF5" w:rsidP="00925EB3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1,4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620EF5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0</w:t>
            </w:r>
            <w:r w:rsidR="00925EB3" w:rsidRPr="00A61D56">
              <w:rPr>
                <w:rFonts w:cs="Arial"/>
                <w:color w:val="000000"/>
                <w:szCs w:val="19"/>
              </w:rPr>
              <w:t>,1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925EB3" w:rsidP="00925EB3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1,6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925EB3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2,0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925EB3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0,6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925EB3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20EF5" w:rsidRPr="00A61D56" w:rsidRDefault="00925EB3" w:rsidP="000A24A6">
            <w:pPr>
              <w:spacing w:before="0" w:after="0" w:line="240" w:lineRule="auto"/>
              <w:jc w:val="right"/>
              <w:rPr>
                <w:rFonts w:cs="Arial"/>
                <w:color w:val="000000"/>
                <w:szCs w:val="19"/>
                <w:highlight w:val="yellow"/>
              </w:rPr>
            </w:pPr>
            <w:r w:rsidRPr="00A61D56">
              <w:rPr>
                <w:rFonts w:cs="Arial"/>
                <w:color w:val="000000"/>
                <w:szCs w:val="19"/>
              </w:rPr>
              <w:t>0,4</w:t>
            </w:r>
          </w:p>
        </w:tc>
      </w:tr>
    </w:tbl>
    <w:p w:rsidR="00A538BF" w:rsidRDefault="00A538BF">
      <w:pPr>
        <w:spacing w:before="0" w:after="160" w:line="259" w:lineRule="auto"/>
        <w:rPr>
          <w:noProof/>
          <w:szCs w:val="19"/>
          <w:lang w:eastAsia="pl-PL"/>
        </w:rPr>
      </w:pPr>
      <w:r>
        <w:rPr>
          <w:b/>
        </w:rPr>
        <w:br w:type="page"/>
      </w:r>
    </w:p>
    <w:p w:rsidR="00A61D56" w:rsidRPr="00A61D56" w:rsidRDefault="00A61D56" w:rsidP="00A61D56">
      <w:pPr>
        <w:pStyle w:val="Tekstpodstawowy2"/>
        <w:spacing w:line="240" w:lineRule="exact"/>
        <w:rPr>
          <w:rFonts w:cs="Arial"/>
        </w:rPr>
      </w:pPr>
      <w:r w:rsidRPr="00A61D56">
        <w:rPr>
          <w:rFonts w:cs="Arial"/>
          <w:b/>
          <w:bCs/>
          <w:szCs w:val="24"/>
        </w:rPr>
        <w:lastRenderedPageBreak/>
        <w:t>Tabl.4. Przychody, koszty oraz wyniki finansowe według sekcji PKD w 201</w:t>
      </w:r>
      <w:r w:rsidR="00EB15B0">
        <w:rPr>
          <w:rFonts w:cs="Arial"/>
          <w:b/>
          <w:bCs/>
          <w:szCs w:val="24"/>
        </w:rPr>
        <w:t>7</w:t>
      </w:r>
      <w:r w:rsidRPr="00A61D56">
        <w:rPr>
          <w:rFonts w:cs="Arial"/>
          <w:b/>
          <w:bCs/>
          <w:szCs w:val="24"/>
        </w:rPr>
        <w:t xml:space="preserve"> roku</w:t>
      </w:r>
    </w:p>
    <w:tbl>
      <w:tblPr>
        <w:tblW w:w="8222" w:type="dxa"/>
        <w:tblInd w:w="-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134"/>
        <w:gridCol w:w="851"/>
        <w:gridCol w:w="1134"/>
        <w:gridCol w:w="1134"/>
        <w:gridCol w:w="567"/>
        <w:gridCol w:w="992"/>
      </w:tblGrid>
      <w:tr w:rsidR="00A61D56" w:rsidRPr="003E7697" w:rsidTr="00A538BF">
        <w:trPr>
          <w:trHeight w:val="735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1D56" w:rsidRPr="003E7697" w:rsidRDefault="00A61D56" w:rsidP="00A61D56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Arial"/>
                <w:b/>
                <w:szCs w:val="19"/>
              </w:rPr>
            </w:pPr>
            <w:r w:rsidRPr="003E7697">
              <w:rPr>
                <w:rFonts w:cs="Arial"/>
                <w:b/>
                <w:szCs w:val="19"/>
              </w:rPr>
              <w:t>Wyszczegó</w:t>
            </w:r>
            <w:r w:rsidRPr="003E7697">
              <w:rPr>
                <w:rFonts w:cs="Arial"/>
                <w:b/>
                <w:szCs w:val="19"/>
              </w:rPr>
              <w:t>l</w:t>
            </w:r>
            <w:r w:rsidRPr="003E7697">
              <w:rPr>
                <w:rFonts w:cs="Arial"/>
                <w:b/>
                <w:szCs w:val="19"/>
              </w:rPr>
              <w:t>nienie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1D56" w:rsidRPr="003E7697" w:rsidRDefault="00A61D56" w:rsidP="00A61D56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Arial"/>
                <w:b/>
                <w:szCs w:val="19"/>
              </w:rPr>
            </w:pPr>
            <w:r w:rsidRPr="003E7697">
              <w:rPr>
                <w:rFonts w:cs="Arial"/>
                <w:b/>
                <w:szCs w:val="19"/>
              </w:rPr>
              <w:t>Liczba jednostek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1D56" w:rsidRPr="003E7697" w:rsidRDefault="00A538BF" w:rsidP="00A538BF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Arial"/>
                <w:b/>
                <w:szCs w:val="19"/>
              </w:rPr>
            </w:pPr>
            <w:r w:rsidRPr="003E7697">
              <w:rPr>
                <w:rFonts w:cs="Arial"/>
                <w:b/>
                <w:szCs w:val="19"/>
              </w:rPr>
              <w:t>Przychody</w:t>
            </w:r>
            <w:r w:rsidRPr="003E7697">
              <w:rPr>
                <w:rFonts w:cs="Arial"/>
                <w:b/>
                <w:szCs w:val="19"/>
              </w:rPr>
              <w:br/>
              <w:t>o</w:t>
            </w:r>
            <w:r w:rsidR="00EB15B0" w:rsidRPr="003E7697">
              <w:rPr>
                <w:rFonts w:cs="Arial"/>
                <w:b/>
                <w:szCs w:val="19"/>
              </w:rPr>
              <w:t>gółem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1D56" w:rsidRPr="003E7697" w:rsidRDefault="00A61D56" w:rsidP="00EB15B0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Arial"/>
                <w:b/>
                <w:szCs w:val="19"/>
              </w:rPr>
            </w:pPr>
            <w:r w:rsidRPr="003E7697">
              <w:rPr>
                <w:rFonts w:cs="Arial"/>
                <w:b/>
                <w:szCs w:val="19"/>
              </w:rPr>
              <w:t>Koszty</w:t>
            </w:r>
            <w:r w:rsidR="00A538BF" w:rsidRPr="003E7697">
              <w:rPr>
                <w:rFonts w:cs="Arial"/>
                <w:b/>
                <w:szCs w:val="19"/>
              </w:rPr>
              <w:br/>
            </w:r>
            <w:r w:rsidRPr="003E7697">
              <w:rPr>
                <w:rFonts w:cs="Arial"/>
                <w:b/>
                <w:szCs w:val="19"/>
              </w:rPr>
              <w:t>ogółem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1D56" w:rsidRPr="003E7697" w:rsidRDefault="00A61D56" w:rsidP="00A61D56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Arial"/>
                <w:b/>
                <w:szCs w:val="19"/>
              </w:rPr>
            </w:pPr>
            <w:r w:rsidRPr="003E7697">
              <w:rPr>
                <w:rFonts w:cs="Arial"/>
                <w:b/>
                <w:szCs w:val="19"/>
              </w:rPr>
              <w:t>Wynik</w:t>
            </w:r>
            <w:r w:rsidRPr="003E7697">
              <w:rPr>
                <w:rFonts w:cs="Arial"/>
                <w:b/>
                <w:szCs w:val="19"/>
              </w:rPr>
              <w:br/>
              <w:t>finansowy</w:t>
            </w:r>
            <w:r w:rsidRPr="003E7697">
              <w:rPr>
                <w:rFonts w:cs="Arial"/>
                <w:b/>
                <w:szCs w:val="19"/>
              </w:rPr>
              <w:br/>
              <w:t>brutto</w:t>
            </w:r>
            <w:r w:rsidRPr="003E7697">
              <w:rPr>
                <w:rFonts w:cs="Arial"/>
                <w:b/>
                <w:szCs w:val="19"/>
              </w:rPr>
              <w:br/>
              <w:t>(saldo)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1D56" w:rsidRPr="003E7697" w:rsidRDefault="00A61D56" w:rsidP="00A61D56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Arial"/>
                <w:b/>
                <w:szCs w:val="19"/>
              </w:rPr>
            </w:pPr>
            <w:r w:rsidRPr="003E7697">
              <w:rPr>
                <w:rFonts w:cs="Arial"/>
                <w:b/>
                <w:szCs w:val="19"/>
              </w:rPr>
              <w:t>Wynik</w:t>
            </w:r>
            <w:r w:rsidRPr="003E7697">
              <w:rPr>
                <w:rFonts w:cs="Arial"/>
                <w:b/>
                <w:szCs w:val="19"/>
              </w:rPr>
              <w:br/>
              <w:t>finansowy</w:t>
            </w:r>
            <w:r w:rsidRPr="003E7697">
              <w:rPr>
                <w:rFonts w:cs="Arial"/>
                <w:b/>
                <w:szCs w:val="19"/>
              </w:rPr>
              <w:br/>
              <w:t>netto</w:t>
            </w:r>
            <w:r w:rsidRPr="003E7697">
              <w:rPr>
                <w:rFonts w:cs="Arial"/>
                <w:b/>
                <w:szCs w:val="19"/>
              </w:rPr>
              <w:br/>
              <w:t>(saldo)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D56" w:rsidRPr="003E7697" w:rsidRDefault="00A61D56" w:rsidP="00EB15B0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Arial"/>
                <w:b/>
                <w:szCs w:val="19"/>
              </w:rPr>
            </w:pPr>
            <w:r w:rsidRPr="003E7697">
              <w:rPr>
                <w:rFonts w:cs="Arial"/>
                <w:b/>
                <w:szCs w:val="19"/>
              </w:rPr>
              <w:t>Wskaźnik re</w:t>
            </w:r>
            <w:r w:rsidRPr="003E7697">
              <w:rPr>
                <w:rFonts w:cs="Arial"/>
                <w:b/>
                <w:szCs w:val="19"/>
              </w:rPr>
              <w:t>n</w:t>
            </w:r>
            <w:r w:rsidRPr="003E7697">
              <w:rPr>
                <w:rFonts w:cs="Arial"/>
                <w:b/>
                <w:szCs w:val="19"/>
              </w:rPr>
              <w:t>towności obrotu netto</w:t>
            </w:r>
          </w:p>
        </w:tc>
      </w:tr>
      <w:tr w:rsidR="00A61D56" w:rsidRPr="003E7697" w:rsidTr="00A538BF">
        <w:trPr>
          <w:trHeight w:val="566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1D56" w:rsidRPr="003E7697" w:rsidRDefault="00A61D56" w:rsidP="00A61D56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Arial"/>
                <w:b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1D56" w:rsidRPr="003E7697" w:rsidRDefault="00A61D56" w:rsidP="00A61D56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Arial"/>
                <w:b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D56" w:rsidRPr="003E7697" w:rsidRDefault="00A61D56" w:rsidP="00A61D56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Arial"/>
                <w:b/>
                <w:szCs w:val="19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D56" w:rsidRPr="003E7697" w:rsidRDefault="00A61D56" w:rsidP="00A61D56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Arial"/>
                <w:b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D56" w:rsidRPr="003E7697" w:rsidRDefault="00A61D56" w:rsidP="00A61D56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Arial"/>
                <w:b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D56" w:rsidRPr="003E7697" w:rsidRDefault="00A61D56" w:rsidP="00A61D56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Arial"/>
                <w:b/>
                <w:szCs w:val="19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1D56" w:rsidRPr="003E7697" w:rsidRDefault="00A61D56" w:rsidP="00A61D56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Arial"/>
                <w:b/>
                <w:szCs w:val="19"/>
              </w:rPr>
            </w:pPr>
            <w:r w:rsidRPr="003E7697">
              <w:rPr>
                <w:rFonts w:cs="Arial"/>
                <w:szCs w:val="19"/>
              </w:rPr>
              <w:t>w %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1D56" w:rsidRPr="003E7697" w:rsidRDefault="00A61D56" w:rsidP="00EB15B0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Arial"/>
                <w:szCs w:val="19"/>
              </w:rPr>
            </w:pPr>
            <w:r w:rsidRPr="003E7697">
              <w:rPr>
                <w:rFonts w:cs="Arial"/>
                <w:szCs w:val="19"/>
              </w:rPr>
              <w:t>zmiana do 201</w:t>
            </w:r>
            <w:r w:rsidR="00EB15B0" w:rsidRPr="003E7697">
              <w:rPr>
                <w:rFonts w:cs="Arial"/>
                <w:szCs w:val="19"/>
              </w:rPr>
              <w:t>6</w:t>
            </w:r>
            <w:r w:rsidRPr="003E7697">
              <w:rPr>
                <w:rFonts w:cs="Arial"/>
                <w:szCs w:val="19"/>
              </w:rPr>
              <w:t xml:space="preserve"> roku</w:t>
            </w:r>
            <w:r w:rsidRPr="003E7697">
              <w:rPr>
                <w:rFonts w:cs="Arial"/>
                <w:szCs w:val="19"/>
              </w:rPr>
              <w:br/>
              <w:t xml:space="preserve">w p. proc. </w:t>
            </w:r>
          </w:p>
        </w:tc>
      </w:tr>
      <w:tr w:rsidR="00A61D56" w:rsidRPr="003E7697" w:rsidTr="00A538BF">
        <w:trPr>
          <w:trHeight w:val="523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D56" w:rsidRPr="003E7697" w:rsidRDefault="00A61D56" w:rsidP="00A61D56">
            <w:pPr>
              <w:widowControl w:val="0"/>
              <w:autoSpaceDE w:val="0"/>
              <w:autoSpaceDN w:val="0"/>
              <w:adjustRightInd w:val="0"/>
              <w:spacing w:after="100"/>
              <w:rPr>
                <w:rFonts w:cs="Arial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D56" w:rsidRPr="003E7697" w:rsidRDefault="00A61D56" w:rsidP="00A61D56">
            <w:pPr>
              <w:widowControl w:val="0"/>
              <w:autoSpaceDE w:val="0"/>
              <w:autoSpaceDN w:val="0"/>
              <w:adjustRightInd w:val="0"/>
              <w:spacing w:after="100"/>
              <w:rPr>
                <w:rFonts w:cs="Arial"/>
                <w:szCs w:val="19"/>
              </w:rPr>
            </w:pP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D56" w:rsidRPr="003E7697" w:rsidRDefault="00A61D56" w:rsidP="00A538BF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szCs w:val="19"/>
              </w:rPr>
            </w:pPr>
            <w:r w:rsidRPr="003E7697">
              <w:rPr>
                <w:rFonts w:cs="Arial"/>
                <w:szCs w:val="19"/>
              </w:rPr>
              <w:t>w miliardach złotych</w:t>
            </w: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D56" w:rsidRPr="003E7697" w:rsidRDefault="00A61D56" w:rsidP="00A61D56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Arial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D56" w:rsidRPr="003E7697" w:rsidRDefault="00A61D56" w:rsidP="00A61D56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Arial"/>
                <w:szCs w:val="19"/>
              </w:rPr>
            </w:pPr>
          </w:p>
        </w:tc>
      </w:tr>
      <w:tr w:rsidR="00A61D56" w:rsidRPr="003E7697" w:rsidTr="003E7697">
        <w:trPr>
          <w:trHeight w:val="56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A61D56" w:rsidRPr="003E7697" w:rsidRDefault="00A538BF" w:rsidP="00A61D56">
            <w:pPr>
              <w:tabs>
                <w:tab w:val="right" w:pos="108"/>
                <w:tab w:val="right" w:leader="dot" w:pos="2807"/>
              </w:tabs>
              <w:spacing w:after="0"/>
              <w:rPr>
                <w:rFonts w:cs="Arial"/>
                <w:b/>
                <w:bCs/>
                <w:szCs w:val="19"/>
              </w:rPr>
            </w:pPr>
            <w:r w:rsidRPr="003E7697">
              <w:rPr>
                <w:rFonts w:cs="Arial"/>
                <w:b/>
                <w:bCs/>
                <w:szCs w:val="19"/>
              </w:rPr>
              <w:t>OGÓŁEM</w:t>
            </w:r>
            <w:r w:rsidR="00A61D56" w:rsidRPr="003E7697">
              <w:rPr>
                <w:rFonts w:cs="Arial"/>
                <w:bCs/>
                <w:szCs w:val="19"/>
              </w:rPr>
              <w:tab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D56" w:rsidRPr="003E7697" w:rsidRDefault="003E7697" w:rsidP="003E7697">
            <w:pPr>
              <w:spacing w:after="0" w:line="240" w:lineRule="auto"/>
              <w:jc w:val="right"/>
              <w:rPr>
                <w:rFonts w:cs="Arial"/>
                <w:color w:val="000000"/>
                <w:szCs w:val="19"/>
              </w:rPr>
            </w:pPr>
            <w:r w:rsidRPr="003E7697">
              <w:rPr>
                <w:rFonts w:cs="Arial"/>
                <w:color w:val="000000"/>
                <w:szCs w:val="19"/>
              </w:rPr>
              <w:t>50 684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D56" w:rsidRPr="003E7697" w:rsidRDefault="00167627" w:rsidP="003E7697">
            <w:pPr>
              <w:spacing w:after="0" w:line="240" w:lineRule="auto"/>
              <w:jc w:val="right"/>
              <w:rPr>
                <w:rFonts w:cs="Arial"/>
                <w:color w:val="000000"/>
                <w:szCs w:val="19"/>
              </w:rPr>
            </w:pPr>
            <w:r w:rsidRPr="00167627">
              <w:rPr>
                <w:rFonts w:cs="Arial"/>
                <w:color w:val="000000"/>
                <w:szCs w:val="19"/>
              </w:rPr>
              <w:t>3 409,0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D56" w:rsidRPr="003E7697" w:rsidRDefault="005B24D8" w:rsidP="003E7697">
            <w:pPr>
              <w:spacing w:after="0" w:line="240" w:lineRule="auto"/>
              <w:jc w:val="right"/>
              <w:rPr>
                <w:rFonts w:cs="Arial"/>
                <w:color w:val="000000"/>
                <w:szCs w:val="19"/>
              </w:rPr>
            </w:pPr>
            <w:r w:rsidRPr="005B24D8">
              <w:rPr>
                <w:rFonts w:cs="Arial"/>
                <w:color w:val="000000"/>
                <w:szCs w:val="19"/>
              </w:rPr>
              <w:t>3 232,5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D56" w:rsidRPr="003E7697" w:rsidRDefault="0054192C" w:rsidP="003E7697">
            <w:pPr>
              <w:spacing w:after="0" w:line="240" w:lineRule="auto"/>
              <w:jc w:val="right"/>
              <w:rPr>
                <w:rFonts w:cs="Arial"/>
                <w:color w:val="000000"/>
                <w:szCs w:val="19"/>
              </w:rPr>
            </w:pPr>
            <w:r w:rsidRPr="0054192C">
              <w:rPr>
                <w:rFonts w:cs="Arial"/>
                <w:color w:val="000000"/>
                <w:szCs w:val="19"/>
              </w:rPr>
              <w:t>176,5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A61D56" w:rsidRPr="003E7697" w:rsidRDefault="00776F04" w:rsidP="003E7697">
            <w:pPr>
              <w:spacing w:after="0" w:line="240" w:lineRule="auto"/>
              <w:jc w:val="right"/>
              <w:rPr>
                <w:rFonts w:cs="Arial"/>
                <w:color w:val="000000"/>
                <w:szCs w:val="19"/>
              </w:rPr>
            </w:pPr>
            <w:r w:rsidRPr="00776F04">
              <w:rPr>
                <w:rFonts w:cs="Arial"/>
                <w:color w:val="000000"/>
                <w:szCs w:val="19"/>
              </w:rPr>
              <w:t>148,9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A61D56" w:rsidRPr="003E7697" w:rsidRDefault="00866F5F" w:rsidP="003E7697">
            <w:pPr>
              <w:spacing w:after="0" w:line="240" w:lineRule="auto"/>
              <w:jc w:val="right"/>
              <w:rPr>
                <w:rFonts w:cs="Arial"/>
                <w:color w:val="000000"/>
                <w:szCs w:val="19"/>
              </w:rPr>
            </w:pPr>
            <w:r w:rsidRPr="00866F5F">
              <w:rPr>
                <w:rFonts w:cs="Arial"/>
                <w:color w:val="000000"/>
                <w:szCs w:val="19"/>
              </w:rPr>
              <w:t>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A61D56" w:rsidRPr="003E7697" w:rsidRDefault="00866F5F" w:rsidP="003E7697">
            <w:pPr>
              <w:spacing w:after="0" w:line="240" w:lineRule="auto"/>
              <w:jc w:val="right"/>
              <w:rPr>
                <w:rFonts w:cs="Arial"/>
                <w:color w:val="000000"/>
                <w:szCs w:val="19"/>
              </w:rPr>
            </w:pPr>
            <w:r w:rsidRPr="00866F5F">
              <w:rPr>
                <w:rFonts w:cs="Arial"/>
                <w:color w:val="000000"/>
                <w:szCs w:val="19"/>
              </w:rPr>
              <w:t>0,4</w:t>
            </w:r>
          </w:p>
        </w:tc>
      </w:tr>
      <w:tr w:rsidR="0054192C" w:rsidRPr="003E7697" w:rsidTr="00437DF0">
        <w:trPr>
          <w:trHeight w:val="397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61D56" w:rsidRPr="003E7697" w:rsidRDefault="00A61D56" w:rsidP="00A61D56">
            <w:pPr>
              <w:tabs>
                <w:tab w:val="left" w:pos="108"/>
                <w:tab w:val="left" w:pos="219"/>
                <w:tab w:val="right" w:leader="dot" w:pos="2283"/>
                <w:tab w:val="right" w:leader="dot" w:pos="2771"/>
                <w:tab w:val="right" w:leader="dot" w:pos="2807"/>
              </w:tabs>
              <w:spacing w:after="0"/>
              <w:rPr>
                <w:rFonts w:cs="Arial"/>
                <w:bCs/>
                <w:szCs w:val="19"/>
              </w:rPr>
            </w:pPr>
            <w:r w:rsidRPr="003E7697">
              <w:rPr>
                <w:rFonts w:cs="Arial"/>
                <w:bCs/>
                <w:szCs w:val="19"/>
              </w:rPr>
              <w:tab/>
              <w:t>w tym: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D56" w:rsidRPr="003E7697" w:rsidRDefault="00A61D56" w:rsidP="003E7697">
            <w:pPr>
              <w:spacing w:after="100"/>
              <w:jc w:val="right"/>
              <w:rPr>
                <w:rFonts w:cs="Arial"/>
                <w:szCs w:val="19"/>
                <w:highlight w:val="yellow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D56" w:rsidRPr="003E7697" w:rsidRDefault="00A61D56" w:rsidP="003E7697">
            <w:pPr>
              <w:spacing w:after="100"/>
              <w:jc w:val="right"/>
              <w:rPr>
                <w:rFonts w:cs="Arial"/>
                <w:szCs w:val="19"/>
                <w:highlight w:val="yellow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D56" w:rsidRPr="003E7697" w:rsidRDefault="00A61D56" w:rsidP="003E7697">
            <w:pPr>
              <w:spacing w:after="100"/>
              <w:jc w:val="right"/>
              <w:rPr>
                <w:rFonts w:cs="Arial"/>
                <w:szCs w:val="19"/>
                <w:highlight w:val="yellow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D56" w:rsidRPr="003E7697" w:rsidRDefault="00A61D56" w:rsidP="003E7697">
            <w:pPr>
              <w:spacing w:after="100"/>
              <w:jc w:val="right"/>
              <w:rPr>
                <w:rFonts w:cs="Arial"/>
                <w:szCs w:val="19"/>
                <w:highlight w:val="yellow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61D56" w:rsidRPr="003E7697" w:rsidRDefault="00A61D56" w:rsidP="003E7697">
            <w:pPr>
              <w:spacing w:after="100"/>
              <w:jc w:val="right"/>
              <w:rPr>
                <w:rFonts w:cs="Arial"/>
                <w:szCs w:val="19"/>
                <w:highlight w:val="yellow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61D56" w:rsidRPr="003E7697" w:rsidRDefault="00A61D56" w:rsidP="003E7697">
            <w:pPr>
              <w:spacing w:after="100"/>
              <w:jc w:val="right"/>
              <w:rPr>
                <w:rFonts w:cs="Arial"/>
                <w:szCs w:val="19"/>
                <w:highlight w:val="yellow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61D56" w:rsidRPr="003E7697" w:rsidRDefault="00A61D56" w:rsidP="003E7697">
            <w:pPr>
              <w:spacing w:after="100"/>
              <w:jc w:val="right"/>
              <w:rPr>
                <w:rFonts w:cs="Arial"/>
                <w:szCs w:val="19"/>
                <w:highlight w:val="yellow"/>
              </w:rPr>
            </w:pPr>
          </w:p>
        </w:tc>
      </w:tr>
      <w:tr w:rsidR="00437DF0" w:rsidRPr="003E7697" w:rsidTr="00437DF0">
        <w:trPr>
          <w:trHeight w:val="363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37DF0" w:rsidRPr="003E7697" w:rsidRDefault="00437DF0" w:rsidP="00437DF0">
            <w:pPr>
              <w:tabs>
                <w:tab w:val="left" w:pos="108"/>
                <w:tab w:val="left" w:pos="219"/>
                <w:tab w:val="right" w:leader="dot" w:pos="2771"/>
                <w:tab w:val="right" w:leader="dot" w:pos="2807"/>
              </w:tabs>
              <w:spacing w:after="0"/>
              <w:rPr>
                <w:rFonts w:cs="Arial"/>
                <w:b/>
                <w:bCs/>
                <w:szCs w:val="19"/>
              </w:rPr>
            </w:pPr>
            <w:r w:rsidRPr="003E7697">
              <w:rPr>
                <w:rFonts w:cs="Arial"/>
                <w:b/>
                <w:bCs/>
                <w:szCs w:val="19"/>
              </w:rPr>
              <w:t>Przemysł</w:t>
            </w:r>
            <w:r w:rsidRPr="003E7697">
              <w:rPr>
                <w:rFonts w:cs="Arial"/>
                <w:bCs/>
                <w:szCs w:val="19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437DF0" w:rsidRPr="003E7697" w:rsidRDefault="00437DF0" w:rsidP="00437DF0">
            <w:pPr>
              <w:spacing w:after="0" w:line="240" w:lineRule="auto"/>
              <w:jc w:val="right"/>
              <w:rPr>
                <w:rFonts w:cs="Arial"/>
                <w:color w:val="000000"/>
                <w:szCs w:val="19"/>
              </w:rPr>
            </w:pPr>
            <w:r w:rsidRPr="003E7697">
              <w:rPr>
                <w:rFonts w:cs="Arial"/>
                <w:color w:val="000000"/>
                <w:szCs w:val="19"/>
              </w:rPr>
              <w:t>16 471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DF0" w:rsidRPr="003E7697" w:rsidRDefault="00437DF0" w:rsidP="00437DF0">
            <w:pPr>
              <w:spacing w:after="0" w:line="240" w:lineRule="auto"/>
              <w:jc w:val="right"/>
              <w:rPr>
                <w:rFonts w:cs="Arial"/>
                <w:color w:val="000000"/>
                <w:szCs w:val="19"/>
              </w:rPr>
            </w:pPr>
            <w:r w:rsidRPr="00167627">
              <w:rPr>
                <w:rFonts w:cs="Arial"/>
                <w:color w:val="000000"/>
                <w:szCs w:val="19"/>
              </w:rPr>
              <w:t>1 573,2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5B24D8" w:rsidRDefault="00437DF0" w:rsidP="00437DF0">
            <w:pPr>
              <w:spacing w:before="0" w:after="0" w:line="240" w:lineRule="auto"/>
              <w:jc w:val="right"/>
              <w:rPr>
                <w:color w:val="000000"/>
                <w:szCs w:val="19"/>
              </w:rPr>
            </w:pPr>
            <w:r w:rsidRPr="005B24D8">
              <w:rPr>
                <w:color w:val="000000"/>
                <w:szCs w:val="19"/>
              </w:rPr>
              <w:t xml:space="preserve">1 472,8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54192C" w:rsidRDefault="00437DF0" w:rsidP="00437DF0">
            <w:pPr>
              <w:spacing w:before="0" w:after="0" w:line="240" w:lineRule="auto"/>
              <w:jc w:val="right"/>
              <w:rPr>
                <w:color w:val="000000"/>
                <w:szCs w:val="19"/>
              </w:rPr>
            </w:pPr>
            <w:r w:rsidRPr="0054192C">
              <w:rPr>
                <w:color w:val="000000"/>
                <w:szCs w:val="19"/>
              </w:rPr>
              <w:t xml:space="preserve">100,5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776F04" w:rsidRDefault="00437DF0" w:rsidP="00437DF0">
            <w:pPr>
              <w:spacing w:before="0" w:after="0" w:line="240" w:lineRule="auto"/>
              <w:jc w:val="right"/>
              <w:rPr>
                <w:color w:val="000000"/>
                <w:szCs w:val="19"/>
              </w:rPr>
            </w:pPr>
            <w:r w:rsidRPr="00776F04">
              <w:rPr>
                <w:color w:val="000000"/>
                <w:szCs w:val="19"/>
              </w:rPr>
              <w:t xml:space="preserve">85,5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866F5F" w:rsidRDefault="00437DF0" w:rsidP="00437DF0">
            <w:pPr>
              <w:spacing w:before="0" w:after="0" w:line="240" w:lineRule="auto"/>
              <w:jc w:val="right"/>
              <w:rPr>
                <w:color w:val="000000"/>
                <w:szCs w:val="19"/>
              </w:rPr>
            </w:pPr>
            <w:r w:rsidRPr="00866F5F">
              <w:rPr>
                <w:color w:val="000000"/>
                <w:szCs w:val="19"/>
              </w:rPr>
              <w:t xml:space="preserve">5,4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437DF0" w:rsidRDefault="00437DF0" w:rsidP="00437DF0">
            <w:pPr>
              <w:spacing w:before="0" w:after="0" w:line="240" w:lineRule="auto"/>
              <w:jc w:val="right"/>
              <w:rPr>
                <w:szCs w:val="19"/>
              </w:rPr>
            </w:pPr>
            <w:r w:rsidRPr="00437DF0">
              <w:rPr>
                <w:szCs w:val="19"/>
              </w:rPr>
              <w:t xml:space="preserve">0,5 </w:t>
            </w:r>
          </w:p>
        </w:tc>
      </w:tr>
      <w:tr w:rsidR="00437DF0" w:rsidRPr="003E7697" w:rsidTr="00437DF0">
        <w:trPr>
          <w:trHeight w:val="425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7DF0" w:rsidRPr="003E7697" w:rsidRDefault="00437DF0" w:rsidP="00437DF0">
            <w:pPr>
              <w:tabs>
                <w:tab w:val="right" w:leader="dot" w:pos="-2475"/>
                <w:tab w:val="left" w:pos="108"/>
                <w:tab w:val="left" w:pos="219"/>
                <w:tab w:val="right" w:leader="dot" w:pos="2771"/>
                <w:tab w:val="right" w:leader="dot" w:pos="2807"/>
              </w:tabs>
              <w:spacing w:after="0"/>
              <w:rPr>
                <w:rFonts w:cs="Arial"/>
                <w:szCs w:val="19"/>
              </w:rPr>
            </w:pPr>
            <w:r w:rsidRPr="003E7697">
              <w:rPr>
                <w:rFonts w:cs="Arial"/>
                <w:bCs/>
                <w:szCs w:val="19"/>
              </w:rPr>
              <w:tab/>
            </w:r>
            <w:r w:rsidRPr="003E7697">
              <w:rPr>
                <w:rFonts w:cs="Arial"/>
                <w:szCs w:val="19"/>
              </w:rPr>
              <w:t>Górnictwo i wydobywanie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3E7697" w:rsidRDefault="00437DF0" w:rsidP="00437DF0">
            <w:pPr>
              <w:spacing w:before="0" w:after="0" w:line="240" w:lineRule="auto"/>
              <w:jc w:val="right"/>
              <w:rPr>
                <w:color w:val="000000"/>
                <w:szCs w:val="19"/>
              </w:rPr>
            </w:pPr>
            <w:r w:rsidRPr="003E7697">
              <w:rPr>
                <w:color w:val="000000"/>
                <w:szCs w:val="19"/>
              </w:rPr>
              <w:t xml:space="preserve">279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167627" w:rsidRDefault="00437DF0" w:rsidP="00437DF0">
            <w:pPr>
              <w:spacing w:before="0" w:after="0" w:line="240" w:lineRule="auto"/>
              <w:jc w:val="right"/>
              <w:rPr>
                <w:color w:val="000000"/>
                <w:szCs w:val="19"/>
              </w:rPr>
            </w:pPr>
            <w:r w:rsidRPr="00167627">
              <w:rPr>
                <w:color w:val="000000"/>
                <w:szCs w:val="19"/>
              </w:rPr>
              <w:t xml:space="preserve">61,9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5B24D8" w:rsidRDefault="00437DF0" w:rsidP="00437DF0">
            <w:pPr>
              <w:jc w:val="right"/>
              <w:rPr>
                <w:color w:val="000000"/>
                <w:szCs w:val="19"/>
              </w:rPr>
            </w:pPr>
            <w:r w:rsidRPr="005B24D8">
              <w:rPr>
                <w:color w:val="000000"/>
                <w:szCs w:val="19"/>
              </w:rPr>
              <w:t xml:space="preserve">55,7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54192C" w:rsidRDefault="00437DF0" w:rsidP="00437DF0">
            <w:pPr>
              <w:jc w:val="right"/>
              <w:rPr>
                <w:color w:val="000000"/>
                <w:szCs w:val="19"/>
              </w:rPr>
            </w:pPr>
            <w:r w:rsidRPr="0054192C">
              <w:rPr>
                <w:color w:val="000000"/>
                <w:szCs w:val="19"/>
              </w:rPr>
              <w:t xml:space="preserve">6,2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776F04" w:rsidRDefault="00437DF0" w:rsidP="00437DF0">
            <w:pPr>
              <w:jc w:val="right"/>
              <w:rPr>
                <w:color w:val="000000"/>
                <w:szCs w:val="19"/>
              </w:rPr>
            </w:pPr>
            <w:r w:rsidRPr="00776F04">
              <w:rPr>
                <w:color w:val="000000"/>
                <w:szCs w:val="19"/>
              </w:rPr>
              <w:t xml:space="preserve">4,5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866F5F" w:rsidRDefault="00437DF0" w:rsidP="00437DF0">
            <w:pPr>
              <w:jc w:val="right"/>
              <w:rPr>
                <w:color w:val="000000"/>
                <w:szCs w:val="19"/>
              </w:rPr>
            </w:pPr>
            <w:r w:rsidRPr="00866F5F">
              <w:rPr>
                <w:color w:val="000000"/>
                <w:szCs w:val="19"/>
              </w:rPr>
              <w:t xml:space="preserve">7,2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437DF0" w:rsidRDefault="00437DF0" w:rsidP="00437DF0">
            <w:pPr>
              <w:jc w:val="right"/>
              <w:rPr>
                <w:szCs w:val="19"/>
              </w:rPr>
            </w:pPr>
            <w:r w:rsidRPr="00437DF0">
              <w:rPr>
                <w:szCs w:val="19"/>
              </w:rPr>
              <w:t xml:space="preserve">15,7 </w:t>
            </w:r>
          </w:p>
        </w:tc>
      </w:tr>
      <w:tr w:rsidR="00437DF0" w:rsidRPr="003E7697" w:rsidTr="00437DF0">
        <w:trPr>
          <w:trHeight w:val="514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7DF0" w:rsidRPr="003E7697" w:rsidRDefault="00437DF0" w:rsidP="00437DF0">
            <w:pPr>
              <w:tabs>
                <w:tab w:val="right" w:leader="dot" w:pos="-2475"/>
                <w:tab w:val="left" w:pos="108"/>
                <w:tab w:val="left" w:pos="219"/>
                <w:tab w:val="right" w:leader="dot" w:pos="2771"/>
                <w:tab w:val="right" w:leader="dot" w:pos="2807"/>
              </w:tabs>
              <w:spacing w:after="0"/>
              <w:rPr>
                <w:rFonts w:cs="Arial"/>
                <w:bCs/>
                <w:szCs w:val="19"/>
              </w:rPr>
            </w:pPr>
            <w:r w:rsidRPr="003E7697">
              <w:rPr>
                <w:rFonts w:cs="Arial"/>
                <w:bCs/>
                <w:szCs w:val="19"/>
              </w:rPr>
              <w:tab/>
              <w:t>Przetwórstwo przemysłowe</w:t>
            </w:r>
            <w:r w:rsidRPr="003E7697">
              <w:rPr>
                <w:rFonts w:cs="Arial"/>
                <w:bCs/>
                <w:szCs w:val="19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3E7697" w:rsidRDefault="00437DF0" w:rsidP="00437DF0">
            <w:pPr>
              <w:jc w:val="right"/>
              <w:rPr>
                <w:color w:val="000000"/>
                <w:szCs w:val="19"/>
              </w:rPr>
            </w:pPr>
            <w:r w:rsidRPr="003E7697">
              <w:rPr>
                <w:color w:val="000000"/>
                <w:szCs w:val="19"/>
              </w:rPr>
              <w:t xml:space="preserve">14 299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167627" w:rsidRDefault="00437DF0" w:rsidP="00437DF0">
            <w:pPr>
              <w:jc w:val="right"/>
              <w:rPr>
                <w:color w:val="000000"/>
                <w:szCs w:val="19"/>
              </w:rPr>
            </w:pPr>
            <w:r w:rsidRPr="00167627">
              <w:rPr>
                <w:color w:val="000000"/>
                <w:szCs w:val="19"/>
              </w:rPr>
              <w:t xml:space="preserve">1 277,4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5B24D8" w:rsidRDefault="00437DF0" w:rsidP="00437DF0">
            <w:pPr>
              <w:jc w:val="right"/>
              <w:rPr>
                <w:color w:val="000000"/>
                <w:szCs w:val="19"/>
              </w:rPr>
            </w:pPr>
            <w:r w:rsidRPr="005B24D8">
              <w:rPr>
                <w:color w:val="000000"/>
                <w:szCs w:val="19"/>
              </w:rPr>
              <w:t xml:space="preserve">1 205,7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54192C" w:rsidRDefault="00437DF0" w:rsidP="00437DF0">
            <w:pPr>
              <w:jc w:val="right"/>
              <w:rPr>
                <w:color w:val="000000"/>
                <w:szCs w:val="19"/>
              </w:rPr>
            </w:pPr>
            <w:r w:rsidRPr="0054192C">
              <w:rPr>
                <w:color w:val="000000"/>
                <w:szCs w:val="19"/>
              </w:rPr>
              <w:t xml:space="preserve">71,7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776F04" w:rsidRDefault="00437DF0" w:rsidP="00437DF0">
            <w:pPr>
              <w:jc w:val="right"/>
              <w:rPr>
                <w:color w:val="000000"/>
                <w:szCs w:val="19"/>
              </w:rPr>
            </w:pPr>
            <w:r w:rsidRPr="00776F04">
              <w:rPr>
                <w:color w:val="000000"/>
                <w:szCs w:val="19"/>
              </w:rPr>
              <w:t xml:space="preserve">61,3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866F5F" w:rsidRDefault="00437DF0" w:rsidP="00437DF0">
            <w:pPr>
              <w:jc w:val="right"/>
              <w:rPr>
                <w:color w:val="000000"/>
                <w:szCs w:val="19"/>
              </w:rPr>
            </w:pPr>
            <w:r w:rsidRPr="00866F5F">
              <w:rPr>
                <w:color w:val="000000"/>
                <w:szCs w:val="19"/>
              </w:rPr>
              <w:t xml:space="preserve">4,8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437DF0" w:rsidRDefault="00437DF0" w:rsidP="00437DF0">
            <w:pPr>
              <w:jc w:val="right"/>
              <w:rPr>
                <w:szCs w:val="19"/>
              </w:rPr>
            </w:pPr>
            <w:r w:rsidRPr="00437DF0">
              <w:rPr>
                <w:szCs w:val="19"/>
              </w:rPr>
              <w:t xml:space="preserve">-0,5 </w:t>
            </w:r>
          </w:p>
        </w:tc>
      </w:tr>
      <w:tr w:rsidR="00437DF0" w:rsidRPr="003E7697" w:rsidTr="00437DF0">
        <w:trPr>
          <w:trHeight w:val="815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37DF0" w:rsidRPr="003E7697" w:rsidRDefault="00437DF0" w:rsidP="00437DF0">
            <w:pPr>
              <w:tabs>
                <w:tab w:val="left" w:pos="108"/>
                <w:tab w:val="left" w:pos="219"/>
                <w:tab w:val="right" w:leader="dot" w:pos="2283"/>
                <w:tab w:val="right" w:leader="dot" w:pos="2771"/>
                <w:tab w:val="right" w:leader="dot" w:pos="2807"/>
              </w:tabs>
              <w:spacing w:after="0"/>
              <w:rPr>
                <w:rFonts w:cs="Arial"/>
                <w:szCs w:val="19"/>
              </w:rPr>
            </w:pPr>
            <w:r w:rsidRPr="003E7697">
              <w:rPr>
                <w:rFonts w:cs="Arial"/>
                <w:bCs/>
                <w:szCs w:val="19"/>
              </w:rPr>
              <w:tab/>
            </w:r>
            <w:r w:rsidRPr="003E7697">
              <w:rPr>
                <w:rFonts w:cs="Arial"/>
                <w:szCs w:val="19"/>
              </w:rPr>
              <w:t xml:space="preserve">Wytwarzanie i zaopatrywanie w energię </w:t>
            </w:r>
            <w:r w:rsidRPr="003E7697">
              <w:rPr>
                <w:rFonts w:cs="Arial"/>
                <w:szCs w:val="19"/>
                <w:vertAlign w:val="superscript"/>
              </w:rPr>
              <w:t>Δ</w:t>
            </w:r>
            <w:r w:rsidRPr="003E7697">
              <w:rPr>
                <w:rFonts w:cs="Arial"/>
                <w:szCs w:val="19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3E7697" w:rsidRDefault="00437DF0" w:rsidP="00437DF0">
            <w:pPr>
              <w:jc w:val="right"/>
              <w:rPr>
                <w:color w:val="000000"/>
                <w:szCs w:val="19"/>
              </w:rPr>
            </w:pPr>
            <w:r w:rsidRPr="003E7697">
              <w:rPr>
                <w:color w:val="000000"/>
                <w:szCs w:val="19"/>
              </w:rPr>
              <w:t xml:space="preserve">453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167627" w:rsidRDefault="00437DF0" w:rsidP="00437DF0">
            <w:pPr>
              <w:jc w:val="right"/>
              <w:rPr>
                <w:color w:val="000000"/>
                <w:szCs w:val="19"/>
              </w:rPr>
            </w:pPr>
            <w:r w:rsidRPr="00167627">
              <w:rPr>
                <w:color w:val="000000"/>
                <w:szCs w:val="19"/>
              </w:rPr>
              <w:t xml:space="preserve">199,6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5B24D8" w:rsidRDefault="00437DF0" w:rsidP="00437DF0">
            <w:pPr>
              <w:jc w:val="right"/>
              <w:rPr>
                <w:color w:val="000000"/>
                <w:szCs w:val="19"/>
              </w:rPr>
            </w:pPr>
            <w:r w:rsidRPr="005B24D8">
              <w:rPr>
                <w:color w:val="000000"/>
                <w:szCs w:val="19"/>
              </w:rPr>
              <w:t xml:space="preserve">179,3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54192C" w:rsidRDefault="00437DF0" w:rsidP="00437DF0">
            <w:pPr>
              <w:jc w:val="right"/>
              <w:rPr>
                <w:color w:val="000000"/>
                <w:szCs w:val="19"/>
              </w:rPr>
            </w:pPr>
            <w:r w:rsidRPr="0054192C">
              <w:rPr>
                <w:color w:val="000000"/>
                <w:szCs w:val="19"/>
              </w:rPr>
              <w:t xml:space="preserve">20,3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776F04" w:rsidRDefault="00437DF0" w:rsidP="00437DF0">
            <w:pPr>
              <w:jc w:val="right"/>
              <w:rPr>
                <w:color w:val="000000"/>
                <w:szCs w:val="19"/>
              </w:rPr>
            </w:pPr>
            <w:r w:rsidRPr="00776F04">
              <w:rPr>
                <w:color w:val="000000"/>
                <w:szCs w:val="19"/>
              </w:rPr>
              <w:t xml:space="preserve">17,9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866F5F" w:rsidRDefault="00437DF0" w:rsidP="00437DF0">
            <w:pPr>
              <w:jc w:val="right"/>
              <w:rPr>
                <w:color w:val="000000"/>
                <w:szCs w:val="19"/>
              </w:rPr>
            </w:pPr>
            <w:r w:rsidRPr="00866F5F">
              <w:rPr>
                <w:color w:val="000000"/>
                <w:szCs w:val="19"/>
              </w:rPr>
              <w:t xml:space="preserve">9,0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437DF0" w:rsidRDefault="00437DF0" w:rsidP="00437DF0">
            <w:pPr>
              <w:jc w:val="right"/>
              <w:rPr>
                <w:szCs w:val="19"/>
              </w:rPr>
            </w:pPr>
            <w:r w:rsidRPr="00437DF0">
              <w:rPr>
                <w:szCs w:val="19"/>
              </w:rPr>
              <w:t xml:space="preserve">2,8 </w:t>
            </w:r>
          </w:p>
        </w:tc>
      </w:tr>
      <w:tr w:rsidR="00437DF0" w:rsidRPr="003E7697" w:rsidTr="00437DF0">
        <w:trPr>
          <w:trHeight w:val="1140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37DF0" w:rsidRPr="003E7697" w:rsidRDefault="00437DF0" w:rsidP="00437DF0">
            <w:pPr>
              <w:tabs>
                <w:tab w:val="left" w:pos="108"/>
                <w:tab w:val="left" w:pos="219"/>
                <w:tab w:val="right" w:leader="dot" w:pos="2283"/>
                <w:tab w:val="right" w:leader="dot" w:pos="2771"/>
                <w:tab w:val="right" w:leader="dot" w:pos="2807"/>
              </w:tabs>
              <w:spacing w:after="0"/>
              <w:rPr>
                <w:rFonts w:cs="Arial"/>
                <w:szCs w:val="19"/>
              </w:rPr>
            </w:pPr>
            <w:r w:rsidRPr="003E7697">
              <w:rPr>
                <w:rFonts w:cs="Arial"/>
                <w:bCs/>
                <w:szCs w:val="19"/>
              </w:rPr>
              <w:tab/>
            </w:r>
            <w:r w:rsidRPr="003E7697">
              <w:rPr>
                <w:rFonts w:cs="Arial"/>
                <w:szCs w:val="19"/>
              </w:rPr>
              <w:t>Dostawa wody; gosp</w:t>
            </w:r>
            <w:r w:rsidRPr="003E7697">
              <w:rPr>
                <w:rFonts w:cs="Arial"/>
                <w:szCs w:val="19"/>
              </w:rPr>
              <w:t>o</w:t>
            </w:r>
            <w:r w:rsidRPr="003E7697">
              <w:rPr>
                <w:rFonts w:cs="Arial"/>
                <w:szCs w:val="19"/>
              </w:rPr>
              <w:t xml:space="preserve">darowanie ściekami i odpadami </w:t>
            </w:r>
            <w:r w:rsidRPr="003E7697">
              <w:rPr>
                <w:rFonts w:cs="Arial"/>
                <w:szCs w:val="19"/>
                <w:vertAlign w:val="superscript"/>
              </w:rPr>
              <w:t>Δ</w:t>
            </w:r>
            <w:r w:rsidRPr="003E7697">
              <w:rPr>
                <w:rFonts w:cs="Arial"/>
                <w:bCs/>
                <w:szCs w:val="19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3E7697" w:rsidRDefault="00437DF0" w:rsidP="00437DF0">
            <w:pPr>
              <w:jc w:val="right"/>
              <w:rPr>
                <w:color w:val="000000"/>
                <w:szCs w:val="19"/>
              </w:rPr>
            </w:pPr>
            <w:r w:rsidRPr="003E7697">
              <w:rPr>
                <w:color w:val="000000"/>
                <w:szCs w:val="19"/>
              </w:rPr>
              <w:t xml:space="preserve">1 440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167627" w:rsidRDefault="00437DF0" w:rsidP="00437DF0">
            <w:pPr>
              <w:jc w:val="right"/>
              <w:rPr>
                <w:color w:val="000000"/>
                <w:szCs w:val="19"/>
              </w:rPr>
            </w:pPr>
            <w:r w:rsidRPr="00167627">
              <w:rPr>
                <w:color w:val="000000"/>
                <w:szCs w:val="19"/>
              </w:rPr>
              <w:t xml:space="preserve">34,3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5B24D8" w:rsidRDefault="00437DF0" w:rsidP="00437DF0">
            <w:pPr>
              <w:jc w:val="right"/>
              <w:rPr>
                <w:color w:val="000000"/>
                <w:szCs w:val="19"/>
              </w:rPr>
            </w:pPr>
            <w:r w:rsidRPr="005B24D8">
              <w:rPr>
                <w:color w:val="000000"/>
                <w:szCs w:val="19"/>
              </w:rPr>
              <w:t xml:space="preserve">32,1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54192C" w:rsidRDefault="00437DF0" w:rsidP="00437DF0">
            <w:pPr>
              <w:jc w:val="right"/>
              <w:rPr>
                <w:color w:val="000000"/>
                <w:szCs w:val="19"/>
              </w:rPr>
            </w:pPr>
            <w:r w:rsidRPr="0054192C">
              <w:rPr>
                <w:color w:val="000000"/>
                <w:szCs w:val="19"/>
              </w:rPr>
              <w:t xml:space="preserve">2,2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776F04" w:rsidRDefault="00437DF0" w:rsidP="00437DF0">
            <w:pPr>
              <w:jc w:val="right"/>
              <w:rPr>
                <w:color w:val="000000"/>
                <w:szCs w:val="19"/>
              </w:rPr>
            </w:pPr>
            <w:r w:rsidRPr="00776F04">
              <w:rPr>
                <w:color w:val="000000"/>
                <w:szCs w:val="19"/>
              </w:rPr>
              <w:t xml:space="preserve">1,7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866F5F" w:rsidRDefault="00437DF0" w:rsidP="00437DF0">
            <w:pPr>
              <w:jc w:val="right"/>
              <w:rPr>
                <w:color w:val="000000"/>
                <w:szCs w:val="19"/>
              </w:rPr>
            </w:pPr>
            <w:r w:rsidRPr="00866F5F">
              <w:rPr>
                <w:color w:val="000000"/>
                <w:szCs w:val="19"/>
              </w:rPr>
              <w:t xml:space="preserve">5,1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437DF0" w:rsidRDefault="00437DF0" w:rsidP="00437DF0">
            <w:pPr>
              <w:jc w:val="right"/>
              <w:rPr>
                <w:szCs w:val="19"/>
              </w:rPr>
            </w:pPr>
            <w:r w:rsidRPr="00437DF0">
              <w:rPr>
                <w:szCs w:val="19"/>
              </w:rPr>
              <w:t xml:space="preserve">-0,7 </w:t>
            </w:r>
          </w:p>
        </w:tc>
      </w:tr>
      <w:tr w:rsidR="00437DF0" w:rsidRPr="003E7697" w:rsidTr="00437DF0">
        <w:trPr>
          <w:trHeight w:val="419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37DF0" w:rsidRPr="003E7697" w:rsidRDefault="00437DF0" w:rsidP="00437DF0">
            <w:pPr>
              <w:spacing w:after="0"/>
              <w:rPr>
                <w:rFonts w:cs="Arial"/>
                <w:b/>
                <w:bCs/>
                <w:szCs w:val="19"/>
              </w:rPr>
            </w:pPr>
            <w:r w:rsidRPr="003E7697">
              <w:rPr>
                <w:rFonts w:cs="Arial"/>
                <w:b/>
                <w:bCs/>
                <w:szCs w:val="19"/>
              </w:rPr>
              <w:t>Budownictwo</w:t>
            </w:r>
            <w:r w:rsidRPr="003E7697">
              <w:rPr>
                <w:rFonts w:cs="Arial"/>
                <w:bCs/>
                <w:szCs w:val="19"/>
              </w:rPr>
              <w:t>..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3E7697" w:rsidRDefault="00437DF0" w:rsidP="00437DF0">
            <w:pPr>
              <w:spacing w:before="0" w:after="0" w:line="240" w:lineRule="auto"/>
              <w:jc w:val="right"/>
              <w:rPr>
                <w:color w:val="000000"/>
                <w:szCs w:val="19"/>
              </w:rPr>
            </w:pPr>
            <w:r w:rsidRPr="003E7697">
              <w:rPr>
                <w:color w:val="000000"/>
                <w:szCs w:val="19"/>
              </w:rPr>
              <w:t xml:space="preserve">4 804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167627" w:rsidRDefault="00437DF0" w:rsidP="00437DF0">
            <w:pPr>
              <w:jc w:val="right"/>
              <w:rPr>
                <w:color w:val="000000"/>
                <w:szCs w:val="19"/>
              </w:rPr>
            </w:pPr>
            <w:r w:rsidRPr="00167627">
              <w:rPr>
                <w:color w:val="000000"/>
                <w:szCs w:val="19"/>
              </w:rPr>
              <w:t xml:space="preserve">147,3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5B24D8" w:rsidRDefault="00437DF0" w:rsidP="00437DF0">
            <w:pPr>
              <w:jc w:val="right"/>
              <w:rPr>
                <w:color w:val="000000"/>
                <w:szCs w:val="19"/>
              </w:rPr>
            </w:pPr>
            <w:r w:rsidRPr="005B24D8">
              <w:rPr>
                <w:color w:val="000000"/>
                <w:szCs w:val="19"/>
              </w:rPr>
              <w:t xml:space="preserve">139,8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54192C" w:rsidRDefault="00437DF0" w:rsidP="00437DF0">
            <w:pPr>
              <w:jc w:val="right"/>
              <w:rPr>
                <w:color w:val="000000"/>
                <w:szCs w:val="19"/>
              </w:rPr>
            </w:pPr>
            <w:r w:rsidRPr="0054192C">
              <w:rPr>
                <w:color w:val="000000"/>
                <w:szCs w:val="19"/>
              </w:rPr>
              <w:t xml:space="preserve">7,5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776F04" w:rsidRDefault="00437DF0" w:rsidP="00437DF0">
            <w:pPr>
              <w:jc w:val="right"/>
              <w:rPr>
                <w:color w:val="000000"/>
                <w:szCs w:val="19"/>
              </w:rPr>
            </w:pPr>
            <w:r w:rsidRPr="00776F04">
              <w:rPr>
                <w:color w:val="000000"/>
                <w:szCs w:val="19"/>
              </w:rPr>
              <w:t xml:space="preserve">6,1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866F5F" w:rsidRDefault="00437DF0" w:rsidP="00437DF0">
            <w:pPr>
              <w:jc w:val="right"/>
              <w:rPr>
                <w:color w:val="000000"/>
                <w:szCs w:val="19"/>
              </w:rPr>
            </w:pPr>
            <w:r w:rsidRPr="00866F5F">
              <w:rPr>
                <w:color w:val="000000"/>
                <w:szCs w:val="19"/>
              </w:rPr>
              <w:t xml:space="preserve">4,1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437DF0" w:rsidRDefault="00437DF0" w:rsidP="00437DF0">
            <w:pPr>
              <w:jc w:val="right"/>
              <w:rPr>
                <w:szCs w:val="19"/>
              </w:rPr>
            </w:pPr>
            <w:r w:rsidRPr="00437DF0">
              <w:rPr>
                <w:szCs w:val="19"/>
              </w:rPr>
              <w:t xml:space="preserve">-0,9 </w:t>
            </w:r>
          </w:p>
        </w:tc>
      </w:tr>
      <w:tr w:rsidR="00437DF0" w:rsidRPr="003E7697" w:rsidTr="00437DF0">
        <w:trPr>
          <w:trHeight w:val="709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37DF0" w:rsidRPr="003E7697" w:rsidRDefault="00437DF0" w:rsidP="00437DF0">
            <w:pPr>
              <w:tabs>
                <w:tab w:val="left" w:pos="108"/>
                <w:tab w:val="left" w:pos="219"/>
                <w:tab w:val="right" w:leader="dot" w:pos="2283"/>
                <w:tab w:val="right" w:leader="dot" w:pos="2771"/>
                <w:tab w:val="right" w:leader="dot" w:pos="2807"/>
              </w:tabs>
              <w:spacing w:after="0"/>
              <w:rPr>
                <w:rFonts w:cs="Arial"/>
                <w:b/>
                <w:bCs/>
                <w:szCs w:val="19"/>
              </w:rPr>
            </w:pPr>
            <w:r w:rsidRPr="003E7697">
              <w:rPr>
                <w:rFonts w:cs="Arial"/>
                <w:b/>
                <w:bCs/>
                <w:szCs w:val="19"/>
              </w:rPr>
              <w:t>Handel; n</w:t>
            </w:r>
            <w:r w:rsidRPr="003E7697">
              <w:rPr>
                <w:rFonts w:cs="Arial"/>
                <w:b/>
                <w:bCs/>
                <w:szCs w:val="19"/>
              </w:rPr>
              <w:t>a</w:t>
            </w:r>
            <w:r w:rsidRPr="003E7697">
              <w:rPr>
                <w:rFonts w:cs="Arial"/>
                <w:b/>
                <w:bCs/>
                <w:szCs w:val="19"/>
              </w:rPr>
              <w:t>prawa poja</w:t>
            </w:r>
            <w:r w:rsidRPr="003E7697">
              <w:rPr>
                <w:rFonts w:cs="Arial"/>
                <w:b/>
                <w:bCs/>
                <w:szCs w:val="19"/>
              </w:rPr>
              <w:t>z</w:t>
            </w:r>
            <w:r w:rsidRPr="003E7697">
              <w:rPr>
                <w:rFonts w:cs="Arial"/>
                <w:b/>
                <w:bCs/>
                <w:szCs w:val="19"/>
              </w:rPr>
              <w:t>dów sam</w:t>
            </w:r>
            <w:r w:rsidRPr="003E7697">
              <w:rPr>
                <w:rFonts w:cs="Arial"/>
                <w:b/>
                <w:bCs/>
                <w:szCs w:val="19"/>
              </w:rPr>
              <w:t>o</w:t>
            </w:r>
            <w:r w:rsidRPr="003E7697">
              <w:rPr>
                <w:rFonts w:cs="Arial"/>
                <w:b/>
                <w:bCs/>
                <w:szCs w:val="19"/>
              </w:rPr>
              <w:t>chodowych</w:t>
            </w:r>
            <w:r w:rsidRPr="003E7697">
              <w:rPr>
                <w:rFonts w:cs="Arial"/>
                <w:bCs/>
                <w:szCs w:val="19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3E7697" w:rsidRDefault="00437DF0" w:rsidP="00437DF0">
            <w:pPr>
              <w:jc w:val="right"/>
              <w:rPr>
                <w:color w:val="000000"/>
                <w:szCs w:val="19"/>
              </w:rPr>
            </w:pPr>
            <w:r w:rsidRPr="003E7697">
              <w:rPr>
                <w:color w:val="000000"/>
                <w:szCs w:val="19"/>
              </w:rPr>
              <w:t xml:space="preserve">14 329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167627" w:rsidRDefault="00437DF0" w:rsidP="00437DF0">
            <w:pPr>
              <w:jc w:val="right"/>
              <w:rPr>
                <w:color w:val="000000"/>
                <w:szCs w:val="19"/>
              </w:rPr>
            </w:pPr>
            <w:r w:rsidRPr="00167627">
              <w:rPr>
                <w:color w:val="000000"/>
                <w:szCs w:val="19"/>
              </w:rPr>
              <w:t xml:space="preserve">1 181,4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5B24D8" w:rsidRDefault="00437DF0" w:rsidP="00437DF0">
            <w:pPr>
              <w:jc w:val="right"/>
              <w:rPr>
                <w:color w:val="000000"/>
                <w:szCs w:val="19"/>
              </w:rPr>
            </w:pPr>
            <w:r w:rsidRPr="005B24D8">
              <w:rPr>
                <w:color w:val="000000"/>
                <w:szCs w:val="19"/>
              </w:rPr>
              <w:t xml:space="preserve">1 146,1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54192C" w:rsidRDefault="00437DF0" w:rsidP="00437DF0">
            <w:pPr>
              <w:jc w:val="right"/>
              <w:rPr>
                <w:color w:val="000000"/>
                <w:szCs w:val="19"/>
              </w:rPr>
            </w:pPr>
            <w:r w:rsidRPr="0054192C">
              <w:rPr>
                <w:color w:val="000000"/>
                <w:szCs w:val="19"/>
              </w:rPr>
              <w:t xml:space="preserve">35,3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776F04" w:rsidRDefault="00437DF0" w:rsidP="00437DF0">
            <w:pPr>
              <w:jc w:val="right"/>
              <w:rPr>
                <w:color w:val="000000"/>
                <w:szCs w:val="19"/>
              </w:rPr>
            </w:pPr>
            <w:r w:rsidRPr="00776F04">
              <w:rPr>
                <w:color w:val="000000"/>
                <w:szCs w:val="19"/>
              </w:rPr>
              <w:t xml:space="preserve">29,3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866F5F" w:rsidRDefault="00437DF0" w:rsidP="00437DF0">
            <w:pPr>
              <w:jc w:val="right"/>
              <w:rPr>
                <w:color w:val="000000"/>
                <w:szCs w:val="19"/>
              </w:rPr>
            </w:pPr>
            <w:r w:rsidRPr="00866F5F">
              <w:rPr>
                <w:color w:val="000000"/>
                <w:szCs w:val="19"/>
              </w:rPr>
              <w:t xml:space="preserve">2,5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437DF0" w:rsidRDefault="00437DF0" w:rsidP="00437DF0">
            <w:pPr>
              <w:jc w:val="right"/>
              <w:rPr>
                <w:szCs w:val="19"/>
              </w:rPr>
            </w:pPr>
            <w:r w:rsidRPr="00437DF0">
              <w:rPr>
                <w:szCs w:val="19"/>
              </w:rPr>
              <w:t xml:space="preserve">0,1 </w:t>
            </w:r>
          </w:p>
        </w:tc>
      </w:tr>
      <w:tr w:rsidR="00437DF0" w:rsidRPr="003E7697" w:rsidTr="00437DF0">
        <w:trPr>
          <w:trHeight w:val="624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37DF0" w:rsidRPr="003E7697" w:rsidRDefault="00437DF0" w:rsidP="00437DF0">
            <w:pPr>
              <w:tabs>
                <w:tab w:val="left" w:pos="108"/>
                <w:tab w:val="left" w:pos="219"/>
                <w:tab w:val="right" w:leader="dot" w:pos="2283"/>
                <w:tab w:val="right" w:leader="dot" w:pos="2771"/>
                <w:tab w:val="right" w:leader="dot" w:pos="2807"/>
              </w:tabs>
              <w:spacing w:after="0"/>
              <w:rPr>
                <w:rFonts w:cs="Arial"/>
                <w:b/>
                <w:bCs/>
                <w:szCs w:val="19"/>
              </w:rPr>
            </w:pPr>
            <w:r w:rsidRPr="003E7697">
              <w:rPr>
                <w:rFonts w:cs="Arial"/>
                <w:b/>
                <w:bCs/>
                <w:szCs w:val="19"/>
              </w:rPr>
              <w:t>Transport i gospodarka magazynowa</w:t>
            </w:r>
            <w:r w:rsidRPr="003E7697">
              <w:rPr>
                <w:rFonts w:cs="Arial"/>
                <w:bCs/>
                <w:szCs w:val="19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3E7697" w:rsidRDefault="00437DF0" w:rsidP="00437DF0">
            <w:pPr>
              <w:jc w:val="right"/>
              <w:rPr>
                <w:color w:val="000000"/>
                <w:szCs w:val="19"/>
              </w:rPr>
            </w:pPr>
            <w:r w:rsidRPr="003E7697">
              <w:rPr>
                <w:color w:val="000000"/>
                <w:szCs w:val="19"/>
              </w:rPr>
              <w:t xml:space="preserve">3 184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167627" w:rsidRDefault="00437DF0" w:rsidP="00437DF0">
            <w:pPr>
              <w:jc w:val="right"/>
              <w:rPr>
                <w:color w:val="000000"/>
                <w:szCs w:val="19"/>
              </w:rPr>
            </w:pPr>
            <w:r w:rsidRPr="00167627">
              <w:rPr>
                <w:color w:val="000000"/>
                <w:szCs w:val="19"/>
              </w:rPr>
              <w:t xml:space="preserve">162,0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5B24D8" w:rsidRDefault="00437DF0" w:rsidP="00437DF0">
            <w:pPr>
              <w:jc w:val="right"/>
              <w:rPr>
                <w:color w:val="000000"/>
                <w:szCs w:val="19"/>
              </w:rPr>
            </w:pPr>
            <w:r w:rsidRPr="005B24D8">
              <w:rPr>
                <w:color w:val="000000"/>
                <w:szCs w:val="19"/>
              </w:rPr>
              <w:t xml:space="preserve">154,7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54192C" w:rsidRDefault="00437DF0" w:rsidP="00437DF0">
            <w:pPr>
              <w:jc w:val="right"/>
              <w:rPr>
                <w:color w:val="000000"/>
                <w:szCs w:val="19"/>
              </w:rPr>
            </w:pPr>
            <w:r w:rsidRPr="0054192C">
              <w:rPr>
                <w:color w:val="000000"/>
                <w:szCs w:val="19"/>
              </w:rPr>
              <w:t xml:space="preserve">7,3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776F04" w:rsidRDefault="00437DF0" w:rsidP="00437DF0">
            <w:pPr>
              <w:jc w:val="right"/>
              <w:rPr>
                <w:color w:val="000000"/>
                <w:szCs w:val="19"/>
              </w:rPr>
            </w:pPr>
            <w:r w:rsidRPr="00776F04">
              <w:rPr>
                <w:color w:val="000000"/>
                <w:szCs w:val="19"/>
              </w:rPr>
              <w:t xml:space="preserve">5,8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866F5F" w:rsidRDefault="00437DF0" w:rsidP="00437DF0">
            <w:pPr>
              <w:jc w:val="right"/>
              <w:rPr>
                <w:color w:val="000000"/>
                <w:szCs w:val="19"/>
              </w:rPr>
            </w:pPr>
            <w:r w:rsidRPr="00866F5F">
              <w:rPr>
                <w:color w:val="000000"/>
                <w:szCs w:val="19"/>
              </w:rPr>
              <w:t xml:space="preserve">3,6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437DF0" w:rsidRDefault="00437DF0" w:rsidP="00437DF0">
            <w:pPr>
              <w:jc w:val="right"/>
              <w:rPr>
                <w:szCs w:val="19"/>
              </w:rPr>
            </w:pPr>
            <w:r w:rsidRPr="00437DF0">
              <w:rPr>
                <w:szCs w:val="19"/>
              </w:rPr>
              <w:t xml:space="preserve">-0,5 </w:t>
            </w:r>
          </w:p>
        </w:tc>
      </w:tr>
      <w:tr w:rsidR="00437DF0" w:rsidRPr="003E7697" w:rsidTr="00437DF0">
        <w:trPr>
          <w:trHeight w:val="624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37DF0" w:rsidRPr="003E7697" w:rsidRDefault="00437DF0" w:rsidP="00437DF0">
            <w:pPr>
              <w:tabs>
                <w:tab w:val="left" w:pos="108"/>
                <w:tab w:val="left" w:pos="219"/>
                <w:tab w:val="right" w:leader="dot" w:pos="2771"/>
                <w:tab w:val="right" w:leader="dot" w:pos="2807"/>
              </w:tabs>
              <w:spacing w:after="0"/>
              <w:rPr>
                <w:rFonts w:cs="Arial"/>
                <w:b/>
                <w:bCs/>
                <w:szCs w:val="19"/>
              </w:rPr>
            </w:pPr>
            <w:r w:rsidRPr="003E7697">
              <w:rPr>
                <w:rFonts w:cs="Arial"/>
                <w:b/>
                <w:bCs/>
                <w:szCs w:val="19"/>
              </w:rPr>
              <w:t>Zakwaterow</w:t>
            </w:r>
            <w:r w:rsidRPr="003E7697">
              <w:rPr>
                <w:rFonts w:cs="Arial"/>
                <w:b/>
                <w:bCs/>
                <w:szCs w:val="19"/>
              </w:rPr>
              <w:t>a</w:t>
            </w:r>
            <w:r w:rsidRPr="003E7697">
              <w:rPr>
                <w:rFonts w:cs="Arial"/>
                <w:b/>
                <w:bCs/>
                <w:szCs w:val="19"/>
              </w:rPr>
              <w:t>nie i gastr</w:t>
            </w:r>
            <w:r w:rsidRPr="003E7697">
              <w:rPr>
                <w:rFonts w:cs="Arial"/>
                <w:b/>
                <w:bCs/>
                <w:szCs w:val="19"/>
              </w:rPr>
              <w:t>o</w:t>
            </w:r>
            <w:r w:rsidRPr="003E7697">
              <w:rPr>
                <w:rFonts w:cs="Arial"/>
                <w:b/>
                <w:bCs/>
                <w:szCs w:val="19"/>
              </w:rPr>
              <w:t>nomia</w:t>
            </w:r>
            <w:r w:rsidRPr="003E7697">
              <w:rPr>
                <w:rFonts w:cs="Arial"/>
                <w:bCs/>
                <w:szCs w:val="19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3E7697" w:rsidRDefault="00437DF0" w:rsidP="00437DF0">
            <w:pPr>
              <w:jc w:val="right"/>
              <w:rPr>
                <w:color w:val="000000"/>
                <w:szCs w:val="19"/>
              </w:rPr>
            </w:pPr>
            <w:r w:rsidRPr="003E7697">
              <w:rPr>
                <w:color w:val="000000"/>
                <w:szCs w:val="19"/>
              </w:rPr>
              <w:t xml:space="preserve">1 097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167627" w:rsidRDefault="00437DF0" w:rsidP="00437DF0">
            <w:pPr>
              <w:jc w:val="right"/>
              <w:rPr>
                <w:color w:val="000000"/>
                <w:szCs w:val="19"/>
              </w:rPr>
            </w:pPr>
            <w:r w:rsidRPr="00167627">
              <w:rPr>
                <w:color w:val="000000"/>
                <w:szCs w:val="19"/>
              </w:rPr>
              <w:t xml:space="preserve">18,2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5B24D8" w:rsidRDefault="00437DF0" w:rsidP="00437DF0">
            <w:pPr>
              <w:jc w:val="right"/>
              <w:rPr>
                <w:color w:val="000000"/>
                <w:szCs w:val="19"/>
              </w:rPr>
            </w:pPr>
            <w:r w:rsidRPr="005B24D8">
              <w:rPr>
                <w:color w:val="000000"/>
                <w:szCs w:val="19"/>
              </w:rPr>
              <w:t xml:space="preserve">16,7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54192C" w:rsidRDefault="00437DF0" w:rsidP="00437DF0">
            <w:pPr>
              <w:jc w:val="right"/>
              <w:rPr>
                <w:color w:val="000000"/>
                <w:szCs w:val="19"/>
              </w:rPr>
            </w:pPr>
            <w:r w:rsidRPr="0054192C">
              <w:rPr>
                <w:color w:val="000000"/>
                <w:szCs w:val="19"/>
              </w:rPr>
              <w:t xml:space="preserve">1,5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776F04" w:rsidRDefault="00437DF0" w:rsidP="00437DF0">
            <w:pPr>
              <w:jc w:val="right"/>
              <w:rPr>
                <w:color w:val="000000"/>
                <w:szCs w:val="19"/>
              </w:rPr>
            </w:pPr>
            <w:r w:rsidRPr="00776F04">
              <w:rPr>
                <w:color w:val="000000"/>
                <w:szCs w:val="19"/>
              </w:rPr>
              <w:t xml:space="preserve">1,3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866F5F" w:rsidRDefault="00437DF0" w:rsidP="00437DF0">
            <w:pPr>
              <w:jc w:val="right"/>
              <w:rPr>
                <w:color w:val="000000"/>
                <w:szCs w:val="19"/>
              </w:rPr>
            </w:pPr>
            <w:r w:rsidRPr="00866F5F">
              <w:rPr>
                <w:color w:val="000000"/>
                <w:szCs w:val="19"/>
              </w:rPr>
              <w:t xml:space="preserve">6,9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437DF0" w:rsidRDefault="00437DF0" w:rsidP="00437DF0">
            <w:pPr>
              <w:jc w:val="right"/>
              <w:rPr>
                <w:szCs w:val="19"/>
              </w:rPr>
            </w:pPr>
            <w:r w:rsidRPr="00437DF0">
              <w:rPr>
                <w:szCs w:val="19"/>
              </w:rPr>
              <w:t xml:space="preserve">0,3 </w:t>
            </w:r>
          </w:p>
        </w:tc>
      </w:tr>
      <w:tr w:rsidR="00437DF0" w:rsidRPr="003E7697" w:rsidTr="009304F9">
        <w:trPr>
          <w:trHeight w:val="439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37DF0" w:rsidRPr="003E7697" w:rsidRDefault="00437DF0" w:rsidP="00437DF0">
            <w:pPr>
              <w:tabs>
                <w:tab w:val="left" w:pos="108"/>
                <w:tab w:val="left" w:pos="219"/>
                <w:tab w:val="right" w:leader="dot" w:pos="2771"/>
                <w:tab w:val="right" w:leader="dot" w:pos="2807"/>
              </w:tabs>
              <w:spacing w:after="0"/>
              <w:rPr>
                <w:rFonts w:cs="Arial"/>
                <w:b/>
                <w:bCs/>
                <w:szCs w:val="19"/>
              </w:rPr>
            </w:pPr>
            <w:r w:rsidRPr="003E7697">
              <w:rPr>
                <w:rFonts w:cs="Arial"/>
                <w:b/>
                <w:bCs/>
                <w:szCs w:val="19"/>
              </w:rPr>
              <w:t>Informacja i komunikacja</w:t>
            </w:r>
            <w:r w:rsidRPr="003E7697">
              <w:rPr>
                <w:rFonts w:cs="Arial"/>
                <w:bCs/>
                <w:szCs w:val="19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7DF0" w:rsidRPr="003E7697" w:rsidRDefault="00437DF0" w:rsidP="00437DF0">
            <w:pPr>
              <w:jc w:val="right"/>
              <w:rPr>
                <w:color w:val="000000"/>
                <w:szCs w:val="19"/>
              </w:rPr>
            </w:pPr>
            <w:r w:rsidRPr="003E7697">
              <w:rPr>
                <w:color w:val="000000"/>
                <w:szCs w:val="19"/>
              </w:rPr>
              <w:t>1 888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DF0" w:rsidRPr="00167627" w:rsidRDefault="00437DF0" w:rsidP="00437DF0">
            <w:pPr>
              <w:jc w:val="right"/>
              <w:rPr>
                <w:color w:val="000000"/>
                <w:szCs w:val="19"/>
              </w:rPr>
            </w:pPr>
            <w:r w:rsidRPr="00167627">
              <w:rPr>
                <w:color w:val="000000"/>
                <w:szCs w:val="19"/>
              </w:rPr>
              <w:t xml:space="preserve">113,5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DF0" w:rsidRPr="005B24D8" w:rsidRDefault="00437DF0" w:rsidP="00437DF0">
            <w:pPr>
              <w:jc w:val="right"/>
              <w:rPr>
                <w:color w:val="000000"/>
                <w:szCs w:val="19"/>
              </w:rPr>
            </w:pPr>
            <w:r w:rsidRPr="005B24D8">
              <w:rPr>
                <w:color w:val="000000"/>
                <w:szCs w:val="19"/>
              </w:rPr>
              <w:t xml:space="preserve">105,6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DF0" w:rsidRPr="0054192C" w:rsidRDefault="00437DF0" w:rsidP="00437DF0">
            <w:pPr>
              <w:jc w:val="right"/>
              <w:rPr>
                <w:color w:val="000000"/>
                <w:szCs w:val="19"/>
              </w:rPr>
            </w:pPr>
            <w:r w:rsidRPr="0054192C">
              <w:rPr>
                <w:color w:val="000000"/>
                <w:szCs w:val="19"/>
              </w:rPr>
              <w:t xml:space="preserve">7,8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DF0" w:rsidRPr="00776F04" w:rsidRDefault="00437DF0" w:rsidP="00437DF0">
            <w:pPr>
              <w:jc w:val="right"/>
              <w:rPr>
                <w:color w:val="000000"/>
                <w:szCs w:val="19"/>
              </w:rPr>
            </w:pPr>
            <w:r w:rsidRPr="00776F04">
              <w:rPr>
                <w:color w:val="000000"/>
                <w:szCs w:val="19"/>
              </w:rPr>
              <w:t xml:space="preserve">6,5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DF0" w:rsidRPr="00866F5F" w:rsidRDefault="00437DF0" w:rsidP="00437DF0">
            <w:pPr>
              <w:jc w:val="right"/>
              <w:rPr>
                <w:color w:val="000000"/>
                <w:szCs w:val="19"/>
              </w:rPr>
            </w:pPr>
            <w:r w:rsidRPr="00866F5F">
              <w:rPr>
                <w:color w:val="000000"/>
                <w:szCs w:val="19"/>
              </w:rPr>
              <w:t xml:space="preserve">5,8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DF0" w:rsidRPr="00437DF0" w:rsidRDefault="00437DF0" w:rsidP="00437DF0">
            <w:pPr>
              <w:jc w:val="right"/>
              <w:rPr>
                <w:szCs w:val="19"/>
              </w:rPr>
            </w:pPr>
            <w:r w:rsidRPr="00437DF0">
              <w:rPr>
                <w:szCs w:val="19"/>
              </w:rPr>
              <w:t xml:space="preserve">1,1 </w:t>
            </w:r>
          </w:p>
        </w:tc>
      </w:tr>
      <w:tr w:rsidR="009304F9" w:rsidRPr="003E7697" w:rsidTr="009304F9">
        <w:trPr>
          <w:trHeight w:val="624"/>
        </w:trPr>
        <w:tc>
          <w:tcPr>
            <w:tcW w:w="1418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304F9" w:rsidRPr="003E7697" w:rsidRDefault="009304F9" w:rsidP="009304F9">
            <w:pPr>
              <w:tabs>
                <w:tab w:val="left" w:pos="108"/>
                <w:tab w:val="left" w:pos="219"/>
                <w:tab w:val="right" w:leader="dot" w:pos="2771"/>
                <w:tab w:val="right" w:leader="dot" w:pos="2807"/>
              </w:tabs>
              <w:spacing w:after="0"/>
              <w:rPr>
                <w:rFonts w:cs="Arial"/>
                <w:b/>
                <w:bCs/>
                <w:szCs w:val="19"/>
              </w:rPr>
            </w:pPr>
            <w:r w:rsidRPr="003E7697">
              <w:rPr>
                <w:rFonts w:cs="Arial"/>
                <w:b/>
                <w:bCs/>
                <w:szCs w:val="19"/>
              </w:rPr>
              <w:t>Obsługa rynku nieruchomości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04F9" w:rsidRPr="003E7697" w:rsidRDefault="009304F9" w:rsidP="009304F9">
            <w:pPr>
              <w:spacing w:before="0" w:after="0" w:line="240" w:lineRule="auto"/>
              <w:jc w:val="right"/>
              <w:rPr>
                <w:color w:val="000000"/>
                <w:szCs w:val="19"/>
              </w:rPr>
            </w:pPr>
            <w:r w:rsidRPr="003E7697">
              <w:rPr>
                <w:color w:val="000000"/>
                <w:szCs w:val="19"/>
              </w:rPr>
              <w:t xml:space="preserve">1 939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04F9" w:rsidRPr="00167627" w:rsidRDefault="009304F9" w:rsidP="009304F9">
            <w:pPr>
              <w:spacing w:before="0" w:after="0" w:line="240" w:lineRule="auto"/>
              <w:jc w:val="right"/>
              <w:rPr>
                <w:color w:val="000000"/>
                <w:szCs w:val="19"/>
              </w:rPr>
            </w:pPr>
            <w:r w:rsidRPr="00167627">
              <w:rPr>
                <w:color w:val="000000"/>
                <w:szCs w:val="19"/>
              </w:rPr>
              <w:t xml:space="preserve">37,7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04F9" w:rsidRPr="005B24D8" w:rsidRDefault="009304F9" w:rsidP="009304F9">
            <w:pPr>
              <w:spacing w:before="0" w:after="0" w:line="240" w:lineRule="auto"/>
              <w:jc w:val="right"/>
              <w:rPr>
                <w:color w:val="000000"/>
                <w:szCs w:val="19"/>
              </w:rPr>
            </w:pPr>
            <w:r w:rsidRPr="005B24D8">
              <w:rPr>
                <w:color w:val="000000"/>
                <w:szCs w:val="19"/>
              </w:rPr>
              <w:t xml:space="preserve">33,5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04F9" w:rsidRPr="0054192C" w:rsidRDefault="009304F9" w:rsidP="009304F9">
            <w:pPr>
              <w:spacing w:before="0" w:after="0" w:line="240" w:lineRule="auto"/>
              <w:jc w:val="right"/>
              <w:rPr>
                <w:color w:val="000000"/>
                <w:szCs w:val="19"/>
              </w:rPr>
            </w:pPr>
            <w:r w:rsidRPr="0054192C">
              <w:rPr>
                <w:color w:val="000000"/>
                <w:szCs w:val="19"/>
              </w:rPr>
              <w:t xml:space="preserve">4,3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04F9" w:rsidRPr="00D042E0" w:rsidRDefault="009304F9" w:rsidP="009304F9">
            <w:pPr>
              <w:spacing w:before="0" w:after="0" w:line="240" w:lineRule="auto"/>
              <w:jc w:val="right"/>
              <w:rPr>
                <w:color w:val="000000"/>
                <w:szCs w:val="19"/>
              </w:rPr>
            </w:pPr>
            <w:r w:rsidRPr="00D042E0">
              <w:rPr>
                <w:color w:val="000000"/>
                <w:szCs w:val="19"/>
              </w:rPr>
              <w:t xml:space="preserve">3,8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04F9" w:rsidRPr="00866F5F" w:rsidRDefault="009304F9" w:rsidP="009304F9">
            <w:pPr>
              <w:spacing w:before="0" w:after="0" w:line="240" w:lineRule="auto"/>
              <w:jc w:val="right"/>
              <w:rPr>
                <w:color w:val="000000"/>
                <w:szCs w:val="19"/>
              </w:rPr>
            </w:pPr>
            <w:r w:rsidRPr="00866F5F">
              <w:rPr>
                <w:color w:val="000000"/>
                <w:szCs w:val="19"/>
              </w:rPr>
              <w:t xml:space="preserve">10,0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04F9" w:rsidRPr="009304F9" w:rsidRDefault="009304F9" w:rsidP="009304F9">
            <w:pPr>
              <w:spacing w:before="0" w:after="0" w:line="240" w:lineRule="auto"/>
              <w:jc w:val="right"/>
              <w:rPr>
                <w:color w:val="000000"/>
                <w:szCs w:val="19"/>
              </w:rPr>
            </w:pPr>
            <w:r w:rsidRPr="009304F9">
              <w:rPr>
                <w:color w:val="000000"/>
                <w:szCs w:val="19"/>
              </w:rPr>
              <w:t xml:space="preserve">4,1 </w:t>
            </w:r>
          </w:p>
        </w:tc>
      </w:tr>
      <w:tr w:rsidR="009304F9" w:rsidRPr="003E7697" w:rsidTr="009304F9">
        <w:trPr>
          <w:trHeight w:val="662"/>
        </w:trPr>
        <w:tc>
          <w:tcPr>
            <w:tcW w:w="1418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304F9" w:rsidRPr="003E7697" w:rsidRDefault="009304F9" w:rsidP="009304F9">
            <w:pPr>
              <w:tabs>
                <w:tab w:val="left" w:pos="108"/>
                <w:tab w:val="left" w:pos="219"/>
                <w:tab w:val="right" w:leader="dot" w:pos="2283"/>
                <w:tab w:val="right" w:leader="dot" w:pos="2771"/>
                <w:tab w:val="right" w:leader="dot" w:pos="2807"/>
              </w:tabs>
              <w:spacing w:after="0"/>
              <w:rPr>
                <w:rFonts w:cs="Arial"/>
                <w:b/>
                <w:bCs/>
                <w:szCs w:val="19"/>
              </w:rPr>
            </w:pPr>
            <w:r w:rsidRPr="003E7697">
              <w:rPr>
                <w:rFonts w:cs="Arial"/>
                <w:b/>
                <w:bCs/>
                <w:szCs w:val="19"/>
              </w:rPr>
              <w:t>Działalność profesjonalna, naukowa i techniczna</w:t>
            </w:r>
            <w:r w:rsidRPr="003E7697">
              <w:rPr>
                <w:rFonts w:cs="Arial"/>
                <w:bCs/>
                <w:szCs w:val="19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04F9" w:rsidRPr="003E7697" w:rsidRDefault="009304F9" w:rsidP="009304F9">
            <w:pPr>
              <w:jc w:val="right"/>
              <w:rPr>
                <w:color w:val="000000"/>
                <w:szCs w:val="19"/>
              </w:rPr>
            </w:pPr>
            <w:r w:rsidRPr="003E7697">
              <w:rPr>
                <w:color w:val="000000"/>
                <w:szCs w:val="19"/>
              </w:rPr>
              <w:t xml:space="preserve">2 642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04F9" w:rsidRPr="00167627" w:rsidRDefault="009304F9" w:rsidP="009304F9">
            <w:pPr>
              <w:jc w:val="right"/>
              <w:rPr>
                <w:color w:val="000000"/>
                <w:szCs w:val="19"/>
              </w:rPr>
            </w:pPr>
            <w:r w:rsidRPr="00167627">
              <w:rPr>
                <w:color w:val="000000"/>
                <w:szCs w:val="19"/>
              </w:rPr>
              <w:t xml:space="preserve">66,6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04F9" w:rsidRPr="005B24D8" w:rsidRDefault="009304F9" w:rsidP="009304F9">
            <w:pPr>
              <w:jc w:val="right"/>
              <w:rPr>
                <w:color w:val="000000"/>
                <w:szCs w:val="19"/>
              </w:rPr>
            </w:pPr>
            <w:r w:rsidRPr="005B24D8">
              <w:rPr>
                <w:color w:val="000000"/>
                <w:szCs w:val="19"/>
              </w:rPr>
              <w:t xml:space="preserve">58,7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04F9" w:rsidRPr="0054192C" w:rsidRDefault="009304F9" w:rsidP="009304F9">
            <w:pPr>
              <w:jc w:val="right"/>
              <w:rPr>
                <w:color w:val="000000"/>
                <w:szCs w:val="19"/>
              </w:rPr>
            </w:pPr>
            <w:r w:rsidRPr="0054192C">
              <w:rPr>
                <w:color w:val="000000"/>
                <w:szCs w:val="19"/>
              </w:rPr>
              <w:t xml:space="preserve">7,9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04F9" w:rsidRPr="00D042E0" w:rsidRDefault="009304F9" w:rsidP="009304F9">
            <w:pPr>
              <w:jc w:val="right"/>
              <w:rPr>
                <w:color w:val="000000"/>
                <w:szCs w:val="19"/>
              </w:rPr>
            </w:pPr>
            <w:r w:rsidRPr="00D042E0">
              <w:rPr>
                <w:color w:val="000000"/>
                <w:szCs w:val="19"/>
              </w:rPr>
              <w:t xml:space="preserve">7,1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04F9" w:rsidRPr="00866F5F" w:rsidRDefault="009304F9" w:rsidP="009304F9">
            <w:pPr>
              <w:jc w:val="right"/>
              <w:rPr>
                <w:color w:val="000000"/>
                <w:szCs w:val="19"/>
              </w:rPr>
            </w:pPr>
            <w:r w:rsidRPr="00866F5F">
              <w:rPr>
                <w:color w:val="000000"/>
                <w:szCs w:val="19"/>
              </w:rPr>
              <w:t xml:space="preserve">10,6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04F9" w:rsidRPr="009304F9" w:rsidRDefault="009304F9" w:rsidP="009304F9">
            <w:pPr>
              <w:jc w:val="right"/>
              <w:rPr>
                <w:color w:val="000000"/>
                <w:szCs w:val="19"/>
              </w:rPr>
            </w:pPr>
            <w:r w:rsidRPr="009304F9">
              <w:rPr>
                <w:color w:val="000000"/>
                <w:szCs w:val="19"/>
              </w:rPr>
              <w:t xml:space="preserve">5,1 </w:t>
            </w:r>
          </w:p>
        </w:tc>
      </w:tr>
      <w:tr w:rsidR="00780D43" w:rsidRPr="00780D43" w:rsidTr="009304F9">
        <w:trPr>
          <w:trHeight w:val="699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304F9" w:rsidRPr="003E7697" w:rsidRDefault="009304F9" w:rsidP="009304F9">
            <w:pPr>
              <w:tabs>
                <w:tab w:val="left" w:pos="108"/>
                <w:tab w:val="left" w:pos="219"/>
                <w:tab w:val="right" w:leader="dot" w:pos="2283"/>
                <w:tab w:val="right" w:leader="dot" w:pos="2771"/>
                <w:tab w:val="right" w:leader="dot" w:pos="2807"/>
              </w:tabs>
              <w:spacing w:after="0"/>
              <w:rPr>
                <w:rFonts w:cs="Arial"/>
                <w:b/>
                <w:bCs/>
                <w:szCs w:val="19"/>
              </w:rPr>
            </w:pPr>
            <w:r w:rsidRPr="003E7697">
              <w:rPr>
                <w:rFonts w:cs="Arial"/>
                <w:b/>
                <w:bCs/>
                <w:szCs w:val="19"/>
              </w:rPr>
              <w:t>Administr</w:t>
            </w:r>
            <w:r w:rsidRPr="003E7697">
              <w:rPr>
                <w:rFonts w:cs="Arial"/>
                <w:b/>
                <w:bCs/>
                <w:szCs w:val="19"/>
              </w:rPr>
              <w:t>o</w:t>
            </w:r>
            <w:r w:rsidRPr="003E7697">
              <w:rPr>
                <w:rFonts w:cs="Arial"/>
                <w:b/>
                <w:bCs/>
                <w:szCs w:val="19"/>
              </w:rPr>
              <w:t>wanie i dzi</w:t>
            </w:r>
            <w:r w:rsidRPr="003E7697">
              <w:rPr>
                <w:rFonts w:cs="Arial"/>
                <w:b/>
                <w:bCs/>
                <w:szCs w:val="19"/>
              </w:rPr>
              <w:t>a</w:t>
            </w:r>
            <w:r w:rsidRPr="003E7697">
              <w:rPr>
                <w:rFonts w:cs="Arial"/>
                <w:b/>
                <w:bCs/>
                <w:szCs w:val="19"/>
              </w:rPr>
              <w:t>łalność wspi</w:t>
            </w:r>
            <w:r w:rsidRPr="003E7697">
              <w:rPr>
                <w:rFonts w:cs="Arial"/>
                <w:b/>
                <w:bCs/>
                <w:szCs w:val="19"/>
              </w:rPr>
              <w:t>e</w:t>
            </w:r>
            <w:r w:rsidRPr="003E7697">
              <w:rPr>
                <w:rFonts w:cs="Arial"/>
                <w:b/>
                <w:bCs/>
                <w:szCs w:val="19"/>
              </w:rPr>
              <w:t>rająca</w:t>
            </w:r>
            <w:r w:rsidRPr="003E7697">
              <w:rPr>
                <w:rFonts w:cs="Arial"/>
                <w:bCs/>
                <w:szCs w:val="19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04F9" w:rsidRPr="003E7697" w:rsidRDefault="009304F9" w:rsidP="009304F9">
            <w:pPr>
              <w:jc w:val="right"/>
              <w:rPr>
                <w:color w:val="000000"/>
                <w:szCs w:val="19"/>
              </w:rPr>
            </w:pPr>
            <w:r w:rsidRPr="003E7697">
              <w:rPr>
                <w:color w:val="000000"/>
                <w:szCs w:val="19"/>
              </w:rPr>
              <w:t xml:space="preserve">2 022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4F9" w:rsidRPr="00167627" w:rsidRDefault="009304F9" w:rsidP="009304F9">
            <w:pPr>
              <w:jc w:val="right"/>
              <w:rPr>
                <w:color w:val="000000"/>
                <w:szCs w:val="19"/>
              </w:rPr>
            </w:pPr>
            <w:r w:rsidRPr="00167627">
              <w:rPr>
                <w:color w:val="000000"/>
                <w:szCs w:val="19"/>
              </w:rPr>
              <w:t xml:space="preserve">59,6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4F9" w:rsidRPr="005B24D8" w:rsidRDefault="009304F9" w:rsidP="009304F9">
            <w:pPr>
              <w:jc w:val="right"/>
              <w:rPr>
                <w:color w:val="000000"/>
                <w:szCs w:val="19"/>
              </w:rPr>
            </w:pPr>
            <w:r w:rsidRPr="005B24D8">
              <w:rPr>
                <w:color w:val="000000"/>
                <w:szCs w:val="19"/>
              </w:rPr>
              <w:t xml:space="preserve">56,9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4F9" w:rsidRPr="0054192C" w:rsidRDefault="009304F9" w:rsidP="009304F9">
            <w:pPr>
              <w:jc w:val="right"/>
              <w:rPr>
                <w:color w:val="000000"/>
                <w:szCs w:val="19"/>
              </w:rPr>
            </w:pPr>
            <w:r w:rsidRPr="0054192C">
              <w:rPr>
                <w:color w:val="000000"/>
                <w:szCs w:val="19"/>
              </w:rPr>
              <w:t xml:space="preserve">2,7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4F9" w:rsidRPr="00D042E0" w:rsidRDefault="009304F9" w:rsidP="009304F9">
            <w:pPr>
              <w:jc w:val="right"/>
              <w:rPr>
                <w:color w:val="000000"/>
                <w:szCs w:val="19"/>
              </w:rPr>
            </w:pPr>
            <w:r w:rsidRPr="00D042E0">
              <w:rPr>
                <w:color w:val="000000"/>
                <w:szCs w:val="19"/>
              </w:rPr>
              <w:t xml:space="preserve">2,2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4F9" w:rsidRPr="00866F5F" w:rsidRDefault="009304F9" w:rsidP="009304F9">
            <w:pPr>
              <w:jc w:val="right"/>
              <w:rPr>
                <w:color w:val="000000"/>
                <w:szCs w:val="19"/>
              </w:rPr>
            </w:pPr>
            <w:r w:rsidRPr="00866F5F">
              <w:rPr>
                <w:color w:val="000000"/>
                <w:szCs w:val="19"/>
              </w:rPr>
              <w:t xml:space="preserve">3,6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4F9" w:rsidRPr="00780D43" w:rsidRDefault="009304F9" w:rsidP="009304F9">
            <w:pPr>
              <w:jc w:val="right"/>
              <w:rPr>
                <w:szCs w:val="19"/>
              </w:rPr>
            </w:pPr>
            <w:r w:rsidRPr="00780D43">
              <w:rPr>
                <w:szCs w:val="19"/>
              </w:rPr>
              <w:t xml:space="preserve">-0,1 </w:t>
            </w:r>
          </w:p>
        </w:tc>
      </w:tr>
      <w:tr w:rsidR="009304F9" w:rsidRPr="003E7697" w:rsidTr="009304F9">
        <w:trPr>
          <w:trHeight w:val="705"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04F9" w:rsidRPr="003E7697" w:rsidRDefault="009304F9" w:rsidP="009304F9">
            <w:pPr>
              <w:tabs>
                <w:tab w:val="left" w:pos="108"/>
                <w:tab w:val="left" w:pos="219"/>
                <w:tab w:val="right" w:leader="dot" w:pos="2771"/>
                <w:tab w:val="right" w:leader="dot" w:pos="2807"/>
              </w:tabs>
              <w:spacing w:after="0"/>
              <w:rPr>
                <w:rFonts w:cs="Arial"/>
                <w:b/>
                <w:bCs/>
                <w:szCs w:val="19"/>
              </w:rPr>
            </w:pPr>
            <w:r w:rsidRPr="003E7697">
              <w:rPr>
                <w:rFonts w:cs="Arial"/>
                <w:b/>
                <w:bCs/>
                <w:szCs w:val="19"/>
              </w:rPr>
              <w:t xml:space="preserve">Pozostała działalność usługowa </w:t>
            </w:r>
            <w:r w:rsidRPr="003E7697">
              <w:rPr>
                <w:rFonts w:cs="Arial"/>
                <w:bCs/>
                <w:szCs w:val="19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4F9" w:rsidRPr="003E7697" w:rsidRDefault="009304F9" w:rsidP="009304F9">
            <w:pPr>
              <w:jc w:val="right"/>
              <w:rPr>
                <w:color w:val="000000"/>
                <w:szCs w:val="19"/>
              </w:rPr>
            </w:pPr>
            <w:r w:rsidRPr="003E7697">
              <w:rPr>
                <w:color w:val="000000"/>
                <w:szCs w:val="19"/>
              </w:rPr>
              <w:t>197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4F9" w:rsidRPr="00167627" w:rsidRDefault="009304F9" w:rsidP="009304F9">
            <w:pPr>
              <w:jc w:val="right"/>
              <w:rPr>
                <w:color w:val="000000"/>
                <w:szCs w:val="19"/>
              </w:rPr>
            </w:pPr>
            <w:r w:rsidRPr="00167627">
              <w:rPr>
                <w:color w:val="000000"/>
                <w:szCs w:val="19"/>
              </w:rPr>
              <w:t xml:space="preserve">4,6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4F9" w:rsidRPr="005B24D8" w:rsidRDefault="009304F9" w:rsidP="009304F9">
            <w:pPr>
              <w:jc w:val="right"/>
              <w:rPr>
                <w:color w:val="000000"/>
                <w:szCs w:val="19"/>
              </w:rPr>
            </w:pPr>
            <w:r w:rsidRPr="005B24D8">
              <w:rPr>
                <w:color w:val="000000"/>
                <w:szCs w:val="19"/>
              </w:rPr>
              <w:t xml:space="preserve">4,3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4F9" w:rsidRPr="0054192C" w:rsidRDefault="009304F9" w:rsidP="009304F9">
            <w:pPr>
              <w:jc w:val="right"/>
              <w:rPr>
                <w:color w:val="000000"/>
                <w:szCs w:val="19"/>
              </w:rPr>
            </w:pPr>
            <w:r w:rsidRPr="0054192C">
              <w:rPr>
                <w:color w:val="000000"/>
                <w:szCs w:val="19"/>
              </w:rPr>
              <w:t xml:space="preserve">0,3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4F9" w:rsidRPr="00D042E0" w:rsidRDefault="009304F9" w:rsidP="009304F9">
            <w:pPr>
              <w:jc w:val="right"/>
              <w:rPr>
                <w:color w:val="000000"/>
                <w:szCs w:val="19"/>
              </w:rPr>
            </w:pPr>
            <w:r w:rsidRPr="00D042E0">
              <w:rPr>
                <w:color w:val="000000"/>
                <w:szCs w:val="19"/>
              </w:rPr>
              <w:t xml:space="preserve">0,2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4F9" w:rsidRPr="00866F5F" w:rsidRDefault="009304F9" w:rsidP="009304F9">
            <w:pPr>
              <w:jc w:val="right"/>
              <w:rPr>
                <w:color w:val="000000"/>
                <w:szCs w:val="19"/>
              </w:rPr>
            </w:pPr>
            <w:r w:rsidRPr="00866F5F">
              <w:rPr>
                <w:color w:val="000000"/>
                <w:szCs w:val="19"/>
              </w:rPr>
              <w:t xml:space="preserve">4,9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4F9" w:rsidRPr="009304F9" w:rsidRDefault="009304F9" w:rsidP="009304F9">
            <w:pPr>
              <w:jc w:val="right"/>
              <w:rPr>
                <w:color w:val="000000"/>
                <w:szCs w:val="19"/>
              </w:rPr>
            </w:pPr>
            <w:r w:rsidRPr="009304F9">
              <w:rPr>
                <w:color w:val="000000"/>
                <w:szCs w:val="19"/>
              </w:rPr>
              <w:t xml:space="preserve">0,3 </w:t>
            </w:r>
          </w:p>
        </w:tc>
      </w:tr>
    </w:tbl>
    <w:p w:rsidR="00A61D56" w:rsidRPr="00A61D56" w:rsidRDefault="00A61D56" w:rsidP="00D77959">
      <w:pPr>
        <w:pStyle w:val="LID"/>
        <w:contextualSpacing/>
        <w:rPr>
          <w:b w:val="0"/>
        </w:rPr>
        <w:sectPr w:rsidR="00A61D56" w:rsidRPr="00A61D56" w:rsidSect="003B18B6">
          <w:headerReference w:type="default" r:id="rId17"/>
          <w:footerReference w:type="default" r:id="rId18"/>
          <w:headerReference w:type="first" r:id="rId19"/>
          <w:footerReference w:type="first" r:id="rId20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0470AA" w:rsidRPr="00A61D56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60"/>
        <w:gridCol w:w="3923"/>
      </w:tblGrid>
      <w:tr w:rsidR="00883763" w:rsidRPr="00976853" w:rsidTr="000D6FDF">
        <w:trPr>
          <w:trHeight w:val="1912"/>
        </w:trPr>
        <w:tc>
          <w:tcPr>
            <w:tcW w:w="4379" w:type="dxa"/>
          </w:tcPr>
          <w:p w:rsidR="00883763" w:rsidRPr="00A61D56" w:rsidRDefault="00883763" w:rsidP="000D6FDF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A61D56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883763" w:rsidRPr="00A61D56" w:rsidRDefault="00883763" w:rsidP="000D6FDF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A61D56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AC5769" w:rsidRPr="00A61D56">
              <w:rPr>
                <w:rFonts w:cs="Arial"/>
                <w:b/>
                <w:color w:val="000000" w:themeColor="text1"/>
                <w:sz w:val="20"/>
              </w:rPr>
              <w:t>Przedsiębiorstw</w:t>
            </w:r>
          </w:p>
          <w:p w:rsidR="00883763" w:rsidRPr="00A61D56" w:rsidRDefault="00FB030B" w:rsidP="000D6FDF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A61D56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Agnieszka Ruszczyńska</w:t>
            </w:r>
          </w:p>
          <w:p w:rsidR="00883763" w:rsidRPr="00A61D56" w:rsidRDefault="00883763" w:rsidP="000D6FDF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A61D56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 w:rsidR="00FB030B" w:rsidRPr="00A61D56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608 33</w:t>
            </w:r>
            <w:r w:rsidR="00320012" w:rsidRPr="00A61D56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FB030B" w:rsidRPr="00A61D56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4</w:t>
            </w:r>
            <w:r w:rsidR="00320012" w:rsidRPr="00A61D56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4</w:t>
            </w:r>
          </w:p>
          <w:p w:rsidR="00883763" w:rsidRPr="00A61D56" w:rsidRDefault="00883763" w:rsidP="000D6FDF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A61D56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 w:rsidRPr="00A61D56">
              <w:rPr>
                <w:rFonts w:ascii="Fira Sans" w:eastAsiaTheme="minorHAnsi" w:hAnsi="Fira Sans" w:cstheme="minorBidi"/>
                <w:color w:val="1F497D"/>
                <w:sz w:val="18"/>
                <w:szCs w:val="18"/>
                <w:lang w:val="en-US"/>
              </w:rPr>
              <w:t xml:space="preserve"> </w:t>
            </w:r>
            <w:hyperlink r:id="rId21" w:history="1">
              <w:r w:rsidR="00FB030B" w:rsidRPr="00A61D56">
                <w:rPr>
                  <w:rStyle w:val="Hipercze"/>
                  <w:rFonts w:ascii="Fira Sans" w:hAnsi="Fira Sans" w:cs="Arial"/>
                  <w:b/>
                  <w:sz w:val="20"/>
                  <w:szCs w:val="20"/>
                  <w:lang w:val="en-US"/>
                </w:rPr>
                <w:t>a.ruszczynska@stat.gov.pl</w:t>
              </w:r>
            </w:hyperlink>
          </w:p>
        </w:tc>
        <w:tc>
          <w:tcPr>
            <w:tcW w:w="3942" w:type="dxa"/>
          </w:tcPr>
          <w:p w:rsidR="00883763" w:rsidRPr="00A61D56" w:rsidRDefault="00883763" w:rsidP="000D6FDF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A61D56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A61D56">
              <w:rPr>
                <w:rFonts w:cs="Arial"/>
                <w:color w:val="000000" w:themeColor="text1"/>
                <w:sz w:val="20"/>
              </w:rPr>
              <w:br/>
            </w:r>
            <w:r w:rsidRPr="00A61D56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A61D56" w:rsidRDefault="00883763" w:rsidP="000D6FDF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A61D56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883763" w:rsidRPr="00A61D56" w:rsidRDefault="00883763" w:rsidP="000D6FDF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A61D56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 75, 22 608 30 09</w:t>
            </w:r>
          </w:p>
          <w:p w:rsidR="00883763" w:rsidRPr="00A61D56" w:rsidRDefault="00883763" w:rsidP="000D6FDF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A61D56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2" w:history="1">
              <w:r w:rsidRPr="00A61D56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A61D56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A61D56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A61D56" w:rsidRDefault="000470AA" w:rsidP="000470AA">
            <w:pPr>
              <w:rPr>
                <w:b/>
                <w:sz w:val="20"/>
              </w:rPr>
            </w:pPr>
            <w:r w:rsidRPr="00A61D56">
              <w:rPr>
                <w:b/>
                <w:sz w:val="20"/>
              </w:rPr>
              <w:t xml:space="preserve">Wydział Współpracy z Mediami </w:t>
            </w:r>
          </w:p>
          <w:p w:rsidR="000470AA" w:rsidRPr="00A61D56" w:rsidRDefault="000470AA" w:rsidP="000470AA">
            <w:pPr>
              <w:rPr>
                <w:sz w:val="20"/>
              </w:rPr>
            </w:pPr>
            <w:r w:rsidRPr="00A61D56">
              <w:rPr>
                <w:b/>
                <w:sz w:val="20"/>
              </w:rPr>
              <w:t xml:space="preserve">tel.: </w:t>
            </w:r>
            <w:r w:rsidR="00097840" w:rsidRPr="00A61D56">
              <w:rPr>
                <w:sz w:val="20"/>
              </w:rPr>
              <w:t>22 608 34 91, 22</w:t>
            </w:r>
            <w:r w:rsidRPr="00A61D56">
              <w:rPr>
                <w:sz w:val="20"/>
              </w:rPr>
              <w:t xml:space="preserve"> 608 38 04 </w:t>
            </w:r>
          </w:p>
          <w:p w:rsidR="000470AA" w:rsidRPr="00A61D56" w:rsidRDefault="000470AA" w:rsidP="000470AA">
            <w:pPr>
              <w:rPr>
                <w:sz w:val="20"/>
                <w:lang w:val="en-US"/>
              </w:rPr>
            </w:pPr>
            <w:r w:rsidRPr="00A61D56">
              <w:rPr>
                <w:b/>
                <w:sz w:val="20"/>
                <w:lang w:val="en-US"/>
              </w:rPr>
              <w:t>faks:</w:t>
            </w:r>
            <w:r w:rsidR="00097840" w:rsidRPr="00A61D56">
              <w:rPr>
                <w:sz w:val="20"/>
                <w:lang w:val="en-US"/>
              </w:rPr>
              <w:t xml:space="preserve"> 22</w:t>
            </w:r>
            <w:r w:rsidRPr="00A61D56">
              <w:rPr>
                <w:sz w:val="20"/>
                <w:lang w:val="en-US"/>
              </w:rPr>
              <w:t xml:space="preserve"> 608 38 86 </w:t>
            </w:r>
          </w:p>
          <w:p w:rsidR="000470AA" w:rsidRPr="00A61D56" w:rsidRDefault="000470AA" w:rsidP="000470AA">
            <w:pPr>
              <w:rPr>
                <w:sz w:val="18"/>
                <w:lang w:val="en-US"/>
              </w:rPr>
            </w:pPr>
            <w:r w:rsidRPr="00A61D56">
              <w:rPr>
                <w:b/>
                <w:sz w:val="20"/>
                <w:lang w:val="en-US"/>
              </w:rPr>
              <w:t>e-mail:</w:t>
            </w:r>
            <w:r w:rsidRPr="00A61D56">
              <w:rPr>
                <w:sz w:val="20"/>
                <w:lang w:val="en-US"/>
              </w:rPr>
              <w:t xml:space="preserve"> </w:t>
            </w:r>
            <w:hyperlink r:id="rId23" w:history="1">
              <w:r w:rsidRPr="00A61D56">
                <w:rPr>
                  <w:rStyle w:val="Hipercze"/>
                  <w:rFonts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A61D56" w:rsidRDefault="000470AA" w:rsidP="000470AA">
            <w:pPr>
              <w:rPr>
                <w:sz w:val="18"/>
                <w:lang w:val="en-US"/>
              </w:rPr>
            </w:pPr>
            <w:r w:rsidRPr="00A61D56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A61D56" w:rsidRDefault="000470AA" w:rsidP="000470AA">
            <w:pPr>
              <w:rPr>
                <w:sz w:val="18"/>
              </w:rPr>
            </w:pPr>
            <w:r w:rsidRPr="00A61D56">
              <w:rPr>
                <w:sz w:val="20"/>
              </w:rPr>
              <w:t>www.stat.gov.pl</w:t>
            </w:r>
          </w:p>
        </w:tc>
      </w:tr>
      <w:tr w:rsidR="000470AA" w:rsidRPr="00A61D56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A61D56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A61D56" w:rsidRDefault="000470AA" w:rsidP="000470AA">
            <w:pPr>
              <w:rPr>
                <w:sz w:val="18"/>
              </w:rPr>
            </w:pPr>
            <w:r w:rsidRPr="00A61D56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A61D56" w:rsidRDefault="000470AA" w:rsidP="000470AA">
            <w:pPr>
              <w:rPr>
                <w:sz w:val="18"/>
              </w:rPr>
            </w:pPr>
            <w:r w:rsidRPr="00A61D56">
              <w:rPr>
                <w:sz w:val="20"/>
              </w:rPr>
              <w:t>@GUS_STAT</w:t>
            </w:r>
          </w:p>
        </w:tc>
      </w:tr>
      <w:tr w:rsidR="000470AA" w:rsidRPr="00A61D56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A61D56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A61D56" w:rsidRDefault="000470AA" w:rsidP="000470AA">
            <w:pPr>
              <w:rPr>
                <w:sz w:val="18"/>
              </w:rPr>
            </w:pPr>
            <w:r w:rsidRPr="00A61D56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A61D56" w:rsidRDefault="000470AA" w:rsidP="000470AA">
            <w:pPr>
              <w:rPr>
                <w:sz w:val="20"/>
              </w:rPr>
            </w:pPr>
            <w:r w:rsidRPr="00A61D56">
              <w:rPr>
                <w:sz w:val="20"/>
              </w:rPr>
              <w:t>@GlownyUrzadStatystyczny</w:t>
            </w:r>
          </w:p>
        </w:tc>
      </w:tr>
    </w:tbl>
    <w:bookmarkStart w:id="0" w:name="_GoBack"/>
    <w:bookmarkEnd w:id="0"/>
    <w:p w:rsidR="00D261A2" w:rsidRPr="00A61D56" w:rsidRDefault="00F61E03" w:rsidP="00E76D26">
      <w:pPr>
        <w:rPr>
          <w:sz w:val="18"/>
        </w:rPr>
      </w:pPr>
      <w:r w:rsidRPr="00A61D56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margin">
                  <wp:posOffset>17780</wp:posOffset>
                </wp:positionH>
                <wp:positionV relativeFrom="paragraph">
                  <wp:posOffset>443865</wp:posOffset>
                </wp:positionV>
                <wp:extent cx="6559550" cy="4052570"/>
                <wp:effectExtent l="0" t="0" r="12700" b="2413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0525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D56" w:rsidRPr="002E2C2D" w:rsidRDefault="00A61D56" w:rsidP="00883763">
                            <w:pPr>
                              <w:rPr>
                                <w:rStyle w:val="Hipercze"/>
                                <w:rFonts w:cstheme="minorBidi"/>
                                <w:b/>
                                <w:color w:val="auto"/>
                                <w:u w:val="none"/>
                              </w:rPr>
                            </w:pPr>
                            <w:r w:rsidRPr="006761A7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A61D56" w:rsidRPr="00973F85" w:rsidRDefault="00A96FFC" w:rsidP="0090773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A61D56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Zeszyt metodologiczny. Badania przedsiębiorstw niefinansowych</w:t>
                              </w:r>
                            </w:hyperlink>
                          </w:p>
                          <w:p w:rsidR="00A61D56" w:rsidRPr="00E233EA" w:rsidRDefault="00A61D56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A61D56" w:rsidRDefault="00A61D56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A61D56" w:rsidRDefault="00A96FFC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A61D56" w:rsidRPr="00E9780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Aktywa</w:t>
                              </w:r>
                            </w:hyperlink>
                          </w:p>
                          <w:p w:rsidR="00A61D56" w:rsidRDefault="00A96FFC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A61D56" w:rsidRPr="00E9780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Aktywa obrotowe</w:t>
                              </w:r>
                            </w:hyperlink>
                          </w:p>
                          <w:p w:rsidR="00A61D56" w:rsidRDefault="00A96FFC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A61D56" w:rsidRPr="00E9780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Aktywa trwałe</w:t>
                              </w:r>
                            </w:hyperlink>
                          </w:p>
                          <w:p w:rsidR="00A61D56" w:rsidRPr="00896CBD" w:rsidRDefault="00A96FFC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A61D56" w:rsidRPr="00E9780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Pasywa</w:t>
                              </w:r>
                            </w:hyperlink>
                          </w:p>
                          <w:p w:rsidR="00A61D56" w:rsidRPr="00E97801" w:rsidRDefault="00A96FFC" w:rsidP="00B1093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A61D56" w:rsidRPr="00E9780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Przychody ogółem</w:t>
                              </w:r>
                            </w:hyperlink>
                          </w:p>
                          <w:p w:rsidR="00A61D56" w:rsidRDefault="00A96FFC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A61D56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Koszty ogółem</w:t>
                              </w:r>
                            </w:hyperlink>
                          </w:p>
                          <w:p w:rsidR="00A61D56" w:rsidRDefault="00A96FFC" w:rsidP="00C10E7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A61D56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 finansowy brutto</w:t>
                              </w:r>
                            </w:hyperlink>
                          </w:p>
                          <w:p w:rsidR="00A61D56" w:rsidRDefault="00A96FFC" w:rsidP="00536EB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A61D56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 finansowy netto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margin-left:1.4pt;margin-top:34.95pt;width:516.5pt;height:319.1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" fillcolor="#f2f2f2 [3052]" strokecolor="white [3212]">
                <v:textbox>
                  <w:txbxContent>
                    <w:p w:rsidR="00A61D56" w:rsidRPr="002E2C2D" w:rsidRDefault="00A61D56" w:rsidP="00883763">
                      <w:pPr>
                        <w:rPr>
                          <w:rStyle w:val="Hipercze"/>
                          <w:rFonts w:cstheme="minorBidi"/>
                          <w:b/>
                          <w:color w:val="auto"/>
                          <w:u w:val="none"/>
                        </w:rPr>
                      </w:pPr>
                      <w:r w:rsidRPr="006761A7">
                        <w:rPr>
                          <w:b/>
                        </w:rPr>
                        <w:t>Powiązane opracowania</w:t>
                      </w:r>
                    </w:p>
                    <w:p w:rsidR="00A61D56" w:rsidRPr="00973F85" w:rsidRDefault="00A61D56" w:rsidP="0090773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Zeszyt metodologiczny. Badania przedsiębiorstw niefinansowych</w:t>
                        </w:r>
                      </w:hyperlink>
                    </w:p>
                    <w:p w:rsidR="00A61D56" w:rsidRPr="00E233EA" w:rsidRDefault="00A61D56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A61D56" w:rsidRDefault="00A61D56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A61D56" w:rsidRDefault="00A61D56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Pr="00E9780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Aktywa</w:t>
                        </w:r>
                      </w:hyperlink>
                    </w:p>
                    <w:p w:rsidR="00A61D56" w:rsidRDefault="00A61D56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Pr="00E9780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Aktywa obrotowe</w:t>
                        </w:r>
                      </w:hyperlink>
                    </w:p>
                    <w:p w:rsidR="00A61D56" w:rsidRDefault="00A61D56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Pr="00E9780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Aktywa trwałe</w:t>
                        </w:r>
                      </w:hyperlink>
                    </w:p>
                    <w:p w:rsidR="00A61D56" w:rsidRPr="00896CBD" w:rsidRDefault="00A61D56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Pr="00E9780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Pasywa</w:t>
                        </w:r>
                      </w:hyperlink>
                    </w:p>
                    <w:p w:rsidR="00A61D56" w:rsidRPr="00E97801" w:rsidRDefault="00A61D56" w:rsidP="00B1093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Pr="00E9780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Przychody ogółem</w:t>
                        </w:r>
                      </w:hyperlink>
                    </w:p>
                    <w:p w:rsidR="00A61D56" w:rsidRDefault="00A61D56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Koszty ogółem</w:t>
                        </w:r>
                      </w:hyperlink>
                    </w:p>
                    <w:p w:rsidR="00A61D56" w:rsidRDefault="00A61D56" w:rsidP="00C10E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 finansowy brutto</w:t>
                        </w:r>
                      </w:hyperlink>
                    </w:p>
                    <w:p w:rsidR="00A61D56" w:rsidRDefault="00A61D56" w:rsidP="00536EB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4" w:history="1">
                        <w:r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 finansowy netto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A61D56" w:rsidSect="00685123">
      <w:headerReference w:type="default" r:id="rId45"/>
      <w:footerReference w:type="default" r:id="rId46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FFC" w:rsidRDefault="00A96FFC" w:rsidP="000662E2">
      <w:pPr>
        <w:spacing w:after="0" w:line="240" w:lineRule="auto"/>
      </w:pPr>
      <w:r>
        <w:separator/>
      </w:r>
    </w:p>
  </w:endnote>
  <w:endnote w:type="continuationSeparator" w:id="0">
    <w:p w:rsidR="00A96FFC" w:rsidRDefault="00A96FFC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5998673"/>
      <w:docPartObj>
        <w:docPartGallery w:val="Page Numbers (Bottom of Page)"/>
        <w:docPartUnique/>
      </w:docPartObj>
    </w:sdtPr>
    <w:sdtEndPr/>
    <w:sdtContent>
      <w:p w:rsidR="00A61D56" w:rsidRDefault="00A61D56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8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919299"/>
      <w:docPartObj>
        <w:docPartGallery w:val="Page Numbers (Bottom of Page)"/>
        <w:docPartUnique/>
      </w:docPartObj>
    </w:sdtPr>
    <w:sdtEndPr/>
    <w:sdtContent>
      <w:p w:rsidR="00A61D56" w:rsidRDefault="00A61D56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8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636839"/>
      <w:docPartObj>
        <w:docPartGallery w:val="Page Numbers (Bottom of Page)"/>
        <w:docPartUnique/>
      </w:docPartObj>
    </w:sdtPr>
    <w:sdtEndPr/>
    <w:sdtContent>
      <w:p w:rsidR="00A61D56" w:rsidRDefault="00A61D56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85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FFC" w:rsidRDefault="00A96FFC" w:rsidP="000662E2">
      <w:pPr>
        <w:spacing w:after="0" w:line="240" w:lineRule="auto"/>
      </w:pPr>
      <w:r>
        <w:separator/>
      </w:r>
    </w:p>
  </w:footnote>
  <w:footnote w:type="continuationSeparator" w:id="0">
    <w:p w:rsidR="00A96FFC" w:rsidRDefault="00A96FFC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56" w:rsidRDefault="00A61D5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A20CB04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A61D56" w:rsidRDefault="00A61D5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56" w:rsidRDefault="00A61D56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61D56" w:rsidRPr="003C6C8D" w:rsidRDefault="00A61D56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Schemat blokowy: opóźnienie 6" o:spid="_x0000_s1029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A61D56" w:rsidRPr="003C6C8D" w:rsidRDefault="00A61D56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8114123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  <w:r w:rsidRPr="00B70D87">
      <w:rPr>
        <w:noProof/>
        <w:lang w:eastAsia="pl-PL"/>
      </w:rPr>
      <w:drawing>
        <wp:inline distT="0" distB="0" distL="0" distR="0" wp14:anchorId="47F6BD34" wp14:editId="5FC54D94">
          <wp:extent cx="2286000" cy="742950"/>
          <wp:effectExtent l="0" t="0" r="0" b="0"/>
          <wp:docPr id="4" name="Obraz 4" descr="as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s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1D56" w:rsidRDefault="00A61D56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1D56" w:rsidRPr="00C97596" w:rsidRDefault="00A61D56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26.1</w:t>
                          </w:r>
                          <w:r w:rsidRPr="001B1530">
                            <w:rPr>
                              <w:rFonts w:ascii="Fira Sans SemiBold" w:hAnsi="Fira Sans SemiBold"/>
                              <w:color w:val="001D77"/>
                            </w:rPr>
                            <w:t>0.2018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A61D56" w:rsidRPr="00C97596" w:rsidRDefault="00A61D56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26.1</w:t>
                    </w:r>
                    <w:r w:rsidRPr="001B1530">
                      <w:rPr>
                        <w:rFonts w:ascii="Fira Sans SemiBold" w:hAnsi="Fira Sans SemiBold"/>
                        <w:color w:val="001D77"/>
                      </w:rPr>
                      <w:t>0.2018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56" w:rsidRDefault="00A61D56">
    <w:pPr>
      <w:pStyle w:val="Nagwek"/>
    </w:pPr>
  </w:p>
  <w:p w:rsidR="00A61D56" w:rsidRDefault="00A61D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pt;height:125.25pt;visibility:visible;mso-wrap-style:square" o:bullet="t">
        <v:imagedata r:id="rId1" o:title=""/>
      </v:shape>
    </w:pict>
  </w:numPicBullet>
  <w:numPicBullet w:numPicBulletId="1">
    <w:pict>
      <v:shape id="_x0000_i1029" type="#_x0000_t75" style="width:123.75pt;height:125.25pt;visibility:visible;mso-wrap-style:squar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F244CFF"/>
    <w:multiLevelType w:val="hybridMultilevel"/>
    <w:tmpl w:val="68D2B1E8"/>
    <w:lvl w:ilvl="0" w:tplc="C1E02498">
      <w:start w:val="1"/>
      <w:numFmt w:val="decimal"/>
      <w:lvlText w:val="%1)"/>
      <w:lvlJc w:val="left"/>
      <w:pPr>
        <w:ind w:left="720" w:hanging="360"/>
      </w:pPr>
      <w:rPr>
        <w:caps w:val="0"/>
        <w:strike w:val="0"/>
        <w:dstrike w:val="0"/>
        <w:vanish w:val="0"/>
        <w:webHidden w:val="0"/>
        <w:u w:val="none"/>
        <w:effect w:val="none"/>
        <w:vertAlign w:val="superscript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7"/>
    <w:rsid w:val="00001C5B"/>
    <w:rsid w:val="00002EBA"/>
    <w:rsid w:val="00003437"/>
    <w:rsid w:val="00006CEF"/>
    <w:rsid w:val="0000709F"/>
    <w:rsid w:val="000108B8"/>
    <w:rsid w:val="000146F1"/>
    <w:rsid w:val="000152F5"/>
    <w:rsid w:val="00023A86"/>
    <w:rsid w:val="000278B4"/>
    <w:rsid w:val="00031DF4"/>
    <w:rsid w:val="0003316A"/>
    <w:rsid w:val="0004582E"/>
    <w:rsid w:val="000470AA"/>
    <w:rsid w:val="00057CA1"/>
    <w:rsid w:val="00065AE3"/>
    <w:rsid w:val="000662E2"/>
    <w:rsid w:val="00066883"/>
    <w:rsid w:val="0007092A"/>
    <w:rsid w:val="0007322E"/>
    <w:rsid w:val="00074DD8"/>
    <w:rsid w:val="000802BD"/>
    <w:rsid w:val="000806F7"/>
    <w:rsid w:val="000930E0"/>
    <w:rsid w:val="000935F0"/>
    <w:rsid w:val="00097840"/>
    <w:rsid w:val="00097FB8"/>
    <w:rsid w:val="000A24A6"/>
    <w:rsid w:val="000A5CB8"/>
    <w:rsid w:val="000B0727"/>
    <w:rsid w:val="000C135D"/>
    <w:rsid w:val="000C68DA"/>
    <w:rsid w:val="000D15CB"/>
    <w:rsid w:val="000D1D43"/>
    <w:rsid w:val="000D225C"/>
    <w:rsid w:val="000D2A5C"/>
    <w:rsid w:val="000D2ED1"/>
    <w:rsid w:val="000D47F1"/>
    <w:rsid w:val="000D5863"/>
    <w:rsid w:val="000D6FDF"/>
    <w:rsid w:val="000E0918"/>
    <w:rsid w:val="000F3664"/>
    <w:rsid w:val="000F3A38"/>
    <w:rsid w:val="00100F09"/>
    <w:rsid w:val="001011C3"/>
    <w:rsid w:val="0010258D"/>
    <w:rsid w:val="00102C1E"/>
    <w:rsid w:val="0010357D"/>
    <w:rsid w:val="00110D87"/>
    <w:rsid w:val="0011310F"/>
    <w:rsid w:val="00114DB9"/>
    <w:rsid w:val="00116087"/>
    <w:rsid w:val="0011613E"/>
    <w:rsid w:val="00126922"/>
    <w:rsid w:val="00130296"/>
    <w:rsid w:val="001346B5"/>
    <w:rsid w:val="00136D6A"/>
    <w:rsid w:val="00137465"/>
    <w:rsid w:val="001423B6"/>
    <w:rsid w:val="001424DC"/>
    <w:rsid w:val="001448A7"/>
    <w:rsid w:val="001448E9"/>
    <w:rsid w:val="00146621"/>
    <w:rsid w:val="001555B9"/>
    <w:rsid w:val="00162325"/>
    <w:rsid w:val="00167627"/>
    <w:rsid w:val="00167B95"/>
    <w:rsid w:val="00172EEB"/>
    <w:rsid w:val="00173F3C"/>
    <w:rsid w:val="001807FB"/>
    <w:rsid w:val="00181965"/>
    <w:rsid w:val="0018741F"/>
    <w:rsid w:val="001951DA"/>
    <w:rsid w:val="00195B9C"/>
    <w:rsid w:val="001A2318"/>
    <w:rsid w:val="001B1530"/>
    <w:rsid w:val="001B3D79"/>
    <w:rsid w:val="001B3E8C"/>
    <w:rsid w:val="001C0B72"/>
    <w:rsid w:val="001C1398"/>
    <w:rsid w:val="001C3269"/>
    <w:rsid w:val="001C7304"/>
    <w:rsid w:val="001D1DB4"/>
    <w:rsid w:val="001E7EB6"/>
    <w:rsid w:val="00200453"/>
    <w:rsid w:val="002025D7"/>
    <w:rsid w:val="00220EDD"/>
    <w:rsid w:val="00222776"/>
    <w:rsid w:val="00225FB2"/>
    <w:rsid w:val="0024084C"/>
    <w:rsid w:val="00252BE5"/>
    <w:rsid w:val="002574F9"/>
    <w:rsid w:val="00261CD0"/>
    <w:rsid w:val="00262426"/>
    <w:rsid w:val="00262B61"/>
    <w:rsid w:val="0026500E"/>
    <w:rsid w:val="00266BFB"/>
    <w:rsid w:val="002717B9"/>
    <w:rsid w:val="00271D9F"/>
    <w:rsid w:val="00274F97"/>
    <w:rsid w:val="00276811"/>
    <w:rsid w:val="00282699"/>
    <w:rsid w:val="00290E0E"/>
    <w:rsid w:val="002926DF"/>
    <w:rsid w:val="00296697"/>
    <w:rsid w:val="002A22E9"/>
    <w:rsid w:val="002A2B09"/>
    <w:rsid w:val="002A2D0D"/>
    <w:rsid w:val="002A30E2"/>
    <w:rsid w:val="002B0472"/>
    <w:rsid w:val="002B3CF8"/>
    <w:rsid w:val="002B6B12"/>
    <w:rsid w:val="002B6CDC"/>
    <w:rsid w:val="002C350F"/>
    <w:rsid w:val="002E1777"/>
    <w:rsid w:val="002E2C2D"/>
    <w:rsid w:val="002E3799"/>
    <w:rsid w:val="002E4199"/>
    <w:rsid w:val="002E6140"/>
    <w:rsid w:val="002E6985"/>
    <w:rsid w:val="002E71B6"/>
    <w:rsid w:val="002F0B65"/>
    <w:rsid w:val="002F4342"/>
    <w:rsid w:val="002F716B"/>
    <w:rsid w:val="002F77C8"/>
    <w:rsid w:val="00304F22"/>
    <w:rsid w:val="00306C7C"/>
    <w:rsid w:val="00320012"/>
    <w:rsid w:val="00322EDD"/>
    <w:rsid w:val="00331000"/>
    <w:rsid w:val="00332320"/>
    <w:rsid w:val="00340588"/>
    <w:rsid w:val="00340B82"/>
    <w:rsid w:val="003414CD"/>
    <w:rsid w:val="00347D72"/>
    <w:rsid w:val="003529CC"/>
    <w:rsid w:val="00356CBD"/>
    <w:rsid w:val="00357611"/>
    <w:rsid w:val="00361A30"/>
    <w:rsid w:val="00362A59"/>
    <w:rsid w:val="00367237"/>
    <w:rsid w:val="0037077F"/>
    <w:rsid w:val="00372411"/>
    <w:rsid w:val="003728D9"/>
    <w:rsid w:val="00373882"/>
    <w:rsid w:val="0037499A"/>
    <w:rsid w:val="00382033"/>
    <w:rsid w:val="00383825"/>
    <w:rsid w:val="00383CD2"/>
    <w:rsid w:val="003843DB"/>
    <w:rsid w:val="003850D4"/>
    <w:rsid w:val="00390358"/>
    <w:rsid w:val="00393761"/>
    <w:rsid w:val="00397D18"/>
    <w:rsid w:val="003A1B36"/>
    <w:rsid w:val="003A3BF1"/>
    <w:rsid w:val="003B1454"/>
    <w:rsid w:val="003B18B6"/>
    <w:rsid w:val="003B5837"/>
    <w:rsid w:val="003C2B76"/>
    <w:rsid w:val="003C4454"/>
    <w:rsid w:val="003C59E0"/>
    <w:rsid w:val="003C62FC"/>
    <w:rsid w:val="003C6C8D"/>
    <w:rsid w:val="003D00F9"/>
    <w:rsid w:val="003D4F95"/>
    <w:rsid w:val="003D5F42"/>
    <w:rsid w:val="003D60A9"/>
    <w:rsid w:val="003E1091"/>
    <w:rsid w:val="003E14CE"/>
    <w:rsid w:val="003E1F4F"/>
    <w:rsid w:val="003E28E7"/>
    <w:rsid w:val="003E7697"/>
    <w:rsid w:val="003F01DA"/>
    <w:rsid w:val="003F42D2"/>
    <w:rsid w:val="003F4C97"/>
    <w:rsid w:val="003F6D22"/>
    <w:rsid w:val="003F7FE6"/>
    <w:rsid w:val="00400193"/>
    <w:rsid w:val="00400DE9"/>
    <w:rsid w:val="00401628"/>
    <w:rsid w:val="004019A9"/>
    <w:rsid w:val="00407DAB"/>
    <w:rsid w:val="004212E7"/>
    <w:rsid w:val="0042446D"/>
    <w:rsid w:val="00426175"/>
    <w:rsid w:val="00427BE3"/>
    <w:rsid w:val="00427BF8"/>
    <w:rsid w:val="00431C02"/>
    <w:rsid w:val="00437395"/>
    <w:rsid w:val="00437DF0"/>
    <w:rsid w:val="00441079"/>
    <w:rsid w:val="00445047"/>
    <w:rsid w:val="00452BA8"/>
    <w:rsid w:val="004550AD"/>
    <w:rsid w:val="00456040"/>
    <w:rsid w:val="00463E39"/>
    <w:rsid w:val="004657FC"/>
    <w:rsid w:val="00467126"/>
    <w:rsid w:val="004733F6"/>
    <w:rsid w:val="00474E69"/>
    <w:rsid w:val="004807FD"/>
    <w:rsid w:val="004821E8"/>
    <w:rsid w:val="00482BEF"/>
    <w:rsid w:val="0048480D"/>
    <w:rsid w:val="00486A49"/>
    <w:rsid w:val="004929AF"/>
    <w:rsid w:val="00493DED"/>
    <w:rsid w:val="0049621B"/>
    <w:rsid w:val="004A0C5A"/>
    <w:rsid w:val="004A134B"/>
    <w:rsid w:val="004A61E0"/>
    <w:rsid w:val="004A63F9"/>
    <w:rsid w:val="004B2DC4"/>
    <w:rsid w:val="004C1895"/>
    <w:rsid w:val="004C62D7"/>
    <w:rsid w:val="004C6C14"/>
    <w:rsid w:val="004C6D40"/>
    <w:rsid w:val="004D59EF"/>
    <w:rsid w:val="004D6DE5"/>
    <w:rsid w:val="004E5D28"/>
    <w:rsid w:val="004F0C3C"/>
    <w:rsid w:val="004F0DEC"/>
    <w:rsid w:val="004F1447"/>
    <w:rsid w:val="004F1848"/>
    <w:rsid w:val="004F2739"/>
    <w:rsid w:val="004F63FC"/>
    <w:rsid w:val="004F6ABA"/>
    <w:rsid w:val="00505A92"/>
    <w:rsid w:val="00506D17"/>
    <w:rsid w:val="00512E3D"/>
    <w:rsid w:val="0051323E"/>
    <w:rsid w:val="0051623E"/>
    <w:rsid w:val="005203F1"/>
    <w:rsid w:val="00521BC3"/>
    <w:rsid w:val="00523DBD"/>
    <w:rsid w:val="00526B1A"/>
    <w:rsid w:val="00533632"/>
    <w:rsid w:val="0053546F"/>
    <w:rsid w:val="00536EB9"/>
    <w:rsid w:val="0054192C"/>
    <w:rsid w:val="00541E6E"/>
    <w:rsid w:val="0054251F"/>
    <w:rsid w:val="00545FBF"/>
    <w:rsid w:val="0054726F"/>
    <w:rsid w:val="005517F0"/>
    <w:rsid w:val="005520D8"/>
    <w:rsid w:val="005544CF"/>
    <w:rsid w:val="00555B80"/>
    <w:rsid w:val="00556CF1"/>
    <w:rsid w:val="00557272"/>
    <w:rsid w:val="00564CC9"/>
    <w:rsid w:val="005762A7"/>
    <w:rsid w:val="005768EA"/>
    <w:rsid w:val="00580D33"/>
    <w:rsid w:val="00581E41"/>
    <w:rsid w:val="00583934"/>
    <w:rsid w:val="0058457C"/>
    <w:rsid w:val="005863DC"/>
    <w:rsid w:val="00587BFF"/>
    <w:rsid w:val="00590BDB"/>
    <w:rsid w:val="005916D7"/>
    <w:rsid w:val="0059193C"/>
    <w:rsid w:val="005922DC"/>
    <w:rsid w:val="00597E9C"/>
    <w:rsid w:val="005A1009"/>
    <w:rsid w:val="005A10DC"/>
    <w:rsid w:val="005A118B"/>
    <w:rsid w:val="005A2748"/>
    <w:rsid w:val="005A698C"/>
    <w:rsid w:val="005B24D8"/>
    <w:rsid w:val="005B66B3"/>
    <w:rsid w:val="005B70BD"/>
    <w:rsid w:val="005C6676"/>
    <w:rsid w:val="005D4131"/>
    <w:rsid w:val="005D5ED9"/>
    <w:rsid w:val="005E0799"/>
    <w:rsid w:val="005E41E4"/>
    <w:rsid w:val="005E4242"/>
    <w:rsid w:val="005E4C55"/>
    <w:rsid w:val="005F26B3"/>
    <w:rsid w:val="005F4C88"/>
    <w:rsid w:val="005F5A80"/>
    <w:rsid w:val="005F7AA5"/>
    <w:rsid w:val="00600D06"/>
    <w:rsid w:val="006024DF"/>
    <w:rsid w:val="00602720"/>
    <w:rsid w:val="0060360B"/>
    <w:rsid w:val="006044FF"/>
    <w:rsid w:val="00606721"/>
    <w:rsid w:val="00607CC5"/>
    <w:rsid w:val="00620EF5"/>
    <w:rsid w:val="0062217D"/>
    <w:rsid w:val="00624EE8"/>
    <w:rsid w:val="0062794F"/>
    <w:rsid w:val="00633014"/>
    <w:rsid w:val="00633A7B"/>
    <w:rsid w:val="0063437B"/>
    <w:rsid w:val="006361E6"/>
    <w:rsid w:val="00637290"/>
    <w:rsid w:val="006505C7"/>
    <w:rsid w:val="006507BF"/>
    <w:rsid w:val="00656CF9"/>
    <w:rsid w:val="00657E7C"/>
    <w:rsid w:val="006600DE"/>
    <w:rsid w:val="00662FDA"/>
    <w:rsid w:val="006673CA"/>
    <w:rsid w:val="00670263"/>
    <w:rsid w:val="00671D35"/>
    <w:rsid w:val="00673C26"/>
    <w:rsid w:val="00675356"/>
    <w:rsid w:val="006812AF"/>
    <w:rsid w:val="0068327D"/>
    <w:rsid w:val="00685123"/>
    <w:rsid w:val="0069050A"/>
    <w:rsid w:val="00693CA2"/>
    <w:rsid w:val="00694AF0"/>
    <w:rsid w:val="00694CF9"/>
    <w:rsid w:val="00695BD3"/>
    <w:rsid w:val="00695E78"/>
    <w:rsid w:val="006A02B6"/>
    <w:rsid w:val="006A097D"/>
    <w:rsid w:val="006A4389"/>
    <w:rsid w:val="006A4686"/>
    <w:rsid w:val="006B0E9E"/>
    <w:rsid w:val="006B1315"/>
    <w:rsid w:val="006B5AE4"/>
    <w:rsid w:val="006B74C7"/>
    <w:rsid w:val="006C1730"/>
    <w:rsid w:val="006C1817"/>
    <w:rsid w:val="006C3B76"/>
    <w:rsid w:val="006C7819"/>
    <w:rsid w:val="006C7D04"/>
    <w:rsid w:val="006D06EC"/>
    <w:rsid w:val="006D1507"/>
    <w:rsid w:val="006D33FB"/>
    <w:rsid w:val="006D3644"/>
    <w:rsid w:val="006D3FFB"/>
    <w:rsid w:val="006D4054"/>
    <w:rsid w:val="006E02EC"/>
    <w:rsid w:val="006F1EA4"/>
    <w:rsid w:val="006F4824"/>
    <w:rsid w:val="006F53C9"/>
    <w:rsid w:val="006F58B6"/>
    <w:rsid w:val="006F5DA5"/>
    <w:rsid w:val="006F5E3B"/>
    <w:rsid w:val="0070127E"/>
    <w:rsid w:val="00701C9C"/>
    <w:rsid w:val="007062C8"/>
    <w:rsid w:val="007211B1"/>
    <w:rsid w:val="00731F4B"/>
    <w:rsid w:val="007413CF"/>
    <w:rsid w:val="00746187"/>
    <w:rsid w:val="00747D1A"/>
    <w:rsid w:val="00756001"/>
    <w:rsid w:val="00757BE2"/>
    <w:rsid w:val="00760EB8"/>
    <w:rsid w:val="0076254F"/>
    <w:rsid w:val="00762621"/>
    <w:rsid w:val="007632CA"/>
    <w:rsid w:val="00775F54"/>
    <w:rsid w:val="00776F04"/>
    <w:rsid w:val="00780019"/>
    <w:rsid w:val="007801F5"/>
    <w:rsid w:val="00780D43"/>
    <w:rsid w:val="00780DD8"/>
    <w:rsid w:val="00783CA4"/>
    <w:rsid w:val="007842FB"/>
    <w:rsid w:val="00786124"/>
    <w:rsid w:val="0079514B"/>
    <w:rsid w:val="00796DD3"/>
    <w:rsid w:val="007A1B34"/>
    <w:rsid w:val="007A2DC1"/>
    <w:rsid w:val="007A67A8"/>
    <w:rsid w:val="007B6C7F"/>
    <w:rsid w:val="007D1893"/>
    <w:rsid w:val="007D3319"/>
    <w:rsid w:val="007D335D"/>
    <w:rsid w:val="007D43A9"/>
    <w:rsid w:val="007E3314"/>
    <w:rsid w:val="007E4B03"/>
    <w:rsid w:val="007F1A30"/>
    <w:rsid w:val="007F324B"/>
    <w:rsid w:val="007F33B2"/>
    <w:rsid w:val="007F6D04"/>
    <w:rsid w:val="007F76C2"/>
    <w:rsid w:val="00800039"/>
    <w:rsid w:val="00801DD9"/>
    <w:rsid w:val="0080553C"/>
    <w:rsid w:val="00805B46"/>
    <w:rsid w:val="00807B63"/>
    <w:rsid w:val="0081208E"/>
    <w:rsid w:val="0081504C"/>
    <w:rsid w:val="00821EF9"/>
    <w:rsid w:val="00824F31"/>
    <w:rsid w:val="00825DC2"/>
    <w:rsid w:val="00834AD3"/>
    <w:rsid w:val="00843795"/>
    <w:rsid w:val="0084473B"/>
    <w:rsid w:val="00847F0F"/>
    <w:rsid w:val="00852448"/>
    <w:rsid w:val="00852701"/>
    <w:rsid w:val="00852EE4"/>
    <w:rsid w:val="00853311"/>
    <w:rsid w:val="0085335E"/>
    <w:rsid w:val="008539D6"/>
    <w:rsid w:val="0086331F"/>
    <w:rsid w:val="00866F5F"/>
    <w:rsid w:val="008710E7"/>
    <w:rsid w:val="008716FD"/>
    <w:rsid w:val="00873F5B"/>
    <w:rsid w:val="00876070"/>
    <w:rsid w:val="0088258A"/>
    <w:rsid w:val="00883763"/>
    <w:rsid w:val="00886332"/>
    <w:rsid w:val="00886A9E"/>
    <w:rsid w:val="00890481"/>
    <w:rsid w:val="00896CBD"/>
    <w:rsid w:val="008A26D9"/>
    <w:rsid w:val="008A3CB6"/>
    <w:rsid w:val="008A66C1"/>
    <w:rsid w:val="008B3BD2"/>
    <w:rsid w:val="008C0C29"/>
    <w:rsid w:val="008C4D65"/>
    <w:rsid w:val="008C6CBF"/>
    <w:rsid w:val="008D1423"/>
    <w:rsid w:val="008E1363"/>
    <w:rsid w:val="008E4C1D"/>
    <w:rsid w:val="008F3638"/>
    <w:rsid w:val="008F4441"/>
    <w:rsid w:val="008F6E68"/>
    <w:rsid w:val="008F6F31"/>
    <w:rsid w:val="008F7102"/>
    <w:rsid w:val="008F74DF"/>
    <w:rsid w:val="00901A19"/>
    <w:rsid w:val="00907735"/>
    <w:rsid w:val="00907D8D"/>
    <w:rsid w:val="009127BA"/>
    <w:rsid w:val="00917AE0"/>
    <w:rsid w:val="009227A6"/>
    <w:rsid w:val="00924048"/>
    <w:rsid w:val="009253ED"/>
    <w:rsid w:val="00925EB3"/>
    <w:rsid w:val="009304F9"/>
    <w:rsid w:val="00930904"/>
    <w:rsid w:val="00933EC1"/>
    <w:rsid w:val="00937136"/>
    <w:rsid w:val="0094034A"/>
    <w:rsid w:val="00940A48"/>
    <w:rsid w:val="009530DB"/>
    <w:rsid w:val="00953676"/>
    <w:rsid w:val="00957F9B"/>
    <w:rsid w:val="00961D86"/>
    <w:rsid w:val="00961F5D"/>
    <w:rsid w:val="00963A67"/>
    <w:rsid w:val="009659C6"/>
    <w:rsid w:val="009705EE"/>
    <w:rsid w:val="00973F85"/>
    <w:rsid w:val="00976853"/>
    <w:rsid w:val="00977927"/>
    <w:rsid w:val="00977C19"/>
    <w:rsid w:val="0098135C"/>
    <w:rsid w:val="0098156A"/>
    <w:rsid w:val="00983EF9"/>
    <w:rsid w:val="009851A2"/>
    <w:rsid w:val="00986DEC"/>
    <w:rsid w:val="00990105"/>
    <w:rsid w:val="00991BAC"/>
    <w:rsid w:val="00994B16"/>
    <w:rsid w:val="009A158D"/>
    <w:rsid w:val="009A5656"/>
    <w:rsid w:val="009A6EA0"/>
    <w:rsid w:val="009B6C15"/>
    <w:rsid w:val="009C1335"/>
    <w:rsid w:val="009C1AB2"/>
    <w:rsid w:val="009C25D2"/>
    <w:rsid w:val="009C7251"/>
    <w:rsid w:val="009E1339"/>
    <w:rsid w:val="009E1BE7"/>
    <w:rsid w:val="009E1FD1"/>
    <w:rsid w:val="009E2E91"/>
    <w:rsid w:val="009E5FA3"/>
    <w:rsid w:val="00A01A76"/>
    <w:rsid w:val="00A04A47"/>
    <w:rsid w:val="00A06A7A"/>
    <w:rsid w:val="00A103D4"/>
    <w:rsid w:val="00A112CD"/>
    <w:rsid w:val="00A139F5"/>
    <w:rsid w:val="00A162B5"/>
    <w:rsid w:val="00A17DFA"/>
    <w:rsid w:val="00A220D1"/>
    <w:rsid w:val="00A26D9C"/>
    <w:rsid w:val="00A3336F"/>
    <w:rsid w:val="00A34C24"/>
    <w:rsid w:val="00A365F4"/>
    <w:rsid w:val="00A410EF"/>
    <w:rsid w:val="00A41E44"/>
    <w:rsid w:val="00A47D80"/>
    <w:rsid w:val="00A53132"/>
    <w:rsid w:val="00A538BF"/>
    <w:rsid w:val="00A563F2"/>
    <w:rsid w:val="00A566E8"/>
    <w:rsid w:val="00A5777E"/>
    <w:rsid w:val="00A61D56"/>
    <w:rsid w:val="00A6209D"/>
    <w:rsid w:val="00A64B5C"/>
    <w:rsid w:val="00A64D0C"/>
    <w:rsid w:val="00A71B44"/>
    <w:rsid w:val="00A740D9"/>
    <w:rsid w:val="00A741DF"/>
    <w:rsid w:val="00A75D8A"/>
    <w:rsid w:val="00A810F9"/>
    <w:rsid w:val="00A82952"/>
    <w:rsid w:val="00A8392E"/>
    <w:rsid w:val="00A86ECC"/>
    <w:rsid w:val="00A86FCC"/>
    <w:rsid w:val="00A90E22"/>
    <w:rsid w:val="00A9265A"/>
    <w:rsid w:val="00A9313D"/>
    <w:rsid w:val="00A96FFC"/>
    <w:rsid w:val="00A97F97"/>
    <w:rsid w:val="00AA2B2D"/>
    <w:rsid w:val="00AA710D"/>
    <w:rsid w:val="00AB588D"/>
    <w:rsid w:val="00AB6D25"/>
    <w:rsid w:val="00AC0D36"/>
    <w:rsid w:val="00AC5769"/>
    <w:rsid w:val="00AD0501"/>
    <w:rsid w:val="00AD1528"/>
    <w:rsid w:val="00AD2E7D"/>
    <w:rsid w:val="00AD3DCC"/>
    <w:rsid w:val="00AE2D4B"/>
    <w:rsid w:val="00AE4F99"/>
    <w:rsid w:val="00B0644A"/>
    <w:rsid w:val="00B10068"/>
    <w:rsid w:val="00B10935"/>
    <w:rsid w:val="00B11B69"/>
    <w:rsid w:val="00B14952"/>
    <w:rsid w:val="00B14E82"/>
    <w:rsid w:val="00B15004"/>
    <w:rsid w:val="00B15988"/>
    <w:rsid w:val="00B21571"/>
    <w:rsid w:val="00B219C8"/>
    <w:rsid w:val="00B26544"/>
    <w:rsid w:val="00B3022C"/>
    <w:rsid w:val="00B31E5A"/>
    <w:rsid w:val="00B33130"/>
    <w:rsid w:val="00B35D6F"/>
    <w:rsid w:val="00B3665D"/>
    <w:rsid w:val="00B4484D"/>
    <w:rsid w:val="00B5074C"/>
    <w:rsid w:val="00B510C9"/>
    <w:rsid w:val="00B56065"/>
    <w:rsid w:val="00B56558"/>
    <w:rsid w:val="00B60D83"/>
    <w:rsid w:val="00B653AB"/>
    <w:rsid w:val="00B65F9E"/>
    <w:rsid w:val="00B66B19"/>
    <w:rsid w:val="00B67C82"/>
    <w:rsid w:val="00B724B1"/>
    <w:rsid w:val="00B72583"/>
    <w:rsid w:val="00B7445B"/>
    <w:rsid w:val="00B76BFB"/>
    <w:rsid w:val="00B82D66"/>
    <w:rsid w:val="00B863DC"/>
    <w:rsid w:val="00B902E6"/>
    <w:rsid w:val="00B914E9"/>
    <w:rsid w:val="00B92566"/>
    <w:rsid w:val="00B9277C"/>
    <w:rsid w:val="00B93908"/>
    <w:rsid w:val="00B956EE"/>
    <w:rsid w:val="00B95731"/>
    <w:rsid w:val="00B96718"/>
    <w:rsid w:val="00B96E4D"/>
    <w:rsid w:val="00B97FE7"/>
    <w:rsid w:val="00BA226E"/>
    <w:rsid w:val="00BA2BA1"/>
    <w:rsid w:val="00BA3562"/>
    <w:rsid w:val="00BB1656"/>
    <w:rsid w:val="00BB4F09"/>
    <w:rsid w:val="00BC6F65"/>
    <w:rsid w:val="00BD4840"/>
    <w:rsid w:val="00BD4E33"/>
    <w:rsid w:val="00BD502F"/>
    <w:rsid w:val="00BE0F29"/>
    <w:rsid w:val="00BE47D0"/>
    <w:rsid w:val="00BF063A"/>
    <w:rsid w:val="00BF25ED"/>
    <w:rsid w:val="00BF61C3"/>
    <w:rsid w:val="00C00E70"/>
    <w:rsid w:val="00C0206C"/>
    <w:rsid w:val="00C030DE"/>
    <w:rsid w:val="00C07D3A"/>
    <w:rsid w:val="00C10E77"/>
    <w:rsid w:val="00C119C2"/>
    <w:rsid w:val="00C130C2"/>
    <w:rsid w:val="00C13E1E"/>
    <w:rsid w:val="00C22105"/>
    <w:rsid w:val="00C23F29"/>
    <w:rsid w:val="00C244B6"/>
    <w:rsid w:val="00C35807"/>
    <w:rsid w:val="00C35E59"/>
    <w:rsid w:val="00C3702F"/>
    <w:rsid w:val="00C37085"/>
    <w:rsid w:val="00C377F8"/>
    <w:rsid w:val="00C41766"/>
    <w:rsid w:val="00C41972"/>
    <w:rsid w:val="00C4345F"/>
    <w:rsid w:val="00C43850"/>
    <w:rsid w:val="00C4455D"/>
    <w:rsid w:val="00C4500A"/>
    <w:rsid w:val="00C45194"/>
    <w:rsid w:val="00C475C7"/>
    <w:rsid w:val="00C5047F"/>
    <w:rsid w:val="00C64A37"/>
    <w:rsid w:val="00C64BA4"/>
    <w:rsid w:val="00C70701"/>
    <w:rsid w:val="00C7158E"/>
    <w:rsid w:val="00C7250B"/>
    <w:rsid w:val="00C72C1E"/>
    <w:rsid w:val="00C7346B"/>
    <w:rsid w:val="00C734CE"/>
    <w:rsid w:val="00C75084"/>
    <w:rsid w:val="00C76D68"/>
    <w:rsid w:val="00C77C0E"/>
    <w:rsid w:val="00C91687"/>
    <w:rsid w:val="00C924A8"/>
    <w:rsid w:val="00C945FE"/>
    <w:rsid w:val="00C950B4"/>
    <w:rsid w:val="00C96FAA"/>
    <w:rsid w:val="00C97A04"/>
    <w:rsid w:val="00CA0A7E"/>
    <w:rsid w:val="00CA107B"/>
    <w:rsid w:val="00CA270C"/>
    <w:rsid w:val="00CA484D"/>
    <w:rsid w:val="00CA4FB6"/>
    <w:rsid w:val="00CB0CF6"/>
    <w:rsid w:val="00CB5417"/>
    <w:rsid w:val="00CB6E07"/>
    <w:rsid w:val="00CB72CE"/>
    <w:rsid w:val="00CC3AAA"/>
    <w:rsid w:val="00CC50A9"/>
    <w:rsid w:val="00CC739E"/>
    <w:rsid w:val="00CD0BA0"/>
    <w:rsid w:val="00CD2DFF"/>
    <w:rsid w:val="00CD58B7"/>
    <w:rsid w:val="00CE3B58"/>
    <w:rsid w:val="00CF4099"/>
    <w:rsid w:val="00CF6933"/>
    <w:rsid w:val="00CF7929"/>
    <w:rsid w:val="00D00796"/>
    <w:rsid w:val="00D042E0"/>
    <w:rsid w:val="00D133DB"/>
    <w:rsid w:val="00D144EA"/>
    <w:rsid w:val="00D17940"/>
    <w:rsid w:val="00D24198"/>
    <w:rsid w:val="00D25E39"/>
    <w:rsid w:val="00D261A2"/>
    <w:rsid w:val="00D348CA"/>
    <w:rsid w:val="00D415DA"/>
    <w:rsid w:val="00D560F7"/>
    <w:rsid w:val="00D616D2"/>
    <w:rsid w:val="00D617D1"/>
    <w:rsid w:val="00D63B5F"/>
    <w:rsid w:val="00D64C9D"/>
    <w:rsid w:val="00D70EF7"/>
    <w:rsid w:val="00D77818"/>
    <w:rsid w:val="00D77959"/>
    <w:rsid w:val="00D8397C"/>
    <w:rsid w:val="00D94EED"/>
    <w:rsid w:val="00D96026"/>
    <w:rsid w:val="00D9777E"/>
    <w:rsid w:val="00DA1609"/>
    <w:rsid w:val="00DA25B2"/>
    <w:rsid w:val="00DA4FC6"/>
    <w:rsid w:val="00DA4FC9"/>
    <w:rsid w:val="00DA796F"/>
    <w:rsid w:val="00DA7C1C"/>
    <w:rsid w:val="00DA7CD1"/>
    <w:rsid w:val="00DB04C0"/>
    <w:rsid w:val="00DB147A"/>
    <w:rsid w:val="00DB1B7A"/>
    <w:rsid w:val="00DB6597"/>
    <w:rsid w:val="00DC2135"/>
    <w:rsid w:val="00DC6708"/>
    <w:rsid w:val="00DC71BF"/>
    <w:rsid w:val="00DD07B8"/>
    <w:rsid w:val="00DE1C6E"/>
    <w:rsid w:val="00DE68B4"/>
    <w:rsid w:val="00DE7FD1"/>
    <w:rsid w:val="00DF50EB"/>
    <w:rsid w:val="00DF73D3"/>
    <w:rsid w:val="00E005C1"/>
    <w:rsid w:val="00E01436"/>
    <w:rsid w:val="00E045BD"/>
    <w:rsid w:val="00E05885"/>
    <w:rsid w:val="00E0623E"/>
    <w:rsid w:val="00E07B93"/>
    <w:rsid w:val="00E17B77"/>
    <w:rsid w:val="00E21356"/>
    <w:rsid w:val="00E2185D"/>
    <w:rsid w:val="00E23337"/>
    <w:rsid w:val="00E259EA"/>
    <w:rsid w:val="00E32061"/>
    <w:rsid w:val="00E332C2"/>
    <w:rsid w:val="00E33F83"/>
    <w:rsid w:val="00E42FF9"/>
    <w:rsid w:val="00E46664"/>
    <w:rsid w:val="00E4714C"/>
    <w:rsid w:val="00E50930"/>
    <w:rsid w:val="00E50E83"/>
    <w:rsid w:val="00E51AEB"/>
    <w:rsid w:val="00E522A7"/>
    <w:rsid w:val="00E54452"/>
    <w:rsid w:val="00E544E3"/>
    <w:rsid w:val="00E545DA"/>
    <w:rsid w:val="00E63A15"/>
    <w:rsid w:val="00E65CCC"/>
    <w:rsid w:val="00E664C5"/>
    <w:rsid w:val="00E671A2"/>
    <w:rsid w:val="00E748C4"/>
    <w:rsid w:val="00E76D26"/>
    <w:rsid w:val="00E835DA"/>
    <w:rsid w:val="00E96F1C"/>
    <w:rsid w:val="00E97801"/>
    <w:rsid w:val="00EA59B7"/>
    <w:rsid w:val="00EB1390"/>
    <w:rsid w:val="00EB15B0"/>
    <w:rsid w:val="00EB2C71"/>
    <w:rsid w:val="00EB4340"/>
    <w:rsid w:val="00EB556D"/>
    <w:rsid w:val="00EB5A7D"/>
    <w:rsid w:val="00EB5AD4"/>
    <w:rsid w:val="00EC42DC"/>
    <w:rsid w:val="00EC5D2A"/>
    <w:rsid w:val="00EC6E99"/>
    <w:rsid w:val="00ED1842"/>
    <w:rsid w:val="00ED25BF"/>
    <w:rsid w:val="00ED53D1"/>
    <w:rsid w:val="00ED55C0"/>
    <w:rsid w:val="00ED682B"/>
    <w:rsid w:val="00ED6E06"/>
    <w:rsid w:val="00EE0402"/>
    <w:rsid w:val="00EE30A0"/>
    <w:rsid w:val="00EE41D5"/>
    <w:rsid w:val="00EF0F26"/>
    <w:rsid w:val="00EF69E2"/>
    <w:rsid w:val="00F015FD"/>
    <w:rsid w:val="00F037A4"/>
    <w:rsid w:val="00F06A47"/>
    <w:rsid w:val="00F14EB9"/>
    <w:rsid w:val="00F23070"/>
    <w:rsid w:val="00F2346B"/>
    <w:rsid w:val="00F2700A"/>
    <w:rsid w:val="00F27C8F"/>
    <w:rsid w:val="00F32749"/>
    <w:rsid w:val="00F33D34"/>
    <w:rsid w:val="00F35782"/>
    <w:rsid w:val="00F37172"/>
    <w:rsid w:val="00F37332"/>
    <w:rsid w:val="00F3769B"/>
    <w:rsid w:val="00F4477E"/>
    <w:rsid w:val="00F45BD2"/>
    <w:rsid w:val="00F5198E"/>
    <w:rsid w:val="00F5749F"/>
    <w:rsid w:val="00F61D4D"/>
    <w:rsid w:val="00F61E03"/>
    <w:rsid w:val="00F64385"/>
    <w:rsid w:val="00F66770"/>
    <w:rsid w:val="00F67D8F"/>
    <w:rsid w:val="00F716A2"/>
    <w:rsid w:val="00F72B6A"/>
    <w:rsid w:val="00F739B3"/>
    <w:rsid w:val="00F75017"/>
    <w:rsid w:val="00F802BE"/>
    <w:rsid w:val="00F80E93"/>
    <w:rsid w:val="00F8128C"/>
    <w:rsid w:val="00F83E9A"/>
    <w:rsid w:val="00F86024"/>
    <w:rsid w:val="00F8611A"/>
    <w:rsid w:val="00F96086"/>
    <w:rsid w:val="00FA5128"/>
    <w:rsid w:val="00FA6850"/>
    <w:rsid w:val="00FB030B"/>
    <w:rsid w:val="00FB076B"/>
    <w:rsid w:val="00FB09EE"/>
    <w:rsid w:val="00FB10B6"/>
    <w:rsid w:val="00FB42D4"/>
    <w:rsid w:val="00FB5906"/>
    <w:rsid w:val="00FB762F"/>
    <w:rsid w:val="00FC2AED"/>
    <w:rsid w:val="00FC32F1"/>
    <w:rsid w:val="00FD5EA7"/>
    <w:rsid w:val="00FD6357"/>
    <w:rsid w:val="00FD77B8"/>
    <w:rsid w:val="00FE1B66"/>
    <w:rsid w:val="00FE257E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0">
    <w:name w:val="Siatka tabeli — jasna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F716B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6600DE"/>
    <w:pPr>
      <w:widowControl w:val="0"/>
      <w:autoSpaceDE w:val="0"/>
      <w:autoSpaceDN w:val="0"/>
      <w:adjustRightInd w:val="0"/>
      <w:spacing w:before="0" w:after="0" w:line="240" w:lineRule="auto"/>
      <w:ind w:left="100"/>
    </w:pPr>
    <w:rPr>
      <w:rFonts w:eastAsia="Times New Roman" w:cs="Fira Sans"/>
      <w:szCs w:val="19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600DE"/>
    <w:rPr>
      <w:rFonts w:ascii="Fira Sans" w:eastAsia="Times New Roman" w:hAnsi="Fira Sans" w:cs="Fira Sans"/>
      <w:sz w:val="19"/>
      <w:szCs w:val="19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ED6E06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F33B2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F33B2"/>
    <w:rPr>
      <w:rFonts w:ascii="Fira Sans" w:hAnsi="Fira Sans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0">
    <w:name w:val="Siatka tabeli — jasna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F716B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6600DE"/>
    <w:pPr>
      <w:widowControl w:val="0"/>
      <w:autoSpaceDE w:val="0"/>
      <w:autoSpaceDN w:val="0"/>
      <w:adjustRightInd w:val="0"/>
      <w:spacing w:before="0" w:after="0" w:line="240" w:lineRule="auto"/>
      <w:ind w:left="100"/>
    </w:pPr>
    <w:rPr>
      <w:rFonts w:eastAsia="Times New Roman" w:cs="Fira Sans"/>
      <w:szCs w:val="19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600DE"/>
    <w:rPr>
      <w:rFonts w:ascii="Fira Sans" w:eastAsia="Times New Roman" w:hAnsi="Fira Sans" w:cs="Fira Sans"/>
      <w:sz w:val="19"/>
      <w:szCs w:val="19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ED6E06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F33B2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F33B2"/>
    <w:rPr>
      <w:rFonts w:ascii="Fira Sans" w:hAnsi="Fira Sans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0.emf"/><Relationship Id="rId18" Type="http://schemas.openxmlformats.org/officeDocument/2006/relationships/footer" Target="footer1.xml"/><Relationship Id="rId26" Type="http://schemas.openxmlformats.org/officeDocument/2006/relationships/image" Target="media/image10.png"/><Relationship Id="rId39" Type="http://schemas.openxmlformats.org/officeDocument/2006/relationships/hyperlink" Target="http://stat.gov.pl/metainformacje/slownik-pojec/pojecia-stosowane-w-statystyce-publicznej/1202,pojecie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.ruszczynska@stat.gov.pl" TargetMode="External"/><Relationship Id="rId34" Type="http://schemas.openxmlformats.org/officeDocument/2006/relationships/hyperlink" Target="http://stat.gov.pl/metainformacje/slownik-pojec/pojecia-stosowane-w-statystyce-publicznej/613,pojecie.html" TargetMode="External"/><Relationship Id="rId42" Type="http://schemas.openxmlformats.org/officeDocument/2006/relationships/hyperlink" Target="http://stat.gov.pl/metainformacje/slownik-pojec/pojecia-stosowane-w-statystyce-publicznej/158,pojecie.html" TargetMode="External"/><Relationship Id="rId47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3.emf"/><Relationship Id="rId17" Type="http://schemas.openxmlformats.org/officeDocument/2006/relationships/header" Target="header1.xml"/><Relationship Id="rId25" Type="http://schemas.openxmlformats.org/officeDocument/2006/relationships/image" Target="media/image9.png"/><Relationship Id="rId33" Type="http://schemas.openxmlformats.org/officeDocument/2006/relationships/hyperlink" Target="http://stat.gov.pl/metainformacje/slownik-pojec/pojecia-stosowane-w-statystyce-publicznej/158,pojecie.html" TargetMode="External"/><Relationship Id="rId38" Type="http://schemas.openxmlformats.org/officeDocument/2006/relationships/hyperlink" Target="http://stat.gov.pl/metainformacje/slownik-pojec/pojecia-stosowane-w-statystyce-publicznej/1201,pojecie.html" TargetMode="External"/><Relationship Id="rId46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29" Type="http://schemas.openxmlformats.org/officeDocument/2006/relationships/hyperlink" Target="http://stat.gov.pl/metainformacje/slownik-pojec/pojecia-stosowane-w-statystyce-publicznej/1201,pojecie.html" TargetMode="External"/><Relationship Id="rId41" Type="http://schemas.openxmlformats.org/officeDocument/2006/relationships/hyperlink" Target="http://stat.gov.pl/metainformacje/slownik-pojec/pojecia-stosowane-w-statystyce-publicznej/395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8.png"/><Relationship Id="rId32" Type="http://schemas.openxmlformats.org/officeDocument/2006/relationships/hyperlink" Target="http://stat.gov.pl/metainformacje/slownik-pojec/pojecia-stosowane-w-statystyce-publicznej/395,pojecie.html" TargetMode="External"/><Relationship Id="rId37" Type="http://schemas.openxmlformats.org/officeDocument/2006/relationships/hyperlink" Target="http://stat.gov.pl/metainformacje/slownik-pojec/pojecia-stosowane-w-statystyce-publicznej/3912,pojecie.html" TargetMode="External"/><Relationship Id="rId40" Type="http://schemas.openxmlformats.org/officeDocument/2006/relationships/hyperlink" Target="http://stat.gov.pl/metainformacje/slownik-pojec/pojecia-stosowane-w-statystyce-publicznej/294,pojecie.html" TargetMode="External"/><Relationship Id="rId45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mailto:obslugaprasowa@stat.gov.pl" TargetMode="External"/><Relationship Id="rId28" Type="http://schemas.openxmlformats.org/officeDocument/2006/relationships/hyperlink" Target="http://stat.gov.pl/metainformacje/slownik-pojec/pojecia-stosowane-w-statystyce-publicznej/3912,pojecie.html" TargetMode="External"/><Relationship Id="rId36" Type="http://schemas.openxmlformats.org/officeDocument/2006/relationships/hyperlink" Target="http://stat.gov.pl/files/gfx/portalinformacyjny/pl/defaultaktualnosci/5502/28/1/1/zeszyt_metodologiczny_badania_przedsiebiorstw_niefinansowych.pdf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31" Type="http://schemas.openxmlformats.org/officeDocument/2006/relationships/hyperlink" Target="http://stat.gov.pl/metainformacje/slownik-pojec/pojecia-stosowane-w-statystyce-publicznej/294,pojecie.html" TargetMode="External"/><Relationship Id="rId44" Type="http://schemas.openxmlformats.org/officeDocument/2006/relationships/hyperlink" Target="http://stat.gov.pl/metainformacje/slownik-pojec/pojecia-stosowane-w-statystyce-publicznej/615,pojecie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png"/><Relationship Id="rId22" Type="http://schemas.openxmlformats.org/officeDocument/2006/relationships/hyperlink" Target="mailto:rzecznik@stat.gov.pl" TargetMode="External"/><Relationship Id="rId27" Type="http://schemas.openxmlformats.org/officeDocument/2006/relationships/hyperlink" Target="http://stat.gov.pl/files/gfx/portalinformacyjny/pl/defaultaktualnosci/5502/28/1/1/zeszyt_metodologiczny_badania_przedsiebiorstw_niefinansowych.pdf" TargetMode="External"/><Relationship Id="rId30" Type="http://schemas.openxmlformats.org/officeDocument/2006/relationships/hyperlink" Target="http://stat.gov.pl/metainformacje/slownik-pojec/pojecia-stosowane-w-statystyce-publicznej/1202,pojecie.html" TargetMode="External"/><Relationship Id="rId35" Type="http://schemas.openxmlformats.org/officeDocument/2006/relationships/hyperlink" Target="http://stat.gov.pl/metainformacje/slownik-pojec/pojecia-stosowane-w-statystyce-publicznej/615,pojecie.html" TargetMode="External"/><Relationship Id="rId43" Type="http://schemas.openxmlformats.org/officeDocument/2006/relationships/hyperlink" Target="http://stat.gov.pl/metainformacje/slownik-pojec/pojecia-stosowane-w-statystyce-publicznej/613,pojecie.html" TargetMode="External"/><Relationship Id="rId48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2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39CF9D-5D57-4F98-A45B-40A315A9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1565</Words>
  <Characters>9393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10937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Bilansowe wyniki finansowe podmiotów gospodarczych za 2017 r.</dc:title>
  <dc:subject>Bilansowe wyniki finansowe podmiotów gospodarczych za 2017 r.</dc:subject>
  <dc:creator>Główny Urząd Statystyczny</dc:creator>
  <cp:keywords>przedsiębiorstwa; podmioty gospodarcze; bilans; aktywa; środki trwałe; zapasy; pasywa; zobowiązania; przychody i koszty; wyniki finansowe; zyski i straty; nakłady inwestycyjne</cp:keywords>
  <dc:description>Bilansowe wyniki finansowe podmiotów gospodarczych za 2017 r.</dc:description>
  <cp:lastModifiedBy>Dariusz Mazurek</cp:lastModifiedBy>
  <cp:revision>2</cp:revision>
  <cp:lastPrinted>2018-10-24T13:23:00Z</cp:lastPrinted>
  <dcterms:created xsi:type="dcterms:W3CDTF">2018-10-26T07:13:00Z</dcterms:created>
  <dcterms:modified xsi:type="dcterms:W3CDTF">2018-10-26T07:13:00Z</dcterms:modified>
  <cp:category>wyniki finansowe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