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D5" w:rsidRDefault="003257D5" w:rsidP="00A356AB">
      <w:pPr>
        <w:pStyle w:val="tytuinformacji"/>
        <w:rPr>
          <w:shd w:val="clear" w:color="auto" w:fill="FFFFFF"/>
        </w:rPr>
      </w:pPr>
    </w:p>
    <w:p w:rsidR="00A356AB" w:rsidRDefault="00A356AB" w:rsidP="003257D5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Przedsiębiors</w:t>
      </w:r>
      <w:r w:rsidR="00FB0C19">
        <w:rPr>
          <w:shd w:val="clear" w:color="auto" w:fill="FFFFFF"/>
        </w:rPr>
        <w:t>twa niefinansowe powstałe w 2018</w:t>
      </w:r>
      <w:r>
        <w:rPr>
          <w:shd w:val="clear" w:color="auto" w:fill="FFFFFF"/>
        </w:rPr>
        <w:t xml:space="preserve"> r.</w:t>
      </w:r>
    </w:p>
    <w:p w:rsidR="00393761" w:rsidRPr="004F1B93" w:rsidRDefault="006D7E74" w:rsidP="006D7E74">
      <w:pPr>
        <w:pStyle w:val="tytuinformacji"/>
        <w:tabs>
          <w:tab w:val="left" w:pos="6317"/>
        </w:tabs>
        <w:rPr>
          <w:sz w:val="32"/>
        </w:rPr>
      </w:pPr>
      <w:r>
        <w:rPr>
          <w:sz w:val="32"/>
        </w:rPr>
        <w:tab/>
      </w:r>
    </w:p>
    <w:p w:rsidR="00F0762C" w:rsidRPr="000836B3" w:rsidRDefault="0001209A" w:rsidP="00F809F9">
      <w:pPr>
        <w:pStyle w:val="LID"/>
      </w:pPr>
      <w:r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15pt;width:144.7pt;height:91.9pt;z-index:25167667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" fillcolor="#001d77" stroked="f">
            <v:textbox style="mso-next-textbox:#_x0000_s1027">
              <w:txbxContent>
                <w:p w:rsidR="005B3251" w:rsidRPr="00B66B19" w:rsidRDefault="0001209A" w:rsidP="005622E5">
                  <w:pPr>
                    <w:spacing w:before="0" w:after="0" w:line="240" w:lineRule="auto"/>
                    <w:jc w:val="center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color w:val="001D77"/>
                      <w:sz w:val="22"/>
                    </w:rPr>
                    <w:pict>
                      <v:shape id="_x0000_i1025" type="#_x0000_t75" style="width:26.5pt;height:26.5pt;visibility:visible;mso-wrap-style:square" o:bullet="t">
                        <v:imagedata r:id="rId11" o:title=""/>
                      </v:shape>
                    </w:pict>
                  </w:r>
                  <w:r w:rsidR="005B3251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67,6%</w:t>
                  </w:r>
                </w:p>
                <w:p w:rsidR="005B3251" w:rsidRPr="008A17EB" w:rsidRDefault="005B3251" w:rsidP="00C455E0">
                  <w:pPr>
                    <w:pStyle w:val="tekstnaniebieskimtle"/>
                  </w:pPr>
                  <w:r>
                    <w:t>Wskaźnik przeżycia pierwszego roku przez przedsiębiorstwa niefinansowe.</w:t>
                  </w:r>
                </w:p>
              </w:txbxContent>
            </v:textbox>
            <w10:wrap type="square" anchorx="margin"/>
          </v:shape>
        </w:pict>
      </w:r>
      <w:r w:rsidR="000836B3">
        <w:t>Spośród</w:t>
      </w:r>
      <w:r w:rsidR="009E0AD7">
        <w:t xml:space="preserve"> przedsiębiorstw niefinansowych</w:t>
      </w:r>
      <w:r w:rsidR="00555C33">
        <w:t>,</w:t>
      </w:r>
      <w:r w:rsidR="000836B3">
        <w:t xml:space="preserve"> </w:t>
      </w:r>
      <w:r w:rsidR="009E0AD7">
        <w:t>deklarujących rozpoczęcie działalności w 2018 r.</w:t>
      </w:r>
      <w:r w:rsidR="00555C33">
        <w:t>,</w:t>
      </w:r>
      <w:r w:rsidR="009E0AD7">
        <w:t xml:space="preserve"> do roku 2019 aktywnych pozostało 191 818 jednostek (tj. 67,6%).</w:t>
      </w:r>
      <w:r w:rsidR="0090279D">
        <w:t xml:space="preserve"> </w:t>
      </w:r>
      <w:r w:rsidR="00555C33">
        <w:t>Najwyższy wskaźnik przeżycia pierwszego roku zanotowano dla podmiotów z sekcji informacja i komunikacja (77,0%) oraz działalność profesjonalna, naukowa i techniczna (75,2%)</w:t>
      </w:r>
      <w:r w:rsidR="00EB314E">
        <w:t>.</w:t>
      </w:r>
    </w:p>
    <w:p w:rsidR="00B01885" w:rsidRDefault="00B01885" w:rsidP="00B01885">
      <w:pPr>
        <w:pStyle w:val="Tekstprzypisudolnego"/>
        <w:spacing w:line="240" w:lineRule="exact"/>
        <w:jc w:val="both"/>
        <w:rPr>
          <w:rFonts w:cs="Arial"/>
          <w:sz w:val="19"/>
          <w:szCs w:val="19"/>
        </w:rPr>
      </w:pPr>
    </w:p>
    <w:p w:rsidR="00DB7154" w:rsidRPr="00DB7154" w:rsidRDefault="00DB7154" w:rsidP="00DB7154">
      <w:pPr>
        <w:rPr>
          <w:shd w:val="clear" w:color="auto" w:fill="FFFFFF"/>
        </w:rPr>
      </w:pPr>
      <w:r w:rsidRPr="008069C4">
        <w:rPr>
          <w:shd w:val="clear" w:color="auto" w:fill="FFFFFF"/>
        </w:rPr>
        <w:t>Przedsiębiorstwa powstałe</w:t>
      </w:r>
      <w:r w:rsidR="000836B3">
        <w:rPr>
          <w:shd w:val="clear" w:color="auto" w:fill="FFFFFF"/>
        </w:rPr>
        <w:t xml:space="preserve"> w 2018</w:t>
      </w:r>
      <w:r>
        <w:rPr>
          <w:shd w:val="clear" w:color="auto" w:fill="FFFFFF"/>
        </w:rPr>
        <w:t xml:space="preserve"> r. i aktywne po pierwszym roku swojej działalności gospodarcze</w:t>
      </w:r>
      <w:r w:rsidR="000836B3">
        <w:rPr>
          <w:shd w:val="clear" w:color="auto" w:fill="FFFFFF"/>
        </w:rPr>
        <w:t>j wykazały 44 069,4</w:t>
      </w:r>
      <w:r>
        <w:rPr>
          <w:shd w:val="clear" w:color="auto" w:fill="FFFFFF"/>
        </w:rPr>
        <w:t xml:space="preserve"> mln zł przychodów ogółem</w:t>
      </w:r>
      <w:r w:rsidR="006D7524">
        <w:rPr>
          <w:shd w:val="clear" w:color="auto" w:fill="FFFFFF"/>
        </w:rPr>
        <w:t xml:space="preserve"> </w:t>
      </w:r>
      <w:r w:rsidR="0090279D">
        <w:rPr>
          <w:shd w:val="clear" w:color="auto" w:fill="FFFFFF"/>
        </w:rPr>
        <w:t xml:space="preserve">(wobec 39 108,7 mln zł przychodów </w:t>
      </w:r>
      <w:r w:rsidR="006D7524">
        <w:rPr>
          <w:shd w:val="clear" w:color="auto" w:fill="FFFFFF"/>
        </w:rPr>
        <w:t>w</w:t>
      </w:r>
      <w:r w:rsidR="007F201B">
        <w:rPr>
          <w:shd w:val="clear" w:color="auto" w:fill="FFFFFF"/>
        </w:rPr>
        <w:t xml:space="preserve"> przedsiębiorstwa</w:t>
      </w:r>
      <w:r w:rsidR="006D7524">
        <w:rPr>
          <w:shd w:val="clear" w:color="auto" w:fill="FFFFFF"/>
        </w:rPr>
        <w:t>ch jednorocznych powstałych</w:t>
      </w:r>
      <w:r w:rsidR="007F201B">
        <w:rPr>
          <w:shd w:val="clear" w:color="auto" w:fill="FFFFFF"/>
        </w:rPr>
        <w:t xml:space="preserve"> w 2017 roku</w:t>
      </w:r>
      <w:r w:rsidR="0072013C">
        <w:rPr>
          <w:shd w:val="clear" w:color="auto" w:fill="FFFFFF"/>
        </w:rPr>
        <w:t>)</w:t>
      </w:r>
      <w:r w:rsidR="007F201B">
        <w:rPr>
          <w:shd w:val="clear" w:color="auto" w:fill="FFFFFF"/>
        </w:rPr>
        <w:t>.</w:t>
      </w:r>
    </w:p>
    <w:p w:rsidR="008101A6" w:rsidRDefault="0072013C" w:rsidP="00F809F9">
      <w:pPr>
        <w:rPr>
          <w:lang w:eastAsia="pl-PL"/>
        </w:rPr>
      </w:pPr>
      <w:r>
        <w:rPr>
          <w:lang w:eastAsia="pl-PL"/>
        </w:rPr>
        <w:t>Udział</w:t>
      </w:r>
      <w:r w:rsidR="003173EC" w:rsidRPr="003173EC">
        <w:rPr>
          <w:b/>
          <w:lang w:eastAsia="pl-PL"/>
        </w:rPr>
        <w:t xml:space="preserve"> </w:t>
      </w:r>
      <w:r>
        <w:rPr>
          <w:lang w:eastAsia="pl-PL"/>
        </w:rPr>
        <w:t>przychodów</w:t>
      </w:r>
      <w:r w:rsidR="003173EC" w:rsidRPr="00DB7154">
        <w:rPr>
          <w:lang w:eastAsia="pl-PL"/>
        </w:rPr>
        <w:t xml:space="preserve"> ogółem</w:t>
      </w:r>
      <w:r>
        <w:rPr>
          <w:lang w:eastAsia="pl-PL"/>
        </w:rPr>
        <w:t xml:space="preserve"> wygenerowanych</w:t>
      </w:r>
      <w:r w:rsidR="008101A6">
        <w:rPr>
          <w:lang w:eastAsia="pl-PL"/>
        </w:rPr>
        <w:t xml:space="preserve"> </w:t>
      </w:r>
      <w:r w:rsidR="003173EC">
        <w:rPr>
          <w:lang w:eastAsia="pl-PL"/>
        </w:rPr>
        <w:t>w pierwszym roku prowadz</w:t>
      </w:r>
      <w:r w:rsidR="005133A3">
        <w:rPr>
          <w:lang w:eastAsia="pl-PL"/>
        </w:rPr>
        <w:t xml:space="preserve">enia działalności </w:t>
      </w:r>
      <w:r>
        <w:rPr>
          <w:lang w:eastAsia="pl-PL"/>
        </w:rPr>
        <w:t>przez</w:t>
      </w:r>
      <w:r w:rsidR="005133A3">
        <w:rPr>
          <w:lang w:eastAsia="pl-PL"/>
        </w:rPr>
        <w:t xml:space="preserve"> podmioty z</w:t>
      </w:r>
      <w:r w:rsidR="00DB7154">
        <w:rPr>
          <w:lang w:eastAsia="pl-PL"/>
        </w:rPr>
        <w:t xml:space="preserve"> zakresu</w:t>
      </w:r>
      <w:r w:rsidR="005133A3">
        <w:rPr>
          <w:lang w:eastAsia="pl-PL"/>
        </w:rPr>
        <w:t xml:space="preserve"> handlu; naprawy pojazdów samochodowych</w:t>
      </w:r>
      <w:r>
        <w:rPr>
          <w:lang w:eastAsia="pl-PL"/>
        </w:rPr>
        <w:t xml:space="preserve"> wyniósł </w:t>
      </w:r>
      <w:r w:rsidR="0076298E">
        <w:rPr>
          <w:lang w:eastAsia="pl-PL"/>
        </w:rPr>
        <w:t>35,6</w:t>
      </w:r>
      <w:r>
        <w:rPr>
          <w:lang w:eastAsia="pl-PL"/>
        </w:rPr>
        <w:t>% przychodów wszystkich przedsiębiorstw jednorocznych (w ubiegłym roku w przedsiębiorstwach jednorocznych powstałych w 2017 r. udział ten był wyższy i wyniósł 50,4%)</w:t>
      </w:r>
      <w:r w:rsidR="008101A6">
        <w:rPr>
          <w:lang w:eastAsia="pl-PL"/>
        </w:rPr>
        <w:t>.</w:t>
      </w:r>
    </w:p>
    <w:p w:rsidR="00F809F9" w:rsidRDefault="008069C4" w:rsidP="008101A6">
      <w:pPr>
        <w:rPr>
          <w:lang w:eastAsia="pl-PL"/>
        </w:rPr>
      </w:pPr>
      <w:r w:rsidRPr="00DB7154">
        <w:rPr>
          <w:lang w:eastAsia="pl-PL"/>
        </w:rPr>
        <w:t>K</w:t>
      </w:r>
      <w:r w:rsidR="008101A6" w:rsidRPr="00DB7154">
        <w:rPr>
          <w:lang w:eastAsia="pl-PL"/>
        </w:rPr>
        <w:t>os</w:t>
      </w:r>
      <w:r w:rsidR="00C17825">
        <w:rPr>
          <w:lang w:eastAsia="pl-PL"/>
        </w:rPr>
        <w:t>zty</w:t>
      </w:r>
      <w:r w:rsidR="005622E5" w:rsidRPr="00DB7154">
        <w:rPr>
          <w:lang w:eastAsia="pl-PL"/>
        </w:rPr>
        <w:t xml:space="preserve"> ogółem</w:t>
      </w:r>
      <w:r w:rsidR="008101A6">
        <w:rPr>
          <w:lang w:eastAsia="pl-PL"/>
        </w:rPr>
        <w:t xml:space="preserve"> przedsiębiorstw</w:t>
      </w:r>
      <w:r>
        <w:rPr>
          <w:lang w:eastAsia="pl-PL"/>
        </w:rPr>
        <w:t xml:space="preserve"> </w:t>
      </w:r>
      <w:r w:rsidR="0076298E">
        <w:rPr>
          <w:lang w:eastAsia="pl-PL"/>
        </w:rPr>
        <w:t>jednorocznych wyniosły 39 968,8</w:t>
      </w:r>
      <w:r>
        <w:rPr>
          <w:lang w:eastAsia="pl-PL"/>
        </w:rPr>
        <w:t xml:space="preserve"> mln zł, z czego</w:t>
      </w:r>
      <w:r w:rsidR="0076298E">
        <w:rPr>
          <w:lang w:eastAsia="pl-PL"/>
        </w:rPr>
        <w:t xml:space="preserve"> ponad 1/3 przypadała</w:t>
      </w:r>
      <w:r>
        <w:rPr>
          <w:lang w:eastAsia="pl-PL"/>
        </w:rPr>
        <w:t xml:space="preserve"> na handel; naprawę pojazdów samochodowych.</w:t>
      </w:r>
    </w:p>
    <w:p w:rsidR="00F809F9" w:rsidRDefault="00F809F9" w:rsidP="008101A6">
      <w:pPr>
        <w:rPr>
          <w:lang w:eastAsia="pl-PL"/>
        </w:rPr>
      </w:pPr>
    </w:p>
    <w:p w:rsidR="008F6927" w:rsidRDefault="00FB5906" w:rsidP="00B81DE1">
      <w:pPr>
        <w:pStyle w:val="tytuwykresu"/>
        <w:spacing w:before="0" w:after="0"/>
        <w:ind w:left="851" w:hanging="851"/>
        <w:rPr>
          <w:szCs w:val="18"/>
          <w:shd w:val="clear" w:color="auto" w:fill="FFFFFF"/>
        </w:rPr>
      </w:pPr>
      <w:r w:rsidRPr="00F809F9">
        <w:rPr>
          <w:szCs w:val="18"/>
        </w:rPr>
        <w:t xml:space="preserve">Wykres </w:t>
      </w:r>
      <w:r w:rsidR="00074DD8" w:rsidRPr="00F809F9">
        <w:rPr>
          <w:szCs w:val="18"/>
        </w:rPr>
        <w:t>1</w:t>
      </w:r>
      <w:r w:rsidR="008F4441" w:rsidRPr="00F809F9">
        <w:rPr>
          <w:szCs w:val="18"/>
        </w:rPr>
        <w:t>.</w:t>
      </w:r>
      <w:r w:rsidR="00A074EF" w:rsidRPr="00F809F9">
        <w:rPr>
          <w:szCs w:val="18"/>
          <w:shd w:val="clear" w:color="auto" w:fill="FFFFFF"/>
        </w:rPr>
        <w:t xml:space="preserve"> </w:t>
      </w:r>
      <w:r w:rsidR="00CC2637" w:rsidRPr="00F809F9">
        <w:rPr>
          <w:szCs w:val="18"/>
          <w:shd w:val="clear" w:color="auto" w:fill="FFFFFF"/>
        </w:rPr>
        <w:t>Przychody</w:t>
      </w:r>
      <w:r w:rsidR="005622E5" w:rsidRPr="00F809F9">
        <w:rPr>
          <w:szCs w:val="18"/>
          <w:shd w:val="clear" w:color="auto" w:fill="FFFFFF"/>
        </w:rPr>
        <w:t xml:space="preserve"> ogółem</w:t>
      </w:r>
      <w:r w:rsidR="00CC2637" w:rsidRPr="00F809F9">
        <w:rPr>
          <w:szCs w:val="18"/>
          <w:shd w:val="clear" w:color="auto" w:fill="FFFFFF"/>
        </w:rPr>
        <w:t xml:space="preserve"> oraz koszty</w:t>
      </w:r>
      <w:r w:rsidR="005622E5" w:rsidRPr="00F809F9">
        <w:rPr>
          <w:szCs w:val="18"/>
          <w:shd w:val="clear" w:color="auto" w:fill="FFFFFF"/>
        </w:rPr>
        <w:t xml:space="preserve"> ogółem</w:t>
      </w:r>
      <w:r w:rsidR="006C581B" w:rsidRPr="00F809F9">
        <w:rPr>
          <w:szCs w:val="18"/>
          <w:shd w:val="clear" w:color="auto" w:fill="FFFFFF"/>
        </w:rPr>
        <w:t xml:space="preserve"> przedsiębiorstw </w:t>
      </w:r>
      <w:r w:rsidR="00CC2637" w:rsidRPr="00F809F9">
        <w:rPr>
          <w:szCs w:val="18"/>
          <w:shd w:val="clear" w:color="auto" w:fill="FFFFFF"/>
        </w:rPr>
        <w:t>p</w:t>
      </w:r>
      <w:r w:rsidR="0076298E" w:rsidRPr="00F809F9">
        <w:rPr>
          <w:szCs w:val="18"/>
          <w:shd w:val="clear" w:color="auto" w:fill="FFFFFF"/>
        </w:rPr>
        <w:t>owstałych w 2018</w:t>
      </w:r>
      <w:r w:rsidR="00DB7154" w:rsidRPr="00F809F9">
        <w:rPr>
          <w:szCs w:val="18"/>
          <w:shd w:val="clear" w:color="auto" w:fill="FFFFFF"/>
        </w:rPr>
        <w:t xml:space="preserve"> roku i </w:t>
      </w:r>
      <w:r w:rsidR="0076298E" w:rsidRPr="00F809F9">
        <w:rPr>
          <w:szCs w:val="18"/>
          <w:shd w:val="clear" w:color="auto" w:fill="FFFFFF"/>
        </w:rPr>
        <w:t>aktyw</w:t>
      </w:r>
      <w:r w:rsidR="008F6927">
        <w:rPr>
          <w:szCs w:val="18"/>
          <w:shd w:val="clear" w:color="auto" w:fill="FFFFFF"/>
        </w:rPr>
        <w:t>-</w:t>
      </w:r>
    </w:p>
    <w:p w:rsidR="007F201B" w:rsidRPr="00F809F9" w:rsidRDefault="008F6927" w:rsidP="00B81DE1">
      <w:pPr>
        <w:pStyle w:val="tytuwykresu"/>
        <w:spacing w:before="0"/>
        <w:ind w:left="851" w:hanging="851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                    </w:t>
      </w:r>
      <w:r w:rsidR="0076298E" w:rsidRPr="00F809F9">
        <w:rPr>
          <w:szCs w:val="18"/>
          <w:shd w:val="clear" w:color="auto" w:fill="FFFFFF"/>
        </w:rPr>
        <w:t>nych do 2019</w:t>
      </w:r>
      <w:r w:rsidR="00CC2637" w:rsidRPr="00F809F9">
        <w:rPr>
          <w:szCs w:val="18"/>
          <w:shd w:val="clear" w:color="auto" w:fill="FFFFFF"/>
        </w:rPr>
        <w:t xml:space="preserve"> roku</w:t>
      </w:r>
      <w:r w:rsidR="006C581B" w:rsidRPr="00F809F9">
        <w:rPr>
          <w:szCs w:val="18"/>
          <w:shd w:val="clear" w:color="auto" w:fill="FFFFFF"/>
        </w:rPr>
        <w:t xml:space="preserve"> według sekcji PKD</w:t>
      </w:r>
    </w:p>
    <w:p w:rsidR="00F0483A" w:rsidRPr="00BF2577" w:rsidRDefault="00703A37" w:rsidP="00BF2577">
      <w:pPr>
        <w:pStyle w:val="Tekstprzypisudolnego"/>
        <w:jc w:val="both"/>
        <w:rPr>
          <w:rFonts w:cs="Arial"/>
          <w:color w:val="FF0000"/>
          <w:sz w:val="19"/>
          <w:szCs w:val="19"/>
        </w:rPr>
      </w:pPr>
      <w:r w:rsidRPr="00703A37">
        <w:rPr>
          <w:rFonts w:cs="Arial"/>
          <w:noProof/>
          <w:color w:val="FF0000"/>
          <w:sz w:val="19"/>
          <w:szCs w:val="19"/>
          <w:lang w:eastAsia="pl-PL"/>
        </w:rPr>
        <w:drawing>
          <wp:inline distT="0" distB="0" distL="0" distR="0">
            <wp:extent cx="5223052" cy="474756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7154" w:rsidRPr="00F809F9" w:rsidRDefault="008069C4" w:rsidP="00B81DE1">
      <w:pPr>
        <w:pStyle w:val="tytuwykresu"/>
        <w:spacing w:after="0"/>
        <w:ind w:left="851" w:hanging="851"/>
        <w:rPr>
          <w:shd w:val="clear" w:color="auto" w:fill="FFFFFF"/>
        </w:rPr>
      </w:pPr>
      <w:r w:rsidRPr="00F809F9">
        <w:rPr>
          <w:shd w:val="clear" w:color="auto" w:fill="FFFFFF"/>
        </w:rPr>
        <w:lastRenderedPageBreak/>
        <w:t>Wykres 2. M</w:t>
      </w:r>
      <w:r w:rsidR="00A75147" w:rsidRPr="00F809F9">
        <w:rPr>
          <w:shd w:val="clear" w:color="auto" w:fill="FFFFFF"/>
        </w:rPr>
        <w:t xml:space="preserve">iesięczne wynagrodzenie brutto na 1 zatrudnionego w przedsiębiorstwach </w:t>
      </w:r>
      <w:r w:rsidR="00DB7154" w:rsidRPr="00F809F9">
        <w:rPr>
          <w:shd w:val="clear" w:color="auto" w:fill="FFFFFF"/>
        </w:rPr>
        <w:t xml:space="preserve">         </w:t>
      </w:r>
    </w:p>
    <w:p w:rsidR="00A75147" w:rsidRPr="00F809F9" w:rsidRDefault="00CC036E" w:rsidP="00B81DE1">
      <w:pPr>
        <w:pStyle w:val="tytuwykresu"/>
        <w:spacing w:before="0"/>
        <w:ind w:left="851" w:hanging="851"/>
        <w:rPr>
          <w:shd w:val="clear" w:color="auto" w:fill="FFFFFF"/>
        </w:rPr>
      </w:pPr>
      <w:r w:rsidRPr="00F809F9">
        <w:rPr>
          <w:noProof/>
          <w:lang w:eastAsia="pl-PL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330835</wp:posOffset>
            </wp:positionV>
            <wp:extent cx="5123815" cy="3355340"/>
            <wp:effectExtent l="0" t="0" r="0" b="0"/>
            <wp:wrapTopAndBottom/>
            <wp:docPr id="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DB7154" w:rsidRPr="00F809F9">
        <w:rPr>
          <w:shd w:val="clear" w:color="auto" w:fill="FFFFFF"/>
        </w:rPr>
        <w:t xml:space="preserve">                   </w:t>
      </w:r>
      <w:r w:rsidR="008F6927">
        <w:rPr>
          <w:shd w:val="clear" w:color="auto" w:fill="FFFFFF"/>
        </w:rPr>
        <w:t xml:space="preserve"> </w:t>
      </w:r>
      <w:r w:rsidR="007669BB" w:rsidRPr="00F809F9">
        <w:rPr>
          <w:shd w:val="clear" w:color="auto" w:fill="FFFFFF"/>
        </w:rPr>
        <w:t>powstałych w 2018</w:t>
      </w:r>
      <w:r w:rsidR="00A75147" w:rsidRPr="00F809F9">
        <w:rPr>
          <w:shd w:val="clear" w:color="auto" w:fill="FFFFFF"/>
        </w:rPr>
        <w:t xml:space="preserve"> roku</w:t>
      </w:r>
      <w:r w:rsidR="00DB7154" w:rsidRPr="00F809F9">
        <w:rPr>
          <w:shd w:val="clear" w:color="auto" w:fill="FFFFFF"/>
        </w:rPr>
        <w:t xml:space="preserve"> i</w:t>
      </w:r>
      <w:r w:rsidR="007669BB" w:rsidRPr="00F809F9">
        <w:rPr>
          <w:shd w:val="clear" w:color="auto" w:fill="FFFFFF"/>
        </w:rPr>
        <w:t xml:space="preserve"> aktywnych do 2019</w:t>
      </w:r>
      <w:r w:rsidR="00A75147" w:rsidRPr="00F809F9">
        <w:rPr>
          <w:shd w:val="clear" w:color="auto" w:fill="FFFFFF"/>
        </w:rPr>
        <w:t xml:space="preserve"> roku według sekcji PKD</w:t>
      </w:r>
    </w:p>
    <w:p w:rsidR="00703A37" w:rsidRDefault="0001209A" w:rsidP="00CC2637">
      <w:pPr>
        <w:rPr>
          <w:shd w:val="clear" w:color="auto" w:fill="FFFFFF"/>
        </w:rPr>
      </w:pPr>
      <w:r>
        <w:rPr>
          <w:noProof/>
          <w:spacing w:val="-2"/>
          <w:szCs w:val="19"/>
          <w:lang w:eastAsia="pl-PL"/>
        </w:rPr>
        <w:pict>
          <v:shape id="Pole tekstowe 17" o:spid="_x0000_s1044" type="#_x0000_t202" style="position:absolute;margin-left:412.35pt;margin-top:289pt;width:135.85pt;height:57.4pt;z-index:-251553792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" filled="f" stroked="f">
            <v:textbox style="mso-next-textbox:#Pole tekstowe 17">
              <w:txbxContent>
                <w:p w:rsidR="005B3251" w:rsidRPr="006964CF" w:rsidRDefault="005B3251" w:rsidP="00F809F9">
                  <w:pPr>
                    <w:pStyle w:val="tekstzboku"/>
                    <w:spacing w:before="0"/>
                    <w:rPr>
                      <w:bCs w:val="0"/>
                    </w:rPr>
                  </w:pPr>
                  <w:r>
                    <w:t xml:space="preserve">W przedsiębiorstwach </w:t>
                  </w:r>
                  <w:r w:rsidRPr="00F809F9">
                    <w:t>jednorocznych</w:t>
                  </w:r>
                  <w:r>
                    <w:t xml:space="preserve"> miesięczne wynagrodzenie brutto na 1 zatrudnionego wyniosło 3 351</w:t>
                  </w:r>
                  <w:r w:rsidRPr="00DB7154">
                    <w:t xml:space="preserve"> zł</w:t>
                  </w:r>
                </w:p>
              </w:txbxContent>
            </v:textbox>
            <w10:wrap type="tight"/>
          </v:shape>
        </w:pict>
      </w:r>
    </w:p>
    <w:p w:rsidR="00AF7A50" w:rsidRDefault="00AF7A50" w:rsidP="00CC2637">
      <w:pPr>
        <w:rPr>
          <w:shd w:val="clear" w:color="auto" w:fill="FFFFFF"/>
        </w:rPr>
      </w:pPr>
      <w:r>
        <w:rPr>
          <w:shd w:val="clear" w:color="auto" w:fill="FFFFFF"/>
        </w:rPr>
        <w:t>Miesięczne wynagrodzenie brutto na 1 zatrudnionego w przedsiębiorstwach powstałych w roku</w:t>
      </w:r>
      <w:r w:rsidR="007669BB">
        <w:rPr>
          <w:shd w:val="clear" w:color="auto" w:fill="FFFFFF"/>
        </w:rPr>
        <w:t xml:space="preserve"> 2018 i aktywnych w 2019</w:t>
      </w:r>
      <w:r>
        <w:rPr>
          <w:shd w:val="clear" w:color="auto" w:fill="FFFFFF"/>
        </w:rPr>
        <w:t xml:space="preserve"> r. </w:t>
      </w:r>
      <w:r w:rsidRPr="00DB7154">
        <w:rPr>
          <w:shd w:val="clear" w:color="auto" w:fill="FFFFFF"/>
        </w:rPr>
        <w:t xml:space="preserve">wyniosło </w:t>
      </w:r>
      <w:r w:rsidR="007669BB">
        <w:rPr>
          <w:shd w:val="clear" w:color="auto" w:fill="FFFFFF"/>
        </w:rPr>
        <w:t>3 351</w:t>
      </w:r>
      <w:r w:rsidRPr="00DB7154">
        <w:rPr>
          <w:shd w:val="clear" w:color="auto" w:fill="FFFFFF"/>
        </w:rPr>
        <w:t xml:space="preserve"> zł</w:t>
      </w:r>
      <w:r>
        <w:rPr>
          <w:shd w:val="clear" w:color="auto" w:fill="FFFFFF"/>
        </w:rPr>
        <w:t xml:space="preserve"> i było zróżnicowane w zależności od rodzaju pr</w:t>
      </w:r>
      <w:r w:rsidR="007669BB">
        <w:rPr>
          <w:shd w:val="clear" w:color="auto" w:fill="FFFFFF"/>
        </w:rPr>
        <w:t>owadzonej działalności: od 2 429</w:t>
      </w:r>
      <w:r>
        <w:rPr>
          <w:shd w:val="clear" w:color="auto" w:fill="FFFFFF"/>
        </w:rPr>
        <w:t xml:space="preserve"> zł w </w:t>
      </w:r>
      <w:r w:rsidR="007669BB">
        <w:rPr>
          <w:shd w:val="clear" w:color="auto" w:fill="FFFFFF"/>
        </w:rPr>
        <w:t>zakwaterowaniu i gastronomii do 6 542</w:t>
      </w:r>
      <w:r>
        <w:rPr>
          <w:shd w:val="clear" w:color="auto" w:fill="FFFFFF"/>
        </w:rPr>
        <w:t xml:space="preserve"> zł w </w:t>
      </w:r>
      <w:r w:rsidR="007669BB">
        <w:rPr>
          <w:shd w:val="clear" w:color="auto" w:fill="FFFFFF"/>
        </w:rPr>
        <w:t>obsłudze rynku nieruchomości</w:t>
      </w:r>
      <w:r>
        <w:rPr>
          <w:shd w:val="clear" w:color="auto" w:fill="FFFFFF"/>
        </w:rPr>
        <w:t>.</w:t>
      </w:r>
    </w:p>
    <w:p w:rsidR="00CC036E" w:rsidRDefault="001149EE" w:rsidP="001149EE">
      <w:pPr>
        <w:rPr>
          <w:shd w:val="clear" w:color="auto" w:fill="FFFFFF"/>
        </w:rPr>
      </w:pPr>
      <w:r>
        <w:rPr>
          <w:shd w:val="clear" w:color="auto" w:fill="FFFFFF"/>
        </w:rPr>
        <w:t xml:space="preserve">W podziale terytorialnym </w:t>
      </w:r>
      <w:r w:rsidRPr="00DB7154">
        <w:rPr>
          <w:shd w:val="clear" w:color="auto" w:fill="FFFFFF"/>
        </w:rPr>
        <w:t>miesięczne wynagrodzenie</w:t>
      </w:r>
      <w:r w:rsidR="00AF7A50" w:rsidRPr="00DB7154">
        <w:rPr>
          <w:shd w:val="clear" w:color="auto" w:fill="FFFFFF"/>
        </w:rPr>
        <w:t xml:space="preserve"> brutto</w:t>
      </w:r>
      <w:r w:rsidRPr="00DB7154">
        <w:rPr>
          <w:shd w:val="clear" w:color="auto" w:fill="FFFFFF"/>
        </w:rPr>
        <w:t xml:space="preserve"> na 1 zatrudnionego</w:t>
      </w:r>
      <w:r>
        <w:rPr>
          <w:shd w:val="clear" w:color="auto" w:fill="FFFFFF"/>
        </w:rPr>
        <w:t xml:space="preserve"> </w:t>
      </w:r>
      <w:r w:rsidR="00AF7A50">
        <w:rPr>
          <w:shd w:val="clear" w:color="auto" w:fill="FFFFFF"/>
        </w:rPr>
        <w:t>dla</w:t>
      </w:r>
      <w:r w:rsidR="00E73BE7">
        <w:rPr>
          <w:shd w:val="clear" w:color="auto" w:fill="FFFFFF"/>
        </w:rPr>
        <w:t xml:space="preserve"> przedsiębiorstw</w:t>
      </w:r>
      <w:r w:rsidR="00AF7A50">
        <w:rPr>
          <w:shd w:val="clear" w:color="auto" w:fill="FFFFFF"/>
        </w:rPr>
        <w:t xml:space="preserve"> jednorocznych</w:t>
      </w:r>
      <w:r w:rsidR="00E73BE7">
        <w:rPr>
          <w:shd w:val="clear" w:color="auto" w:fill="FFFFFF"/>
        </w:rPr>
        <w:t xml:space="preserve"> </w:t>
      </w:r>
      <w:r>
        <w:rPr>
          <w:shd w:val="clear" w:color="auto" w:fill="FFFFFF"/>
        </w:rPr>
        <w:t>było najwyższe w województwach</w:t>
      </w:r>
      <w:r w:rsidR="00AF7A50">
        <w:rPr>
          <w:shd w:val="clear" w:color="auto" w:fill="FFFFFF"/>
        </w:rPr>
        <w:t>:</w:t>
      </w:r>
      <w:r>
        <w:rPr>
          <w:shd w:val="clear" w:color="auto" w:fill="FFFFFF"/>
        </w:rPr>
        <w:t xml:space="preserve"> mazowiec</w:t>
      </w:r>
      <w:r w:rsidR="007669BB">
        <w:rPr>
          <w:shd w:val="clear" w:color="auto" w:fill="FFFFFF"/>
        </w:rPr>
        <w:t>kim (4 426</w:t>
      </w:r>
      <w:r w:rsidR="00AF7A50">
        <w:rPr>
          <w:shd w:val="clear" w:color="auto" w:fill="FFFFFF"/>
        </w:rPr>
        <w:t xml:space="preserve"> zł)</w:t>
      </w:r>
      <w:r w:rsidR="007669BB">
        <w:rPr>
          <w:shd w:val="clear" w:color="auto" w:fill="FFFFFF"/>
        </w:rPr>
        <w:t>, śląskim (3 981 zł) i dolnośląskim (3 728 zł)</w:t>
      </w:r>
      <w:r>
        <w:rPr>
          <w:shd w:val="clear" w:color="auto" w:fill="FFFFFF"/>
        </w:rPr>
        <w:t>. Najniższe</w:t>
      </w:r>
      <w:r w:rsidR="00AF7A50">
        <w:rPr>
          <w:shd w:val="clear" w:color="auto" w:fill="FFFFFF"/>
        </w:rPr>
        <w:t xml:space="preserve"> było</w:t>
      </w:r>
      <w:r>
        <w:rPr>
          <w:shd w:val="clear" w:color="auto" w:fill="FFFFFF"/>
        </w:rPr>
        <w:t xml:space="preserve"> w województwach</w:t>
      </w:r>
      <w:r w:rsidR="00AF7A50">
        <w:rPr>
          <w:shd w:val="clear" w:color="auto" w:fill="FFFFFF"/>
        </w:rPr>
        <w:t>:</w:t>
      </w:r>
      <w:r w:rsidR="007669BB">
        <w:rPr>
          <w:shd w:val="clear" w:color="auto" w:fill="FFFFFF"/>
        </w:rPr>
        <w:t xml:space="preserve"> warmińsko-mazurskim (2 257 zł), lubuskim (2 421 zł) i świętokrzyskim (2 451 zł).</w:t>
      </w:r>
    </w:p>
    <w:p w:rsidR="00A75147" w:rsidRPr="00703A37" w:rsidRDefault="00A75147" w:rsidP="001149EE">
      <w:pPr>
        <w:rPr>
          <w:shd w:val="clear" w:color="auto" w:fill="FFFFFF"/>
        </w:rPr>
      </w:pPr>
    </w:p>
    <w:p w:rsidR="00DB7154" w:rsidRDefault="00DA10F0" w:rsidP="00B81DE1">
      <w:pPr>
        <w:pStyle w:val="tytuwykresu"/>
        <w:spacing w:after="0"/>
        <w:ind w:left="851" w:hanging="851"/>
        <w:rPr>
          <w:shd w:val="clear" w:color="auto" w:fill="FFFFFF"/>
        </w:rPr>
      </w:pPr>
      <w:r>
        <w:rPr>
          <w:shd w:val="clear" w:color="auto" w:fill="FFFFFF"/>
        </w:rPr>
        <w:t>Wykres 3. Przeciętne zatrudnienie</w:t>
      </w:r>
      <w:r w:rsidR="001149EE">
        <w:rPr>
          <w:shd w:val="clear" w:color="auto" w:fill="FFFFFF"/>
        </w:rPr>
        <w:t xml:space="preserve"> w prze</w:t>
      </w:r>
      <w:r w:rsidR="007669BB">
        <w:rPr>
          <w:shd w:val="clear" w:color="auto" w:fill="FFFFFF"/>
        </w:rPr>
        <w:t>dsiębiorstwach powstałych w 2018</w:t>
      </w:r>
      <w:r w:rsidR="001149EE">
        <w:rPr>
          <w:shd w:val="clear" w:color="auto" w:fill="FFFFFF"/>
        </w:rPr>
        <w:t xml:space="preserve"> roku</w:t>
      </w:r>
      <w:r w:rsidR="00DB7154">
        <w:rPr>
          <w:shd w:val="clear" w:color="auto" w:fill="FFFFFF"/>
        </w:rPr>
        <w:t xml:space="preserve"> i</w:t>
      </w:r>
      <w:r w:rsidR="001149EE">
        <w:rPr>
          <w:shd w:val="clear" w:color="auto" w:fill="FFFFFF"/>
        </w:rPr>
        <w:t xml:space="preserve"> </w:t>
      </w:r>
      <w:r w:rsidR="00DB7154">
        <w:rPr>
          <w:shd w:val="clear" w:color="auto" w:fill="FFFFFF"/>
        </w:rPr>
        <w:t xml:space="preserve">  </w:t>
      </w:r>
    </w:p>
    <w:p w:rsidR="00753AED" w:rsidRDefault="007F201B" w:rsidP="00B81DE1">
      <w:pPr>
        <w:pStyle w:val="tytuwykresu"/>
        <w:spacing w:before="0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343535</wp:posOffset>
            </wp:positionV>
            <wp:extent cx="5123815" cy="3217545"/>
            <wp:effectExtent l="0" t="0" r="0" b="0"/>
            <wp:wrapTopAndBottom/>
            <wp:docPr id="9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DB7154">
        <w:rPr>
          <w:shd w:val="clear" w:color="auto" w:fill="FFFFFF"/>
        </w:rPr>
        <w:t xml:space="preserve">                    </w:t>
      </w:r>
      <w:r w:rsidR="007669BB">
        <w:rPr>
          <w:shd w:val="clear" w:color="auto" w:fill="FFFFFF"/>
        </w:rPr>
        <w:t>aktywnych do 2019</w:t>
      </w:r>
      <w:r w:rsidR="001149EE">
        <w:rPr>
          <w:shd w:val="clear" w:color="auto" w:fill="FFFFFF"/>
        </w:rPr>
        <w:t xml:space="preserve"> roku według sekcji PKD</w:t>
      </w:r>
    </w:p>
    <w:p w:rsidR="00975E6E" w:rsidRDefault="00CE4C88" w:rsidP="00975E6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W 191</w:t>
      </w:r>
      <w:r w:rsidR="00420816">
        <w:rPr>
          <w:shd w:val="clear" w:color="auto" w:fill="FFFFFF"/>
        </w:rPr>
        <w:t> </w:t>
      </w:r>
      <w:r>
        <w:rPr>
          <w:shd w:val="clear" w:color="auto" w:fill="FFFFFF"/>
        </w:rPr>
        <w:t>818</w:t>
      </w:r>
      <w:r w:rsidR="00420816">
        <w:rPr>
          <w:shd w:val="clear" w:color="auto" w:fill="FFFFFF"/>
        </w:rPr>
        <w:t xml:space="preserve"> przedsiębiorstwach jedn</w:t>
      </w:r>
      <w:r>
        <w:rPr>
          <w:shd w:val="clear" w:color="auto" w:fill="FFFFFF"/>
        </w:rPr>
        <w:t>orocznych powstałych w roku 2018 pracowało 348 379</w:t>
      </w:r>
      <w:r w:rsidR="00420816">
        <w:rPr>
          <w:shd w:val="clear" w:color="auto" w:fill="FFFFFF"/>
        </w:rPr>
        <w:t xml:space="preserve"> osób</w:t>
      </w:r>
      <w:r w:rsidR="0072013C">
        <w:rPr>
          <w:shd w:val="clear" w:color="auto" w:fill="FFFFFF"/>
        </w:rPr>
        <w:t xml:space="preserve"> (tj. </w:t>
      </w:r>
      <w:r w:rsidR="007F201B">
        <w:rPr>
          <w:shd w:val="clear" w:color="auto" w:fill="FFFFFF"/>
        </w:rPr>
        <w:t xml:space="preserve"> o 19,1% </w:t>
      </w:r>
      <w:r w:rsidR="0072013C">
        <w:rPr>
          <w:shd w:val="clear" w:color="auto" w:fill="FFFFFF"/>
        </w:rPr>
        <w:t>więcej niż w</w:t>
      </w:r>
      <w:r w:rsidR="007F201B">
        <w:rPr>
          <w:shd w:val="clear" w:color="auto" w:fill="FFFFFF"/>
        </w:rPr>
        <w:t xml:space="preserve"> przedsiębiorstw</w:t>
      </w:r>
      <w:r w:rsidR="0072013C">
        <w:rPr>
          <w:shd w:val="clear" w:color="auto" w:fill="FFFFFF"/>
        </w:rPr>
        <w:t>ach</w:t>
      </w:r>
      <w:r w:rsidR="007F201B">
        <w:rPr>
          <w:shd w:val="clear" w:color="auto" w:fill="FFFFFF"/>
        </w:rPr>
        <w:t xml:space="preserve"> jednorocznych powstałych w 2017 roku)</w:t>
      </w:r>
      <w:r w:rsidR="00E73BE7">
        <w:rPr>
          <w:shd w:val="clear" w:color="auto" w:fill="FFFFFF"/>
        </w:rPr>
        <w:t>,</w:t>
      </w:r>
      <w:r w:rsidR="00420816">
        <w:rPr>
          <w:shd w:val="clear" w:color="auto" w:fill="FFFFFF"/>
        </w:rPr>
        <w:t xml:space="preserve"> z czego</w:t>
      </w:r>
      <w:r w:rsidR="00E73BE7">
        <w:rPr>
          <w:shd w:val="clear" w:color="auto" w:fill="FFFFFF"/>
        </w:rPr>
        <w:t xml:space="preserve"> n</w:t>
      </w:r>
      <w:r w:rsidR="00975E6E">
        <w:rPr>
          <w:shd w:val="clear" w:color="auto" w:fill="FFFFFF"/>
        </w:rPr>
        <w:t>ajwię</w:t>
      </w:r>
      <w:r w:rsidR="00420816">
        <w:rPr>
          <w:shd w:val="clear" w:color="auto" w:fill="FFFFFF"/>
        </w:rPr>
        <w:t>cej w podmiotach</w:t>
      </w:r>
      <w:r w:rsidR="00975E6E">
        <w:rPr>
          <w:shd w:val="clear" w:color="auto" w:fill="FFFFFF"/>
        </w:rPr>
        <w:t xml:space="preserve"> </w:t>
      </w:r>
      <w:r w:rsidR="00420816">
        <w:rPr>
          <w:shd w:val="clear" w:color="auto" w:fill="FFFFFF"/>
        </w:rPr>
        <w:t>z</w:t>
      </w:r>
      <w:r w:rsidR="00975E6E">
        <w:rPr>
          <w:shd w:val="clear" w:color="auto" w:fill="FFFFFF"/>
        </w:rPr>
        <w:t xml:space="preserve"> sekcj</w:t>
      </w:r>
      <w:r w:rsidR="00420816">
        <w:rPr>
          <w:shd w:val="clear" w:color="auto" w:fill="FFFFFF"/>
        </w:rPr>
        <w:t>i h</w:t>
      </w:r>
      <w:r w:rsidR="00975E6E">
        <w:rPr>
          <w:shd w:val="clear" w:color="auto" w:fill="FFFFFF"/>
        </w:rPr>
        <w:t>andel; naprawa pojazdów samochodo</w:t>
      </w:r>
      <w:r>
        <w:rPr>
          <w:shd w:val="clear" w:color="auto" w:fill="FFFFFF"/>
        </w:rPr>
        <w:t>wych (71</w:t>
      </w:r>
      <w:r w:rsidR="0072013C">
        <w:rPr>
          <w:shd w:val="clear" w:color="auto" w:fill="FFFFFF"/>
        </w:rPr>
        <w:t> </w:t>
      </w:r>
      <w:r>
        <w:rPr>
          <w:shd w:val="clear" w:color="auto" w:fill="FFFFFF"/>
        </w:rPr>
        <w:t>993</w:t>
      </w:r>
      <w:r w:rsidR="0072013C">
        <w:rPr>
          <w:shd w:val="clear" w:color="auto" w:fill="FFFFFF"/>
        </w:rPr>
        <w:t xml:space="preserve"> osób</w:t>
      </w:r>
      <w:r>
        <w:rPr>
          <w:shd w:val="clear" w:color="auto" w:fill="FFFFFF"/>
        </w:rPr>
        <w:t>),</w:t>
      </w:r>
      <w:r w:rsidR="00975E6E">
        <w:rPr>
          <w:shd w:val="clear" w:color="auto" w:fill="FFFFFF"/>
        </w:rPr>
        <w:t xml:space="preserve"> </w:t>
      </w:r>
      <w:r w:rsidR="00420816">
        <w:rPr>
          <w:shd w:val="clear" w:color="auto" w:fill="FFFFFF"/>
        </w:rPr>
        <w:t>b</w:t>
      </w:r>
      <w:r>
        <w:rPr>
          <w:shd w:val="clear" w:color="auto" w:fill="FFFFFF"/>
        </w:rPr>
        <w:t>udownictwo (66</w:t>
      </w:r>
      <w:r w:rsidR="0072013C">
        <w:rPr>
          <w:shd w:val="clear" w:color="auto" w:fill="FFFFFF"/>
        </w:rPr>
        <w:t> </w:t>
      </w:r>
      <w:r>
        <w:rPr>
          <w:shd w:val="clear" w:color="auto" w:fill="FFFFFF"/>
        </w:rPr>
        <w:t>268</w:t>
      </w:r>
      <w:r w:rsidR="0072013C">
        <w:rPr>
          <w:shd w:val="clear" w:color="auto" w:fill="FFFFFF"/>
        </w:rPr>
        <w:t xml:space="preserve"> osób</w:t>
      </w:r>
      <w:r w:rsidR="00975E6E">
        <w:rPr>
          <w:shd w:val="clear" w:color="auto" w:fill="FFFFFF"/>
        </w:rPr>
        <w:t>)</w:t>
      </w:r>
      <w:r>
        <w:rPr>
          <w:shd w:val="clear" w:color="auto" w:fill="FFFFFF"/>
        </w:rPr>
        <w:t xml:space="preserve"> i</w:t>
      </w:r>
      <w:r w:rsidRPr="00CE4C88">
        <w:rPr>
          <w:shd w:val="clear" w:color="auto" w:fill="FFFFFF"/>
        </w:rPr>
        <w:t xml:space="preserve"> </w:t>
      </w:r>
      <w:r>
        <w:rPr>
          <w:shd w:val="clear" w:color="auto" w:fill="FFFFFF"/>
        </w:rPr>
        <w:t>działalność profesjonalna, naukowa i techniczna (44</w:t>
      </w:r>
      <w:r w:rsidR="0072013C">
        <w:rPr>
          <w:shd w:val="clear" w:color="auto" w:fill="FFFFFF"/>
        </w:rPr>
        <w:t> </w:t>
      </w:r>
      <w:r>
        <w:rPr>
          <w:shd w:val="clear" w:color="auto" w:fill="FFFFFF"/>
        </w:rPr>
        <w:t>419</w:t>
      </w:r>
      <w:r w:rsidR="0072013C">
        <w:rPr>
          <w:shd w:val="clear" w:color="auto" w:fill="FFFFFF"/>
        </w:rPr>
        <w:t xml:space="preserve"> osób</w:t>
      </w:r>
      <w:r>
        <w:rPr>
          <w:shd w:val="clear" w:color="auto" w:fill="FFFFFF"/>
        </w:rPr>
        <w:t>)</w:t>
      </w:r>
      <w:r w:rsidR="00975E6E">
        <w:rPr>
          <w:shd w:val="clear" w:color="auto" w:fill="FFFFFF"/>
        </w:rPr>
        <w:t>.</w:t>
      </w:r>
    </w:p>
    <w:p w:rsidR="00023ACD" w:rsidRDefault="00975E6E" w:rsidP="00CC2637">
      <w:pPr>
        <w:rPr>
          <w:shd w:val="clear" w:color="auto" w:fill="FFFFFF"/>
        </w:rPr>
      </w:pPr>
      <w:r>
        <w:rPr>
          <w:shd w:val="clear" w:color="auto" w:fill="FFFFFF"/>
        </w:rPr>
        <w:t>W p</w:t>
      </w:r>
      <w:r w:rsidR="00420816">
        <w:rPr>
          <w:shd w:val="clear" w:color="auto" w:fill="FFFFFF"/>
        </w:rPr>
        <w:t>odziale terytorialnym najwięcej osób pracowało w przedsiębiorstwach jednorocznych mających siedzibę</w:t>
      </w:r>
      <w:r w:rsidR="00CE4C88">
        <w:rPr>
          <w:shd w:val="clear" w:color="auto" w:fill="FFFFFF"/>
        </w:rPr>
        <w:t xml:space="preserve"> w województwie mazowieckim (70 821</w:t>
      </w:r>
      <w:r w:rsidR="00420816">
        <w:rPr>
          <w:shd w:val="clear" w:color="auto" w:fill="FFFFFF"/>
        </w:rPr>
        <w:t xml:space="preserve"> osób)</w:t>
      </w:r>
      <w:r w:rsidR="00DB7154">
        <w:rPr>
          <w:shd w:val="clear" w:color="auto" w:fill="FFFFFF"/>
        </w:rPr>
        <w:t>,</w:t>
      </w:r>
      <w:r w:rsidR="00420816">
        <w:rPr>
          <w:shd w:val="clear" w:color="auto" w:fill="FFFFFF"/>
        </w:rPr>
        <w:t xml:space="preserve"> a najmniej w województwie opol</w:t>
      </w:r>
      <w:r w:rsidR="00CE4C88">
        <w:rPr>
          <w:shd w:val="clear" w:color="auto" w:fill="FFFFFF"/>
        </w:rPr>
        <w:t>skim (7 043</w:t>
      </w:r>
      <w:r w:rsidR="00420816">
        <w:rPr>
          <w:shd w:val="clear" w:color="auto" w:fill="FFFFFF"/>
        </w:rPr>
        <w:t xml:space="preserve"> osób).</w:t>
      </w:r>
    </w:p>
    <w:p w:rsidR="00F0483A" w:rsidRDefault="00F0483A" w:rsidP="00CC2637">
      <w:pPr>
        <w:rPr>
          <w:shd w:val="clear" w:color="auto" w:fill="FFFFFF"/>
        </w:rPr>
      </w:pPr>
    </w:p>
    <w:p w:rsidR="00C17825" w:rsidRDefault="00023ACD" w:rsidP="00B81DE1">
      <w:pPr>
        <w:spacing w:after="0"/>
        <w:ind w:left="851" w:hanging="851"/>
        <w:rPr>
          <w:b/>
          <w:shd w:val="clear" w:color="auto" w:fill="FFFFFF"/>
        </w:rPr>
      </w:pPr>
      <w:r w:rsidRPr="00023ACD">
        <w:rPr>
          <w:b/>
          <w:shd w:val="clear" w:color="auto" w:fill="FFFFFF"/>
        </w:rPr>
        <w:t>Wykres 4. Wskaźnik poziomu kosztów dla przedsiębiorstw powstałych w 201</w:t>
      </w:r>
      <w:r w:rsidR="00CE4C88">
        <w:rPr>
          <w:b/>
          <w:shd w:val="clear" w:color="auto" w:fill="FFFFFF"/>
        </w:rPr>
        <w:t>8</w:t>
      </w:r>
      <w:r w:rsidRPr="00023ACD">
        <w:rPr>
          <w:b/>
          <w:shd w:val="clear" w:color="auto" w:fill="FFFFFF"/>
        </w:rPr>
        <w:t xml:space="preserve"> roku</w:t>
      </w:r>
      <w:r w:rsidR="00C17825">
        <w:rPr>
          <w:b/>
          <w:shd w:val="clear" w:color="auto" w:fill="FFFFFF"/>
        </w:rPr>
        <w:t xml:space="preserve"> i</w:t>
      </w:r>
      <w:r w:rsidRPr="00023ACD">
        <w:rPr>
          <w:b/>
          <w:shd w:val="clear" w:color="auto" w:fill="FFFFFF"/>
        </w:rPr>
        <w:t xml:space="preserve"> </w:t>
      </w:r>
    </w:p>
    <w:p w:rsidR="00B726DE" w:rsidRPr="00023ACD" w:rsidRDefault="00CC036E" w:rsidP="00B81DE1">
      <w:pPr>
        <w:spacing w:before="0"/>
        <w:ind w:left="851" w:hanging="851"/>
        <w:rPr>
          <w:b/>
          <w:shd w:val="clear" w:color="auto" w:fill="FFFFFF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320675</wp:posOffset>
            </wp:positionV>
            <wp:extent cx="5201285" cy="4192270"/>
            <wp:effectExtent l="0" t="0" r="0" b="0"/>
            <wp:wrapTopAndBottom/>
            <wp:docPr id="10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17825">
        <w:rPr>
          <w:b/>
          <w:shd w:val="clear" w:color="auto" w:fill="FFFFFF"/>
        </w:rPr>
        <w:t xml:space="preserve">                    </w:t>
      </w:r>
      <w:r w:rsidR="00CE4C88">
        <w:rPr>
          <w:b/>
          <w:shd w:val="clear" w:color="auto" w:fill="FFFFFF"/>
        </w:rPr>
        <w:t>aktywnych do 2019</w:t>
      </w:r>
      <w:r w:rsidR="00023ACD" w:rsidRPr="00023ACD">
        <w:rPr>
          <w:b/>
          <w:shd w:val="clear" w:color="auto" w:fill="FFFFFF"/>
        </w:rPr>
        <w:t xml:space="preserve"> roku w</w:t>
      </w:r>
      <w:bookmarkStart w:id="0" w:name="_GoBack"/>
      <w:r w:rsidR="00023ACD" w:rsidRPr="00023ACD">
        <w:rPr>
          <w:b/>
          <w:shd w:val="clear" w:color="auto" w:fill="FFFFFF"/>
        </w:rPr>
        <w:t>edług</w:t>
      </w:r>
      <w:bookmarkEnd w:id="0"/>
      <w:r w:rsidR="00023ACD" w:rsidRPr="00023ACD">
        <w:rPr>
          <w:b/>
          <w:shd w:val="clear" w:color="auto" w:fill="FFFFFF"/>
        </w:rPr>
        <w:t xml:space="preserve"> sekcji PKD</w:t>
      </w:r>
    </w:p>
    <w:p w:rsidR="00B726DE" w:rsidRDefault="00B726DE" w:rsidP="00CC2637">
      <w:pPr>
        <w:rPr>
          <w:shd w:val="clear" w:color="auto" w:fill="FFFFFF"/>
        </w:rPr>
      </w:pPr>
    </w:p>
    <w:p w:rsidR="00420816" w:rsidRDefault="00E73BE7" w:rsidP="00CC2637">
      <w:pPr>
        <w:rPr>
          <w:shd w:val="clear" w:color="auto" w:fill="FFFFFF"/>
        </w:rPr>
      </w:pPr>
      <w:r>
        <w:rPr>
          <w:shd w:val="clear" w:color="auto" w:fill="FFFFFF"/>
        </w:rPr>
        <w:t>Wśród</w:t>
      </w:r>
      <w:r w:rsidR="008C207A">
        <w:rPr>
          <w:shd w:val="clear" w:color="auto" w:fill="FFFFFF"/>
        </w:rPr>
        <w:t xml:space="preserve"> p</w:t>
      </w:r>
      <w:r w:rsidR="00CE4C88">
        <w:rPr>
          <w:shd w:val="clear" w:color="auto" w:fill="FFFFFF"/>
        </w:rPr>
        <w:t>rzedsiębiorstw powstałych w 2018</w:t>
      </w:r>
      <w:r w:rsidR="008C207A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i </w:t>
      </w:r>
      <w:r w:rsidR="00420816">
        <w:rPr>
          <w:shd w:val="clear" w:color="auto" w:fill="FFFFFF"/>
        </w:rPr>
        <w:t>nadal</w:t>
      </w:r>
      <w:r w:rsidRPr="00E73BE7">
        <w:rPr>
          <w:shd w:val="clear" w:color="auto" w:fill="FFFFFF"/>
        </w:rPr>
        <w:t xml:space="preserve"> aktywnych</w:t>
      </w:r>
      <w:r w:rsidR="0001209A">
        <w:rPr>
          <w:noProof/>
          <w:lang w:eastAsia="pl-PL"/>
        </w:rPr>
        <w:pict>
          <v:shape id="_x0000_s1039" type="#_x0000_t202" style="position:absolute;margin-left:411pt;margin-top:-12.25pt;width:2in;height:113.25pt;z-index:251758592;mso-position-horizontal-relative:text;mso-position-vertical-relative:text" filled="f" stroked="f">
            <v:textbox style="mso-next-textbox:#_x0000_s1039">
              <w:txbxContent>
                <w:p w:rsidR="005B3251" w:rsidRPr="001C2ABA" w:rsidRDefault="005B3251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</v:shape>
        </w:pict>
      </w:r>
      <w:r>
        <w:rPr>
          <w:shd w:val="clear" w:color="auto" w:fill="FFFFFF"/>
        </w:rPr>
        <w:t xml:space="preserve"> w</w:t>
      </w:r>
      <w:r w:rsidR="00420816">
        <w:rPr>
          <w:shd w:val="clear" w:color="auto" w:fill="FFFFFF"/>
        </w:rPr>
        <w:t xml:space="preserve"> roku</w:t>
      </w:r>
      <w:r>
        <w:rPr>
          <w:shd w:val="clear" w:color="auto" w:fill="FFFFFF"/>
        </w:rPr>
        <w:t xml:space="preserve"> </w:t>
      </w:r>
      <w:r w:rsidR="00CE4C88">
        <w:rPr>
          <w:shd w:val="clear" w:color="auto" w:fill="FFFFFF"/>
        </w:rPr>
        <w:t>2019</w:t>
      </w:r>
      <w:r w:rsidR="0072013C">
        <w:rPr>
          <w:shd w:val="clear" w:color="auto" w:fill="FFFFFF"/>
        </w:rPr>
        <w:t xml:space="preserve"> najniższy</w:t>
      </w:r>
      <w:r w:rsidRPr="00DB7154">
        <w:rPr>
          <w:shd w:val="clear" w:color="auto" w:fill="FFFFFF"/>
        </w:rPr>
        <w:t xml:space="preserve"> </w:t>
      </w:r>
      <w:r w:rsidR="00DA1ED2" w:rsidRPr="00DB7154">
        <w:rPr>
          <w:shd w:val="clear" w:color="auto" w:fill="FFFFFF"/>
        </w:rPr>
        <w:t>wskaź</w:t>
      </w:r>
      <w:r w:rsidR="00DA1ED2" w:rsidRPr="0072013C">
        <w:rPr>
          <w:shd w:val="clear" w:color="auto" w:fill="FFFFFF"/>
        </w:rPr>
        <w:t>nik poziomu kosztów</w:t>
      </w:r>
      <w:r w:rsidR="00420816" w:rsidRPr="0072013C">
        <w:rPr>
          <w:shd w:val="clear" w:color="auto" w:fill="FFFFFF"/>
        </w:rPr>
        <w:t xml:space="preserve"> </w:t>
      </w:r>
      <w:r w:rsidR="0072013C" w:rsidRPr="0072013C">
        <w:rPr>
          <w:shd w:val="clear" w:color="auto" w:fill="FFFFFF"/>
        </w:rPr>
        <w:t>zaobserwowano</w:t>
      </w:r>
      <w:r w:rsidR="00420816">
        <w:rPr>
          <w:shd w:val="clear" w:color="auto" w:fill="FFFFFF"/>
        </w:rPr>
        <w:t xml:space="preserve"> w </w:t>
      </w:r>
      <w:r w:rsidR="00CE4C88">
        <w:rPr>
          <w:shd w:val="clear" w:color="auto" w:fill="FFFFFF"/>
        </w:rPr>
        <w:t xml:space="preserve">działalności profesjonalnej, naukowej i technicznej </w:t>
      </w:r>
      <w:r w:rsidR="0072013C">
        <w:rPr>
          <w:shd w:val="clear" w:color="auto" w:fill="FFFFFF"/>
        </w:rPr>
        <w:t xml:space="preserve">(63,8%). Wskaźnik ten przekroczył 100% dla jednostek z sekcji </w:t>
      </w:r>
      <w:r w:rsidR="00465AFE">
        <w:rPr>
          <w:shd w:val="clear" w:color="auto" w:fill="FFFFFF"/>
        </w:rPr>
        <w:t>opieka zdrowotna i pomoc społeczna (152,2%), zakwaterowanie i gastronomia (142,8%), obsługa rynku nieruchomości (115,8%) i pozostała działalność usługowa (113,1%)</w:t>
      </w:r>
      <w:r w:rsidR="00420816">
        <w:rPr>
          <w:shd w:val="clear" w:color="auto" w:fill="FFFFFF"/>
        </w:rPr>
        <w:t>.</w:t>
      </w:r>
      <w:r w:rsidR="008C207A">
        <w:rPr>
          <w:shd w:val="clear" w:color="auto" w:fill="FFFFFF"/>
        </w:rPr>
        <w:t xml:space="preserve"> </w:t>
      </w:r>
    </w:p>
    <w:p w:rsidR="007F188A" w:rsidRPr="00F8647D" w:rsidRDefault="00DA1ED2" w:rsidP="00F8647D">
      <w:pPr>
        <w:rPr>
          <w:shd w:val="clear" w:color="auto" w:fill="FFFFFF"/>
        </w:rPr>
      </w:pPr>
      <w:r>
        <w:rPr>
          <w:shd w:val="clear" w:color="auto" w:fill="FFFFFF"/>
        </w:rPr>
        <w:t xml:space="preserve">W </w:t>
      </w:r>
      <w:r w:rsidR="00420816">
        <w:rPr>
          <w:shd w:val="clear" w:color="auto" w:fill="FFFFFF"/>
        </w:rPr>
        <w:t>podziale terytorialnym najniższą</w:t>
      </w:r>
      <w:r>
        <w:rPr>
          <w:shd w:val="clear" w:color="auto" w:fill="FFFFFF"/>
        </w:rPr>
        <w:t xml:space="preserve"> wartość wskaźnika</w:t>
      </w:r>
      <w:r w:rsidR="00420816">
        <w:rPr>
          <w:shd w:val="clear" w:color="auto" w:fill="FFFFFF"/>
        </w:rPr>
        <w:t xml:space="preserve"> poziomu kosztów</w:t>
      </w:r>
      <w:r w:rsidR="00753AED">
        <w:rPr>
          <w:shd w:val="clear" w:color="auto" w:fill="FFFFFF"/>
        </w:rPr>
        <w:t xml:space="preserve"> zanotowano</w:t>
      </w:r>
      <w:r w:rsidR="00175182">
        <w:rPr>
          <w:shd w:val="clear" w:color="auto" w:fill="FFFFFF"/>
        </w:rPr>
        <w:t xml:space="preserve"> dla województwa małopol</w:t>
      </w:r>
      <w:r w:rsidR="00CE4C88">
        <w:rPr>
          <w:shd w:val="clear" w:color="auto" w:fill="FFFFFF"/>
        </w:rPr>
        <w:t>skiego (72,0</w:t>
      </w:r>
      <w:r w:rsidR="00753AED">
        <w:rPr>
          <w:shd w:val="clear" w:color="auto" w:fill="FFFFFF"/>
        </w:rPr>
        <w:t>%), a najwyższą</w:t>
      </w:r>
      <w:r w:rsidR="00175182">
        <w:rPr>
          <w:shd w:val="clear" w:color="auto" w:fill="FFFFFF"/>
        </w:rPr>
        <w:t xml:space="preserve"> dla w</w:t>
      </w:r>
      <w:r w:rsidR="00CE4C88">
        <w:rPr>
          <w:shd w:val="clear" w:color="auto" w:fill="FFFFFF"/>
        </w:rPr>
        <w:t>ojewództwa mazowieckiego (105,2</w:t>
      </w:r>
      <w:r w:rsidR="00175182">
        <w:rPr>
          <w:shd w:val="clear" w:color="auto" w:fill="FFFFFF"/>
        </w:rPr>
        <w:t>%).</w:t>
      </w:r>
    </w:p>
    <w:p w:rsidR="001976D8" w:rsidRPr="00001C5B" w:rsidRDefault="001976D8" w:rsidP="0075509D">
      <w:pPr>
        <w:rPr>
          <w:sz w:val="18"/>
        </w:rPr>
        <w:sectPr w:rsidR="001976D8" w:rsidRPr="00001C5B" w:rsidSect="00606E8E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870B4D" w:rsidRDefault="008B18FF" w:rsidP="00F802BE">
      <w:pPr>
        <w:rPr>
          <w:b/>
        </w:rPr>
      </w:pPr>
      <w:r>
        <w:rPr>
          <w:b/>
        </w:rPr>
        <w:lastRenderedPageBreak/>
        <w:t>Aneks tabelaryczny</w:t>
      </w:r>
    </w:p>
    <w:p w:rsidR="008C207A" w:rsidRPr="00A04000" w:rsidRDefault="00BA3562" w:rsidP="008C207A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t xml:space="preserve">Tablica 1. </w:t>
      </w:r>
      <w:r w:rsidR="009B203D" w:rsidRPr="00A04000">
        <w:rPr>
          <w:b/>
          <w:spacing w:val="-2"/>
          <w:szCs w:val="19"/>
          <w:shd w:val="clear" w:color="auto" w:fill="FFFFFF"/>
        </w:rPr>
        <w:t xml:space="preserve"> </w:t>
      </w:r>
      <w:r w:rsidR="00870B4D" w:rsidRPr="00A04000">
        <w:rPr>
          <w:b/>
          <w:spacing w:val="-2"/>
          <w:szCs w:val="19"/>
          <w:shd w:val="clear" w:color="auto" w:fill="FFFFFF"/>
        </w:rPr>
        <w:t xml:space="preserve">Podstawowe dane o </w:t>
      </w:r>
      <w:r w:rsidR="009B203D" w:rsidRPr="00A04000">
        <w:rPr>
          <w:b/>
          <w:spacing w:val="-2"/>
          <w:szCs w:val="19"/>
          <w:shd w:val="clear" w:color="auto" w:fill="FFFFFF"/>
        </w:rPr>
        <w:t>przedsiębiorstwach</w:t>
      </w:r>
      <w:r w:rsidR="00465AFE" w:rsidRPr="00A04000">
        <w:rPr>
          <w:b/>
          <w:spacing w:val="-2"/>
          <w:szCs w:val="19"/>
          <w:shd w:val="clear" w:color="auto" w:fill="FFFFFF"/>
        </w:rPr>
        <w:t xml:space="preserve"> powstałych w 2018 r. i aktywnych do 2019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  <w:r w:rsidR="009B203D" w:rsidRPr="00A04000">
        <w:rPr>
          <w:b/>
          <w:spacing w:val="-2"/>
          <w:szCs w:val="19"/>
          <w:shd w:val="clear" w:color="auto" w:fill="FFFFFF"/>
        </w:rPr>
        <w:t xml:space="preserve"> </w:t>
      </w:r>
    </w:p>
    <w:p w:rsidR="00991BAC" w:rsidRPr="00A04000" w:rsidRDefault="008C207A" w:rsidP="008C207A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t xml:space="preserve">                     </w:t>
      </w:r>
      <w:r w:rsidR="009B203D" w:rsidRPr="00A04000">
        <w:rPr>
          <w:b/>
          <w:spacing w:val="-2"/>
          <w:szCs w:val="19"/>
          <w:shd w:val="clear" w:color="auto" w:fill="FFFFFF"/>
        </w:rPr>
        <w:t xml:space="preserve">według podstawowego rodzaju prowadzonej </w:t>
      </w:r>
      <w:r w:rsidRPr="00A04000">
        <w:rPr>
          <w:b/>
          <w:spacing w:val="-2"/>
          <w:szCs w:val="19"/>
          <w:shd w:val="clear" w:color="auto" w:fill="FFFFFF"/>
        </w:rPr>
        <w:t>działalności</w:t>
      </w:r>
    </w:p>
    <w:p w:rsidR="005E28BE" w:rsidRDefault="005E28BE" w:rsidP="009B203D">
      <w:pPr>
        <w:spacing w:before="0" w:after="0"/>
        <w:ind w:firstLine="851"/>
        <w:rPr>
          <w:b/>
          <w:spacing w:val="-2"/>
          <w:sz w:val="18"/>
          <w:shd w:val="clear" w:color="auto" w:fill="FFFFFF"/>
        </w:rPr>
      </w:pPr>
    </w:p>
    <w:tbl>
      <w:tblPr>
        <w:tblW w:w="9229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34"/>
        <w:gridCol w:w="1134"/>
        <w:gridCol w:w="1167"/>
        <w:gridCol w:w="1101"/>
        <w:gridCol w:w="1134"/>
      </w:tblGrid>
      <w:tr w:rsidR="004340CA" w:rsidRPr="008B18FF" w:rsidTr="00A76EC3">
        <w:trPr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Pr="008B18FF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9B203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4340CA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4340CA" w:rsidRPr="008B18FF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pracujących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1C2AB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67" w:type="dxa"/>
            <w:tcBorders>
              <w:top w:val="nil"/>
              <w:left w:val="single" w:sz="2" w:space="0" w:color="002060"/>
              <w:bottom w:val="nil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Wynagrodzenia</w:t>
            </w:r>
          </w:p>
          <w:p w:rsidR="004340CA" w:rsidRPr="008B18FF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4340CA" w:rsidRPr="008B18FF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134" w:type="dxa"/>
            <w:tcBorders>
              <w:top w:val="nil"/>
              <w:left w:val="single" w:sz="2" w:space="0" w:color="002060"/>
              <w:right w:val="nil"/>
            </w:tcBorders>
            <w:vAlign w:val="center"/>
          </w:tcPr>
          <w:p w:rsidR="00BA4F9B" w:rsidRDefault="00BA4F9B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</w:t>
            </w:r>
          </w:p>
          <w:p w:rsidR="004340CA" w:rsidRPr="008B18FF" w:rsidRDefault="004340CA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</w:tr>
      <w:tr w:rsidR="00D25B73" w:rsidRPr="00D25B73" w:rsidTr="005B3251">
        <w:trPr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vAlign w:val="center"/>
          </w:tcPr>
          <w:p w:rsidR="00D25B73" w:rsidRPr="008B18FF" w:rsidRDefault="00D25B73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2060"/>
              <w:left w:val="single" w:sz="2" w:space="0" w:color="002060"/>
              <w:bottom w:val="single" w:sz="12" w:space="0" w:color="001D77"/>
            </w:tcBorders>
            <w:shd w:val="clear" w:color="auto" w:fill="auto"/>
            <w:vAlign w:val="center"/>
          </w:tcPr>
          <w:p w:rsidR="00D25B73" w:rsidRPr="00D25B73" w:rsidRDefault="009372B3" w:rsidP="00D25B7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</w:t>
            </w:r>
            <w:r w:rsidR="00D25B73"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BA4F9B" w:rsidRPr="008B18FF" w:rsidTr="005B3251">
        <w:trPr>
          <w:trHeight w:val="735"/>
        </w:trPr>
        <w:tc>
          <w:tcPr>
            <w:tcW w:w="2425" w:type="dxa"/>
            <w:tcBorders>
              <w:top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O G Ó Ł E M 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BA4F9B" w:rsidRPr="001C2ABA" w:rsidRDefault="00BA4F9B" w:rsidP="005B3251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191</w:t>
            </w:r>
            <w:r w:rsidR="00465AF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818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BA4F9B" w:rsidRPr="009372B3" w:rsidRDefault="00BA4F9B" w:rsidP="005B3251">
            <w:pPr>
              <w:jc w:val="right"/>
              <w:rPr>
                <w:b/>
                <w:color w:val="000000"/>
                <w:sz w:val="22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348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BA4F9B" w:rsidRPr="009372B3" w:rsidRDefault="00BA4F9B" w:rsidP="005B325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1167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BA4F9B" w:rsidRPr="0023662D" w:rsidRDefault="00BA4F9B" w:rsidP="005B325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> </w:t>
            </w:r>
            <w:r>
              <w:rPr>
                <w:rFonts w:cs="Arial"/>
                <w:b/>
                <w:bCs/>
                <w:sz w:val="16"/>
                <w:szCs w:val="16"/>
              </w:rPr>
              <w:t>799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1101" w:type="dxa"/>
            <w:tcBorders>
              <w:top w:val="single" w:sz="12" w:space="0" w:color="001D77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4F9B">
              <w:rPr>
                <w:rFonts w:cs="Arial"/>
                <w:b/>
                <w:bCs/>
                <w:sz w:val="16"/>
                <w:szCs w:val="16"/>
              </w:rPr>
              <w:t>44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069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/>
                <w:bCs/>
                <w:sz w:val="16"/>
                <w:szCs w:val="16"/>
              </w:rPr>
              <w:t>39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968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768</w:t>
            </w:r>
          </w:p>
        </w:tc>
      </w:tr>
      <w:tr w:rsidR="00BA4F9B" w:rsidRPr="008B18FF" w:rsidTr="00596769">
        <w:trPr>
          <w:trHeight w:val="616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9475C1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B + C + D + E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Przemysł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16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37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10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978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417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752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4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119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3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911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753</w:t>
            </w:r>
          </w:p>
        </w:tc>
      </w:tr>
      <w:tr w:rsidR="00BA4F9B" w:rsidRPr="008B18FF" w:rsidTr="00596769">
        <w:trPr>
          <w:trHeight w:val="746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    w tym: 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</w:t>
            </w: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C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Przetwórstwo 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   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przemysłowe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3044C3" w:rsidP="005B325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485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3044C3" w:rsidP="005B325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3044C3" w:rsidP="005B325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689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3044C3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408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335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3044C3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>
              <w:rPr>
                <w:rFonts w:cs="Arial"/>
                <w:bCs/>
                <w:sz w:val="16"/>
                <w:szCs w:val="16"/>
              </w:rPr>
              <w:t>702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894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3044C3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516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120</w:t>
            </w:r>
          </w:p>
        </w:tc>
      </w:tr>
      <w:tr w:rsidR="00BA4F9B" w:rsidRPr="008B18FF" w:rsidTr="00596769">
        <w:trPr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9475C1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F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Budownictwo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38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615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66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12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434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882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6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838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009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4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825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016</w:t>
            </w:r>
          </w:p>
        </w:tc>
      </w:tr>
      <w:tr w:rsidR="00BA4F9B" w:rsidRPr="008B18FF" w:rsidTr="00596769">
        <w:trPr>
          <w:trHeight w:val="476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9475C1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G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Handel i naprawa poj. samoch.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33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027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71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993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17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863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659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006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15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668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14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919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019</w:t>
            </w:r>
          </w:p>
        </w:tc>
      </w:tr>
      <w:tr w:rsidR="00BA4F9B" w:rsidRPr="008B18FF" w:rsidTr="00596769">
        <w:trPr>
          <w:trHeight w:val="780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H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Transport i gospodarka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magazynowa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12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20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982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3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102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984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2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037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377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827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720</w:t>
            </w:r>
          </w:p>
        </w:tc>
      </w:tr>
      <w:tr w:rsidR="00BA4F9B" w:rsidRPr="008B18FF" w:rsidTr="00596769">
        <w:trPr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9475C1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I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Zakwaterowanie i gastronomia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5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837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11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736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50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619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800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338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143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172</w:t>
            </w:r>
          </w:p>
        </w:tc>
      </w:tr>
      <w:tr w:rsidR="00BA4F9B" w:rsidRPr="008B18FF" w:rsidTr="00596769">
        <w:trPr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9475C1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 xml:space="preserve">Sekcja J 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Informacja i komunikacja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15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607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22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785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186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685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3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859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3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124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609</w:t>
            </w:r>
          </w:p>
        </w:tc>
      </w:tr>
      <w:tr w:rsidR="00BA4F9B" w:rsidRPr="008B18FF" w:rsidTr="00596769">
        <w:trPr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9475C1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L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Obsługa rynku nieruchomości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3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967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9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875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225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776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756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066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2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033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703</w:t>
            </w:r>
          </w:p>
        </w:tc>
      </w:tr>
      <w:tr w:rsidR="00BA4F9B" w:rsidRPr="008B18FF" w:rsidTr="00596769">
        <w:trPr>
          <w:trHeight w:val="750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M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Działalność profesjonalna, 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naukowa i techniczna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27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528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44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419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7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983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359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865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3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665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766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2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337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747</w:t>
            </w:r>
          </w:p>
        </w:tc>
      </w:tr>
      <w:tr w:rsidR="00BA4F9B" w:rsidRPr="008B18FF" w:rsidTr="00596769">
        <w:trPr>
          <w:trHeight w:val="79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N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Administrowanie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 działalność wspierająca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9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20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442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4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558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187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873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3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032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384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2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870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752</w:t>
            </w:r>
          </w:p>
        </w:tc>
      </w:tr>
      <w:tr w:rsidR="00BA4F9B" w:rsidRPr="008B18FF" w:rsidTr="00596769">
        <w:trPr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9475C1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P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Edukacja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6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521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8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496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15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741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200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548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168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704</w:t>
            </w:r>
          </w:p>
        </w:tc>
      </w:tr>
      <w:tr w:rsidR="00BA4F9B" w:rsidRPr="008B18FF" w:rsidTr="00596769">
        <w:trPr>
          <w:trHeight w:val="780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Q</w:t>
            </w:r>
            <w:r w:rsidRPr="00DB296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Opieka zdrowotna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i pomoc społeczna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8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15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833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779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99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131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261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1</w:t>
            </w:r>
            <w:r w:rsidR="00465AFE">
              <w:rPr>
                <w:rFonts w:cs="Arial"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Cs/>
                <w:sz w:val="16"/>
                <w:szCs w:val="16"/>
              </w:rPr>
              <w:t>919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749</w:t>
            </w:r>
          </w:p>
        </w:tc>
      </w:tr>
      <w:tr w:rsidR="00BA4F9B" w:rsidRPr="008B18FF" w:rsidTr="00596769">
        <w:trPr>
          <w:trHeight w:val="476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BA4F9B" w:rsidRPr="00DB296F" w:rsidRDefault="00BA4F9B" w:rsidP="00DE10B3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R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Kultura i rekreacja 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2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894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4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479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116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21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618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302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722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289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176</w:t>
            </w:r>
          </w:p>
        </w:tc>
      </w:tr>
      <w:tr w:rsidR="00BA4F9B" w:rsidRPr="008B18FF" w:rsidTr="00BA4F9B">
        <w:trPr>
          <w:trHeight w:val="780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vAlign w:val="bottom"/>
            <w:hideMark/>
          </w:tcPr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S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Pozostała działalność </w:t>
            </w:r>
          </w:p>
          <w:p w:rsidR="00BA4F9B" w:rsidRPr="008B18FF" w:rsidRDefault="00BA4F9B" w:rsidP="00DE10B3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usługowa 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10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558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15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649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sz w:val="16"/>
                <w:szCs w:val="16"/>
              </w:rPr>
            </w:pPr>
            <w:r w:rsidRPr="000E68C0">
              <w:rPr>
                <w:rFonts w:cs="Arial"/>
                <w:sz w:val="16"/>
                <w:szCs w:val="16"/>
              </w:rPr>
              <w:t>1</w:t>
            </w:r>
            <w:r w:rsidR="00465AFE">
              <w:rPr>
                <w:rFonts w:cs="Arial"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167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BA4F9B" w:rsidRPr="000E68C0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E68C0">
              <w:rPr>
                <w:rFonts w:cs="Arial"/>
                <w:bCs/>
                <w:sz w:val="16"/>
                <w:szCs w:val="16"/>
              </w:rPr>
              <w:t>37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68C0">
              <w:rPr>
                <w:rFonts w:cs="Arial"/>
                <w:bCs/>
                <w:sz w:val="16"/>
                <w:szCs w:val="16"/>
              </w:rPr>
              <w:t>922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528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479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vAlign w:val="center"/>
          </w:tcPr>
          <w:p w:rsidR="00BA4F9B" w:rsidRPr="00BA4F9B" w:rsidRDefault="00BA4F9B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Cs/>
                <w:sz w:val="16"/>
                <w:szCs w:val="16"/>
              </w:rPr>
              <w:t>597</w:t>
            </w:r>
            <w:r w:rsidR="00465AF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Cs/>
                <w:sz w:val="16"/>
                <w:szCs w:val="16"/>
              </w:rPr>
              <w:t>648</w:t>
            </w:r>
          </w:p>
        </w:tc>
      </w:tr>
    </w:tbl>
    <w:p w:rsidR="001427A6" w:rsidRDefault="001427A6" w:rsidP="00DE10B3">
      <w:pPr>
        <w:rPr>
          <w:b/>
          <w:spacing w:val="-2"/>
          <w:sz w:val="18"/>
          <w:shd w:val="clear" w:color="auto" w:fill="FFFFFF"/>
        </w:rPr>
      </w:pP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77622" w:rsidTr="00D77622">
        <w:trPr>
          <w:trHeight w:hRule="exact" w:val="424"/>
        </w:trPr>
        <w:tc>
          <w:tcPr>
            <w:tcW w:w="10314" w:type="dxa"/>
            <w:vAlign w:val="bottom"/>
          </w:tcPr>
          <w:p w:rsidR="00D77622" w:rsidRDefault="00D77622" w:rsidP="00DB7154">
            <w:pPr>
              <w:jc w:val="center"/>
              <w:rPr>
                <w:i/>
                <w:spacing w:val="-2"/>
                <w:sz w:val="16"/>
                <w:szCs w:val="16"/>
                <w:shd w:val="clear" w:color="auto" w:fill="FFFFFF"/>
              </w:rPr>
            </w:pPr>
          </w:p>
        </w:tc>
      </w:tr>
    </w:tbl>
    <w:p w:rsidR="005E28BE" w:rsidRDefault="005E28BE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BA1780" w:rsidRPr="00A04000" w:rsidRDefault="00717A77" w:rsidP="00717A77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lastRenderedPageBreak/>
        <w:t>Tablica 2.  Podstawowe dane o przedsiębiorstwach</w:t>
      </w:r>
      <w:r w:rsidR="00465AFE" w:rsidRPr="00A04000">
        <w:rPr>
          <w:b/>
          <w:spacing w:val="-2"/>
          <w:szCs w:val="19"/>
          <w:shd w:val="clear" w:color="auto" w:fill="FFFFFF"/>
        </w:rPr>
        <w:t xml:space="preserve"> powstałych w 2018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  <w:r w:rsidR="00DB7154" w:rsidRPr="00A04000">
        <w:rPr>
          <w:b/>
          <w:spacing w:val="-2"/>
          <w:szCs w:val="19"/>
          <w:shd w:val="clear" w:color="auto" w:fill="FFFFFF"/>
        </w:rPr>
        <w:t xml:space="preserve"> i</w:t>
      </w:r>
      <w:r w:rsidR="00465AFE" w:rsidRPr="00A04000">
        <w:rPr>
          <w:b/>
          <w:spacing w:val="-2"/>
          <w:szCs w:val="19"/>
          <w:shd w:val="clear" w:color="auto" w:fill="FFFFFF"/>
        </w:rPr>
        <w:t xml:space="preserve"> aktywnych do 2019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</w:p>
    <w:p w:rsidR="00717A77" w:rsidRPr="00A04000" w:rsidRDefault="00BA1780" w:rsidP="00717A77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t xml:space="preserve">                     </w:t>
      </w:r>
      <w:r w:rsidR="00717A77" w:rsidRPr="00A04000">
        <w:rPr>
          <w:b/>
          <w:spacing w:val="-2"/>
          <w:szCs w:val="19"/>
          <w:shd w:val="clear" w:color="auto" w:fill="FFFFFF"/>
        </w:rPr>
        <w:t>w</w:t>
      </w:r>
      <w:r w:rsidRPr="00A04000">
        <w:rPr>
          <w:b/>
          <w:spacing w:val="-2"/>
          <w:szCs w:val="19"/>
          <w:shd w:val="clear" w:color="auto" w:fill="FFFFFF"/>
        </w:rPr>
        <w:t>e</w:t>
      </w:r>
      <w:r w:rsidR="00717A77" w:rsidRPr="00A04000">
        <w:rPr>
          <w:b/>
          <w:spacing w:val="-2"/>
          <w:szCs w:val="19"/>
          <w:shd w:val="clear" w:color="auto" w:fill="FFFFFF"/>
        </w:rPr>
        <w:t>dług woje</w:t>
      </w:r>
      <w:r w:rsidR="008C207A" w:rsidRPr="00A04000">
        <w:rPr>
          <w:b/>
          <w:spacing w:val="-2"/>
          <w:szCs w:val="19"/>
          <w:shd w:val="clear" w:color="auto" w:fill="FFFFFF"/>
        </w:rPr>
        <w:t>wództw</w:t>
      </w: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tbl>
      <w:tblPr>
        <w:tblW w:w="9247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27"/>
        <w:gridCol w:w="1141"/>
        <w:gridCol w:w="1167"/>
        <w:gridCol w:w="1101"/>
        <w:gridCol w:w="992"/>
        <w:gridCol w:w="160"/>
      </w:tblGrid>
      <w:tr w:rsidR="004340CA" w:rsidRPr="008B18FF" w:rsidTr="00596769">
        <w:trPr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Pr="008B18FF" w:rsidRDefault="004340CA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4340CA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pracujących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67" w:type="dxa"/>
            <w:tcBorders>
              <w:top w:val="nil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4340CA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Wynagrodzenia</w:t>
            </w:r>
          </w:p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992" w:type="dxa"/>
            <w:tcBorders>
              <w:top w:val="nil"/>
              <w:left w:val="single" w:sz="2" w:space="0" w:color="002060"/>
              <w:bottom w:val="single" w:sz="2" w:space="0" w:color="002060"/>
              <w:right w:val="nil"/>
            </w:tcBorders>
            <w:vAlign w:val="center"/>
          </w:tcPr>
          <w:p w:rsidR="004340CA" w:rsidRPr="008B18FF" w:rsidRDefault="004340CA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340CA" w:rsidRPr="008B18FF" w:rsidRDefault="004340CA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0CA" w:rsidRPr="00D25B73" w:rsidTr="00596769">
        <w:trPr>
          <w:gridAfter w:val="1"/>
          <w:wAfter w:w="160" w:type="dxa"/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4340CA" w:rsidRPr="008B18FF" w:rsidRDefault="004340CA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2060"/>
              <w:left w:val="single" w:sz="2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4340CA" w:rsidRPr="00D25B73" w:rsidRDefault="004340CA" w:rsidP="007C0FDE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</w:t>
            </w:r>
            <w:r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3044C3" w:rsidRPr="008B18FF" w:rsidTr="003044C3">
        <w:trPr>
          <w:gridAfter w:val="1"/>
          <w:wAfter w:w="160" w:type="dxa"/>
          <w:trHeight w:val="735"/>
        </w:trPr>
        <w:tc>
          <w:tcPr>
            <w:tcW w:w="2425" w:type="dxa"/>
            <w:tcBorders>
              <w:top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3044C3" w:rsidRPr="008B18FF" w:rsidRDefault="003044C3" w:rsidP="00717A77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P </w:t>
            </w: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L S K A</w:t>
            </w: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3044C3" w:rsidRPr="001C2ABA" w:rsidRDefault="003044C3" w:rsidP="005B3251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191</w:t>
            </w:r>
            <w:r w:rsidR="00465AF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818</w:t>
            </w:r>
          </w:p>
        </w:tc>
        <w:tc>
          <w:tcPr>
            <w:tcW w:w="1127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3044C3" w:rsidRPr="009372B3" w:rsidRDefault="003044C3" w:rsidP="005B3251">
            <w:pPr>
              <w:jc w:val="right"/>
              <w:rPr>
                <w:b/>
                <w:color w:val="000000"/>
                <w:sz w:val="22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348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1141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3044C3" w:rsidRPr="009372B3" w:rsidRDefault="003044C3" w:rsidP="005B325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1167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3044C3" w:rsidRPr="0023662D" w:rsidRDefault="003044C3" w:rsidP="005B325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799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1101" w:type="dxa"/>
            <w:tcBorders>
              <w:top w:val="single" w:sz="12" w:space="0" w:color="002060"/>
            </w:tcBorders>
            <w:vAlign w:val="center"/>
          </w:tcPr>
          <w:p w:rsidR="003044C3" w:rsidRPr="00BA4F9B" w:rsidRDefault="003044C3" w:rsidP="005B325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4F9B">
              <w:rPr>
                <w:rFonts w:cs="Arial"/>
                <w:b/>
                <w:bCs/>
                <w:sz w:val="16"/>
                <w:szCs w:val="16"/>
              </w:rPr>
              <w:t>44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069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12" w:space="0" w:color="002060"/>
            </w:tcBorders>
            <w:vAlign w:val="center"/>
          </w:tcPr>
          <w:p w:rsidR="003044C3" w:rsidRPr="00BA4F9B" w:rsidRDefault="003044C3" w:rsidP="005B3251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A4F9B">
              <w:rPr>
                <w:rFonts w:cs="Arial"/>
                <w:b/>
                <w:bCs/>
                <w:sz w:val="16"/>
                <w:szCs w:val="16"/>
              </w:rPr>
              <w:t>39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968</w:t>
            </w:r>
            <w:r w:rsidR="00465AF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A4F9B">
              <w:rPr>
                <w:rFonts w:cs="Arial"/>
                <w:b/>
                <w:bCs/>
                <w:sz w:val="16"/>
                <w:szCs w:val="16"/>
              </w:rPr>
              <w:t>768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789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195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228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838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933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389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617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15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057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100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578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312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012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050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66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951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985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774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656</w:t>
            </w:r>
          </w:p>
        </w:tc>
      </w:tr>
      <w:tr w:rsidR="003044C3" w:rsidRPr="008B18FF" w:rsidTr="00596769">
        <w:trPr>
          <w:gridAfter w:val="1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627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479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722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113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664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904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697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650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243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926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581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547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347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582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859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481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15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241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568</w:t>
            </w:r>
          </w:p>
        </w:tc>
      </w:tr>
      <w:tr w:rsidR="003044C3" w:rsidRPr="008B18FF" w:rsidTr="00596769">
        <w:trPr>
          <w:gridAfter w:val="1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482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398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459</w:t>
            </w:r>
          </w:p>
        </w:tc>
      </w:tr>
      <w:tr w:rsidR="003044C3" w:rsidRPr="008B18FF" w:rsidTr="00596769">
        <w:trPr>
          <w:gridAfter w:val="1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9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695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020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831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021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F54494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Podlaskie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5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073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863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896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791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3044C3" w:rsidRPr="008B18FF" w:rsidTr="00596769">
        <w:trPr>
          <w:gridAfter w:val="1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6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300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027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068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724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645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3044C3" w:rsidRPr="008B18FF" w:rsidRDefault="003044C3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6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298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797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961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553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3044C3" w:rsidRPr="002E7311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5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9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116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43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892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694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531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474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3044C3" w:rsidRPr="002E7311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10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916</w:t>
            </w:r>
          </w:p>
        </w:tc>
        <w:tc>
          <w:tcPr>
            <w:tcW w:w="116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51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716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661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471</w:t>
            </w:r>
          </w:p>
        </w:tc>
      </w:tr>
      <w:tr w:rsidR="003044C3" w:rsidRPr="008B18FF" w:rsidTr="00596769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bottom"/>
          </w:tcPr>
          <w:p w:rsidR="003044C3" w:rsidRPr="002E7311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29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6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245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922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3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437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745</w:t>
            </w:r>
          </w:p>
        </w:tc>
      </w:tr>
      <w:tr w:rsidR="003044C3" w:rsidRPr="008B18FF" w:rsidTr="003044C3">
        <w:trPr>
          <w:gridAfter w:val="1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noWrap/>
            <w:vAlign w:val="bottom"/>
          </w:tcPr>
          <w:p w:rsidR="003044C3" w:rsidRPr="002E7311" w:rsidRDefault="003044C3" w:rsidP="007C0FDE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6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769</w:t>
            </w:r>
          </w:p>
        </w:tc>
        <w:tc>
          <w:tcPr>
            <w:tcW w:w="1127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967</w:t>
            </w:r>
          </w:p>
        </w:tc>
        <w:tc>
          <w:tcPr>
            <w:tcW w:w="1141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67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87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2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079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992" w:type="dxa"/>
            <w:tcBorders>
              <w:top w:val="single" w:sz="4" w:space="0" w:color="002060"/>
              <w:bottom w:val="nil"/>
            </w:tcBorders>
            <w:vAlign w:val="center"/>
          </w:tcPr>
          <w:p w:rsidR="003044C3" w:rsidRPr="003044C3" w:rsidRDefault="003044C3" w:rsidP="005B3251">
            <w:pPr>
              <w:jc w:val="right"/>
              <w:rPr>
                <w:color w:val="000000"/>
                <w:sz w:val="16"/>
                <w:szCs w:val="16"/>
              </w:rPr>
            </w:pPr>
            <w:r w:rsidRPr="003044C3">
              <w:rPr>
                <w:color w:val="000000"/>
                <w:sz w:val="16"/>
                <w:szCs w:val="16"/>
              </w:rPr>
              <w:t>1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944</w:t>
            </w:r>
            <w:r w:rsidR="00465AFE">
              <w:rPr>
                <w:color w:val="000000"/>
                <w:sz w:val="16"/>
                <w:szCs w:val="16"/>
              </w:rPr>
              <w:t xml:space="preserve"> </w:t>
            </w:r>
            <w:r w:rsidRPr="003044C3">
              <w:rPr>
                <w:color w:val="000000"/>
                <w:sz w:val="16"/>
                <w:szCs w:val="16"/>
              </w:rPr>
              <w:t>889</w:t>
            </w:r>
          </w:p>
        </w:tc>
      </w:tr>
    </w:tbl>
    <w:p w:rsidR="005622E5" w:rsidRDefault="005622E5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p w:rsidR="00D77622" w:rsidRDefault="00D77622" w:rsidP="00D77622">
      <w:pPr>
        <w:rPr>
          <w:i/>
          <w:spacing w:val="-2"/>
          <w:sz w:val="16"/>
          <w:szCs w:val="16"/>
          <w:shd w:val="clear" w:color="auto" w:fill="FFFFFF"/>
        </w:rPr>
      </w:pPr>
    </w:p>
    <w:p w:rsidR="00EE079A" w:rsidRDefault="00EE079A" w:rsidP="00E76D26">
      <w:pPr>
        <w:rPr>
          <w:b/>
          <w:spacing w:val="-2"/>
          <w:sz w:val="18"/>
          <w:shd w:val="clear" w:color="auto" w:fill="FFFFFF"/>
        </w:rPr>
      </w:pPr>
    </w:p>
    <w:p w:rsidR="00EE079A" w:rsidRPr="00870B4D" w:rsidRDefault="00EE079A" w:rsidP="00E76D26">
      <w:pPr>
        <w:rPr>
          <w:b/>
          <w:spacing w:val="-2"/>
          <w:sz w:val="18"/>
          <w:shd w:val="clear" w:color="auto" w:fill="FFFFFF"/>
        </w:rPr>
      </w:pPr>
    </w:p>
    <w:p w:rsidR="00694AF0" w:rsidRDefault="00694AF0" w:rsidP="00E76D26">
      <w:pPr>
        <w:rPr>
          <w:sz w:val="18"/>
        </w:r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0470AA" w:rsidRPr="00B81DE1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0470A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B5A7D">
              <w:rPr>
                <w:rFonts w:cs="Arial"/>
                <w:b/>
                <w:color w:val="000000" w:themeColor="text1"/>
                <w:sz w:val="20"/>
              </w:rPr>
              <w:t>Prz</w:t>
            </w:r>
            <w:r w:rsidR="00577888">
              <w:rPr>
                <w:rFonts w:cs="Arial"/>
                <w:b/>
                <w:color w:val="000000" w:themeColor="text1"/>
                <w:sz w:val="20"/>
              </w:rPr>
              <w:t>edsiębiorstw</w:t>
            </w:r>
          </w:p>
          <w:p w:rsidR="00753AED" w:rsidRDefault="00753AED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Jacek Kotowski</w:t>
            </w:r>
          </w:p>
          <w:p w:rsidR="00753AED" w:rsidRPr="00B81DE1" w:rsidRDefault="00753AED" w:rsidP="00D007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US"/>
              </w:rPr>
            </w:pPr>
            <w:r w:rsidRPr="00B81DE1">
              <w:rPr>
                <w:rFonts w:cs="Arial"/>
                <w:color w:val="000000" w:themeColor="text1"/>
                <w:sz w:val="20"/>
                <w:lang w:val="en-US"/>
              </w:rPr>
              <w:t>Tel. 22 608 33 93</w:t>
            </w:r>
          </w:p>
          <w:p w:rsidR="00753AED" w:rsidRPr="00B81DE1" w:rsidRDefault="00753AED" w:rsidP="00D007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US"/>
              </w:rPr>
            </w:pPr>
            <w:r w:rsidRPr="00B81DE1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0" w:history="1">
              <w:r w:rsidRPr="008F6927">
                <w:rPr>
                  <w:rStyle w:val="Hipercze"/>
                  <w:rFonts w:eastAsiaTheme="majorEastAsia" w:cstheme="minorBidi"/>
                  <w:b/>
                  <w:color w:val="auto"/>
                  <w:sz w:val="20"/>
                  <w:szCs w:val="24"/>
                  <w:lang w:val="en-US"/>
                </w:rPr>
                <w:t>j.kotowski@stat.gov.pl</w:t>
              </w:r>
            </w:hyperlink>
          </w:p>
          <w:p w:rsidR="000470AA" w:rsidRPr="00B81DE1" w:rsidRDefault="00F314DB" w:rsidP="00B81DE1">
            <w:pPr>
              <w:pStyle w:val="Nagwek3"/>
              <w:spacing w:before="12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B81DE1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Sebastian Pięta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F314D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33</w:t>
            </w:r>
            <w:r w:rsidR="0057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F314D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45</w:t>
            </w:r>
          </w:p>
          <w:p w:rsidR="008F16FF" w:rsidRPr="008F16FF" w:rsidRDefault="000470AA" w:rsidP="008F16FF">
            <w:pPr>
              <w:pStyle w:val="Nagwek3"/>
              <w:spacing w:before="0" w:line="240" w:lineRule="auto"/>
              <w:rPr>
                <w:lang w:val="en-US"/>
              </w:rPr>
            </w:pPr>
            <w:r w:rsidRPr="00D91F97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8F6927">
              <w:rPr>
                <w:rFonts w:ascii="Fira Sans" w:hAnsi="Fira Sans" w:cs="Arial"/>
                <w:b/>
                <w:color w:val="000000" w:themeColor="text1"/>
                <w:sz w:val="16"/>
                <w:szCs w:val="20"/>
                <w:u w:val="single"/>
                <w:lang w:val="en-US"/>
              </w:rPr>
              <w:t xml:space="preserve"> </w:t>
            </w:r>
            <w:hyperlink r:id="rId21" w:history="1">
              <w:r w:rsidR="00F314DB" w:rsidRPr="00B81DE1">
                <w:rPr>
                  <w:rFonts w:ascii="Fira Sans" w:eastAsiaTheme="minorHAnsi" w:hAnsi="Fira Sans" w:cs="Arial"/>
                  <w:b/>
                  <w:color w:val="000000" w:themeColor="text1"/>
                  <w:sz w:val="20"/>
                  <w:szCs w:val="22"/>
                  <w:u w:val="single"/>
                  <w:lang w:val="en-US"/>
                </w:rPr>
                <w:t>s.pieta@stat.gov.pl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8C342D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8F69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8F692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B81DE1">
                <w:rPr>
                  <w:rFonts w:ascii="Fira Sans" w:eastAsiaTheme="minorHAnsi" w:hAnsi="Fira Sans" w:cs="Arial"/>
                  <w:b/>
                  <w:color w:val="000000" w:themeColor="text1"/>
                  <w:sz w:val="20"/>
                  <w:szCs w:val="22"/>
                  <w:u w:val="single"/>
                  <w:lang w:val="en-US"/>
                </w:rPr>
                <w:t>rzecznik@stat.gov.pl</w:t>
              </w:r>
            </w:hyperlink>
          </w:p>
        </w:tc>
      </w:tr>
    </w:tbl>
    <w:p w:rsidR="000470AA" w:rsidRPr="00546819" w:rsidRDefault="000470AA" w:rsidP="000470AA">
      <w:pPr>
        <w:rPr>
          <w:sz w:val="20"/>
          <w:lang w:val="en-US"/>
        </w:rPr>
      </w:pPr>
    </w:p>
    <w:p w:rsidR="000470AA" w:rsidRPr="0054681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6964CF" w:rsidRDefault="008F692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0470AA" w:rsidRPr="008F6927">
              <w:rPr>
                <w:sz w:val="20"/>
              </w:rPr>
              <w:t>:</w:t>
            </w:r>
            <w:r w:rsidR="000470AA" w:rsidRPr="006964CF">
              <w:rPr>
                <w:b/>
                <w:sz w:val="20"/>
              </w:rPr>
              <w:t xml:space="preserve"> </w:t>
            </w:r>
            <w:r w:rsidR="00097840" w:rsidRPr="006964CF">
              <w:rPr>
                <w:sz w:val="20"/>
              </w:rPr>
              <w:t>22 608 34 91, 22</w:t>
            </w:r>
            <w:r w:rsidR="000470AA" w:rsidRPr="006964CF">
              <w:rPr>
                <w:sz w:val="20"/>
              </w:rPr>
              <w:t xml:space="preserve"> 608 38 04 </w:t>
            </w:r>
          </w:p>
          <w:p w:rsidR="000470AA" w:rsidRPr="00A27E40" w:rsidRDefault="008F6927" w:rsidP="000470A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</w:t>
            </w:r>
            <w:r w:rsidR="000470AA" w:rsidRPr="008F6927">
              <w:rPr>
                <w:sz w:val="20"/>
                <w:lang w:val="en-US"/>
              </w:rPr>
              <w:t>aks:</w:t>
            </w:r>
            <w:r w:rsidR="00097840" w:rsidRPr="00A27E40">
              <w:rPr>
                <w:sz w:val="20"/>
                <w:lang w:val="en-US"/>
              </w:rPr>
              <w:t xml:space="preserve"> 22</w:t>
            </w:r>
            <w:r w:rsidR="000470AA" w:rsidRPr="00A27E40">
              <w:rPr>
                <w:sz w:val="20"/>
                <w:lang w:val="en-US"/>
              </w:rPr>
              <w:t xml:space="preserve"> 608 38 86 </w:t>
            </w:r>
          </w:p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 w:rsidRPr="00A27E40">
              <w:rPr>
                <w:b/>
                <w:sz w:val="20"/>
                <w:lang w:val="en-US"/>
              </w:rPr>
              <w:t>e-mail:</w:t>
            </w:r>
            <w:r w:rsidRPr="00A27E40">
              <w:rPr>
                <w:sz w:val="20"/>
                <w:lang w:val="en-US"/>
              </w:rPr>
              <w:t xml:space="preserve"> </w:t>
            </w:r>
            <w:hyperlink r:id="rId23" w:history="1">
              <w:r w:rsidRPr="00B81DE1">
                <w:rPr>
                  <w:rFonts w:cs="Arial"/>
                  <w:b/>
                  <w:color w:val="000000" w:themeColor="text1"/>
                  <w:sz w:val="20"/>
                  <w:szCs w:val="20"/>
                  <w:u w:val="single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01209A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32" type="#_x0000_t202" style="position:absolute;margin-left:1.5pt;margin-top:33.2pt;width:516.5pt;height:188.35pt;z-index:2516910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" fillcolor="#f2f2f2 [3052]" strokecolor="white [3212]">
            <v:textbox>
              <w:txbxContent>
                <w:p w:rsidR="005B3251" w:rsidRDefault="005B3251" w:rsidP="00AB6D25">
                  <w:pPr>
                    <w:rPr>
                      <w:b/>
                    </w:rPr>
                  </w:pPr>
                </w:p>
                <w:p w:rsidR="005B3251" w:rsidRPr="00212171" w:rsidRDefault="005B3251" w:rsidP="00AB6D25">
                  <w:pPr>
                    <w:rPr>
                      <w:b/>
                    </w:rPr>
                  </w:pPr>
                  <w:r w:rsidRPr="00212171">
                    <w:rPr>
                      <w:b/>
                    </w:rPr>
                    <w:t>Powiązane opracowania</w:t>
                  </w:r>
                </w:p>
                <w:p w:rsidR="005B3251" w:rsidRPr="00F54C12" w:rsidRDefault="0001209A" w:rsidP="00212171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18"/>
                      <w:shd w:val="clear" w:color="auto" w:fill="F0F0F0"/>
                    </w:rPr>
                  </w:pPr>
                  <w:hyperlink r:id="rId27" w:history="1">
                    <w:r w:rsidR="005B3251" w:rsidRPr="00F54C12">
                      <w:rPr>
                        <w:rStyle w:val="Hipercze"/>
                        <w:rFonts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Zeszyt metodologiczny. Badania przedsiębiorstw niefinansowych</w:t>
                    </w:r>
                  </w:hyperlink>
                </w:p>
                <w:p w:rsidR="005B3251" w:rsidRPr="006C46C6" w:rsidRDefault="005B3251" w:rsidP="00596769">
                  <w:pPr>
                    <w:rPr>
                      <w:rStyle w:val="Hipercze"/>
                      <w:rFonts w:cstheme="minorBidi"/>
                      <w:b/>
                      <w:szCs w:val="24"/>
                    </w:rPr>
                  </w:pPr>
                  <w: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fldChar w:fldCharType="begin"/>
                  </w:r>
                  <w: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</w:r>
                  <w: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fldChar w:fldCharType="separate"/>
                  </w:r>
                </w:p>
                <w:p w:rsidR="005B3251" w:rsidRDefault="005B3251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rStyle w:val="Hipercze"/>
                      <w:rFonts w:cs="Arial"/>
                      <w:sz w:val="18"/>
                      <w:szCs w:val="18"/>
                      <w:shd w:val="clear" w:color="auto" w:fill="F0F0F0"/>
                    </w:rPr>
                    <w:fldChar w:fldCharType="end"/>
                  </w: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5B3251" w:rsidRPr="00F54C12" w:rsidRDefault="0001209A" w:rsidP="00212171">
                  <w:pPr>
                    <w:rPr>
                      <w:rStyle w:val="Hipercze"/>
                      <w:rFonts w:cs="Arial"/>
                      <w:color w:val="001D77"/>
                    </w:rPr>
                  </w:pPr>
                  <w:hyperlink r:id="rId28" w:history="1">
                    <w:r w:rsidR="005B3251" w:rsidRPr="00F54C12">
                      <w:rPr>
                        <w:rStyle w:val="Hipercze"/>
                        <w:rFonts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Przychody z całokształtu działalności (Przychody ogółem)</w:t>
                    </w:r>
                  </w:hyperlink>
                </w:p>
                <w:p w:rsidR="005B3251" w:rsidRPr="00F54C12" w:rsidRDefault="0001209A" w:rsidP="00212171">
                  <w:pPr>
                    <w:rPr>
                      <w:rStyle w:val="Hipercze"/>
                      <w:rFonts w:cs="Arial"/>
                      <w:color w:val="001D77"/>
                    </w:rPr>
                  </w:pPr>
                  <w:hyperlink r:id="rId29" w:history="1">
                    <w:r w:rsidR="005B3251" w:rsidRPr="00F54C12">
                      <w:rPr>
                        <w:rStyle w:val="Hipercze"/>
                        <w:rFonts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Koszty uzyskania przychodów z całokształtu działalności (Koszty ogółem)</w:t>
                    </w:r>
                  </w:hyperlink>
                </w:p>
                <w:p w:rsidR="005B3251" w:rsidRPr="00F54C12" w:rsidRDefault="0001209A" w:rsidP="00212171">
                  <w:pPr>
                    <w:rPr>
                      <w:rStyle w:val="Hipercze"/>
                      <w:rFonts w:cs="Arial"/>
                      <w:color w:val="001D77"/>
                    </w:rPr>
                  </w:pPr>
                  <w:hyperlink r:id="rId30" w:history="1">
                    <w:r w:rsidR="005B3251" w:rsidRPr="00F54C12">
                      <w:rPr>
                        <w:rStyle w:val="Hipercze"/>
                        <w:rFonts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Wskaźnik poziomu kosztów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606E8E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9A" w:rsidRDefault="0001209A" w:rsidP="000662E2">
      <w:pPr>
        <w:spacing w:after="0" w:line="240" w:lineRule="auto"/>
      </w:pPr>
      <w:r>
        <w:separator/>
      </w:r>
    </w:p>
  </w:endnote>
  <w:endnote w:type="continuationSeparator" w:id="0">
    <w:p w:rsidR="0001209A" w:rsidRDefault="0001209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321968"/>
      <w:docPartObj>
        <w:docPartGallery w:val="Page Numbers (Bottom of Page)"/>
        <w:docPartUnique/>
      </w:docPartObj>
    </w:sdtPr>
    <w:sdtEndPr/>
    <w:sdtContent>
      <w:p w:rsidR="005B3251" w:rsidRDefault="005B3251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1D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136958"/>
      <w:docPartObj>
        <w:docPartGallery w:val="Page Numbers (Bottom of Page)"/>
        <w:docPartUnique/>
      </w:docPartObj>
    </w:sdtPr>
    <w:sdtEndPr/>
    <w:sdtContent>
      <w:p w:rsidR="005B3251" w:rsidRDefault="005B3251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1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5B3251" w:rsidRDefault="005B3251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1D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9A" w:rsidRDefault="0001209A" w:rsidP="000662E2">
      <w:pPr>
        <w:spacing w:after="0" w:line="240" w:lineRule="auto"/>
      </w:pPr>
      <w:r>
        <w:separator/>
      </w:r>
    </w:p>
  </w:footnote>
  <w:footnote w:type="continuationSeparator" w:id="0">
    <w:p w:rsidR="0001209A" w:rsidRDefault="0001209A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51" w:rsidRDefault="0001209A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</w:pict>
    </w:r>
  </w:p>
  <w:p w:rsidR="005B3251" w:rsidRDefault="005B32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51" w:rsidRDefault="0001209A">
    <w:pPr>
      <w:pStyle w:val="Nagwek"/>
      <w:rPr>
        <w:noProof/>
        <w:lang w:eastAsia="pl-PL"/>
      </w:rPr>
    </w:pPr>
    <w:r>
      <w:rPr>
        <w:noProof/>
        <w:lang w:eastAsia="pl-PL"/>
      </w:rPr>
      <w:pict>
        <v:rect id="Prostokąt 10" o:spid="_x0000_s2050" style="position:absolute;margin-left:411.45pt;margin-top:15.65pt;width:147.4pt;height:812.05pt;z-index:-251656192;visibility:visible;mso-width-relative:margin;mso-height-relative:margin;v-text-anchor:middle" wrapcoords="-110 0 -110 21591 21600 21591 21600 0 -110 0" fillcolor="#f2f2f2" stroked="f" strokeweight="1pt">
          <w10:wrap type="tight"/>
        </v:rect>
      </w:pict>
    </w:r>
    <w:r w:rsidR="005B3251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-136525</wp:posOffset>
          </wp:positionV>
          <wp:extent cx="1163320" cy="719455"/>
          <wp:effectExtent l="1905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633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1312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5B3251" w:rsidRPr="003C6C8D" w:rsidRDefault="005B3251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5B3251" w:rsidRDefault="0001209A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2pt;margin-top:48.75pt;width:112.8pt;height:26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5B3251" w:rsidRPr="00C97596" w:rsidRDefault="005B3251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 xml:space="preserve">25.11.2019 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>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51" w:rsidRDefault="005B3251">
    <w:pPr>
      <w:pStyle w:val="Nagwek"/>
    </w:pPr>
  </w:p>
  <w:p w:rsidR="005B3251" w:rsidRDefault="005B3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2.95pt;height:125pt;visibility:visible" o:bullet="t">
        <v:imagedata r:id="rId1" o:title=""/>
      </v:shape>
    </w:pict>
  </w:numPicBullet>
  <w:numPicBullet w:numPicBulletId="1">
    <w:pict>
      <v:shape id="_x0000_i1055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>
      <o:colormru v:ext="edit" colors="lime,#9f6,#9f3,#9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3D58"/>
    <w:rsid w:val="0000709F"/>
    <w:rsid w:val="000108B8"/>
    <w:rsid w:val="0001209A"/>
    <w:rsid w:val="00013DC2"/>
    <w:rsid w:val="000152F5"/>
    <w:rsid w:val="00023ACD"/>
    <w:rsid w:val="00025212"/>
    <w:rsid w:val="000261EE"/>
    <w:rsid w:val="00026510"/>
    <w:rsid w:val="00037E94"/>
    <w:rsid w:val="0004582E"/>
    <w:rsid w:val="00045B05"/>
    <w:rsid w:val="000470AA"/>
    <w:rsid w:val="00053637"/>
    <w:rsid w:val="00055678"/>
    <w:rsid w:val="000577D5"/>
    <w:rsid w:val="00057CA1"/>
    <w:rsid w:val="00063465"/>
    <w:rsid w:val="00065158"/>
    <w:rsid w:val="000662E2"/>
    <w:rsid w:val="00066883"/>
    <w:rsid w:val="00072231"/>
    <w:rsid w:val="00073B0B"/>
    <w:rsid w:val="00074B02"/>
    <w:rsid w:val="00074DD8"/>
    <w:rsid w:val="000806F7"/>
    <w:rsid w:val="00083677"/>
    <w:rsid w:val="000836B3"/>
    <w:rsid w:val="000836F4"/>
    <w:rsid w:val="00092F39"/>
    <w:rsid w:val="00097840"/>
    <w:rsid w:val="000A0462"/>
    <w:rsid w:val="000A26BA"/>
    <w:rsid w:val="000B0727"/>
    <w:rsid w:val="000C135D"/>
    <w:rsid w:val="000C203F"/>
    <w:rsid w:val="000C6F45"/>
    <w:rsid w:val="000D1D43"/>
    <w:rsid w:val="000D225C"/>
    <w:rsid w:val="000D2A5C"/>
    <w:rsid w:val="000E0918"/>
    <w:rsid w:val="000E3BB2"/>
    <w:rsid w:val="000E489D"/>
    <w:rsid w:val="000E68C0"/>
    <w:rsid w:val="000F2A49"/>
    <w:rsid w:val="000F35A2"/>
    <w:rsid w:val="000F7066"/>
    <w:rsid w:val="001011C3"/>
    <w:rsid w:val="00105113"/>
    <w:rsid w:val="001067C9"/>
    <w:rsid w:val="001102CC"/>
    <w:rsid w:val="00110D87"/>
    <w:rsid w:val="001149EE"/>
    <w:rsid w:val="00114DB9"/>
    <w:rsid w:val="00116087"/>
    <w:rsid w:val="00121A02"/>
    <w:rsid w:val="00126C45"/>
    <w:rsid w:val="001270E8"/>
    <w:rsid w:val="00130296"/>
    <w:rsid w:val="00135B5F"/>
    <w:rsid w:val="00137DB1"/>
    <w:rsid w:val="00141C8C"/>
    <w:rsid w:val="001423B6"/>
    <w:rsid w:val="001427A6"/>
    <w:rsid w:val="00143768"/>
    <w:rsid w:val="001448A7"/>
    <w:rsid w:val="00146621"/>
    <w:rsid w:val="00162325"/>
    <w:rsid w:val="001637D4"/>
    <w:rsid w:val="00163B4A"/>
    <w:rsid w:val="001705A3"/>
    <w:rsid w:val="00174858"/>
    <w:rsid w:val="00175182"/>
    <w:rsid w:val="00175BAF"/>
    <w:rsid w:val="0018230D"/>
    <w:rsid w:val="00191C2E"/>
    <w:rsid w:val="00194559"/>
    <w:rsid w:val="001951DA"/>
    <w:rsid w:val="001976D8"/>
    <w:rsid w:val="00197AD6"/>
    <w:rsid w:val="001A3BAC"/>
    <w:rsid w:val="001A3E58"/>
    <w:rsid w:val="001A6858"/>
    <w:rsid w:val="001B005F"/>
    <w:rsid w:val="001B395F"/>
    <w:rsid w:val="001B5594"/>
    <w:rsid w:val="001B77F9"/>
    <w:rsid w:val="001C2ABA"/>
    <w:rsid w:val="001C3269"/>
    <w:rsid w:val="001D1DB4"/>
    <w:rsid w:val="001D2DCE"/>
    <w:rsid w:val="001E25CA"/>
    <w:rsid w:val="001F10A2"/>
    <w:rsid w:val="001F5D78"/>
    <w:rsid w:val="00200EC9"/>
    <w:rsid w:val="00204A9B"/>
    <w:rsid w:val="00212171"/>
    <w:rsid w:val="00215AB4"/>
    <w:rsid w:val="00216C06"/>
    <w:rsid w:val="0022019A"/>
    <w:rsid w:val="00222DE9"/>
    <w:rsid w:val="00224E8A"/>
    <w:rsid w:val="002262EE"/>
    <w:rsid w:val="002353F1"/>
    <w:rsid w:val="0023662D"/>
    <w:rsid w:val="0024417E"/>
    <w:rsid w:val="00246ABC"/>
    <w:rsid w:val="00255C9E"/>
    <w:rsid w:val="002574F9"/>
    <w:rsid w:val="0025795F"/>
    <w:rsid w:val="00262B61"/>
    <w:rsid w:val="00263072"/>
    <w:rsid w:val="00270281"/>
    <w:rsid w:val="00270C0B"/>
    <w:rsid w:val="00274AD8"/>
    <w:rsid w:val="002751CA"/>
    <w:rsid w:val="00276091"/>
    <w:rsid w:val="00276811"/>
    <w:rsid w:val="00276D58"/>
    <w:rsid w:val="00282699"/>
    <w:rsid w:val="002902CC"/>
    <w:rsid w:val="002926DF"/>
    <w:rsid w:val="00296697"/>
    <w:rsid w:val="002A20D6"/>
    <w:rsid w:val="002A48D6"/>
    <w:rsid w:val="002A54AB"/>
    <w:rsid w:val="002A5852"/>
    <w:rsid w:val="002B0472"/>
    <w:rsid w:val="002B45AB"/>
    <w:rsid w:val="002B4669"/>
    <w:rsid w:val="002B5BF7"/>
    <w:rsid w:val="002B631A"/>
    <w:rsid w:val="002B6B12"/>
    <w:rsid w:val="002C26E8"/>
    <w:rsid w:val="002C52D1"/>
    <w:rsid w:val="002D4EBC"/>
    <w:rsid w:val="002E01F9"/>
    <w:rsid w:val="002E2506"/>
    <w:rsid w:val="002E6140"/>
    <w:rsid w:val="002E6985"/>
    <w:rsid w:val="002E71B6"/>
    <w:rsid w:val="002E7311"/>
    <w:rsid w:val="002F7233"/>
    <w:rsid w:val="002F77C8"/>
    <w:rsid w:val="002F7C3B"/>
    <w:rsid w:val="00301908"/>
    <w:rsid w:val="003044C3"/>
    <w:rsid w:val="00304D0A"/>
    <w:rsid w:val="00304F22"/>
    <w:rsid w:val="00306C7C"/>
    <w:rsid w:val="00307B80"/>
    <w:rsid w:val="00316BC2"/>
    <w:rsid w:val="00316DB6"/>
    <w:rsid w:val="003173EC"/>
    <w:rsid w:val="00322EDD"/>
    <w:rsid w:val="00323A89"/>
    <w:rsid w:val="003257D5"/>
    <w:rsid w:val="00327342"/>
    <w:rsid w:val="0033214A"/>
    <w:rsid w:val="00332320"/>
    <w:rsid w:val="003352AA"/>
    <w:rsid w:val="00347D72"/>
    <w:rsid w:val="003538E9"/>
    <w:rsid w:val="00357611"/>
    <w:rsid w:val="003609EC"/>
    <w:rsid w:val="00367237"/>
    <w:rsid w:val="0037077F"/>
    <w:rsid w:val="00372411"/>
    <w:rsid w:val="00373882"/>
    <w:rsid w:val="00376E02"/>
    <w:rsid w:val="0037734E"/>
    <w:rsid w:val="003843DB"/>
    <w:rsid w:val="003879AD"/>
    <w:rsid w:val="0039009D"/>
    <w:rsid w:val="00393761"/>
    <w:rsid w:val="003937A4"/>
    <w:rsid w:val="003958C5"/>
    <w:rsid w:val="00397D18"/>
    <w:rsid w:val="003A1B36"/>
    <w:rsid w:val="003A349B"/>
    <w:rsid w:val="003B0CD9"/>
    <w:rsid w:val="003B1454"/>
    <w:rsid w:val="003B18B6"/>
    <w:rsid w:val="003C1C71"/>
    <w:rsid w:val="003C2933"/>
    <w:rsid w:val="003C30F1"/>
    <w:rsid w:val="003C3C16"/>
    <w:rsid w:val="003C59E0"/>
    <w:rsid w:val="003C6C8D"/>
    <w:rsid w:val="003D0243"/>
    <w:rsid w:val="003D4F95"/>
    <w:rsid w:val="003D5F42"/>
    <w:rsid w:val="003D60A9"/>
    <w:rsid w:val="003D6B36"/>
    <w:rsid w:val="003D70E3"/>
    <w:rsid w:val="003F4C97"/>
    <w:rsid w:val="003F4D76"/>
    <w:rsid w:val="003F4F2D"/>
    <w:rsid w:val="003F79A1"/>
    <w:rsid w:val="003F7FE6"/>
    <w:rsid w:val="00400193"/>
    <w:rsid w:val="00403D65"/>
    <w:rsid w:val="00405985"/>
    <w:rsid w:val="00405A33"/>
    <w:rsid w:val="00420816"/>
    <w:rsid w:val="00420D62"/>
    <w:rsid w:val="004212E7"/>
    <w:rsid w:val="0042446D"/>
    <w:rsid w:val="004246D8"/>
    <w:rsid w:val="00424CE5"/>
    <w:rsid w:val="00427BF8"/>
    <w:rsid w:val="00431C02"/>
    <w:rsid w:val="004340CA"/>
    <w:rsid w:val="00437395"/>
    <w:rsid w:val="00442380"/>
    <w:rsid w:val="004433FB"/>
    <w:rsid w:val="00445047"/>
    <w:rsid w:val="0045250B"/>
    <w:rsid w:val="00454242"/>
    <w:rsid w:val="004602DA"/>
    <w:rsid w:val="00463E39"/>
    <w:rsid w:val="004657D4"/>
    <w:rsid w:val="004657FC"/>
    <w:rsid w:val="00465AFE"/>
    <w:rsid w:val="004733F6"/>
    <w:rsid w:val="00474E69"/>
    <w:rsid w:val="004843FA"/>
    <w:rsid w:val="004874DA"/>
    <w:rsid w:val="004923AB"/>
    <w:rsid w:val="00492C54"/>
    <w:rsid w:val="00492DAB"/>
    <w:rsid w:val="0049621B"/>
    <w:rsid w:val="004A0B3B"/>
    <w:rsid w:val="004B02E9"/>
    <w:rsid w:val="004B6E12"/>
    <w:rsid w:val="004B7CAB"/>
    <w:rsid w:val="004C1895"/>
    <w:rsid w:val="004C6D40"/>
    <w:rsid w:val="004D070B"/>
    <w:rsid w:val="004D29C4"/>
    <w:rsid w:val="004D6BEF"/>
    <w:rsid w:val="004D7A22"/>
    <w:rsid w:val="004E6996"/>
    <w:rsid w:val="004F0C3C"/>
    <w:rsid w:val="004F1AB7"/>
    <w:rsid w:val="004F1B93"/>
    <w:rsid w:val="004F63FC"/>
    <w:rsid w:val="004F686F"/>
    <w:rsid w:val="00502BAE"/>
    <w:rsid w:val="00505A92"/>
    <w:rsid w:val="005133A3"/>
    <w:rsid w:val="005203F1"/>
    <w:rsid w:val="00521BC3"/>
    <w:rsid w:val="00524EA4"/>
    <w:rsid w:val="005263B0"/>
    <w:rsid w:val="005265A8"/>
    <w:rsid w:val="005316F4"/>
    <w:rsid w:val="00533632"/>
    <w:rsid w:val="005362C6"/>
    <w:rsid w:val="00541E6E"/>
    <w:rsid w:val="0054241E"/>
    <w:rsid w:val="0054251F"/>
    <w:rsid w:val="0054381A"/>
    <w:rsid w:val="005446A2"/>
    <w:rsid w:val="00546819"/>
    <w:rsid w:val="005511FB"/>
    <w:rsid w:val="0055156B"/>
    <w:rsid w:val="005520D8"/>
    <w:rsid w:val="00554955"/>
    <w:rsid w:val="00555C33"/>
    <w:rsid w:val="00556CF1"/>
    <w:rsid w:val="005622E5"/>
    <w:rsid w:val="00565D21"/>
    <w:rsid w:val="0056742B"/>
    <w:rsid w:val="00575877"/>
    <w:rsid w:val="005762A7"/>
    <w:rsid w:val="00577888"/>
    <w:rsid w:val="0058080F"/>
    <w:rsid w:val="005916D7"/>
    <w:rsid w:val="00591EDF"/>
    <w:rsid w:val="0059648F"/>
    <w:rsid w:val="0059661D"/>
    <w:rsid w:val="00596769"/>
    <w:rsid w:val="005A04BC"/>
    <w:rsid w:val="005A4062"/>
    <w:rsid w:val="005A698C"/>
    <w:rsid w:val="005B3251"/>
    <w:rsid w:val="005B3F7D"/>
    <w:rsid w:val="005C0435"/>
    <w:rsid w:val="005C2F0C"/>
    <w:rsid w:val="005C3A0F"/>
    <w:rsid w:val="005D39B1"/>
    <w:rsid w:val="005D41BD"/>
    <w:rsid w:val="005D49B7"/>
    <w:rsid w:val="005E0799"/>
    <w:rsid w:val="005E28BE"/>
    <w:rsid w:val="005E3284"/>
    <w:rsid w:val="005F3045"/>
    <w:rsid w:val="005F5A80"/>
    <w:rsid w:val="006036B2"/>
    <w:rsid w:val="006044FF"/>
    <w:rsid w:val="00606E8E"/>
    <w:rsid w:val="00607CC5"/>
    <w:rsid w:val="00617278"/>
    <w:rsid w:val="00623C69"/>
    <w:rsid w:val="00625286"/>
    <w:rsid w:val="00627473"/>
    <w:rsid w:val="00632709"/>
    <w:rsid w:val="00633014"/>
    <w:rsid w:val="0063437B"/>
    <w:rsid w:val="00641888"/>
    <w:rsid w:val="006447E4"/>
    <w:rsid w:val="006529BE"/>
    <w:rsid w:val="00655E9F"/>
    <w:rsid w:val="006577B1"/>
    <w:rsid w:val="006648E9"/>
    <w:rsid w:val="006673CA"/>
    <w:rsid w:val="006708E5"/>
    <w:rsid w:val="00673C26"/>
    <w:rsid w:val="006812AF"/>
    <w:rsid w:val="00681F22"/>
    <w:rsid w:val="0068327D"/>
    <w:rsid w:val="00694AF0"/>
    <w:rsid w:val="00694E20"/>
    <w:rsid w:val="006964CF"/>
    <w:rsid w:val="006A1313"/>
    <w:rsid w:val="006A4686"/>
    <w:rsid w:val="006A6377"/>
    <w:rsid w:val="006B0E9E"/>
    <w:rsid w:val="006B5AE4"/>
    <w:rsid w:val="006C2AAE"/>
    <w:rsid w:val="006C581B"/>
    <w:rsid w:val="006D1507"/>
    <w:rsid w:val="006D402D"/>
    <w:rsid w:val="006D4054"/>
    <w:rsid w:val="006D69B3"/>
    <w:rsid w:val="006D7524"/>
    <w:rsid w:val="006D7E74"/>
    <w:rsid w:val="006E02EC"/>
    <w:rsid w:val="006E1284"/>
    <w:rsid w:val="006E1B94"/>
    <w:rsid w:val="007006F2"/>
    <w:rsid w:val="00700A51"/>
    <w:rsid w:val="00703A33"/>
    <w:rsid w:val="00703A37"/>
    <w:rsid w:val="007126F1"/>
    <w:rsid w:val="00716995"/>
    <w:rsid w:val="00717A77"/>
    <w:rsid w:val="0072013C"/>
    <w:rsid w:val="0072073D"/>
    <w:rsid w:val="007211B1"/>
    <w:rsid w:val="007228DB"/>
    <w:rsid w:val="00722949"/>
    <w:rsid w:val="007276E4"/>
    <w:rsid w:val="0074369E"/>
    <w:rsid w:val="00743F72"/>
    <w:rsid w:val="0074477F"/>
    <w:rsid w:val="00746187"/>
    <w:rsid w:val="00753AED"/>
    <w:rsid w:val="00754930"/>
    <w:rsid w:val="0075509D"/>
    <w:rsid w:val="0076254F"/>
    <w:rsid w:val="0076298E"/>
    <w:rsid w:val="00765704"/>
    <w:rsid w:val="007669BB"/>
    <w:rsid w:val="007801F5"/>
    <w:rsid w:val="00783063"/>
    <w:rsid w:val="00783CA4"/>
    <w:rsid w:val="007842FB"/>
    <w:rsid w:val="00784D25"/>
    <w:rsid w:val="00786124"/>
    <w:rsid w:val="0079514B"/>
    <w:rsid w:val="00795AEF"/>
    <w:rsid w:val="00797F12"/>
    <w:rsid w:val="007A2DC1"/>
    <w:rsid w:val="007A5A06"/>
    <w:rsid w:val="007C07B0"/>
    <w:rsid w:val="007C0FDE"/>
    <w:rsid w:val="007D0E6D"/>
    <w:rsid w:val="007D3319"/>
    <w:rsid w:val="007D335D"/>
    <w:rsid w:val="007E3314"/>
    <w:rsid w:val="007E4B03"/>
    <w:rsid w:val="007E50D5"/>
    <w:rsid w:val="007E7313"/>
    <w:rsid w:val="007E7A0D"/>
    <w:rsid w:val="007F188A"/>
    <w:rsid w:val="007F201B"/>
    <w:rsid w:val="007F324B"/>
    <w:rsid w:val="007F4D51"/>
    <w:rsid w:val="007F6877"/>
    <w:rsid w:val="00805369"/>
    <w:rsid w:val="0080553C"/>
    <w:rsid w:val="00805B46"/>
    <w:rsid w:val="00805E27"/>
    <w:rsid w:val="008069C4"/>
    <w:rsid w:val="008101A6"/>
    <w:rsid w:val="00814DA8"/>
    <w:rsid w:val="00825DC2"/>
    <w:rsid w:val="008261B3"/>
    <w:rsid w:val="00826B13"/>
    <w:rsid w:val="00834AD3"/>
    <w:rsid w:val="00834F48"/>
    <w:rsid w:val="00843795"/>
    <w:rsid w:val="00847F0F"/>
    <w:rsid w:val="00850B1D"/>
    <w:rsid w:val="00852448"/>
    <w:rsid w:val="00853319"/>
    <w:rsid w:val="008547CE"/>
    <w:rsid w:val="00856FF9"/>
    <w:rsid w:val="00870B4D"/>
    <w:rsid w:val="008749B0"/>
    <w:rsid w:val="0088258A"/>
    <w:rsid w:val="00886332"/>
    <w:rsid w:val="008923D9"/>
    <w:rsid w:val="008A17EB"/>
    <w:rsid w:val="008A26D9"/>
    <w:rsid w:val="008B0587"/>
    <w:rsid w:val="008B1611"/>
    <w:rsid w:val="008B18FF"/>
    <w:rsid w:val="008C0C29"/>
    <w:rsid w:val="008C0D50"/>
    <w:rsid w:val="008C207A"/>
    <w:rsid w:val="008C342D"/>
    <w:rsid w:val="008C621E"/>
    <w:rsid w:val="008D5457"/>
    <w:rsid w:val="008D5FC8"/>
    <w:rsid w:val="008E1BA4"/>
    <w:rsid w:val="008E2E7B"/>
    <w:rsid w:val="008E3469"/>
    <w:rsid w:val="008F16FF"/>
    <w:rsid w:val="008F3638"/>
    <w:rsid w:val="008F4441"/>
    <w:rsid w:val="008F6927"/>
    <w:rsid w:val="008F6F31"/>
    <w:rsid w:val="008F74DF"/>
    <w:rsid w:val="0090279D"/>
    <w:rsid w:val="009127BA"/>
    <w:rsid w:val="00915BCC"/>
    <w:rsid w:val="009166E5"/>
    <w:rsid w:val="009227A6"/>
    <w:rsid w:val="00924902"/>
    <w:rsid w:val="00931C09"/>
    <w:rsid w:val="00933EC1"/>
    <w:rsid w:val="0093570E"/>
    <w:rsid w:val="00935A47"/>
    <w:rsid w:val="009372B3"/>
    <w:rsid w:val="00943519"/>
    <w:rsid w:val="00946AF0"/>
    <w:rsid w:val="009475C1"/>
    <w:rsid w:val="00950D69"/>
    <w:rsid w:val="009530DB"/>
    <w:rsid w:val="00953676"/>
    <w:rsid w:val="00955B41"/>
    <w:rsid w:val="009705EE"/>
    <w:rsid w:val="00972C92"/>
    <w:rsid w:val="00975E6E"/>
    <w:rsid w:val="00977927"/>
    <w:rsid w:val="0098135C"/>
    <w:rsid w:val="0098156A"/>
    <w:rsid w:val="00984EFA"/>
    <w:rsid w:val="00991BAC"/>
    <w:rsid w:val="00992347"/>
    <w:rsid w:val="00992E9E"/>
    <w:rsid w:val="0099445B"/>
    <w:rsid w:val="00995112"/>
    <w:rsid w:val="009A44FF"/>
    <w:rsid w:val="009A5CF2"/>
    <w:rsid w:val="009A6EA0"/>
    <w:rsid w:val="009A7A41"/>
    <w:rsid w:val="009B203D"/>
    <w:rsid w:val="009B2A4B"/>
    <w:rsid w:val="009C085D"/>
    <w:rsid w:val="009C1335"/>
    <w:rsid w:val="009C1AB2"/>
    <w:rsid w:val="009C7251"/>
    <w:rsid w:val="009D0DEC"/>
    <w:rsid w:val="009E0AD7"/>
    <w:rsid w:val="009E11FA"/>
    <w:rsid w:val="009E1361"/>
    <w:rsid w:val="009E2E91"/>
    <w:rsid w:val="009F19EA"/>
    <w:rsid w:val="009F1C95"/>
    <w:rsid w:val="009F4660"/>
    <w:rsid w:val="00A00FB5"/>
    <w:rsid w:val="00A04000"/>
    <w:rsid w:val="00A061AD"/>
    <w:rsid w:val="00A074EF"/>
    <w:rsid w:val="00A07964"/>
    <w:rsid w:val="00A139F5"/>
    <w:rsid w:val="00A27E40"/>
    <w:rsid w:val="00A31030"/>
    <w:rsid w:val="00A356AB"/>
    <w:rsid w:val="00A365F4"/>
    <w:rsid w:val="00A41696"/>
    <w:rsid w:val="00A42A15"/>
    <w:rsid w:val="00A47D80"/>
    <w:rsid w:val="00A5129D"/>
    <w:rsid w:val="00A53132"/>
    <w:rsid w:val="00A5361E"/>
    <w:rsid w:val="00A558B4"/>
    <w:rsid w:val="00A563F2"/>
    <w:rsid w:val="00A566E8"/>
    <w:rsid w:val="00A57B3C"/>
    <w:rsid w:val="00A71200"/>
    <w:rsid w:val="00A73801"/>
    <w:rsid w:val="00A75147"/>
    <w:rsid w:val="00A76EC3"/>
    <w:rsid w:val="00A80F5C"/>
    <w:rsid w:val="00A810F9"/>
    <w:rsid w:val="00A83D73"/>
    <w:rsid w:val="00A856DB"/>
    <w:rsid w:val="00A86ECC"/>
    <w:rsid w:val="00A86FCC"/>
    <w:rsid w:val="00AA710D"/>
    <w:rsid w:val="00AB6D25"/>
    <w:rsid w:val="00AC21CB"/>
    <w:rsid w:val="00AC2B74"/>
    <w:rsid w:val="00AC2BDB"/>
    <w:rsid w:val="00AC6559"/>
    <w:rsid w:val="00AE2D4B"/>
    <w:rsid w:val="00AE4F99"/>
    <w:rsid w:val="00AF23E6"/>
    <w:rsid w:val="00AF7A50"/>
    <w:rsid w:val="00B006C3"/>
    <w:rsid w:val="00B01885"/>
    <w:rsid w:val="00B11083"/>
    <w:rsid w:val="00B11B69"/>
    <w:rsid w:val="00B14952"/>
    <w:rsid w:val="00B21BBF"/>
    <w:rsid w:val="00B259A8"/>
    <w:rsid w:val="00B31E5A"/>
    <w:rsid w:val="00B352A5"/>
    <w:rsid w:val="00B46FD4"/>
    <w:rsid w:val="00B5172F"/>
    <w:rsid w:val="00B55F59"/>
    <w:rsid w:val="00B57FFE"/>
    <w:rsid w:val="00B653AB"/>
    <w:rsid w:val="00B65F9E"/>
    <w:rsid w:val="00B66B19"/>
    <w:rsid w:val="00B718C1"/>
    <w:rsid w:val="00B726DE"/>
    <w:rsid w:val="00B762C6"/>
    <w:rsid w:val="00B80777"/>
    <w:rsid w:val="00B8124C"/>
    <w:rsid w:val="00B81DE1"/>
    <w:rsid w:val="00B82433"/>
    <w:rsid w:val="00B87A17"/>
    <w:rsid w:val="00B914E9"/>
    <w:rsid w:val="00B956EE"/>
    <w:rsid w:val="00BA1780"/>
    <w:rsid w:val="00BA29B0"/>
    <w:rsid w:val="00BA2BA1"/>
    <w:rsid w:val="00BA3562"/>
    <w:rsid w:val="00BA4F9B"/>
    <w:rsid w:val="00BB0D09"/>
    <w:rsid w:val="00BB170D"/>
    <w:rsid w:val="00BB4F09"/>
    <w:rsid w:val="00BC10B5"/>
    <w:rsid w:val="00BC345E"/>
    <w:rsid w:val="00BD132F"/>
    <w:rsid w:val="00BD4E33"/>
    <w:rsid w:val="00BE0DF1"/>
    <w:rsid w:val="00BF12EB"/>
    <w:rsid w:val="00BF18FA"/>
    <w:rsid w:val="00BF2577"/>
    <w:rsid w:val="00BF4289"/>
    <w:rsid w:val="00BF65A2"/>
    <w:rsid w:val="00C000FB"/>
    <w:rsid w:val="00C030DE"/>
    <w:rsid w:val="00C035E9"/>
    <w:rsid w:val="00C06FFD"/>
    <w:rsid w:val="00C17825"/>
    <w:rsid w:val="00C2126F"/>
    <w:rsid w:val="00C22105"/>
    <w:rsid w:val="00C244B6"/>
    <w:rsid w:val="00C355E9"/>
    <w:rsid w:val="00C35E03"/>
    <w:rsid w:val="00C36BD2"/>
    <w:rsid w:val="00C3702F"/>
    <w:rsid w:val="00C410E3"/>
    <w:rsid w:val="00C4500A"/>
    <w:rsid w:val="00C45596"/>
    <w:rsid w:val="00C455E0"/>
    <w:rsid w:val="00C53D04"/>
    <w:rsid w:val="00C63FA2"/>
    <w:rsid w:val="00C64A37"/>
    <w:rsid w:val="00C64AD9"/>
    <w:rsid w:val="00C6557B"/>
    <w:rsid w:val="00C71302"/>
    <w:rsid w:val="00C7158E"/>
    <w:rsid w:val="00C7250B"/>
    <w:rsid w:val="00C7346B"/>
    <w:rsid w:val="00C74449"/>
    <w:rsid w:val="00C749DA"/>
    <w:rsid w:val="00C7556E"/>
    <w:rsid w:val="00C75DAF"/>
    <w:rsid w:val="00C75E6C"/>
    <w:rsid w:val="00C76E3E"/>
    <w:rsid w:val="00C76FD6"/>
    <w:rsid w:val="00C77C0E"/>
    <w:rsid w:val="00C91687"/>
    <w:rsid w:val="00C924A8"/>
    <w:rsid w:val="00C945FE"/>
    <w:rsid w:val="00C96FAA"/>
    <w:rsid w:val="00C97A04"/>
    <w:rsid w:val="00CA107B"/>
    <w:rsid w:val="00CA47AE"/>
    <w:rsid w:val="00CA484D"/>
    <w:rsid w:val="00CA4FB6"/>
    <w:rsid w:val="00CB02C5"/>
    <w:rsid w:val="00CC036E"/>
    <w:rsid w:val="00CC2637"/>
    <w:rsid w:val="00CC2DCD"/>
    <w:rsid w:val="00CC739E"/>
    <w:rsid w:val="00CD1D1E"/>
    <w:rsid w:val="00CD30FC"/>
    <w:rsid w:val="00CD3A59"/>
    <w:rsid w:val="00CD58B7"/>
    <w:rsid w:val="00CE3023"/>
    <w:rsid w:val="00CE3D9E"/>
    <w:rsid w:val="00CE4C88"/>
    <w:rsid w:val="00CE62E9"/>
    <w:rsid w:val="00CF4099"/>
    <w:rsid w:val="00CF6ED4"/>
    <w:rsid w:val="00D00796"/>
    <w:rsid w:val="00D01AEA"/>
    <w:rsid w:val="00D03014"/>
    <w:rsid w:val="00D0570E"/>
    <w:rsid w:val="00D0602E"/>
    <w:rsid w:val="00D06600"/>
    <w:rsid w:val="00D16558"/>
    <w:rsid w:val="00D25B73"/>
    <w:rsid w:val="00D261A2"/>
    <w:rsid w:val="00D33DAC"/>
    <w:rsid w:val="00D36A99"/>
    <w:rsid w:val="00D42B05"/>
    <w:rsid w:val="00D43D37"/>
    <w:rsid w:val="00D50BA7"/>
    <w:rsid w:val="00D52C78"/>
    <w:rsid w:val="00D616D2"/>
    <w:rsid w:val="00D63B5F"/>
    <w:rsid w:val="00D6682B"/>
    <w:rsid w:val="00D70EF7"/>
    <w:rsid w:val="00D77622"/>
    <w:rsid w:val="00D80C68"/>
    <w:rsid w:val="00D8397C"/>
    <w:rsid w:val="00D83B7A"/>
    <w:rsid w:val="00D91F97"/>
    <w:rsid w:val="00D94EED"/>
    <w:rsid w:val="00D96026"/>
    <w:rsid w:val="00D97DE2"/>
    <w:rsid w:val="00DA10F0"/>
    <w:rsid w:val="00DA1ED2"/>
    <w:rsid w:val="00DA2D39"/>
    <w:rsid w:val="00DA5E0E"/>
    <w:rsid w:val="00DA69B8"/>
    <w:rsid w:val="00DA7C1C"/>
    <w:rsid w:val="00DB147A"/>
    <w:rsid w:val="00DB1B7A"/>
    <w:rsid w:val="00DB296F"/>
    <w:rsid w:val="00DB7154"/>
    <w:rsid w:val="00DC6708"/>
    <w:rsid w:val="00DD123D"/>
    <w:rsid w:val="00DD3E53"/>
    <w:rsid w:val="00DD4565"/>
    <w:rsid w:val="00DD638F"/>
    <w:rsid w:val="00DD73B1"/>
    <w:rsid w:val="00DE10B3"/>
    <w:rsid w:val="00DE4EC5"/>
    <w:rsid w:val="00E01436"/>
    <w:rsid w:val="00E02AFB"/>
    <w:rsid w:val="00E0397F"/>
    <w:rsid w:val="00E045BD"/>
    <w:rsid w:val="00E051F5"/>
    <w:rsid w:val="00E13F14"/>
    <w:rsid w:val="00E172DF"/>
    <w:rsid w:val="00E17B77"/>
    <w:rsid w:val="00E20762"/>
    <w:rsid w:val="00E23337"/>
    <w:rsid w:val="00E259EA"/>
    <w:rsid w:val="00E27A39"/>
    <w:rsid w:val="00E306D2"/>
    <w:rsid w:val="00E32061"/>
    <w:rsid w:val="00E32DF2"/>
    <w:rsid w:val="00E379A0"/>
    <w:rsid w:val="00E42FF9"/>
    <w:rsid w:val="00E43BAA"/>
    <w:rsid w:val="00E46FF1"/>
    <w:rsid w:val="00E4714C"/>
    <w:rsid w:val="00E51AEB"/>
    <w:rsid w:val="00E522A7"/>
    <w:rsid w:val="00E54452"/>
    <w:rsid w:val="00E55A53"/>
    <w:rsid w:val="00E658C4"/>
    <w:rsid w:val="00E664C5"/>
    <w:rsid w:val="00E671A2"/>
    <w:rsid w:val="00E73BE7"/>
    <w:rsid w:val="00E75714"/>
    <w:rsid w:val="00E76D26"/>
    <w:rsid w:val="00E80467"/>
    <w:rsid w:val="00E818EE"/>
    <w:rsid w:val="00E86786"/>
    <w:rsid w:val="00E870CE"/>
    <w:rsid w:val="00E92BCF"/>
    <w:rsid w:val="00EB1390"/>
    <w:rsid w:val="00EB2C71"/>
    <w:rsid w:val="00EB314E"/>
    <w:rsid w:val="00EB4340"/>
    <w:rsid w:val="00EB556D"/>
    <w:rsid w:val="00EB5A7D"/>
    <w:rsid w:val="00ED0F65"/>
    <w:rsid w:val="00ED4133"/>
    <w:rsid w:val="00ED55C0"/>
    <w:rsid w:val="00ED682B"/>
    <w:rsid w:val="00EE079A"/>
    <w:rsid w:val="00EE07E0"/>
    <w:rsid w:val="00EE41D5"/>
    <w:rsid w:val="00EE7158"/>
    <w:rsid w:val="00EF448B"/>
    <w:rsid w:val="00F00F8E"/>
    <w:rsid w:val="00F01408"/>
    <w:rsid w:val="00F0175E"/>
    <w:rsid w:val="00F037A4"/>
    <w:rsid w:val="00F04243"/>
    <w:rsid w:val="00F0483A"/>
    <w:rsid w:val="00F055B6"/>
    <w:rsid w:val="00F0762C"/>
    <w:rsid w:val="00F128D8"/>
    <w:rsid w:val="00F2765B"/>
    <w:rsid w:val="00F2797B"/>
    <w:rsid w:val="00F27C8F"/>
    <w:rsid w:val="00F314DB"/>
    <w:rsid w:val="00F32749"/>
    <w:rsid w:val="00F37172"/>
    <w:rsid w:val="00F40370"/>
    <w:rsid w:val="00F4477E"/>
    <w:rsid w:val="00F447BF"/>
    <w:rsid w:val="00F519B0"/>
    <w:rsid w:val="00F54494"/>
    <w:rsid w:val="00F54C12"/>
    <w:rsid w:val="00F5799D"/>
    <w:rsid w:val="00F666F4"/>
    <w:rsid w:val="00F67D8F"/>
    <w:rsid w:val="00F7125F"/>
    <w:rsid w:val="00F72390"/>
    <w:rsid w:val="00F72F98"/>
    <w:rsid w:val="00F802BE"/>
    <w:rsid w:val="00F809F9"/>
    <w:rsid w:val="00F80E93"/>
    <w:rsid w:val="00F84629"/>
    <w:rsid w:val="00F86024"/>
    <w:rsid w:val="00F8611A"/>
    <w:rsid w:val="00F8647D"/>
    <w:rsid w:val="00F922EE"/>
    <w:rsid w:val="00F9343B"/>
    <w:rsid w:val="00FA2E25"/>
    <w:rsid w:val="00FA5128"/>
    <w:rsid w:val="00FB0C19"/>
    <w:rsid w:val="00FB11BB"/>
    <w:rsid w:val="00FB42D4"/>
    <w:rsid w:val="00FB5906"/>
    <w:rsid w:val="00FB762F"/>
    <w:rsid w:val="00FB76CA"/>
    <w:rsid w:val="00FC2AED"/>
    <w:rsid w:val="00FC73BB"/>
    <w:rsid w:val="00FD2853"/>
    <w:rsid w:val="00FD5C8B"/>
    <w:rsid w:val="00FD5EA7"/>
    <w:rsid w:val="00FF0CE7"/>
    <w:rsid w:val="00FF3406"/>
    <w:rsid w:val="00FF531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lime,#9f6,#9f3,#9c0"/>
    </o:shapedefaults>
    <o:shapelayout v:ext="edit">
      <o:idmap v:ext="edit" data="1"/>
    </o:shapelayout>
  </w:shapeDefaults>
  <w:decimalSymbol w:val=","/>
  <w:listSeparator w:val=";"/>
  <w15:docId w15:val="{8401372B-121F-4D1F-B00C-26874785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21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D0570E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70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s.pieta@stat.gov.p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j.kotowski@stat.gov.pl" TargetMode="External"/><Relationship Id="rId29" Type="http://schemas.openxmlformats.org/officeDocument/2006/relationships/hyperlink" Target="http://stat.gov.pl/metainformacje/slownik-pojec/pojecia-stosowane-w-statystyce-publicznej/158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image" Target="media/image4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metainformacje/slownik-pojec/pojecia-stosowane-w-statystyce-publicznej/395,pojeci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0" Type="http://schemas.openxmlformats.org/officeDocument/2006/relationships/hyperlink" Target="http://stat.gov.pl/metainformacje/slownik-pojec/pojecia-stosowane-w-statystyce-publicznej/583,pojecie.html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71396408609267"/>
          <c:y val="3.9375876138980692E-2"/>
          <c:w val="0.53770592381922833"/>
          <c:h val="0.859624322493227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Arkusz2!$I$1</c:f>
              <c:strCache>
                <c:ptCount val="1"/>
                <c:pt idx="0">
                  <c:v>Koszty ogółem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5</a:t>
                    </a:r>
                    <a:r>
                      <a:rPr lang="en-US"/>
                      <a:t>97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2</a:t>
                    </a:r>
                    <a:r>
                      <a:rPr lang="en-US"/>
                      <a:t>89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1</a:t>
                    </a:r>
                    <a:r>
                      <a:rPr lang="en-US"/>
                      <a:t> 919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1</a:t>
                    </a:r>
                    <a:r>
                      <a:rPr lang="en-US"/>
                      <a:t>68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2</a:t>
                    </a:r>
                    <a:r>
                      <a:rPr lang="en-US"/>
                      <a:t> 870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2</a:t>
                    </a:r>
                    <a:r>
                      <a:rPr lang="en-US"/>
                      <a:t> 337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2</a:t>
                    </a:r>
                    <a:r>
                      <a:rPr lang="en-US"/>
                      <a:t> 033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3</a:t>
                    </a:r>
                    <a:r>
                      <a:rPr lang="en-US"/>
                      <a:t> 124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1</a:t>
                    </a:r>
                    <a:r>
                      <a:rPr lang="en-US"/>
                      <a:t> 143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1</a:t>
                    </a:r>
                    <a:r>
                      <a:rPr lang="en-US"/>
                      <a:t> 827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1</a:t>
                    </a:r>
                    <a:r>
                      <a:rPr lang="en-US"/>
                      <a:t>4 919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4</a:t>
                    </a:r>
                    <a:r>
                      <a:rPr lang="en-US"/>
                      <a:t> 825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3</a:t>
                    </a:r>
                    <a:r>
                      <a:rPr lang="en-US"/>
                      <a:t> 911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Arkusz2!$B$2:$B$14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Arkusz2!$I$2:$I$14</c:f>
              <c:numCache>
                <c:formatCode>0.0</c:formatCode>
                <c:ptCount val="13"/>
                <c:pt idx="0">
                  <c:v>597.6</c:v>
                </c:pt>
                <c:pt idx="1">
                  <c:v>289.2</c:v>
                </c:pt>
                <c:pt idx="2">
                  <c:v>1919.7</c:v>
                </c:pt>
                <c:pt idx="3">
                  <c:v>168.7</c:v>
                </c:pt>
                <c:pt idx="4">
                  <c:v>2870.8</c:v>
                </c:pt>
                <c:pt idx="5">
                  <c:v>2337.6999999999998</c:v>
                </c:pt>
                <c:pt idx="6">
                  <c:v>2033.7</c:v>
                </c:pt>
                <c:pt idx="7">
                  <c:v>3124.6</c:v>
                </c:pt>
                <c:pt idx="8">
                  <c:v>1143.2</c:v>
                </c:pt>
                <c:pt idx="9">
                  <c:v>1827.7</c:v>
                </c:pt>
                <c:pt idx="10">
                  <c:v>14919</c:v>
                </c:pt>
                <c:pt idx="11">
                  <c:v>4825</c:v>
                </c:pt>
                <c:pt idx="12">
                  <c:v>3911.8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1D-4F26-806A-E36640AA8C37}"/>
            </c:ext>
          </c:extLst>
        </c:ser>
        <c:ser>
          <c:idx val="1"/>
          <c:order val="1"/>
          <c:tx>
            <c:strRef>
              <c:f>Arkusz2!$K$1</c:f>
              <c:strCache>
                <c:ptCount val="1"/>
                <c:pt idx="0">
                  <c:v>Przychody ogółem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3</a:t>
                    </a:r>
                    <a:r>
                      <a:rPr lang="en-US"/>
                      <a:t> 666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1</a:t>
                    </a:r>
                    <a:r>
                      <a:rPr lang="en-US"/>
                      <a:t> 756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3</a:t>
                    </a:r>
                    <a:r>
                      <a:rPr lang="en-US"/>
                      <a:t> 859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2</a:t>
                    </a:r>
                    <a:r>
                      <a:rPr lang="en-US"/>
                      <a:t> 037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1</a:t>
                    </a:r>
                    <a:r>
                      <a:rPr lang="en-US"/>
                      <a:t>5 668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6</a:t>
                    </a:r>
                    <a:r>
                      <a:rPr lang="en-US"/>
                      <a:t> 838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800">
                        <a:latin typeface="Fira Sans" pitchFamily="34" charset="0"/>
                        <a:ea typeface="Fira Sans" pitchFamily="34" charset="0"/>
                      </a:rPr>
                      <a:t>4</a:t>
                    </a:r>
                    <a:r>
                      <a:rPr lang="en-US"/>
                      <a:t> 119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Arkusz2!$B$2:$B$14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Arkusz2!$K$2:$K$14</c:f>
              <c:numCache>
                <c:formatCode>0</c:formatCode>
                <c:ptCount val="13"/>
                <c:pt idx="0">
                  <c:v>528.5</c:v>
                </c:pt>
                <c:pt idx="1">
                  <c:v>302.7</c:v>
                </c:pt>
                <c:pt idx="2">
                  <c:v>1261.0999999999999</c:v>
                </c:pt>
                <c:pt idx="3">
                  <c:v>200.5</c:v>
                </c:pt>
                <c:pt idx="4">
                  <c:v>3032.4</c:v>
                </c:pt>
                <c:pt idx="5">
                  <c:v>3665.8</c:v>
                </c:pt>
                <c:pt idx="6">
                  <c:v>1756.1</c:v>
                </c:pt>
                <c:pt idx="7">
                  <c:v>3859.3</c:v>
                </c:pt>
                <c:pt idx="8">
                  <c:v>800.3</c:v>
                </c:pt>
                <c:pt idx="9">
                  <c:v>2037.4</c:v>
                </c:pt>
                <c:pt idx="10">
                  <c:v>15668.2</c:v>
                </c:pt>
                <c:pt idx="11">
                  <c:v>6838</c:v>
                </c:pt>
                <c:pt idx="12">
                  <c:v>4119.1000000000004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1"/>
        <c:overlap val="-22"/>
        <c:axId val="1773681760"/>
        <c:axId val="1773672512"/>
      </c:barChart>
      <c:catAx>
        <c:axId val="1773681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773672512"/>
        <c:crosses val="autoZero"/>
        <c:auto val="1"/>
        <c:lblAlgn val="ctr"/>
        <c:lblOffset val="100"/>
        <c:noMultiLvlLbl val="0"/>
      </c:catAx>
      <c:valAx>
        <c:axId val="1773672512"/>
        <c:scaling>
          <c:orientation val="minMax"/>
          <c:max val="2000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773681760"/>
        <c:crosses val="autoZero"/>
        <c:crossBetween val="between"/>
        <c:majorUnit val="5000"/>
        <c:minorUnit val="1000"/>
      </c:valAx>
      <c:spPr>
        <a:noFill/>
        <a:ln>
          <a:noFill/>
        </a:ln>
        <a:effectLst/>
      </c:spPr>
    </c:plotArea>
    <c:legend>
      <c:legendPos val="b"/>
      <c:overlay val="0"/>
      <c:txPr>
        <a:bodyPr/>
        <a:lstStyle/>
        <a:p>
          <a:pPr>
            <a:defRPr sz="80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917752690134208"/>
          <c:y val="3.9375876138980678E-2"/>
          <c:w val="0.44937004946509584"/>
          <c:h val="0.85962432249322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Arkusz2!$Q$1</c:f>
              <c:strCache>
                <c:ptCount val="1"/>
                <c:pt idx="0">
                  <c:v>Miesięczne wynagrodzenie brutto na 1 zatrudnionego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Arkusz2!$B$2:$B$14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Arkusz2!$Q$2:$Q$14</c:f>
              <c:numCache>
                <c:formatCode>0</c:formatCode>
                <c:ptCount val="13"/>
                <c:pt idx="0">
                  <c:v>2429.5</c:v>
                </c:pt>
                <c:pt idx="1">
                  <c:v>2674.1</c:v>
                </c:pt>
                <c:pt idx="2">
                  <c:v>2972.4</c:v>
                </c:pt>
                <c:pt idx="3">
                  <c:v>2639.5</c:v>
                </c:pt>
                <c:pt idx="4">
                  <c:v>3434.2</c:v>
                </c:pt>
                <c:pt idx="5">
                  <c:v>3756.4</c:v>
                </c:pt>
                <c:pt idx="6">
                  <c:v>6542</c:v>
                </c:pt>
                <c:pt idx="7">
                  <c:v>5585.9</c:v>
                </c:pt>
                <c:pt idx="8">
                  <c:v>2429.3000000000002</c:v>
                </c:pt>
                <c:pt idx="9">
                  <c:v>2707.6</c:v>
                </c:pt>
                <c:pt idx="10">
                  <c:v>3074.2</c:v>
                </c:pt>
                <c:pt idx="11">
                  <c:v>2917.6</c:v>
                </c:pt>
                <c:pt idx="12">
                  <c:v>3170.9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1D-4F26-806A-E36640AA8C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1"/>
        <c:overlap val="-22"/>
        <c:axId val="1773673056"/>
        <c:axId val="1773673600"/>
      </c:barChart>
      <c:catAx>
        <c:axId val="1773673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773673600"/>
        <c:crosses val="autoZero"/>
        <c:auto val="1"/>
        <c:lblAlgn val="ctr"/>
        <c:lblOffset val="100"/>
        <c:noMultiLvlLbl val="0"/>
      </c:catAx>
      <c:valAx>
        <c:axId val="1773673600"/>
        <c:scaling>
          <c:orientation val="minMax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77367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866052931263164"/>
          <c:y val="3.9375876138980678E-2"/>
          <c:w val="0.46462469858884486"/>
          <c:h val="0.85962432249322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Arkusz2!$M$1</c:f>
              <c:strCache>
                <c:ptCount val="1"/>
                <c:pt idx="0">
                  <c:v>Przeciętne zatrudnienie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Arkusz2!$B$2:$B$14</c:f>
              <c:strCache>
                <c:ptCount val="13"/>
                <c:pt idx="0">
                  <c:v>Pozostała działalność usługowa</c:v>
                </c:pt>
                <c:pt idx="1">
                  <c:v>Kultura, rozrywka i rekreacja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Informacja i komunikacja</c:v>
                </c:pt>
                <c:pt idx="8">
                  <c:v>Zakwaterowanie i gastronomia</c:v>
                </c:pt>
                <c:pt idx="9">
                  <c:v>Transport i gospodarka magazynowa</c:v>
                </c:pt>
                <c:pt idx="10">
                  <c:v>Handel; naprawa poj. samoch. </c:v>
                </c:pt>
                <c:pt idx="11">
                  <c:v>Budownictwo</c:v>
                </c:pt>
                <c:pt idx="12">
                  <c:v>Przemysł</c:v>
                </c:pt>
              </c:strCache>
            </c:strRef>
          </c:cat>
          <c:val>
            <c:numRef>
              <c:f>Arkusz2!$M$2:$M$14</c:f>
              <c:numCache>
                <c:formatCode>0</c:formatCode>
                <c:ptCount val="13"/>
                <c:pt idx="0">
                  <c:v>1300</c:v>
                </c:pt>
                <c:pt idx="1">
                  <c:v>673</c:v>
                </c:pt>
                <c:pt idx="2">
                  <c:v>2779</c:v>
                </c:pt>
                <c:pt idx="3">
                  <c:v>496</c:v>
                </c:pt>
                <c:pt idx="4">
                  <c:v>4558</c:v>
                </c:pt>
                <c:pt idx="5">
                  <c:v>7983</c:v>
                </c:pt>
                <c:pt idx="6">
                  <c:v>2875</c:v>
                </c:pt>
                <c:pt idx="7">
                  <c:v>2785</c:v>
                </c:pt>
                <c:pt idx="8">
                  <c:v>1736</c:v>
                </c:pt>
                <c:pt idx="9">
                  <c:v>3169</c:v>
                </c:pt>
                <c:pt idx="10">
                  <c:v>17863</c:v>
                </c:pt>
                <c:pt idx="11">
                  <c:v>12421</c:v>
                </c:pt>
                <c:pt idx="12">
                  <c:v>10978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1D-4F26-806A-E36640AA8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22"/>
        <c:axId val="1773674144"/>
        <c:axId val="1773675232"/>
      </c:barChart>
      <c:catAx>
        <c:axId val="1773674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773675232"/>
        <c:crosses val="autoZero"/>
        <c:auto val="1"/>
        <c:lblAlgn val="ctr"/>
        <c:lblOffset val="100"/>
        <c:noMultiLvlLbl val="0"/>
      </c:catAx>
      <c:valAx>
        <c:axId val="1773675232"/>
        <c:scaling>
          <c:orientation val="minMax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77367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477788522809682E-2"/>
          <c:y val="5.6783794936872009E-2"/>
          <c:w val="0.91484079733558088"/>
          <c:h val="0.495522234970553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Arkusz2!$V$1</c:f>
              <c:strCache>
                <c:ptCount val="1"/>
                <c:pt idx="0">
                  <c:v>Wskaźnik poziomu kosztów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Arkusz2!$U$2:$U$14</c:f>
              <c:strCache>
                <c:ptCount val="13"/>
                <c:pt idx="0">
                  <c:v>Przemysł</c:v>
                </c:pt>
                <c:pt idx="1">
                  <c:v>Budownictwo</c:v>
                </c:pt>
                <c:pt idx="2">
                  <c:v>Handel; naprawa poj. samoch. </c:v>
                </c:pt>
                <c:pt idx="3">
                  <c:v>Transport i gospodarka magazynowa</c:v>
                </c:pt>
                <c:pt idx="4">
                  <c:v>Zakwaterowanie i gastronomia</c:v>
                </c:pt>
                <c:pt idx="5">
                  <c:v>Informacja i komunikacja</c:v>
                </c:pt>
                <c:pt idx="6">
                  <c:v>Obsługa rynku nieruchomości</c:v>
                </c:pt>
                <c:pt idx="7">
                  <c:v>Działalność profesjonalna, naukowa i techniczna</c:v>
                </c:pt>
                <c:pt idx="8">
                  <c:v>Administrowanie i działalność wspierająca</c:v>
                </c:pt>
                <c:pt idx="9">
                  <c:v>Edukacja</c:v>
                </c:pt>
                <c:pt idx="10">
                  <c:v>Opieka zdrowotna i pomoc społeczna</c:v>
                </c:pt>
                <c:pt idx="11">
                  <c:v>Kultura, rozrywka i rekreacja</c:v>
                </c:pt>
                <c:pt idx="12">
                  <c:v>Pozostała działalność usługowa</c:v>
                </c:pt>
              </c:strCache>
            </c:strRef>
          </c:cat>
          <c:val>
            <c:numRef>
              <c:f>Arkusz2!$V$2:$V$14</c:f>
              <c:numCache>
                <c:formatCode>0.0</c:formatCode>
                <c:ptCount val="13"/>
                <c:pt idx="0">
                  <c:v>95</c:v>
                </c:pt>
                <c:pt idx="1">
                  <c:v>70.599999999999994</c:v>
                </c:pt>
                <c:pt idx="2">
                  <c:v>95.2</c:v>
                </c:pt>
                <c:pt idx="3">
                  <c:v>89.7</c:v>
                </c:pt>
                <c:pt idx="4">
                  <c:v>142.80000000000001</c:v>
                </c:pt>
                <c:pt idx="5">
                  <c:v>81</c:v>
                </c:pt>
                <c:pt idx="6">
                  <c:v>115.8</c:v>
                </c:pt>
                <c:pt idx="7">
                  <c:v>63.8</c:v>
                </c:pt>
                <c:pt idx="8">
                  <c:v>94.7</c:v>
                </c:pt>
                <c:pt idx="9">
                  <c:v>84.1</c:v>
                </c:pt>
                <c:pt idx="10">
                  <c:v>152.19999999999999</c:v>
                </c:pt>
                <c:pt idx="11">
                  <c:v>95.5</c:v>
                </c:pt>
                <c:pt idx="12">
                  <c:v>113.1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64-4957-A871-054093954F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1"/>
        <c:overlap val="22"/>
        <c:axId val="1773676864"/>
        <c:axId val="1810256960"/>
      </c:barChart>
      <c:catAx>
        <c:axId val="177367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effectLst/>
        </c:spPr>
        <c:txPr>
          <a:bodyPr rot="-60000000" vert="horz"/>
          <a:lstStyle/>
          <a:p>
            <a:pPr>
              <a:defRPr sz="800">
                <a:solidFill>
                  <a:schemeClr val="tx1"/>
                </a:solidFill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810256960"/>
        <c:crosses val="autoZero"/>
        <c:auto val="1"/>
        <c:lblAlgn val="ctr"/>
        <c:lblOffset val="20"/>
        <c:noMultiLvlLbl val="0"/>
      </c:catAx>
      <c:valAx>
        <c:axId val="1810256960"/>
        <c:scaling>
          <c:orientation val="minMax"/>
          <c:max val="16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>
                <a:solidFill>
                  <a:schemeClr val="tx1"/>
                </a:solidFill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773676864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317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Myriad Pro" panose="020B0503030403020204" pitchFamily="34" charset="0"/>
        </a:defRPr>
      </a:pPr>
      <a:endParaRPr lang="pl-P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0.92741</cdr:x>
      <cdr:y>0.90684</cdr:y>
    </cdr:from>
    <cdr:to>
      <cdr:x>0.9995</cdr:x>
      <cdr:y>0.93874</cdr:y>
    </cdr:to>
    <cdr:sp macro="" textlink="">
      <cdr:nvSpPr>
        <cdr:cNvPr id="2" name="Text Box 204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42557" y="4826647"/>
          <a:ext cx="376424" cy="1697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pl-PL" sz="800" b="0" i="0" u="none" strike="noStrike" baseline="0">
              <a:solidFill>
                <a:schemeClr val="tx1"/>
              </a:solidFill>
              <a:latin typeface="Fira Sans" pitchFamily="34" charset="0"/>
              <a:ea typeface="Fira Sans" pitchFamily="34" charset="0"/>
              <a:cs typeface="Arial"/>
            </a:rPr>
            <a:t>mln zł</a:t>
          </a:r>
        </a:p>
        <a:p xmlns:a="http://schemas.openxmlformats.org/drawingml/2006/main">
          <a:pPr algn="l" rtl="0">
            <a:defRPr sz="1000"/>
          </a:pPr>
          <a:endParaRPr lang="pl-PL" sz="800" b="0" i="0" u="none" strike="noStrike" baseline="0">
            <a:solidFill>
              <a:schemeClr val="tx1">
                <a:lumMod val="50000"/>
                <a:lumOff val="50000"/>
              </a:schemeClr>
            </a:solidFill>
            <a:latin typeface="Myriad Pro SemiCond" panose="020B0503030403020204" pitchFamily="34" charset="0"/>
            <a:ea typeface="Fira Sans" panose="020B0503050000020004" pitchFamily="34" charset="0"/>
            <a:cs typeface="Arial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0.95517</cdr:x>
      <cdr:y>0.91116</cdr:y>
    </cdr:from>
    <cdr:to>
      <cdr:x>1</cdr:x>
      <cdr:y>0.98158</cdr:y>
    </cdr:to>
    <cdr:sp macro="" textlink="">
      <cdr:nvSpPr>
        <cdr:cNvPr id="2" name="Text Box 204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94390" y="3057249"/>
          <a:ext cx="229701" cy="2362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pl-PL" sz="800" b="0" i="0" u="none" strike="noStrike" baseline="0">
              <a:solidFill>
                <a:schemeClr val="tx1"/>
              </a:solidFill>
              <a:latin typeface="Fira Sans" pitchFamily="34" charset="0"/>
              <a:ea typeface="Fira Sans" pitchFamily="34" charset="0"/>
              <a:cs typeface="Arial"/>
            </a:rPr>
            <a:t>zł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0.01424</cdr:x>
      <cdr:y>0</cdr:y>
    </cdr:from>
    <cdr:to>
      <cdr:x>0.04365</cdr:x>
      <cdr:y>0.03467</cdr:y>
    </cdr:to>
    <cdr:sp macro="" textlink="">
      <cdr:nvSpPr>
        <cdr:cNvPr id="2" name="Text Box 204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4053" y="0"/>
          <a:ext cx="152970" cy="1453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pl-PL" sz="800" b="0" i="0" u="none" strike="noStrike" baseline="0">
              <a:solidFill>
                <a:schemeClr val="tx1"/>
              </a:solidFill>
              <a:latin typeface="Fira Sans" pitchFamily="34" charset="0"/>
              <a:ea typeface="Fira Sans" pitchFamily="34" charset="0"/>
              <a:cs typeface="Arial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15CBF-68D9-4D3D-9246-E621BF55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Podmioty gospodarcze według rodzajów i miejsc prowadzenia działalności w 2017 roku</vt:lpstr>
    </vt:vector>
  </TitlesOfParts>
  <Company>Główny Urząd Statystyczny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Przedsiębiorstwa niefinansowe powstałe w 2018 roku</dc:title>
  <dc:subject>Przedsiębiorstwa niefinansowe powstałe w 2018 roku</dc:subject>
  <cp:keywords>przedsiębiorstwa; działalność gospodarcza; wyniki finansowe; badanie przedsiębiorstw; jednostki lokalne</cp:keywords>
  <cp:revision>4</cp:revision>
  <cp:lastPrinted>2018-10-25T09:38:00Z</cp:lastPrinted>
  <dcterms:created xsi:type="dcterms:W3CDTF">2019-11-21T13:06:00Z</dcterms:created>
  <dcterms:modified xsi:type="dcterms:W3CDTF">2019-11-21T13:45:00Z</dcterms:modified>
  <cp:category>Podmioty gospodarcze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