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B" w:rsidRDefault="00A356AB" w:rsidP="00A356AB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Przedsiębiorstwa niefinansowe powstałe w 2017 r.</w:t>
      </w:r>
    </w:p>
    <w:p w:rsidR="00393761" w:rsidRPr="004F1B93" w:rsidRDefault="006D7E74" w:rsidP="006D7E74">
      <w:pPr>
        <w:pStyle w:val="tytuinformacji"/>
        <w:tabs>
          <w:tab w:val="left" w:pos="6317"/>
        </w:tabs>
        <w:rPr>
          <w:sz w:val="32"/>
        </w:rPr>
      </w:pPr>
      <w:r>
        <w:rPr>
          <w:sz w:val="32"/>
        </w:rPr>
        <w:tab/>
      </w:r>
    </w:p>
    <w:p w:rsidR="00F0762C" w:rsidRPr="00B762C6" w:rsidRDefault="00376E02" w:rsidP="00B01885">
      <w:pPr>
        <w:pStyle w:val="LID"/>
        <w:jc w:val="both"/>
        <w:rPr>
          <w:color w:val="FF0000"/>
        </w:rPr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.15pt;width:144.7pt;height:91.9pt;z-index:25167667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" fillcolor="#001d77" stroked="f">
            <v:textbox style="mso-next-textbox:#_x0000_s1027">
              <w:txbxContent>
                <w:p w:rsidR="00DB7154" w:rsidRPr="00B66B19" w:rsidRDefault="00DB7154" w:rsidP="005622E5">
                  <w:pPr>
                    <w:spacing w:before="0" w:after="0" w:line="240" w:lineRule="auto"/>
                    <w:jc w:val="center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 xml:space="preserve"> 66,3%</w:t>
                  </w:r>
                </w:p>
                <w:p w:rsidR="00DB7154" w:rsidRPr="008A17EB" w:rsidRDefault="00DB7154" w:rsidP="00BC10B5">
                  <w:pPr>
                    <w:pStyle w:val="tekstnaniebieskimtle"/>
                    <w:jc w:val="center"/>
                  </w:pPr>
                  <w:r>
                    <w:t>Wskaźnik przeżycia pier</w:t>
                  </w:r>
                  <w:r>
                    <w:t>w</w:t>
                  </w:r>
                  <w:r>
                    <w:t>szego roku przez przedsi</w:t>
                  </w:r>
                  <w:r>
                    <w:t>ę</w:t>
                  </w:r>
                  <w:r>
                    <w:t>biorstwa niefinansowe.</w:t>
                  </w:r>
                </w:p>
              </w:txbxContent>
            </v:textbox>
            <w10:wrap type="square" anchorx="margin"/>
          </v:shape>
        </w:pict>
      </w:r>
      <w:r>
        <w:rPr>
          <w:color w:val="FF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left:0;text-align:left;margin-left:-143.55pt;margin-top:18.9pt;width:16.3pt;height:28.5pt;z-index:251763712" fillcolor="#9c0" stroked="f">
            <v:textbox style="layout-flow:vertical-ideographic"/>
          </v:shape>
        </w:pict>
      </w:r>
      <w:r w:rsidRPr="00376E02">
        <w:rPr>
          <w:b w:val="0"/>
          <w:color w:val="212492"/>
          <w:spacing w:val="-2"/>
        </w:rPr>
        <w:pict>
          <v:shape id="Pole tekstowe 2" o:spid="_x0000_s1026" type="#_x0000_t202" style="position:absolute;left:0;text-align:left;margin-left:411pt;margin-top:2.4pt;width:135.85pt;height:90.75pt;z-index:-25165004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" filled="f" stroked="f">
            <v:textbox style="mso-next-textbox:#Pole tekstowe 2">
              <w:txbxContent>
                <w:p w:rsidR="00DB7154" w:rsidRPr="00B259A8" w:rsidRDefault="00DB7154" w:rsidP="00B01885">
                  <w:pPr>
                    <w:pStyle w:val="tekstzboku"/>
                    <w:spacing w:before="0"/>
                  </w:pPr>
                  <w:r>
                    <w:t>Do 2018 roku pozostało a</w:t>
                  </w:r>
                  <w:r>
                    <w:t>k</w:t>
                  </w:r>
                  <w:r>
                    <w:t>tywnych 66,3% przedsi</w:t>
                  </w:r>
                  <w:r>
                    <w:t>ę</w:t>
                  </w:r>
                  <w:r>
                    <w:t>biorstw powstałych w 2017 roku, tj. 180 123 podmiotów</w:t>
                  </w:r>
                </w:p>
              </w:txbxContent>
            </v:textbox>
            <w10:wrap type="tight"/>
          </v:shape>
        </w:pict>
      </w:r>
      <w:r w:rsidR="00502BAE">
        <w:t>Spośród powstałych w 2017 r.</w:t>
      </w:r>
      <w:r w:rsidR="00BC10B5">
        <w:t xml:space="preserve"> </w:t>
      </w:r>
      <w:r w:rsidR="00224E8A">
        <w:t>przedsiębiorstw</w:t>
      </w:r>
      <w:r w:rsidR="00BC10B5">
        <w:t xml:space="preserve"> niefinansowych</w:t>
      </w:r>
      <w:r w:rsidR="00DB7154">
        <w:t>,</w:t>
      </w:r>
      <w:r w:rsidR="00502BAE">
        <w:t xml:space="preserve"> do roku 2018 aktywne p</w:t>
      </w:r>
      <w:r w:rsidR="005133A3">
        <w:t>ozostały 180 123 jednostki (tj. 66,3</w:t>
      </w:r>
      <w:r w:rsidR="00DB7154">
        <w:t>%</w:t>
      </w:r>
      <w:r w:rsidR="00502BAE">
        <w:t>)</w:t>
      </w:r>
      <w:r w:rsidR="005133A3">
        <w:t>. Pierwszy rok działalności przeżyło najwięcej przedsiębiorstw prowadzących działalność budowlaną (31 349 podmiotów w 2018 r.), handlową; naprawę pojazdów samochodowych (30 415) oraz działalność profesjonalną</w:t>
      </w:r>
      <w:r w:rsidR="00DB7154">
        <w:t>,</w:t>
      </w:r>
      <w:r w:rsidR="005133A3">
        <w:t xml:space="preserve"> naukową i techniczną (25 977).</w:t>
      </w:r>
    </w:p>
    <w:p w:rsidR="00B01885" w:rsidRDefault="00B01885" w:rsidP="00B01885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</w:p>
    <w:p w:rsidR="00DB7154" w:rsidRPr="00DB7154" w:rsidRDefault="00DB7154" w:rsidP="00DB7154">
      <w:pPr>
        <w:rPr>
          <w:shd w:val="clear" w:color="auto" w:fill="FFFFFF"/>
        </w:rPr>
      </w:pPr>
      <w:r w:rsidRPr="008069C4">
        <w:rPr>
          <w:shd w:val="clear" w:color="auto" w:fill="FFFFFF"/>
        </w:rPr>
        <w:t>Przedsiębiorstwa powstałe</w:t>
      </w:r>
      <w:r>
        <w:rPr>
          <w:shd w:val="clear" w:color="auto" w:fill="FFFFFF"/>
        </w:rPr>
        <w:t xml:space="preserve"> w 2017 r. i aktywne po pierwszym roku swojej działalności gosp</w:t>
      </w:r>
      <w:r>
        <w:rPr>
          <w:shd w:val="clear" w:color="auto" w:fill="FFFFFF"/>
        </w:rPr>
        <w:t>o</w:t>
      </w:r>
      <w:r>
        <w:rPr>
          <w:shd w:val="clear" w:color="auto" w:fill="FFFFFF"/>
        </w:rPr>
        <w:t>darczej wykazały 39 108,7 mln zł przychodów ogółem.</w:t>
      </w:r>
    </w:p>
    <w:p w:rsidR="008101A6" w:rsidRDefault="005133A3" w:rsidP="008101A6">
      <w:pPr>
        <w:rPr>
          <w:lang w:eastAsia="pl-PL"/>
        </w:rPr>
      </w:pPr>
      <w:r>
        <w:rPr>
          <w:lang w:eastAsia="pl-PL"/>
        </w:rPr>
        <w:t>Największe</w:t>
      </w:r>
      <w:r w:rsidR="003173EC" w:rsidRPr="003173EC">
        <w:rPr>
          <w:b/>
          <w:lang w:eastAsia="pl-PL"/>
        </w:rPr>
        <w:t xml:space="preserve"> </w:t>
      </w:r>
      <w:r w:rsidRPr="00DB7154">
        <w:rPr>
          <w:lang w:eastAsia="pl-PL"/>
        </w:rPr>
        <w:t>przychody</w:t>
      </w:r>
      <w:r w:rsidR="003173EC" w:rsidRPr="00DB7154">
        <w:rPr>
          <w:lang w:eastAsia="pl-PL"/>
        </w:rPr>
        <w:t xml:space="preserve"> ogółem</w:t>
      </w:r>
      <w:r w:rsidR="008101A6">
        <w:rPr>
          <w:lang w:eastAsia="pl-PL"/>
        </w:rPr>
        <w:t xml:space="preserve"> </w:t>
      </w:r>
      <w:r w:rsidR="003173EC">
        <w:rPr>
          <w:lang w:eastAsia="pl-PL"/>
        </w:rPr>
        <w:t>w pierwszym roku prowadz</w:t>
      </w:r>
      <w:r>
        <w:rPr>
          <w:lang w:eastAsia="pl-PL"/>
        </w:rPr>
        <w:t>enia działalności wygenerowały podmioty z</w:t>
      </w:r>
      <w:r w:rsidR="00DB7154">
        <w:rPr>
          <w:lang w:eastAsia="pl-PL"/>
        </w:rPr>
        <w:t xml:space="preserve"> zakresu</w:t>
      </w:r>
      <w:r>
        <w:rPr>
          <w:lang w:eastAsia="pl-PL"/>
        </w:rPr>
        <w:t xml:space="preserve"> handlu; naprawy pojazdów samochodowych</w:t>
      </w:r>
      <w:r w:rsidR="008101A6">
        <w:rPr>
          <w:lang w:eastAsia="pl-PL"/>
        </w:rPr>
        <w:t xml:space="preserve"> (50,4%)</w:t>
      </w:r>
      <w:r>
        <w:rPr>
          <w:lang w:eastAsia="pl-PL"/>
        </w:rPr>
        <w:t xml:space="preserve"> oraz</w:t>
      </w:r>
      <w:r w:rsidR="008101A6">
        <w:rPr>
          <w:lang w:eastAsia="pl-PL"/>
        </w:rPr>
        <w:t xml:space="preserve"> przemysł</w:t>
      </w:r>
      <w:r>
        <w:rPr>
          <w:lang w:eastAsia="pl-PL"/>
        </w:rPr>
        <w:t>u</w:t>
      </w:r>
      <w:r w:rsidR="008101A6">
        <w:rPr>
          <w:lang w:eastAsia="pl-PL"/>
        </w:rPr>
        <w:t xml:space="preserve"> </w:t>
      </w:r>
      <w:r>
        <w:rPr>
          <w:lang w:eastAsia="pl-PL"/>
        </w:rPr>
        <w:t>(</w:t>
      </w:r>
      <w:r w:rsidR="008101A6">
        <w:rPr>
          <w:lang w:eastAsia="pl-PL"/>
        </w:rPr>
        <w:t>13,3%</w:t>
      </w:r>
      <w:r>
        <w:rPr>
          <w:lang w:eastAsia="pl-PL"/>
        </w:rPr>
        <w:t>)</w:t>
      </w:r>
      <w:r w:rsidR="008101A6">
        <w:rPr>
          <w:lang w:eastAsia="pl-PL"/>
        </w:rPr>
        <w:t>.</w:t>
      </w:r>
    </w:p>
    <w:p w:rsidR="00F0483A" w:rsidRDefault="008069C4" w:rsidP="008101A6">
      <w:pPr>
        <w:rPr>
          <w:lang w:eastAsia="pl-PL"/>
        </w:rPr>
      </w:pPr>
      <w:r w:rsidRPr="00DB7154">
        <w:rPr>
          <w:lang w:eastAsia="pl-PL"/>
        </w:rPr>
        <w:t>K</w:t>
      </w:r>
      <w:r w:rsidR="008101A6" w:rsidRPr="00DB7154">
        <w:rPr>
          <w:lang w:eastAsia="pl-PL"/>
        </w:rPr>
        <w:t>os</w:t>
      </w:r>
      <w:r w:rsidR="00C17825">
        <w:rPr>
          <w:lang w:eastAsia="pl-PL"/>
        </w:rPr>
        <w:t>zty</w:t>
      </w:r>
      <w:r w:rsidR="005622E5" w:rsidRPr="00DB7154">
        <w:rPr>
          <w:lang w:eastAsia="pl-PL"/>
        </w:rPr>
        <w:t xml:space="preserve"> ogółem</w:t>
      </w:r>
      <w:r w:rsidR="008101A6">
        <w:rPr>
          <w:lang w:eastAsia="pl-PL"/>
        </w:rPr>
        <w:t xml:space="preserve"> przedsiębiorstw</w:t>
      </w:r>
      <w:r>
        <w:rPr>
          <w:lang w:eastAsia="pl-PL"/>
        </w:rPr>
        <w:t xml:space="preserve"> jednorocznych wyniosły 37 321,8 mln zł, z czego</w:t>
      </w:r>
      <w:r w:rsidR="008101A6">
        <w:rPr>
          <w:lang w:eastAsia="pl-PL"/>
        </w:rPr>
        <w:t xml:space="preserve"> </w:t>
      </w:r>
      <w:r>
        <w:rPr>
          <w:lang w:eastAsia="pl-PL"/>
        </w:rPr>
        <w:t>2/3 przypad</w:t>
      </w:r>
      <w:r>
        <w:rPr>
          <w:lang w:eastAsia="pl-PL"/>
        </w:rPr>
        <w:t>a</w:t>
      </w:r>
      <w:r>
        <w:rPr>
          <w:lang w:eastAsia="pl-PL"/>
        </w:rPr>
        <w:t>ło łącznie na handel; naprawę pojazdów samochodowych oraz przemysł.</w:t>
      </w:r>
    </w:p>
    <w:p w:rsidR="00DD638F" w:rsidRPr="006C581B" w:rsidRDefault="00FB5906" w:rsidP="00DB7154">
      <w:pPr>
        <w:pStyle w:val="tytuwykresu"/>
        <w:spacing w:before="240"/>
        <w:ind w:left="851" w:hanging="851"/>
        <w:rPr>
          <w:sz w:val="19"/>
          <w:szCs w:val="19"/>
          <w:shd w:val="clear" w:color="auto" w:fill="FFFFFF"/>
        </w:rPr>
      </w:pPr>
      <w:r w:rsidRPr="006C581B">
        <w:rPr>
          <w:sz w:val="19"/>
          <w:szCs w:val="19"/>
        </w:rPr>
        <w:t xml:space="preserve">Wykres </w:t>
      </w:r>
      <w:r w:rsidR="00074DD8" w:rsidRPr="006C581B">
        <w:rPr>
          <w:sz w:val="19"/>
          <w:szCs w:val="19"/>
        </w:rPr>
        <w:t>1</w:t>
      </w:r>
      <w:r w:rsidR="008F4441" w:rsidRPr="006C581B">
        <w:rPr>
          <w:sz w:val="19"/>
          <w:szCs w:val="19"/>
        </w:rPr>
        <w:t>.</w:t>
      </w:r>
      <w:r w:rsidR="00074DD8" w:rsidRPr="006C581B">
        <w:rPr>
          <w:sz w:val="19"/>
          <w:szCs w:val="19"/>
          <w:shd w:val="clear" w:color="auto" w:fill="FFFFFF"/>
        </w:rPr>
        <w:t xml:space="preserve"> </w:t>
      </w:r>
      <w:r w:rsidR="00A074EF" w:rsidRPr="006C581B">
        <w:rPr>
          <w:sz w:val="19"/>
          <w:szCs w:val="19"/>
          <w:shd w:val="clear" w:color="auto" w:fill="FFFFFF"/>
        </w:rPr>
        <w:t xml:space="preserve"> </w:t>
      </w:r>
      <w:r w:rsidR="00CC2637" w:rsidRPr="006C581B">
        <w:rPr>
          <w:sz w:val="19"/>
          <w:szCs w:val="19"/>
          <w:shd w:val="clear" w:color="auto" w:fill="FFFFFF"/>
        </w:rPr>
        <w:t>Przychody</w:t>
      </w:r>
      <w:r w:rsidR="005622E5">
        <w:rPr>
          <w:sz w:val="19"/>
          <w:szCs w:val="19"/>
          <w:shd w:val="clear" w:color="auto" w:fill="FFFFFF"/>
        </w:rPr>
        <w:t xml:space="preserve"> ogółem</w:t>
      </w:r>
      <w:r w:rsidR="00CC2637" w:rsidRPr="006C581B">
        <w:rPr>
          <w:sz w:val="19"/>
          <w:szCs w:val="19"/>
          <w:shd w:val="clear" w:color="auto" w:fill="FFFFFF"/>
        </w:rPr>
        <w:t xml:space="preserve"> oraz koszty</w:t>
      </w:r>
      <w:r w:rsidR="005622E5">
        <w:rPr>
          <w:sz w:val="19"/>
          <w:szCs w:val="19"/>
          <w:shd w:val="clear" w:color="auto" w:fill="FFFFFF"/>
        </w:rPr>
        <w:t xml:space="preserve"> ogółem</w:t>
      </w:r>
      <w:r w:rsidR="006C581B">
        <w:rPr>
          <w:sz w:val="19"/>
          <w:szCs w:val="19"/>
          <w:shd w:val="clear" w:color="auto" w:fill="FFFFFF"/>
        </w:rPr>
        <w:t xml:space="preserve"> przedsiębiorstw </w:t>
      </w:r>
      <w:r w:rsidR="00CC2637" w:rsidRPr="006C581B">
        <w:rPr>
          <w:sz w:val="19"/>
          <w:szCs w:val="19"/>
          <w:shd w:val="clear" w:color="auto" w:fill="FFFFFF"/>
        </w:rPr>
        <w:t>p</w:t>
      </w:r>
      <w:r w:rsidR="00DB7154">
        <w:rPr>
          <w:sz w:val="19"/>
          <w:szCs w:val="19"/>
          <w:shd w:val="clear" w:color="auto" w:fill="FFFFFF"/>
        </w:rPr>
        <w:t xml:space="preserve">owstałych w 2017 roku i </w:t>
      </w:r>
      <w:r w:rsidR="00CC2637" w:rsidRPr="006C581B">
        <w:rPr>
          <w:sz w:val="19"/>
          <w:szCs w:val="19"/>
          <w:shd w:val="clear" w:color="auto" w:fill="FFFFFF"/>
        </w:rPr>
        <w:t>aktywnych do 2018 roku</w:t>
      </w:r>
      <w:r w:rsidR="006C581B">
        <w:rPr>
          <w:sz w:val="19"/>
          <w:szCs w:val="19"/>
          <w:shd w:val="clear" w:color="auto" w:fill="FFFFFF"/>
        </w:rPr>
        <w:t xml:space="preserve"> według sekcji PKD</w:t>
      </w:r>
    </w:p>
    <w:p w:rsidR="00F0483A" w:rsidRPr="00BF2577" w:rsidRDefault="00BF2577" w:rsidP="00BF2577">
      <w:pPr>
        <w:pStyle w:val="Tekstprzypisudolnego"/>
        <w:jc w:val="both"/>
        <w:rPr>
          <w:rFonts w:cs="Arial"/>
          <w:color w:val="FF0000"/>
          <w:sz w:val="19"/>
          <w:szCs w:val="19"/>
        </w:rPr>
      </w:pPr>
      <w:r w:rsidRPr="00BF2577">
        <w:rPr>
          <w:rFonts w:cs="Arial"/>
          <w:noProof/>
          <w:color w:val="FF0000"/>
          <w:sz w:val="19"/>
          <w:szCs w:val="19"/>
          <w:lang w:eastAsia="pl-PL"/>
        </w:rPr>
        <w:drawing>
          <wp:inline distT="0" distB="0" distL="0" distR="0">
            <wp:extent cx="5124091" cy="5167223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7154" w:rsidRDefault="008069C4" w:rsidP="00A7514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Wykres 2. M</w:t>
      </w:r>
      <w:r w:rsidR="00A75147" w:rsidRPr="00CC2637">
        <w:rPr>
          <w:b/>
          <w:shd w:val="clear" w:color="auto" w:fill="FFFFFF"/>
        </w:rPr>
        <w:t>iesięczne wynagrodzenie brutto na 1 zatrudnionego</w:t>
      </w:r>
      <w:r w:rsidR="00A75147">
        <w:rPr>
          <w:b/>
          <w:shd w:val="clear" w:color="auto" w:fill="FFFFFF"/>
        </w:rPr>
        <w:t xml:space="preserve"> w przedsiębiorstwach </w:t>
      </w:r>
      <w:r w:rsidR="00DB7154">
        <w:rPr>
          <w:b/>
          <w:shd w:val="clear" w:color="auto" w:fill="FFFFFF"/>
        </w:rPr>
        <w:t xml:space="preserve">         </w:t>
      </w:r>
    </w:p>
    <w:p w:rsidR="00A75147" w:rsidRPr="00DB7154" w:rsidRDefault="00DB7154" w:rsidP="00A75147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                   </w:t>
      </w:r>
      <w:r w:rsidR="00A75147">
        <w:rPr>
          <w:b/>
          <w:shd w:val="clear" w:color="auto" w:fill="FFFFFF"/>
        </w:rPr>
        <w:t>powstałych w 2017 roku</w:t>
      </w:r>
      <w:r>
        <w:rPr>
          <w:b/>
          <w:shd w:val="clear" w:color="auto" w:fill="FFFFFF"/>
        </w:rPr>
        <w:t xml:space="preserve"> i</w:t>
      </w:r>
      <w:r w:rsidR="00A75147">
        <w:rPr>
          <w:b/>
          <w:shd w:val="clear" w:color="auto" w:fill="FFFFFF"/>
        </w:rPr>
        <w:t xml:space="preserve"> aktywnych do 2018 roku według sekcji PKD</w:t>
      </w:r>
    </w:p>
    <w:p w:rsidR="00A75147" w:rsidRDefault="00376E02" w:rsidP="00A75147">
      <w:pPr>
        <w:rPr>
          <w:shd w:val="clear" w:color="auto" w:fill="FFFFFF"/>
        </w:rPr>
      </w:pPr>
      <w:r w:rsidRPr="00376E02">
        <w:rPr>
          <w:noProof/>
          <w:spacing w:val="-2"/>
          <w:szCs w:val="19"/>
          <w:lang w:eastAsia="pl-PL"/>
        </w:rPr>
        <w:pict>
          <v:shape id="Pole tekstowe 17" o:spid="_x0000_s1044" type="#_x0000_t202" style="position:absolute;margin-left:412.35pt;margin-top:292pt;width:135.85pt;height:57.4pt;z-index:-25155379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" filled="f" stroked="f">
            <v:textbox style="mso-next-textbox:#Pole tekstowe 17">
              <w:txbxContent>
                <w:p w:rsidR="00DB7154" w:rsidRPr="006964CF" w:rsidRDefault="00DB7154" w:rsidP="00A75147">
                  <w:pPr>
                    <w:pStyle w:val="tekstzboku"/>
                    <w:spacing w:before="0"/>
                    <w:rPr>
                      <w:bCs w:val="0"/>
                    </w:rPr>
                  </w:pPr>
                  <w:r>
                    <w:t>W przedsiębiorstwach jedn</w:t>
                  </w:r>
                  <w:r>
                    <w:t>o</w:t>
                  </w:r>
                  <w:r>
                    <w:t>rocznych miesięczne wyn</w:t>
                  </w:r>
                  <w:r>
                    <w:t>a</w:t>
                  </w:r>
                  <w:r>
                    <w:t>grodzenie brutto na 1 zatru</w:t>
                  </w:r>
                  <w:r>
                    <w:t>d</w:t>
                  </w:r>
                  <w:r>
                    <w:t xml:space="preserve">nionego wyniosło </w:t>
                  </w:r>
                  <w:r w:rsidRPr="00DB7154">
                    <w:t>3 418 zł</w:t>
                  </w:r>
                </w:p>
              </w:txbxContent>
            </v:textbox>
            <w10:wrap type="tight"/>
          </v:shape>
        </w:pict>
      </w:r>
      <w:r w:rsidR="00BF2577">
        <w:rPr>
          <w:noProof/>
          <w:spacing w:val="-2"/>
          <w:szCs w:val="19"/>
          <w:lang w:eastAsia="pl-PL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111760</wp:posOffset>
            </wp:positionH>
            <wp:positionV relativeFrom="margin">
              <wp:posOffset>610870</wp:posOffset>
            </wp:positionV>
            <wp:extent cx="5106670" cy="339852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F7A50" w:rsidRDefault="00AF7A50" w:rsidP="00CC2637">
      <w:pPr>
        <w:rPr>
          <w:shd w:val="clear" w:color="auto" w:fill="FFFFFF"/>
        </w:rPr>
      </w:pPr>
      <w:r>
        <w:rPr>
          <w:shd w:val="clear" w:color="auto" w:fill="FFFFFF"/>
        </w:rPr>
        <w:t xml:space="preserve">Miesięczne wynagrodzenie brutto na 1 zatrudnionego w przedsiębiorstwach powstałych w roku 2017 i aktywnych w 2018 r. </w:t>
      </w:r>
      <w:r w:rsidRPr="00DB7154">
        <w:rPr>
          <w:shd w:val="clear" w:color="auto" w:fill="FFFFFF"/>
        </w:rPr>
        <w:t xml:space="preserve">wyniosło </w:t>
      </w:r>
      <w:r w:rsidR="00DB7154" w:rsidRPr="00DB7154">
        <w:rPr>
          <w:shd w:val="clear" w:color="auto" w:fill="FFFFFF"/>
        </w:rPr>
        <w:t>3 418</w:t>
      </w:r>
      <w:r w:rsidRPr="00DB7154">
        <w:rPr>
          <w:shd w:val="clear" w:color="auto" w:fill="FFFFFF"/>
        </w:rPr>
        <w:t xml:space="preserve"> zł</w:t>
      </w:r>
      <w:r>
        <w:rPr>
          <w:shd w:val="clear" w:color="auto" w:fill="FFFFFF"/>
        </w:rPr>
        <w:t xml:space="preserve"> i było zróżnicowane w zależności od rodzaju prowadzonej działalności: od 2 226 zł w pozostałej działalności usługowej do 6 333 zł w i</w:t>
      </w:r>
      <w:r>
        <w:rPr>
          <w:shd w:val="clear" w:color="auto" w:fill="FFFFFF"/>
        </w:rPr>
        <w:t>n</w:t>
      </w:r>
      <w:r>
        <w:rPr>
          <w:shd w:val="clear" w:color="auto" w:fill="FFFFFF"/>
        </w:rPr>
        <w:t>formacji i komunikacji.</w:t>
      </w:r>
    </w:p>
    <w:p w:rsidR="001149EE" w:rsidRDefault="001149EE" w:rsidP="00CC2637">
      <w:pPr>
        <w:rPr>
          <w:shd w:val="clear" w:color="auto" w:fill="FFFFFF"/>
        </w:rPr>
      </w:pPr>
      <w:r>
        <w:rPr>
          <w:shd w:val="clear" w:color="auto" w:fill="FFFFFF"/>
        </w:rPr>
        <w:t xml:space="preserve">W podziale terytorialnym </w:t>
      </w:r>
      <w:r w:rsidRPr="00DB7154">
        <w:rPr>
          <w:shd w:val="clear" w:color="auto" w:fill="FFFFFF"/>
        </w:rPr>
        <w:t>miesięczne wynagrodzenie</w:t>
      </w:r>
      <w:r w:rsidR="00AF7A50" w:rsidRPr="00DB7154">
        <w:rPr>
          <w:shd w:val="clear" w:color="auto" w:fill="FFFFFF"/>
        </w:rPr>
        <w:t xml:space="preserve"> brutto</w:t>
      </w:r>
      <w:r w:rsidRPr="00DB7154">
        <w:rPr>
          <w:shd w:val="clear" w:color="auto" w:fill="FFFFFF"/>
        </w:rPr>
        <w:t xml:space="preserve"> na 1 zatrudnionego</w:t>
      </w:r>
      <w:r>
        <w:rPr>
          <w:shd w:val="clear" w:color="auto" w:fill="FFFFFF"/>
        </w:rPr>
        <w:t xml:space="preserve"> </w:t>
      </w:r>
      <w:r w:rsidR="00AF7A50">
        <w:rPr>
          <w:shd w:val="clear" w:color="auto" w:fill="FFFFFF"/>
        </w:rPr>
        <w:t>dla</w:t>
      </w:r>
      <w:r w:rsidR="00E73BE7">
        <w:rPr>
          <w:shd w:val="clear" w:color="auto" w:fill="FFFFFF"/>
        </w:rPr>
        <w:t xml:space="preserve"> przedsi</w:t>
      </w:r>
      <w:r w:rsidR="00E73BE7">
        <w:rPr>
          <w:shd w:val="clear" w:color="auto" w:fill="FFFFFF"/>
        </w:rPr>
        <w:t>ę</w:t>
      </w:r>
      <w:r w:rsidR="00E73BE7">
        <w:rPr>
          <w:shd w:val="clear" w:color="auto" w:fill="FFFFFF"/>
        </w:rPr>
        <w:t>biorstw</w:t>
      </w:r>
      <w:r w:rsidR="00AF7A50">
        <w:rPr>
          <w:shd w:val="clear" w:color="auto" w:fill="FFFFFF"/>
        </w:rPr>
        <w:t xml:space="preserve"> jednorocznych</w:t>
      </w:r>
      <w:r w:rsidR="00E73BE7">
        <w:rPr>
          <w:shd w:val="clear" w:color="auto" w:fill="FFFFFF"/>
        </w:rPr>
        <w:t xml:space="preserve"> </w:t>
      </w:r>
      <w:r>
        <w:rPr>
          <w:shd w:val="clear" w:color="auto" w:fill="FFFFFF"/>
        </w:rPr>
        <w:t>było najwyższe w województwach</w:t>
      </w:r>
      <w:r w:rsidR="00AF7A50">
        <w:rPr>
          <w:shd w:val="clear" w:color="auto" w:fill="FFFFFF"/>
        </w:rPr>
        <w:t>:</w:t>
      </w:r>
      <w:r>
        <w:rPr>
          <w:shd w:val="clear" w:color="auto" w:fill="FFFFFF"/>
        </w:rPr>
        <w:t xml:space="preserve"> dolnośląskim (4 355 zł), mazowie</w:t>
      </w:r>
      <w:r>
        <w:rPr>
          <w:shd w:val="clear" w:color="auto" w:fill="FFFFFF"/>
        </w:rPr>
        <w:t>c</w:t>
      </w:r>
      <w:r w:rsidR="00AF7A50">
        <w:rPr>
          <w:shd w:val="clear" w:color="auto" w:fill="FFFFFF"/>
        </w:rPr>
        <w:t>kim (4 332 zł)</w:t>
      </w:r>
      <w:r>
        <w:rPr>
          <w:shd w:val="clear" w:color="auto" w:fill="FFFFFF"/>
        </w:rPr>
        <w:t xml:space="preserve"> oraz świętokrzyskim (3 271 zł). Najniższe</w:t>
      </w:r>
      <w:r w:rsidR="00AF7A50">
        <w:rPr>
          <w:shd w:val="clear" w:color="auto" w:fill="FFFFFF"/>
        </w:rPr>
        <w:t xml:space="preserve"> było</w:t>
      </w:r>
      <w:r>
        <w:rPr>
          <w:shd w:val="clear" w:color="auto" w:fill="FFFFFF"/>
        </w:rPr>
        <w:t xml:space="preserve"> w województwach</w:t>
      </w:r>
      <w:r w:rsidR="00AF7A50">
        <w:rPr>
          <w:shd w:val="clear" w:color="auto" w:fill="FFFFFF"/>
        </w:rPr>
        <w:t>:</w:t>
      </w:r>
      <w:r>
        <w:rPr>
          <w:shd w:val="clear" w:color="auto" w:fill="FFFFFF"/>
        </w:rPr>
        <w:t xml:space="preserve"> podlaskim (2 44</w:t>
      </w:r>
      <w:r w:rsidR="00AF7A50">
        <w:rPr>
          <w:shd w:val="clear" w:color="auto" w:fill="FFFFFF"/>
        </w:rPr>
        <w:t>0 zł), lubelskim (2 567 zł) i</w:t>
      </w:r>
      <w:r>
        <w:rPr>
          <w:shd w:val="clear" w:color="auto" w:fill="FFFFFF"/>
        </w:rPr>
        <w:t xml:space="preserve"> lubuskim (2 759 zł).</w:t>
      </w:r>
    </w:p>
    <w:p w:rsidR="00A75147" w:rsidRDefault="00A75147" w:rsidP="001149EE">
      <w:pPr>
        <w:rPr>
          <w:b/>
          <w:shd w:val="clear" w:color="auto" w:fill="FFFFFF"/>
        </w:rPr>
      </w:pPr>
    </w:p>
    <w:p w:rsidR="00DB7154" w:rsidRDefault="00DA10F0" w:rsidP="00CC263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Wykres 3. Przeciętne zatrudnienie</w:t>
      </w:r>
      <w:r w:rsidR="001149EE">
        <w:rPr>
          <w:b/>
          <w:shd w:val="clear" w:color="auto" w:fill="FFFFFF"/>
        </w:rPr>
        <w:t xml:space="preserve"> w przedsiębiorstwach powstałych w 2017 roku</w:t>
      </w:r>
      <w:r w:rsidR="00DB7154">
        <w:rPr>
          <w:b/>
          <w:shd w:val="clear" w:color="auto" w:fill="FFFFFF"/>
        </w:rPr>
        <w:t xml:space="preserve"> i</w:t>
      </w:r>
      <w:r w:rsidR="001149EE">
        <w:rPr>
          <w:b/>
          <w:shd w:val="clear" w:color="auto" w:fill="FFFFFF"/>
        </w:rPr>
        <w:t xml:space="preserve"> </w:t>
      </w:r>
      <w:r w:rsidR="00DB7154">
        <w:rPr>
          <w:b/>
          <w:shd w:val="clear" w:color="auto" w:fill="FFFFFF"/>
        </w:rPr>
        <w:t xml:space="preserve">  </w:t>
      </w:r>
    </w:p>
    <w:p w:rsidR="001149EE" w:rsidRPr="00DB7154" w:rsidRDefault="00BF2577" w:rsidP="00CC2637">
      <w:pPr>
        <w:rPr>
          <w:shd w:val="clear" w:color="auto" w:fill="FFFFFF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6381750</wp:posOffset>
            </wp:positionV>
            <wp:extent cx="5218430" cy="3105150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DB7154">
        <w:rPr>
          <w:b/>
          <w:shd w:val="clear" w:color="auto" w:fill="FFFFFF"/>
        </w:rPr>
        <w:t xml:space="preserve">                    </w:t>
      </w:r>
      <w:r w:rsidR="001149EE">
        <w:rPr>
          <w:b/>
          <w:shd w:val="clear" w:color="auto" w:fill="FFFFFF"/>
        </w:rPr>
        <w:t>aktywnych do 2018 roku według sekcji PKD</w:t>
      </w:r>
    </w:p>
    <w:p w:rsidR="00753AED" w:rsidRDefault="00753AED" w:rsidP="00975E6E">
      <w:pPr>
        <w:rPr>
          <w:shd w:val="clear" w:color="auto" w:fill="FFFFFF"/>
        </w:rPr>
      </w:pPr>
    </w:p>
    <w:p w:rsidR="00975E6E" w:rsidRDefault="00420816" w:rsidP="00975E6E">
      <w:pPr>
        <w:rPr>
          <w:shd w:val="clear" w:color="auto" w:fill="FFFFFF"/>
        </w:rPr>
      </w:pPr>
      <w:r>
        <w:rPr>
          <w:shd w:val="clear" w:color="auto" w:fill="FFFFFF"/>
        </w:rPr>
        <w:t>W 180 123 przedsiębiorstwach jednorocznych powstałych w roku 2017 pracowało 292 587 osób</w:t>
      </w:r>
      <w:r w:rsidR="00E73BE7">
        <w:rPr>
          <w:shd w:val="clear" w:color="auto" w:fill="FFFFFF"/>
        </w:rPr>
        <w:t>,</w:t>
      </w:r>
      <w:r>
        <w:rPr>
          <w:shd w:val="clear" w:color="auto" w:fill="FFFFFF"/>
        </w:rPr>
        <w:t xml:space="preserve"> z czego</w:t>
      </w:r>
      <w:r w:rsidR="00E73BE7">
        <w:rPr>
          <w:shd w:val="clear" w:color="auto" w:fill="FFFFFF"/>
        </w:rPr>
        <w:t xml:space="preserve"> n</w:t>
      </w:r>
      <w:r w:rsidR="00975E6E">
        <w:rPr>
          <w:shd w:val="clear" w:color="auto" w:fill="FFFFFF"/>
        </w:rPr>
        <w:t>ajwię</w:t>
      </w:r>
      <w:r>
        <w:rPr>
          <w:shd w:val="clear" w:color="auto" w:fill="FFFFFF"/>
        </w:rPr>
        <w:t>cej w podmiotach</w:t>
      </w:r>
      <w:r w:rsidR="00975E6E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975E6E">
        <w:rPr>
          <w:shd w:val="clear" w:color="auto" w:fill="FFFFFF"/>
        </w:rPr>
        <w:t xml:space="preserve"> sekcj</w:t>
      </w:r>
      <w:r>
        <w:rPr>
          <w:shd w:val="clear" w:color="auto" w:fill="FFFFFF"/>
        </w:rPr>
        <w:t>i h</w:t>
      </w:r>
      <w:r w:rsidR="00975E6E">
        <w:rPr>
          <w:shd w:val="clear" w:color="auto" w:fill="FFFFFF"/>
        </w:rPr>
        <w:t>andel; naprawa pojazdów samochodo</w:t>
      </w:r>
      <w:r>
        <w:rPr>
          <w:shd w:val="clear" w:color="auto" w:fill="FFFFFF"/>
        </w:rPr>
        <w:t>wych (57 535), d</w:t>
      </w:r>
      <w:r w:rsidR="00975E6E">
        <w:rPr>
          <w:shd w:val="clear" w:color="auto" w:fill="FFFFFF"/>
        </w:rPr>
        <w:t>ziałalność profesjonalna, naukowa i technicz</w:t>
      </w:r>
      <w:r>
        <w:rPr>
          <w:shd w:val="clear" w:color="auto" w:fill="FFFFFF"/>
        </w:rPr>
        <w:t>na</w:t>
      </w:r>
      <w:r w:rsidR="00975E6E">
        <w:rPr>
          <w:shd w:val="clear" w:color="auto" w:fill="FFFFFF"/>
        </w:rPr>
        <w:t xml:space="preserve"> (35 907) oraz </w:t>
      </w:r>
      <w:r>
        <w:rPr>
          <w:shd w:val="clear" w:color="auto" w:fill="FFFFFF"/>
        </w:rPr>
        <w:t>b</w:t>
      </w:r>
      <w:r w:rsidR="00975E6E">
        <w:rPr>
          <w:shd w:val="clear" w:color="auto" w:fill="FFFFFF"/>
        </w:rPr>
        <w:t>udownictwo (44 291).</w:t>
      </w:r>
    </w:p>
    <w:p w:rsidR="00023ACD" w:rsidRDefault="00975E6E" w:rsidP="00CC2637">
      <w:pPr>
        <w:rPr>
          <w:shd w:val="clear" w:color="auto" w:fill="FFFFFF"/>
        </w:rPr>
      </w:pPr>
      <w:r>
        <w:rPr>
          <w:shd w:val="clear" w:color="auto" w:fill="FFFFFF"/>
        </w:rPr>
        <w:t>W p</w:t>
      </w:r>
      <w:r w:rsidR="00420816">
        <w:rPr>
          <w:shd w:val="clear" w:color="auto" w:fill="FFFFFF"/>
        </w:rPr>
        <w:t>odziale terytorialnym najwięcej osób pracowało w przedsiębiorstwach jednorocznych mających siedzibę w województwie mazowieckim (66 929 osób)</w:t>
      </w:r>
      <w:r w:rsidR="00DB7154">
        <w:rPr>
          <w:shd w:val="clear" w:color="auto" w:fill="FFFFFF"/>
        </w:rPr>
        <w:t>,</w:t>
      </w:r>
      <w:r w:rsidR="00420816">
        <w:rPr>
          <w:shd w:val="clear" w:color="auto" w:fill="FFFFFF"/>
        </w:rPr>
        <w:t xml:space="preserve"> a najmniej w województwie opolskim (6 597 osób).</w:t>
      </w:r>
    </w:p>
    <w:p w:rsidR="00F0483A" w:rsidRDefault="00F0483A" w:rsidP="00CC2637">
      <w:pPr>
        <w:rPr>
          <w:shd w:val="clear" w:color="auto" w:fill="FFFFFF"/>
        </w:rPr>
      </w:pPr>
    </w:p>
    <w:p w:rsidR="00C17825" w:rsidRDefault="00F0483A" w:rsidP="00CC2637">
      <w:pPr>
        <w:rPr>
          <w:b/>
          <w:shd w:val="clear" w:color="auto" w:fill="FFFFFF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2059940</wp:posOffset>
            </wp:positionV>
            <wp:extent cx="5132705" cy="3562350"/>
            <wp:effectExtent l="0" t="0" r="0" b="0"/>
            <wp:wrapSquare wrapText="bothSides"/>
            <wp:docPr id="5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23ACD" w:rsidRPr="00023ACD">
        <w:rPr>
          <w:b/>
          <w:shd w:val="clear" w:color="auto" w:fill="FFFFFF"/>
        </w:rPr>
        <w:t>Wykres 4. Wskaźnik poziomu kosztów dla przedsiębiorstw powstałych w 2017 roku</w:t>
      </w:r>
      <w:r w:rsidR="00C17825">
        <w:rPr>
          <w:b/>
          <w:shd w:val="clear" w:color="auto" w:fill="FFFFFF"/>
        </w:rPr>
        <w:t xml:space="preserve"> i</w:t>
      </w:r>
      <w:r w:rsidR="00023ACD" w:rsidRPr="00023ACD">
        <w:rPr>
          <w:b/>
          <w:shd w:val="clear" w:color="auto" w:fill="FFFFFF"/>
        </w:rPr>
        <w:t xml:space="preserve"> </w:t>
      </w:r>
    </w:p>
    <w:p w:rsidR="00B726DE" w:rsidRPr="00023ACD" w:rsidRDefault="00C17825" w:rsidP="00CC263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   </w:t>
      </w:r>
      <w:r w:rsidR="00023ACD" w:rsidRPr="00023ACD">
        <w:rPr>
          <w:b/>
          <w:shd w:val="clear" w:color="auto" w:fill="FFFFFF"/>
        </w:rPr>
        <w:t>aktywnych do 2018 roku według sekcji PKD</w:t>
      </w:r>
    </w:p>
    <w:p w:rsidR="00B726DE" w:rsidRDefault="00B726DE" w:rsidP="00CC2637">
      <w:pPr>
        <w:rPr>
          <w:shd w:val="clear" w:color="auto" w:fill="FFFFFF"/>
        </w:rPr>
      </w:pPr>
    </w:p>
    <w:p w:rsidR="00420816" w:rsidRDefault="00E73BE7" w:rsidP="00CC2637">
      <w:pPr>
        <w:rPr>
          <w:shd w:val="clear" w:color="auto" w:fill="FFFFFF"/>
        </w:rPr>
      </w:pPr>
      <w:r>
        <w:rPr>
          <w:shd w:val="clear" w:color="auto" w:fill="FFFFFF"/>
        </w:rPr>
        <w:t>Wśród</w:t>
      </w:r>
      <w:r w:rsidR="008C207A">
        <w:rPr>
          <w:shd w:val="clear" w:color="auto" w:fill="FFFFFF"/>
        </w:rPr>
        <w:t xml:space="preserve"> przedsiębiorstw powstałych w 2017 r.</w:t>
      </w:r>
      <w:r>
        <w:rPr>
          <w:shd w:val="clear" w:color="auto" w:fill="FFFFFF"/>
        </w:rPr>
        <w:t xml:space="preserve"> i </w:t>
      </w:r>
      <w:r w:rsidR="00420816">
        <w:rPr>
          <w:shd w:val="clear" w:color="auto" w:fill="FFFFFF"/>
        </w:rPr>
        <w:t>nadal</w:t>
      </w:r>
      <w:r w:rsidRPr="00E73BE7">
        <w:rPr>
          <w:shd w:val="clear" w:color="auto" w:fill="FFFFFF"/>
        </w:rPr>
        <w:t xml:space="preserve">  aktywnych</w:t>
      </w:r>
      <w:r w:rsidR="00376E02">
        <w:rPr>
          <w:noProof/>
          <w:lang w:eastAsia="pl-PL"/>
        </w:rPr>
        <w:pict>
          <v:shape id="_x0000_s1039" type="#_x0000_t202" style="position:absolute;margin-left:411pt;margin-top:-12.25pt;width:2in;height:113.25pt;z-index:251758592;mso-position-horizontal-relative:text;mso-position-vertical-relative:text" filled="f" stroked="f">
            <v:textbox style="mso-next-textbox:#_x0000_s1039">
              <w:txbxContent>
                <w:p w:rsidR="00DB7154" w:rsidRPr="001C2ABA" w:rsidRDefault="00DB715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</v:shape>
        </w:pict>
      </w:r>
      <w:r>
        <w:rPr>
          <w:shd w:val="clear" w:color="auto" w:fill="FFFFFF"/>
        </w:rPr>
        <w:t xml:space="preserve"> w</w:t>
      </w:r>
      <w:r w:rsidR="00420816">
        <w:rPr>
          <w:shd w:val="clear" w:color="auto" w:fill="FFFFFF"/>
        </w:rPr>
        <w:t xml:space="preserve"> roku</w:t>
      </w:r>
      <w:r>
        <w:rPr>
          <w:shd w:val="clear" w:color="auto" w:fill="FFFFFF"/>
        </w:rPr>
        <w:t xml:space="preserve"> </w:t>
      </w:r>
      <w:r w:rsidRPr="00DB7154">
        <w:rPr>
          <w:shd w:val="clear" w:color="auto" w:fill="FFFFFF"/>
        </w:rPr>
        <w:t xml:space="preserve">2018 </w:t>
      </w:r>
      <w:r w:rsidR="00DA1ED2" w:rsidRPr="00DB7154">
        <w:rPr>
          <w:shd w:val="clear" w:color="auto" w:fill="FFFFFF"/>
        </w:rPr>
        <w:t>wskaźnik pozi</w:t>
      </w:r>
      <w:r w:rsidR="00DA1ED2" w:rsidRPr="00DB7154">
        <w:rPr>
          <w:shd w:val="clear" w:color="auto" w:fill="FFFFFF"/>
        </w:rPr>
        <w:t>o</w:t>
      </w:r>
      <w:r w:rsidR="00DA1ED2" w:rsidRPr="00DB7154">
        <w:rPr>
          <w:shd w:val="clear" w:color="auto" w:fill="FFFFFF"/>
        </w:rPr>
        <w:t>mu kosztów</w:t>
      </w:r>
      <w:r w:rsidR="00420816">
        <w:rPr>
          <w:b/>
          <w:shd w:val="clear" w:color="auto" w:fill="FFFFFF"/>
        </w:rPr>
        <w:t xml:space="preserve"> </w:t>
      </w:r>
      <w:r w:rsidR="00420816" w:rsidRPr="00420816">
        <w:rPr>
          <w:shd w:val="clear" w:color="auto" w:fill="FFFFFF"/>
        </w:rPr>
        <w:t>wahał się od</w:t>
      </w:r>
      <w:r w:rsidR="00420816">
        <w:rPr>
          <w:b/>
          <w:shd w:val="clear" w:color="auto" w:fill="FFFFFF"/>
        </w:rPr>
        <w:t xml:space="preserve"> </w:t>
      </w:r>
      <w:r w:rsidR="00420816" w:rsidRPr="00420816">
        <w:rPr>
          <w:shd w:val="clear" w:color="auto" w:fill="FFFFFF"/>
        </w:rPr>
        <w:t>61,8</w:t>
      </w:r>
      <w:r w:rsidR="00420816">
        <w:rPr>
          <w:shd w:val="clear" w:color="auto" w:fill="FFFFFF"/>
        </w:rPr>
        <w:t>% w informacji i komunikacji do 142,2% w edukacji.</w:t>
      </w:r>
      <w:r w:rsidR="008C207A">
        <w:rPr>
          <w:shd w:val="clear" w:color="auto" w:fill="FFFFFF"/>
        </w:rPr>
        <w:t xml:space="preserve"> </w:t>
      </w:r>
    </w:p>
    <w:p w:rsidR="00DA1ED2" w:rsidRDefault="00DA1ED2" w:rsidP="00CC2637">
      <w:pPr>
        <w:rPr>
          <w:shd w:val="clear" w:color="auto" w:fill="FFFFFF"/>
        </w:rPr>
      </w:pPr>
      <w:r>
        <w:rPr>
          <w:shd w:val="clear" w:color="auto" w:fill="FFFFFF"/>
        </w:rPr>
        <w:t xml:space="preserve">W </w:t>
      </w:r>
      <w:r w:rsidR="00420816">
        <w:rPr>
          <w:shd w:val="clear" w:color="auto" w:fill="FFFFFF"/>
        </w:rPr>
        <w:t>podziale terytorialnym najniższą</w:t>
      </w:r>
      <w:r>
        <w:rPr>
          <w:shd w:val="clear" w:color="auto" w:fill="FFFFFF"/>
        </w:rPr>
        <w:t xml:space="preserve"> wartość wskaźnika</w:t>
      </w:r>
      <w:r w:rsidR="00420816">
        <w:rPr>
          <w:shd w:val="clear" w:color="auto" w:fill="FFFFFF"/>
        </w:rPr>
        <w:t xml:space="preserve"> poziomu kosztów</w:t>
      </w:r>
      <w:r w:rsidR="00753AED">
        <w:rPr>
          <w:shd w:val="clear" w:color="auto" w:fill="FFFFFF"/>
        </w:rPr>
        <w:t xml:space="preserve"> zanotowano</w:t>
      </w:r>
      <w:r w:rsidR="00175182">
        <w:rPr>
          <w:shd w:val="clear" w:color="auto" w:fill="FFFFFF"/>
        </w:rPr>
        <w:t xml:space="preserve"> dla województwa małopol</w:t>
      </w:r>
      <w:r w:rsidR="00DB7154">
        <w:rPr>
          <w:shd w:val="clear" w:color="auto" w:fill="FFFFFF"/>
        </w:rPr>
        <w:t>skiego (82</w:t>
      </w:r>
      <w:r w:rsidR="00753AED">
        <w:rPr>
          <w:shd w:val="clear" w:color="auto" w:fill="FFFFFF"/>
        </w:rPr>
        <w:t>%), a najwyższą</w:t>
      </w:r>
      <w:r w:rsidR="00175182">
        <w:rPr>
          <w:shd w:val="clear" w:color="auto" w:fill="FFFFFF"/>
        </w:rPr>
        <w:t xml:space="preserve"> dla w</w:t>
      </w:r>
      <w:r w:rsidR="00DB7154">
        <w:rPr>
          <w:shd w:val="clear" w:color="auto" w:fill="FFFFFF"/>
        </w:rPr>
        <w:t>ojewództwa mazowieckiego (101,9</w:t>
      </w:r>
      <w:r w:rsidR="00175182">
        <w:rPr>
          <w:shd w:val="clear" w:color="auto" w:fill="FFFFFF"/>
        </w:rPr>
        <w:t>%).</w:t>
      </w:r>
    </w:p>
    <w:p w:rsidR="00B726DE" w:rsidRDefault="00B726DE" w:rsidP="00CC2637">
      <w:pPr>
        <w:rPr>
          <w:shd w:val="clear" w:color="auto" w:fill="FFFFFF"/>
        </w:rPr>
      </w:pPr>
    </w:p>
    <w:p w:rsidR="007F188A" w:rsidRDefault="007F188A" w:rsidP="001976D8">
      <w:pPr>
        <w:pStyle w:val="Tekstpodstawowy"/>
        <w:tabs>
          <w:tab w:val="left" w:pos="2410"/>
        </w:tabs>
        <w:spacing w:after="0"/>
        <w:jc w:val="both"/>
        <w:rPr>
          <w:noProof/>
        </w:rPr>
      </w:pPr>
    </w:p>
    <w:p w:rsidR="007F188A" w:rsidRDefault="007F188A" w:rsidP="001976D8">
      <w:pPr>
        <w:pStyle w:val="Tekstpodstawowy"/>
        <w:tabs>
          <w:tab w:val="left" w:pos="2410"/>
        </w:tabs>
        <w:spacing w:after="0"/>
        <w:jc w:val="both"/>
        <w:rPr>
          <w:noProof/>
        </w:rPr>
      </w:pPr>
    </w:p>
    <w:p w:rsidR="001976D8" w:rsidRPr="00001C5B" w:rsidRDefault="001976D8" w:rsidP="0075509D">
      <w:pPr>
        <w:rPr>
          <w:sz w:val="18"/>
        </w:rPr>
        <w:sectPr w:rsidR="001976D8" w:rsidRPr="00001C5B" w:rsidSect="00606E8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870B4D" w:rsidRDefault="008B18FF" w:rsidP="00F802BE">
      <w:pPr>
        <w:rPr>
          <w:b/>
        </w:rPr>
      </w:pPr>
      <w:r>
        <w:rPr>
          <w:b/>
        </w:rPr>
        <w:lastRenderedPageBreak/>
        <w:t>Aneks tabelaryczny</w:t>
      </w:r>
    </w:p>
    <w:p w:rsidR="008C207A" w:rsidRDefault="00BA3562" w:rsidP="008C207A">
      <w:pPr>
        <w:spacing w:before="0" w:after="0"/>
        <w:rPr>
          <w:b/>
          <w:spacing w:val="-2"/>
          <w:sz w:val="18"/>
          <w:shd w:val="clear" w:color="auto" w:fill="FFFFFF"/>
        </w:rPr>
      </w:pPr>
      <w:r w:rsidRPr="00A5129D">
        <w:rPr>
          <w:b/>
          <w:spacing w:val="-2"/>
          <w:sz w:val="18"/>
          <w:shd w:val="clear" w:color="auto" w:fill="FFFFFF"/>
        </w:rPr>
        <w:t xml:space="preserve">Tablica 1. </w:t>
      </w:r>
      <w:r w:rsidR="009B203D">
        <w:rPr>
          <w:b/>
          <w:spacing w:val="-2"/>
          <w:sz w:val="18"/>
          <w:shd w:val="clear" w:color="auto" w:fill="FFFFFF"/>
        </w:rPr>
        <w:t xml:space="preserve"> </w:t>
      </w:r>
      <w:r w:rsidR="00870B4D" w:rsidRPr="00870B4D">
        <w:rPr>
          <w:b/>
          <w:spacing w:val="-2"/>
          <w:sz w:val="18"/>
          <w:shd w:val="clear" w:color="auto" w:fill="FFFFFF"/>
        </w:rPr>
        <w:t xml:space="preserve">Podstawowe dane o </w:t>
      </w:r>
      <w:r w:rsidR="009B203D">
        <w:rPr>
          <w:b/>
          <w:spacing w:val="-2"/>
          <w:sz w:val="18"/>
          <w:shd w:val="clear" w:color="auto" w:fill="FFFFFF"/>
        </w:rPr>
        <w:t>przedsiębiorstwach</w:t>
      </w:r>
      <w:r w:rsidR="008C207A">
        <w:rPr>
          <w:b/>
          <w:spacing w:val="-2"/>
          <w:sz w:val="18"/>
          <w:shd w:val="clear" w:color="auto" w:fill="FFFFFF"/>
        </w:rPr>
        <w:t xml:space="preserve"> powstałych w 2017 r. i aktywnych do 2018 r.</w:t>
      </w:r>
      <w:r w:rsidR="009B203D">
        <w:rPr>
          <w:b/>
          <w:spacing w:val="-2"/>
          <w:sz w:val="18"/>
          <w:shd w:val="clear" w:color="auto" w:fill="FFFFFF"/>
        </w:rPr>
        <w:t xml:space="preserve"> </w:t>
      </w:r>
    </w:p>
    <w:p w:rsidR="00991BAC" w:rsidRDefault="008C207A" w:rsidP="008C207A">
      <w:pPr>
        <w:spacing w:before="0" w:after="0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                     </w:t>
      </w:r>
      <w:r w:rsidR="009B203D">
        <w:rPr>
          <w:b/>
          <w:spacing w:val="-2"/>
          <w:sz w:val="18"/>
          <w:shd w:val="clear" w:color="auto" w:fill="FFFFFF"/>
        </w:rPr>
        <w:t xml:space="preserve">według podstawowego rodzaju prowadzonej </w:t>
      </w:r>
      <w:r>
        <w:rPr>
          <w:b/>
          <w:spacing w:val="-2"/>
          <w:sz w:val="18"/>
          <w:shd w:val="clear" w:color="auto" w:fill="FFFFFF"/>
        </w:rPr>
        <w:t>działalności</w:t>
      </w:r>
    </w:p>
    <w:p w:rsidR="005E28BE" w:rsidRDefault="005E28BE" w:rsidP="009B203D">
      <w:pPr>
        <w:spacing w:before="0" w:after="0"/>
        <w:ind w:firstLine="851"/>
        <w:rPr>
          <w:b/>
          <w:spacing w:val="-2"/>
          <w:sz w:val="18"/>
          <w:shd w:val="clear" w:color="auto" w:fill="FFFFFF"/>
        </w:rPr>
      </w:pPr>
    </w:p>
    <w:tbl>
      <w:tblPr>
        <w:tblW w:w="9229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5"/>
        <w:gridCol w:w="1134"/>
        <w:gridCol w:w="1134"/>
        <w:gridCol w:w="1134"/>
        <w:gridCol w:w="1167"/>
        <w:gridCol w:w="1101"/>
        <w:gridCol w:w="1134"/>
      </w:tblGrid>
      <w:tr w:rsidR="004340CA" w:rsidRPr="008B18FF" w:rsidTr="00A76EC3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9B203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4340CA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jących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1C2AB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nia</w:t>
            </w:r>
          </w:p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134" w:type="dxa"/>
            <w:tcBorders>
              <w:top w:val="nil"/>
              <w:left w:val="single" w:sz="2" w:space="0" w:color="002060"/>
              <w:right w:val="nil"/>
            </w:tcBorders>
            <w:vAlign w:val="center"/>
          </w:tcPr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ó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łem</w:t>
            </w:r>
          </w:p>
        </w:tc>
      </w:tr>
      <w:tr w:rsidR="00D25B73" w:rsidRPr="00D25B73" w:rsidTr="004340CA">
        <w:trPr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2060"/>
              <w:left w:val="single" w:sz="2" w:space="0" w:color="002060"/>
            </w:tcBorders>
            <w:shd w:val="clear" w:color="auto" w:fill="auto"/>
            <w:vAlign w:val="center"/>
          </w:tcPr>
          <w:p w:rsidR="00D25B73" w:rsidRPr="00D25B73" w:rsidRDefault="009372B3" w:rsidP="00D25B7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="00D25B73"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40CA" w:rsidRPr="008B18FF" w:rsidTr="0023662D">
        <w:trPr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4340CA" w:rsidRPr="001C2ABA" w:rsidRDefault="004340CA" w:rsidP="004340C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C2ABA">
              <w:rPr>
                <w:rFonts w:cs="Arial"/>
                <w:b/>
                <w:sz w:val="16"/>
                <w:szCs w:val="16"/>
              </w:rPr>
              <w:t>180 123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4340CA" w:rsidRPr="009372B3" w:rsidRDefault="004340CA" w:rsidP="004340CA">
            <w:pPr>
              <w:jc w:val="center"/>
              <w:rPr>
                <w:b/>
                <w:color w:val="000000"/>
                <w:sz w:val="22"/>
              </w:rPr>
            </w:pPr>
            <w:r w:rsidRPr="009372B3">
              <w:rPr>
                <w:rFonts w:cs="Arial"/>
                <w:b/>
                <w:bCs/>
                <w:sz w:val="16"/>
                <w:szCs w:val="16"/>
              </w:rPr>
              <w:t>292 587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372B3">
              <w:rPr>
                <w:rFonts w:cs="Arial"/>
                <w:b/>
                <w:bCs/>
                <w:sz w:val="16"/>
                <w:szCs w:val="16"/>
              </w:rPr>
              <w:t>47 695</w:t>
            </w:r>
          </w:p>
        </w:tc>
        <w:tc>
          <w:tcPr>
            <w:tcW w:w="116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4340CA" w:rsidRPr="0023662D" w:rsidRDefault="004340CA" w:rsidP="0023662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372B3">
              <w:rPr>
                <w:rFonts w:cs="Arial"/>
                <w:b/>
                <w:bCs/>
                <w:sz w:val="16"/>
                <w:szCs w:val="16"/>
              </w:rPr>
              <w:t>1 956 261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center"/>
          </w:tcPr>
          <w:p w:rsidR="004340CA" w:rsidRPr="006E1284" w:rsidRDefault="004340CA" w:rsidP="0023662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1284">
              <w:rPr>
                <w:rFonts w:cs="Arial"/>
                <w:b/>
                <w:bCs/>
                <w:sz w:val="16"/>
                <w:szCs w:val="16"/>
              </w:rPr>
              <w:t>39 108 678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vAlign w:val="center"/>
          </w:tcPr>
          <w:p w:rsidR="004340CA" w:rsidRPr="006E1284" w:rsidRDefault="004340CA" w:rsidP="0023662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1284">
              <w:rPr>
                <w:rFonts w:cs="Arial"/>
                <w:b/>
                <w:bCs/>
                <w:sz w:val="16"/>
                <w:szCs w:val="16"/>
              </w:rPr>
              <w:t>37 321 847</w:t>
            </w:r>
          </w:p>
        </w:tc>
      </w:tr>
      <w:tr w:rsidR="004340CA" w:rsidRPr="008B18FF" w:rsidTr="0023662D">
        <w:trPr>
          <w:trHeight w:val="61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B + C + D + E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1C2ABA" w:rsidRDefault="004340CA" w:rsidP="004340CA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> </w:t>
            </w:r>
            <w:r w:rsidRPr="001C2ABA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39 157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11 648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454 758</w:t>
            </w:r>
          </w:p>
        </w:tc>
        <w:tc>
          <w:tcPr>
            <w:tcW w:w="1101" w:type="dxa"/>
            <w:vAlign w:val="center"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5 189 854</w:t>
            </w:r>
          </w:p>
        </w:tc>
        <w:tc>
          <w:tcPr>
            <w:tcW w:w="1134" w:type="dxa"/>
            <w:vAlign w:val="center"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4 920 616</w:t>
            </w:r>
          </w:p>
        </w:tc>
      </w:tr>
      <w:tr w:rsidR="004340CA" w:rsidRPr="008B18FF" w:rsidTr="0023662D">
        <w:trPr>
          <w:trHeight w:val="746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w tym: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</w:t>
            </w: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C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Przetwórstwo 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przemysłowe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1C2ABA" w:rsidRDefault="004340CA" w:rsidP="004340CA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> </w:t>
            </w:r>
            <w:r w:rsidRPr="001C2ABA">
              <w:rPr>
                <w:rFonts w:cs="Arial"/>
                <w:sz w:val="16"/>
                <w:szCs w:val="16"/>
              </w:rPr>
              <w:t>661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36 242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10 751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415 134</w:t>
            </w:r>
          </w:p>
        </w:tc>
        <w:tc>
          <w:tcPr>
            <w:tcW w:w="1101" w:type="dxa"/>
            <w:vAlign w:val="center"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4 861 195</w:t>
            </w:r>
          </w:p>
        </w:tc>
        <w:tc>
          <w:tcPr>
            <w:tcW w:w="1134" w:type="dxa"/>
            <w:vAlign w:val="center"/>
          </w:tcPr>
          <w:p w:rsidR="004340CA" w:rsidRPr="009F19E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4 600 985</w:t>
            </w:r>
          </w:p>
        </w:tc>
      </w:tr>
      <w:tr w:rsidR="004340CA" w:rsidRPr="008B18FF" w:rsidTr="0023662D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F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4340C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31 349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44 291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5 243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179 802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3 627 760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3 392 272</w:t>
            </w:r>
          </w:p>
        </w:tc>
      </w:tr>
      <w:tr w:rsidR="004340CA" w:rsidRPr="008B18FF" w:rsidTr="0023662D">
        <w:trPr>
          <w:trHeight w:val="47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G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Handel i naprawa poj. samoch.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4340C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30 415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57 535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10 505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487 105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19 716 470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19 473 879</w:t>
            </w:r>
          </w:p>
        </w:tc>
      </w:tr>
      <w:tr w:rsidR="004340CA" w:rsidRPr="008B18FF" w:rsidTr="0023662D">
        <w:trPr>
          <w:trHeight w:val="780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H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Transport i gospodarka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magazynowa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13 198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24 820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5 502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163 987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2 865 357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2 759 757</w:t>
            </w:r>
          </w:p>
        </w:tc>
      </w:tr>
      <w:tr w:rsidR="004340CA" w:rsidRPr="008B18FF" w:rsidTr="0023662D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I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5 742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10 046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1 698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53 940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639 200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699 926</w:t>
            </w:r>
          </w:p>
        </w:tc>
      </w:tr>
      <w:tr w:rsidR="004340CA" w:rsidRPr="008B18FF" w:rsidTr="0023662D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Sekcja J 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13 673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18 973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1 612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122 523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1 438 357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888 975</w:t>
            </w:r>
          </w:p>
        </w:tc>
      </w:tr>
      <w:tr w:rsidR="004340CA" w:rsidRPr="008B18FF" w:rsidTr="0023662D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L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3 699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6 094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836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37 234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680 937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655 051</w:t>
            </w:r>
          </w:p>
        </w:tc>
      </w:tr>
      <w:tr w:rsidR="004340CA" w:rsidRPr="008B18FF" w:rsidTr="0023662D">
        <w:trPr>
          <w:trHeight w:val="750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M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Działalność profesjonalna, 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naukowa i techniczna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25 977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35 907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4 311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201 964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2 895 217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2 654 236</w:t>
            </w:r>
          </w:p>
        </w:tc>
      </w:tr>
      <w:tr w:rsidR="004340CA" w:rsidRPr="008B18FF" w:rsidTr="0023662D">
        <w:trPr>
          <w:trHeight w:val="795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N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Administrowanie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działalność wspierająca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9 399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16 060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2 823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119 706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866 500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738 137</w:t>
            </w:r>
          </w:p>
        </w:tc>
      </w:tr>
      <w:tr w:rsidR="004340CA" w:rsidRPr="008B18FF" w:rsidTr="0023662D">
        <w:trPr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9475C1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P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Edukacja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6 370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9 346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1 243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55 169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281 161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399 797</w:t>
            </w:r>
          </w:p>
        </w:tc>
      </w:tr>
      <w:tr w:rsidR="004340CA" w:rsidRPr="008B18FF" w:rsidTr="0023662D">
        <w:trPr>
          <w:trHeight w:val="780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Q</w:t>
            </w:r>
            <w:r w:rsidRPr="00DB296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Opieka zdrowotna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pomoc społeczna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10 650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13 118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1 </w:t>
            </w:r>
            <w:r w:rsidRPr="00975E6E">
              <w:rPr>
                <w:rFonts w:cs="Arial"/>
                <w:bCs/>
                <w:sz w:val="16"/>
                <w:szCs w:val="16"/>
              </w:rPr>
              <w:t>300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48 266</w:t>
            </w:r>
          </w:p>
        </w:tc>
        <w:tc>
          <w:tcPr>
            <w:tcW w:w="1101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457 877</w:t>
            </w:r>
          </w:p>
        </w:tc>
        <w:tc>
          <w:tcPr>
            <w:tcW w:w="1134" w:type="dxa"/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315 919</w:t>
            </w:r>
          </w:p>
        </w:tc>
      </w:tr>
      <w:tr w:rsidR="004340CA" w:rsidRPr="008B18FF" w:rsidTr="0023662D">
        <w:trPr>
          <w:trHeight w:val="476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4340CA" w:rsidRPr="00DB296F" w:rsidRDefault="004340CA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R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Kultura i rekreacja 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4340CA" w:rsidRPr="009F19EA" w:rsidRDefault="004340CA" w:rsidP="002F7233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3 138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4 060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305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13 949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224 359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207 232</w:t>
            </w:r>
          </w:p>
        </w:tc>
      </w:tr>
      <w:tr w:rsidR="004340CA" w:rsidRPr="008B18FF" w:rsidTr="0023662D">
        <w:trPr>
          <w:trHeight w:val="780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S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Pozostała działalność </w:t>
            </w:r>
          </w:p>
          <w:p w:rsidR="004340CA" w:rsidRPr="008B18FF" w:rsidRDefault="004340CA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usługowa 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4340CA" w:rsidRPr="009F19EA" w:rsidRDefault="004340CA" w:rsidP="002F7233">
            <w:pPr>
              <w:jc w:val="center"/>
              <w:rPr>
                <w:rFonts w:cs="Arial"/>
                <w:sz w:val="16"/>
                <w:szCs w:val="16"/>
              </w:rPr>
            </w:pPr>
            <w:r w:rsidRPr="001C2ABA">
              <w:rPr>
                <w:rFonts w:cs="Arial"/>
                <w:sz w:val="16"/>
                <w:szCs w:val="16"/>
              </w:rPr>
              <w:t>10 814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4340CA" w:rsidRPr="009F19EA" w:rsidRDefault="004340CA" w:rsidP="0023662D">
            <w:pPr>
              <w:jc w:val="center"/>
              <w:rPr>
                <w:rFonts w:cs="Arial"/>
                <w:sz w:val="16"/>
                <w:szCs w:val="16"/>
              </w:rPr>
            </w:pPr>
            <w:r w:rsidRPr="00975E6E">
              <w:rPr>
                <w:rFonts w:cs="Arial"/>
                <w:sz w:val="16"/>
                <w:szCs w:val="16"/>
              </w:rPr>
              <w:t>13 182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4340CA" w:rsidRPr="00975E6E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75E6E">
              <w:rPr>
                <w:rFonts w:cs="Arial"/>
                <w:bCs/>
                <w:sz w:val="16"/>
                <w:szCs w:val="16"/>
              </w:rPr>
              <w:t>669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4340CA" w:rsidRPr="009372B3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372B3">
              <w:rPr>
                <w:rFonts w:cs="Arial"/>
                <w:bCs/>
                <w:sz w:val="16"/>
                <w:szCs w:val="16"/>
              </w:rPr>
              <w:t>17 858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225 628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vAlign w:val="center"/>
          </w:tcPr>
          <w:p w:rsidR="004340CA" w:rsidRPr="004340CA" w:rsidRDefault="004340CA" w:rsidP="002366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340CA">
              <w:rPr>
                <w:rFonts w:cs="Arial"/>
                <w:bCs/>
                <w:sz w:val="16"/>
                <w:szCs w:val="16"/>
              </w:rPr>
              <w:t>216 051</w:t>
            </w:r>
          </w:p>
        </w:tc>
      </w:tr>
    </w:tbl>
    <w:p w:rsidR="001427A6" w:rsidRDefault="001427A6" w:rsidP="00DE10B3">
      <w:pPr>
        <w:rPr>
          <w:b/>
          <w:spacing w:val="-2"/>
          <w:sz w:val="18"/>
          <w:shd w:val="clear" w:color="auto" w:fill="FFFFFF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D77622" w:rsidTr="00D77622">
        <w:trPr>
          <w:trHeight w:hRule="exact" w:val="424"/>
        </w:trPr>
        <w:tc>
          <w:tcPr>
            <w:tcW w:w="10314" w:type="dxa"/>
            <w:vAlign w:val="bottom"/>
          </w:tcPr>
          <w:p w:rsidR="00D77622" w:rsidRDefault="00D77622" w:rsidP="00DB7154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</w:p>
        </w:tc>
      </w:tr>
    </w:tbl>
    <w:p w:rsidR="005E28BE" w:rsidRDefault="005E28BE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BA1780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  <w:r w:rsidRPr="00A5129D">
        <w:rPr>
          <w:b/>
          <w:spacing w:val="-2"/>
          <w:sz w:val="18"/>
          <w:shd w:val="clear" w:color="auto" w:fill="FFFFFF"/>
        </w:rPr>
        <w:lastRenderedPageBreak/>
        <w:t xml:space="preserve">Tablica </w:t>
      </w:r>
      <w:r>
        <w:rPr>
          <w:b/>
          <w:spacing w:val="-2"/>
          <w:sz w:val="18"/>
          <w:shd w:val="clear" w:color="auto" w:fill="FFFFFF"/>
        </w:rPr>
        <w:t>2</w:t>
      </w:r>
      <w:r w:rsidRPr="00A5129D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 xml:space="preserve"> </w:t>
      </w:r>
      <w:r w:rsidRPr="00870B4D">
        <w:rPr>
          <w:b/>
          <w:spacing w:val="-2"/>
          <w:sz w:val="18"/>
          <w:shd w:val="clear" w:color="auto" w:fill="FFFFFF"/>
        </w:rPr>
        <w:t xml:space="preserve">Podstawowe dane o </w:t>
      </w:r>
      <w:r>
        <w:rPr>
          <w:b/>
          <w:spacing w:val="-2"/>
          <w:sz w:val="18"/>
          <w:shd w:val="clear" w:color="auto" w:fill="FFFFFF"/>
        </w:rPr>
        <w:t>przedsiębiorstwach</w:t>
      </w:r>
      <w:r w:rsidR="008C207A">
        <w:rPr>
          <w:b/>
          <w:spacing w:val="-2"/>
          <w:sz w:val="18"/>
          <w:shd w:val="clear" w:color="auto" w:fill="FFFFFF"/>
        </w:rPr>
        <w:t xml:space="preserve"> powstałych w 2017 r.</w:t>
      </w:r>
      <w:r w:rsidR="00DB7154">
        <w:rPr>
          <w:b/>
          <w:spacing w:val="-2"/>
          <w:sz w:val="18"/>
          <w:shd w:val="clear" w:color="auto" w:fill="FFFFFF"/>
        </w:rPr>
        <w:t xml:space="preserve"> i</w:t>
      </w:r>
      <w:r w:rsidR="008C207A">
        <w:rPr>
          <w:b/>
          <w:spacing w:val="-2"/>
          <w:sz w:val="18"/>
          <w:shd w:val="clear" w:color="auto" w:fill="FFFFFF"/>
        </w:rPr>
        <w:t xml:space="preserve"> aktywnych do 2018 r.</w:t>
      </w:r>
    </w:p>
    <w:p w:rsidR="00717A77" w:rsidRDefault="00BA1780" w:rsidP="00717A77">
      <w:pPr>
        <w:spacing w:before="0" w:after="0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                     </w:t>
      </w:r>
      <w:r w:rsidR="00717A77">
        <w:rPr>
          <w:b/>
          <w:spacing w:val="-2"/>
          <w:sz w:val="18"/>
          <w:shd w:val="clear" w:color="auto" w:fill="FFFFFF"/>
        </w:rPr>
        <w:t>w</w:t>
      </w:r>
      <w:r>
        <w:rPr>
          <w:b/>
          <w:spacing w:val="-2"/>
          <w:sz w:val="18"/>
          <w:shd w:val="clear" w:color="auto" w:fill="FFFFFF"/>
        </w:rPr>
        <w:t>e</w:t>
      </w:r>
      <w:r w:rsidR="00717A77">
        <w:rPr>
          <w:b/>
          <w:spacing w:val="-2"/>
          <w:sz w:val="18"/>
          <w:shd w:val="clear" w:color="auto" w:fill="FFFFFF"/>
        </w:rPr>
        <w:t>dług woje</w:t>
      </w:r>
      <w:r w:rsidR="008C207A">
        <w:rPr>
          <w:b/>
          <w:spacing w:val="-2"/>
          <w:sz w:val="18"/>
          <w:shd w:val="clear" w:color="auto" w:fill="FFFFFF"/>
        </w:rPr>
        <w:t>wództw</w:t>
      </w: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tbl>
      <w:tblPr>
        <w:tblW w:w="9247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5"/>
        <w:gridCol w:w="1134"/>
        <w:gridCol w:w="1127"/>
        <w:gridCol w:w="1141"/>
        <w:gridCol w:w="1167"/>
        <w:gridCol w:w="1101"/>
        <w:gridCol w:w="992"/>
        <w:gridCol w:w="160"/>
      </w:tblGrid>
      <w:tr w:rsidR="004340CA" w:rsidRPr="008B18FF" w:rsidTr="00A76EC3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Pr="008B18FF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jących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nia</w:t>
            </w:r>
          </w:p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992" w:type="dxa"/>
            <w:tcBorders>
              <w:top w:val="nil"/>
              <w:left w:val="single" w:sz="2" w:space="0" w:color="002060"/>
              <w:right w:val="nil"/>
            </w:tcBorders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40CA" w:rsidRPr="008B18FF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0CA" w:rsidRPr="00D25B73" w:rsidTr="0023662D">
        <w:trPr>
          <w:gridAfter w:val="1"/>
          <w:wAfter w:w="160" w:type="dxa"/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2060"/>
              <w:left w:val="single" w:sz="2" w:space="0" w:color="002060"/>
            </w:tcBorders>
            <w:shd w:val="clear" w:color="auto" w:fill="auto"/>
            <w:vAlign w:val="center"/>
          </w:tcPr>
          <w:p w:rsidR="004340CA" w:rsidRPr="00D25B73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340CA" w:rsidRPr="008B18FF" w:rsidTr="0023662D">
        <w:trPr>
          <w:gridAfter w:val="1"/>
          <w:wAfter w:w="160" w:type="dxa"/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4340CA" w:rsidRPr="008B18FF" w:rsidRDefault="00A76EC3" w:rsidP="00717A77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 </w:t>
            </w:r>
            <w:r w:rsidR="004340CA"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</w:t>
            </w:r>
            <w:r w:rsidR="004340CA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L S K A</w:t>
            </w:r>
            <w:r w:rsidR="004340CA"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4340CA" w:rsidRPr="008A17EB" w:rsidRDefault="002F7233" w:rsidP="002F723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                      180 123    </w:t>
            </w:r>
          </w:p>
        </w:tc>
        <w:tc>
          <w:tcPr>
            <w:tcW w:w="1127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4340CA" w:rsidRPr="008A17EB" w:rsidRDefault="002F7233" w:rsidP="002F723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     292 587    </w:t>
            </w:r>
          </w:p>
        </w:tc>
        <w:tc>
          <w:tcPr>
            <w:tcW w:w="1141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8A17EB" w:rsidRPr="008A17EB" w:rsidRDefault="006E1284" w:rsidP="008A1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          </w:t>
            </w:r>
          </w:p>
          <w:p w:rsidR="004340CA" w:rsidRPr="008A17EB" w:rsidRDefault="006E1284" w:rsidP="008A1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 47 695    </w:t>
            </w:r>
          </w:p>
        </w:tc>
        <w:tc>
          <w:tcPr>
            <w:tcW w:w="1167" w:type="dxa"/>
            <w:tcBorders>
              <w:top w:val="single" w:sz="12" w:space="0" w:color="002060"/>
            </w:tcBorders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  1 956 261    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  39 108 678    </w:t>
            </w:r>
          </w:p>
        </w:tc>
        <w:tc>
          <w:tcPr>
            <w:tcW w:w="992" w:type="dxa"/>
            <w:tcBorders>
              <w:top w:val="single" w:sz="12" w:space="0" w:color="002060"/>
            </w:tcBorders>
            <w:vAlign w:val="bottom"/>
          </w:tcPr>
          <w:p w:rsidR="004340CA" w:rsidRPr="008A17EB" w:rsidRDefault="008A17EB" w:rsidP="0023662D">
            <w:pPr>
              <w:rPr>
                <w:b/>
                <w:color w:val="000000"/>
                <w:sz w:val="16"/>
                <w:szCs w:val="16"/>
              </w:rPr>
            </w:pPr>
            <w:r w:rsidRPr="008A17EB">
              <w:rPr>
                <w:b/>
                <w:color w:val="000000"/>
                <w:sz w:val="16"/>
                <w:szCs w:val="16"/>
              </w:rPr>
              <w:t xml:space="preserve">  37 321 848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14 286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21 291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2 994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156 459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1 700 664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3D70E3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</w:t>
            </w:r>
            <w:r w:rsidR="003D70E3">
              <w:rPr>
                <w:color w:val="000000"/>
                <w:sz w:val="16"/>
                <w:szCs w:val="16"/>
              </w:rPr>
              <w:t xml:space="preserve"> </w:t>
            </w:r>
            <w:r w:rsidRPr="008A17EB">
              <w:rPr>
                <w:color w:val="000000"/>
                <w:sz w:val="16"/>
                <w:szCs w:val="16"/>
              </w:rPr>
              <w:t xml:space="preserve"> 1 582 016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7 761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12 841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2 154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79 473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1 341 435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1 289 827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8 569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12 928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1 538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47 380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973 093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911 627    </w:t>
            </w:r>
          </w:p>
        </w:tc>
      </w:tr>
      <w:tr w:rsidR="004340CA" w:rsidRPr="008B18FF" w:rsidTr="0023662D">
        <w:trPr>
          <w:gridAfter w:val="1"/>
          <w:wAfter w:w="160" w:type="dxa"/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4 599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7 258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1 141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37 795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577 933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493 854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9 143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14 241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2 345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78 644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1 182 306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1 057 020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16 689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24 103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3 044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109 668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1 844 588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1 512 358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36 817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66 929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12 450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647 220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15 616 206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15 907 538    </w:t>
            </w:r>
          </w:p>
        </w:tc>
      </w:tr>
      <w:tr w:rsidR="004340CA" w:rsidRPr="008B18FF" w:rsidTr="0023662D">
        <w:trPr>
          <w:gridAfter w:val="1"/>
          <w:wAfter w:w="160" w:type="dxa"/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3 932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6 597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   1 263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47 368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570 207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525 071    </w:t>
            </w:r>
          </w:p>
        </w:tc>
      </w:tr>
      <w:tr w:rsidR="004340CA" w:rsidRPr="008B18FF" w:rsidTr="0023662D">
        <w:trPr>
          <w:gridAfter w:val="1"/>
          <w:wAfter w:w="160" w:type="dxa"/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8 492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11 829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   1 202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42 844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1 043 646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953 365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4340CA" w:rsidRPr="008B18FF" w:rsidRDefault="004340CA" w:rsidP="00F54494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Podlaskie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5 682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7 380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     625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18 303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454 721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387 356    </w:t>
            </w:r>
          </w:p>
        </w:tc>
      </w:tr>
      <w:tr w:rsidR="004340CA" w:rsidRPr="008B18FF" w:rsidTr="0023662D">
        <w:trPr>
          <w:gridAfter w:val="1"/>
          <w:wAfter w:w="160" w:type="dxa"/>
          <w:trHeight w:val="584"/>
        </w:trPr>
        <w:tc>
          <w:tcPr>
            <w:tcW w:w="2425" w:type="dxa"/>
            <w:shd w:val="clear" w:color="auto" w:fill="auto"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12 647    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19 523   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3 329    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120 617    </w:t>
            </w:r>
          </w:p>
        </w:tc>
        <w:tc>
          <w:tcPr>
            <w:tcW w:w="1101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2 139 528    </w:t>
            </w:r>
          </w:p>
        </w:tc>
        <w:tc>
          <w:tcPr>
            <w:tcW w:w="992" w:type="dxa"/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1 944 231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17 669    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28 284    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4 280    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  <w:hideMark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154 817    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2 971 505    </w:t>
            </w:r>
          </w:p>
        </w:tc>
        <w:tc>
          <w:tcPr>
            <w:tcW w:w="992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2 770 451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4340CA" w:rsidRPr="002E7311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5 805    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9 483   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    1 901    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74 618    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2 781 356    </w:t>
            </w:r>
          </w:p>
        </w:tc>
        <w:tc>
          <w:tcPr>
            <w:tcW w:w="992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2 566 202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4340CA" w:rsidRPr="002E7311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5 366    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8 709    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1 564    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55 112    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669 785    </w:t>
            </w:r>
          </w:p>
        </w:tc>
        <w:tc>
          <w:tcPr>
            <w:tcW w:w="992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585 491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tcBorders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4340CA" w:rsidRPr="002E7311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134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15 123    </w:t>
            </w:r>
          </w:p>
        </w:tc>
        <w:tc>
          <w:tcPr>
            <w:tcW w:w="112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30 009    </w:t>
            </w:r>
          </w:p>
        </w:tc>
        <w:tc>
          <w:tcPr>
            <w:tcW w:w="1141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6 104    </w:t>
            </w:r>
          </w:p>
        </w:tc>
        <w:tc>
          <w:tcPr>
            <w:tcW w:w="1167" w:type="dxa"/>
            <w:tcBorders>
              <w:bottom w:val="single" w:sz="4" w:space="0" w:color="002060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218 497    </w:t>
            </w:r>
          </w:p>
        </w:tc>
        <w:tc>
          <w:tcPr>
            <w:tcW w:w="1101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4 393 443    </w:t>
            </w:r>
          </w:p>
        </w:tc>
        <w:tc>
          <w:tcPr>
            <w:tcW w:w="992" w:type="dxa"/>
            <w:tcBorders>
              <w:bottom w:val="single" w:sz="4" w:space="0" w:color="002060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4 077 192    </w:t>
            </w:r>
          </w:p>
        </w:tc>
      </w:tr>
      <w:tr w:rsidR="004340CA" w:rsidRPr="008B18FF" w:rsidTr="0023662D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noWrap/>
            <w:vAlign w:val="bottom"/>
          </w:tcPr>
          <w:p w:rsidR="004340CA" w:rsidRPr="002E7311" w:rsidRDefault="004340CA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   7 542    </w:t>
            </w:r>
          </w:p>
        </w:tc>
        <w:tc>
          <w:tcPr>
            <w:tcW w:w="1127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4340CA" w:rsidRPr="002F7233" w:rsidRDefault="002F7233" w:rsidP="002F7233">
            <w:pPr>
              <w:jc w:val="right"/>
              <w:rPr>
                <w:color w:val="000000"/>
                <w:sz w:val="16"/>
                <w:szCs w:val="16"/>
              </w:rPr>
            </w:pPr>
            <w:r w:rsidRPr="002F7233">
              <w:rPr>
                <w:color w:val="000000"/>
                <w:sz w:val="16"/>
                <w:szCs w:val="16"/>
              </w:rPr>
              <w:t xml:space="preserve">            11 182    </w:t>
            </w:r>
          </w:p>
        </w:tc>
        <w:tc>
          <w:tcPr>
            <w:tcW w:w="1141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    1 761    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</w:tcPr>
          <w:p w:rsidR="004340CA" w:rsidRPr="008A17EB" w:rsidRDefault="006E1284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  67 446    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   848 264    </w:t>
            </w:r>
          </w:p>
        </w:tc>
        <w:tc>
          <w:tcPr>
            <w:tcW w:w="992" w:type="dxa"/>
            <w:tcBorders>
              <w:top w:val="single" w:sz="4" w:space="0" w:color="002060"/>
              <w:bottom w:val="nil"/>
            </w:tcBorders>
            <w:vAlign w:val="bottom"/>
          </w:tcPr>
          <w:p w:rsidR="004340CA" w:rsidRPr="008A17EB" w:rsidRDefault="008A17EB" w:rsidP="008A17EB">
            <w:pPr>
              <w:jc w:val="right"/>
              <w:rPr>
                <w:color w:val="000000"/>
                <w:sz w:val="16"/>
                <w:szCs w:val="16"/>
              </w:rPr>
            </w:pPr>
            <w:r w:rsidRPr="008A17EB">
              <w:rPr>
                <w:color w:val="000000"/>
                <w:sz w:val="16"/>
                <w:szCs w:val="16"/>
              </w:rPr>
              <w:t xml:space="preserve">     758 250    </w:t>
            </w:r>
          </w:p>
        </w:tc>
      </w:tr>
    </w:tbl>
    <w:p w:rsidR="005622E5" w:rsidRDefault="005622E5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D77622" w:rsidRDefault="00D77622" w:rsidP="00D77622">
      <w:pPr>
        <w:rPr>
          <w:i/>
          <w:spacing w:val="-2"/>
          <w:sz w:val="16"/>
          <w:szCs w:val="16"/>
          <w:shd w:val="clear" w:color="auto" w:fill="FFFFFF"/>
        </w:rPr>
      </w:pPr>
    </w:p>
    <w:p w:rsidR="00EE079A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EE079A" w:rsidRPr="00870B4D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694AF0" w:rsidRDefault="00694AF0" w:rsidP="00E76D26">
      <w:pPr>
        <w:rPr>
          <w:sz w:val="18"/>
        </w:r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9"/>
        <w:gridCol w:w="3924"/>
      </w:tblGrid>
      <w:tr w:rsidR="000470AA" w:rsidRPr="003173EC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B5A7D">
              <w:rPr>
                <w:rFonts w:cs="Arial"/>
                <w:b/>
                <w:color w:val="000000" w:themeColor="text1"/>
                <w:sz w:val="20"/>
              </w:rPr>
              <w:t>Prz</w:t>
            </w:r>
            <w:r w:rsidR="00577888">
              <w:rPr>
                <w:rFonts w:cs="Arial"/>
                <w:b/>
                <w:color w:val="000000" w:themeColor="text1"/>
                <w:sz w:val="20"/>
              </w:rPr>
              <w:t>edsiębiorstw</w:t>
            </w:r>
          </w:p>
          <w:p w:rsidR="00753AED" w:rsidRDefault="00753AED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Jacek Kotowski</w:t>
            </w:r>
          </w:p>
          <w:p w:rsidR="00753AED" w:rsidRDefault="00753AED" w:rsidP="00D007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Tel. 22 608 33 93</w:t>
            </w:r>
          </w:p>
          <w:p w:rsidR="00753AED" w:rsidRPr="00753AED" w:rsidRDefault="00753AED" w:rsidP="00D007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e-mail: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hyperlink r:id="rId19" w:history="1">
              <w:r w:rsidRPr="00753AED">
                <w:rPr>
                  <w:rStyle w:val="Hipercze"/>
                  <w:rFonts w:asciiTheme="majorHAnsi" w:eastAsiaTheme="majorEastAsia" w:hAnsiTheme="majorHAnsi" w:cstheme="minorBidi"/>
                  <w:sz w:val="20"/>
                  <w:szCs w:val="24"/>
                  <w:lang w:val="en-US"/>
                </w:rPr>
                <w:t>j.kotowski@stat.gov.pl</w:t>
              </w:r>
            </w:hyperlink>
          </w:p>
          <w:p w:rsidR="000470AA" w:rsidRPr="00BB4F09" w:rsidRDefault="00F314DB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Sebastian Pięta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F314D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33</w:t>
            </w:r>
            <w:r w:rsidR="0057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F314D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</w:t>
            </w:r>
          </w:p>
          <w:p w:rsidR="008F16FF" w:rsidRPr="008F16FF" w:rsidRDefault="000470AA" w:rsidP="008F16FF">
            <w:pPr>
              <w:pStyle w:val="Nagwek3"/>
              <w:spacing w:before="0" w:line="240" w:lineRule="auto"/>
              <w:rPr>
                <w:lang w:val="en-US"/>
              </w:rPr>
            </w:pPr>
            <w:r w:rsidRPr="00D91F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F314DB" w:rsidRPr="001D42CD">
                <w:rPr>
                  <w:rStyle w:val="Hipercze"/>
                  <w:rFonts w:cstheme="minorBidi"/>
                  <w:sz w:val="20"/>
                  <w:lang w:val="en-US"/>
                </w:rPr>
                <w:t>s.pieta@stat.gov.pl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753AED">
                <w:rPr>
                  <w:rStyle w:val="Hipercze"/>
                  <w:rFonts w:cstheme="minorBidi"/>
                  <w:sz w:val="20"/>
                  <w:lang w:val="en-US"/>
                </w:rPr>
                <w:t>rzecznik@stat.gov.pl</w:t>
              </w:r>
            </w:hyperlink>
          </w:p>
        </w:tc>
      </w:tr>
    </w:tbl>
    <w:p w:rsidR="000470AA" w:rsidRPr="00546819" w:rsidRDefault="000470AA" w:rsidP="000470AA">
      <w:pPr>
        <w:rPr>
          <w:sz w:val="20"/>
          <w:lang w:val="en-US"/>
        </w:rPr>
      </w:pPr>
    </w:p>
    <w:p w:rsidR="000470AA" w:rsidRPr="0054681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6964CF" w:rsidRDefault="000470AA" w:rsidP="000470AA">
            <w:pPr>
              <w:rPr>
                <w:sz w:val="20"/>
              </w:rPr>
            </w:pPr>
            <w:r w:rsidRPr="006964CF">
              <w:rPr>
                <w:b/>
                <w:sz w:val="20"/>
              </w:rPr>
              <w:t xml:space="preserve">tel.: </w:t>
            </w:r>
            <w:r w:rsidR="00097840" w:rsidRPr="006964CF">
              <w:rPr>
                <w:sz w:val="20"/>
              </w:rPr>
              <w:t>22 608 34 91, 22</w:t>
            </w:r>
            <w:r w:rsidRPr="006964CF">
              <w:rPr>
                <w:sz w:val="20"/>
              </w:rPr>
              <w:t xml:space="preserve"> 608 38 04 </w:t>
            </w:r>
          </w:p>
          <w:p w:rsidR="000470AA" w:rsidRPr="00A27E40" w:rsidRDefault="000470AA" w:rsidP="000470AA">
            <w:pPr>
              <w:rPr>
                <w:sz w:val="20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faks:</w:t>
            </w:r>
            <w:r w:rsidR="00097840" w:rsidRPr="00A27E40">
              <w:rPr>
                <w:sz w:val="20"/>
                <w:lang w:val="en-US"/>
              </w:rPr>
              <w:t xml:space="preserve"> 22</w:t>
            </w:r>
            <w:r w:rsidRPr="00A27E40">
              <w:rPr>
                <w:sz w:val="20"/>
                <w:lang w:val="en-US"/>
              </w:rPr>
              <w:t xml:space="preserve"> 608 38 86 </w:t>
            </w:r>
          </w:p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e-mail:</w:t>
            </w:r>
            <w:r w:rsidRPr="00A27E40">
              <w:rPr>
                <w:sz w:val="20"/>
                <w:lang w:val="en-US"/>
              </w:rPr>
              <w:t xml:space="preserve"> </w:t>
            </w:r>
            <w:hyperlink r:id="rId22" w:history="1">
              <w:r w:rsidRPr="00753AED">
                <w:rPr>
                  <w:rStyle w:val="Hipercze"/>
                  <w:rFonts w:asciiTheme="majorHAnsi" w:eastAsiaTheme="majorEastAsia" w:hAnsiTheme="majorHAnsi" w:cstheme="minorBidi"/>
                  <w:sz w:val="20"/>
                  <w:szCs w:val="24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376E02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2" type="#_x0000_t202" style="position:absolute;margin-left:1.5pt;margin-top:33.2pt;width:516.5pt;height:160.1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" fillcolor="#f2f2f2 [3052]" strokecolor="white [3212]">
            <v:textbox>
              <w:txbxContent>
                <w:p w:rsidR="00DB7154" w:rsidRDefault="00DB7154" w:rsidP="00AB6D25">
                  <w:pPr>
                    <w:rPr>
                      <w:b/>
                    </w:rPr>
                  </w:pPr>
                </w:p>
                <w:p w:rsidR="00DB7154" w:rsidRPr="00212171" w:rsidRDefault="00DB7154" w:rsidP="00AB6D25">
                  <w:pPr>
                    <w:rPr>
                      <w:b/>
                    </w:rPr>
                  </w:pPr>
                  <w:r w:rsidRPr="00212171">
                    <w:rPr>
                      <w:b/>
                    </w:rPr>
                    <w:t>Powiązane opracowania</w:t>
                  </w:r>
                </w:p>
                <w:p w:rsidR="00DB7154" w:rsidRDefault="00376E02" w:rsidP="00212171">
                  <w:pP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</w:pPr>
                  <w:hyperlink r:id="rId26" w:history="1">
                    <w:r w:rsidR="00DB7154" w:rsidRPr="00276D58">
                      <w:rPr>
                        <w:rStyle w:val="Hipercze"/>
                        <w:rFonts w:cs="Arial"/>
                        <w:sz w:val="18"/>
                        <w:szCs w:val="18"/>
                        <w:shd w:val="clear" w:color="auto" w:fill="F0F0F0"/>
                      </w:rPr>
                      <w:t>Zeszyt metodologiczny. Badania przedsiębiorstw niefinansowych</w:t>
                    </w:r>
                  </w:hyperlink>
                </w:p>
                <w:p w:rsidR="00DB7154" w:rsidRPr="006C46C6" w:rsidRDefault="00376E02" w:rsidP="00AB6D25">
                  <w:pPr>
                    <w:rPr>
                      <w:rStyle w:val="Hipercze"/>
                      <w:rFonts w:cstheme="minorBidi"/>
                      <w:b/>
                      <w:szCs w:val="24"/>
                    </w:rPr>
                  </w:pP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begin"/>
                  </w:r>
                  <w:r w:rsidR="00DB7154"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</w: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separate"/>
                  </w:r>
                </w:p>
                <w:p w:rsidR="00DB7154" w:rsidRDefault="00376E02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end"/>
                  </w:r>
                  <w:r w:rsidR="00DB7154"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="00DB7154"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DB7154" w:rsidRDefault="00376E02" w:rsidP="00212171">
                  <w:pPr>
                    <w:rPr>
                      <w:rFonts w:cs="Arial"/>
                      <w:sz w:val="18"/>
                      <w:szCs w:val="18"/>
                      <w:shd w:val="clear" w:color="auto" w:fill="F0F0F0"/>
                    </w:rPr>
                  </w:pPr>
                  <w:hyperlink r:id="rId27" w:history="1">
                    <w:r w:rsidR="00DB7154" w:rsidRPr="00BA1780">
                      <w:rPr>
                        <w:rStyle w:val="Hipercze"/>
                        <w:rFonts w:cs="Arial"/>
                        <w:sz w:val="18"/>
                        <w:szCs w:val="18"/>
                        <w:shd w:val="clear" w:color="auto" w:fill="F0F0F0"/>
                      </w:rPr>
                      <w:t>Przychody z całokształtu działalności (Przychody ogółem)</w:t>
                    </w:r>
                  </w:hyperlink>
                </w:p>
                <w:p w:rsidR="00DB7154" w:rsidRPr="008C207A" w:rsidRDefault="00376E02" w:rsidP="00212171">
                  <w:pPr>
                    <w:rPr>
                      <w:rFonts w:cs="Arial"/>
                      <w:sz w:val="18"/>
                      <w:szCs w:val="18"/>
                      <w:shd w:val="clear" w:color="auto" w:fill="F0F0F0"/>
                    </w:rPr>
                  </w:pPr>
                  <w:hyperlink r:id="rId28" w:history="1">
                    <w:r w:rsidR="00DB7154" w:rsidRPr="00BA1780">
                      <w:rPr>
                        <w:rStyle w:val="Hipercze"/>
                        <w:rFonts w:cs="Arial"/>
                        <w:sz w:val="18"/>
                        <w:szCs w:val="18"/>
                        <w:shd w:val="clear" w:color="auto" w:fill="F0F0F0"/>
                      </w:rPr>
                      <w:t>Koszty uzyskania przychodów z całokształtu działalności (Koszty ogółem)</w:t>
                    </w:r>
                  </w:hyperlink>
                </w:p>
                <w:p w:rsidR="00DB7154" w:rsidRPr="00BA1780" w:rsidRDefault="00376E02" w:rsidP="00212171">
                  <w:pPr>
                    <w:rPr>
                      <w:rFonts w:cs="Arial"/>
                      <w:sz w:val="18"/>
                      <w:szCs w:val="18"/>
                      <w:shd w:val="clear" w:color="auto" w:fill="F0F0F0"/>
                    </w:rPr>
                  </w:pPr>
                  <w:hyperlink r:id="rId29" w:history="1">
                    <w:r w:rsidR="00DB7154" w:rsidRPr="00BA1780">
                      <w:rPr>
                        <w:rStyle w:val="Hipercze"/>
                        <w:rFonts w:cstheme="minorBidi"/>
                        <w:sz w:val="18"/>
                        <w:szCs w:val="18"/>
                      </w:rPr>
                      <w:t>Wskaźnik poziomu kosztów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606E8E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B1" w:rsidRDefault="00DD73B1" w:rsidP="000662E2">
      <w:pPr>
        <w:spacing w:after="0" w:line="240" w:lineRule="auto"/>
      </w:pPr>
      <w:r>
        <w:separator/>
      </w:r>
    </w:p>
  </w:endnote>
  <w:endnote w:type="continuationSeparator" w:id="0">
    <w:p w:rsidR="00DD73B1" w:rsidRDefault="00DD73B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21968"/>
      <w:docPartObj>
        <w:docPartGallery w:val="Page Numbers (Bottom of Page)"/>
        <w:docPartUnique/>
      </w:docPartObj>
    </w:sdtPr>
    <w:sdtContent>
      <w:p w:rsidR="00DB7154" w:rsidRDefault="00376E02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DB715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10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136958"/>
      <w:docPartObj>
        <w:docPartGallery w:val="Page Numbers (Bottom of Page)"/>
        <w:docPartUnique/>
      </w:docPartObj>
    </w:sdtPr>
    <w:sdtContent>
      <w:p w:rsidR="00DB7154" w:rsidRDefault="00376E02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DB715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1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636839"/>
      <w:docPartObj>
        <w:docPartGallery w:val="Page Numbers (Bottom of Page)"/>
        <w:docPartUnique/>
      </w:docPartObj>
    </w:sdtPr>
    <w:sdtContent>
      <w:p w:rsidR="00DB7154" w:rsidRDefault="00376E02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DB715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1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B1" w:rsidRDefault="00DD73B1" w:rsidP="000662E2">
      <w:pPr>
        <w:spacing w:after="0" w:line="240" w:lineRule="auto"/>
      </w:pPr>
      <w:r>
        <w:separator/>
      </w:r>
    </w:p>
  </w:footnote>
  <w:footnote w:type="continuationSeparator" w:id="0">
    <w:p w:rsidR="00DD73B1" w:rsidRDefault="00DD73B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54" w:rsidRDefault="00376E02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DB7154" w:rsidRDefault="00DB71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54" w:rsidRDefault="00376E02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1312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DB7154" w:rsidRPr="003C6C8D" w:rsidRDefault="00DB7154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0.95pt;margin-top:40.3pt;width:147.4pt;height:1803.55pt;z-index:-251656192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  <w:r w:rsidR="00DB7154" w:rsidRPr="00F97099">
      <w:rPr>
        <w:rFonts w:cs="Times New Roman"/>
        <w:noProof/>
        <w:sz w:val="20"/>
        <w:szCs w:val="20"/>
        <w:lang w:eastAsia="pl-PL"/>
      </w:rPr>
      <w:drawing>
        <wp:inline distT="0" distB="0" distL="0" distR="0">
          <wp:extent cx="1838325" cy="60007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154" w:rsidRDefault="00376E02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DB7154" w:rsidRPr="00C97596" w:rsidRDefault="00DB7154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 xml:space="preserve">26.11.2018 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>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54" w:rsidRDefault="00DB7154">
    <w:pPr>
      <w:pStyle w:val="Nagwek"/>
    </w:pPr>
  </w:p>
  <w:p w:rsidR="00DB7154" w:rsidRDefault="00DB71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35pt;height:125.2pt;visibility:visible" o:bullet="t">
        <v:imagedata r:id="rId1" o:title=""/>
      </v:shape>
    </w:pict>
  </w:numPicBullet>
  <w:numPicBullet w:numPicBulletId="1">
    <w:pict>
      <v:shape id="_x0000_i1033" type="#_x0000_t75" style="width:123.95pt;height:125.2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7170">
      <o:colormru v:ext="edit" colors="lime,#9f6,#9f3,#9c0"/>
      <o:colormenu v:ext="edit" fillcolor="#9c0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7"/>
    <w:rsid w:val="00001C5B"/>
    <w:rsid w:val="00003437"/>
    <w:rsid w:val="00003D58"/>
    <w:rsid w:val="0000709F"/>
    <w:rsid w:val="000108B8"/>
    <w:rsid w:val="00013DC2"/>
    <w:rsid w:val="000152F5"/>
    <w:rsid w:val="00023ACD"/>
    <w:rsid w:val="00025212"/>
    <w:rsid w:val="000261EE"/>
    <w:rsid w:val="00026510"/>
    <w:rsid w:val="00037E94"/>
    <w:rsid w:val="0004582E"/>
    <w:rsid w:val="00045B05"/>
    <w:rsid w:val="000470AA"/>
    <w:rsid w:val="00055678"/>
    <w:rsid w:val="000577D5"/>
    <w:rsid w:val="00057CA1"/>
    <w:rsid w:val="00063465"/>
    <w:rsid w:val="00065158"/>
    <w:rsid w:val="000662E2"/>
    <w:rsid w:val="00066883"/>
    <w:rsid w:val="00073B0B"/>
    <w:rsid w:val="00074B02"/>
    <w:rsid w:val="00074DD8"/>
    <w:rsid w:val="000806F7"/>
    <w:rsid w:val="00083677"/>
    <w:rsid w:val="000836F4"/>
    <w:rsid w:val="00092F39"/>
    <w:rsid w:val="00097840"/>
    <w:rsid w:val="000A26BA"/>
    <w:rsid w:val="000B0727"/>
    <w:rsid w:val="000C135D"/>
    <w:rsid w:val="000C203F"/>
    <w:rsid w:val="000C6F45"/>
    <w:rsid w:val="000D1D43"/>
    <w:rsid w:val="000D225C"/>
    <w:rsid w:val="000D2A5C"/>
    <w:rsid w:val="000E0918"/>
    <w:rsid w:val="000E3BB2"/>
    <w:rsid w:val="000E489D"/>
    <w:rsid w:val="000F2A49"/>
    <w:rsid w:val="000F35A2"/>
    <w:rsid w:val="000F7066"/>
    <w:rsid w:val="001011C3"/>
    <w:rsid w:val="00105113"/>
    <w:rsid w:val="001067C9"/>
    <w:rsid w:val="001102CC"/>
    <w:rsid w:val="00110D87"/>
    <w:rsid w:val="001149EE"/>
    <w:rsid w:val="00114DB9"/>
    <w:rsid w:val="00116087"/>
    <w:rsid w:val="00121A02"/>
    <w:rsid w:val="00126C45"/>
    <w:rsid w:val="00130296"/>
    <w:rsid w:val="00135B5F"/>
    <w:rsid w:val="00137DB1"/>
    <w:rsid w:val="00141C8C"/>
    <w:rsid w:val="001423B6"/>
    <w:rsid w:val="001427A6"/>
    <w:rsid w:val="00143768"/>
    <w:rsid w:val="001448A7"/>
    <w:rsid w:val="00146621"/>
    <w:rsid w:val="00162325"/>
    <w:rsid w:val="001637D4"/>
    <w:rsid w:val="00163B4A"/>
    <w:rsid w:val="001705A3"/>
    <w:rsid w:val="00175182"/>
    <w:rsid w:val="00175BAF"/>
    <w:rsid w:val="0018230D"/>
    <w:rsid w:val="00191C2E"/>
    <w:rsid w:val="00194559"/>
    <w:rsid w:val="001951DA"/>
    <w:rsid w:val="001976D8"/>
    <w:rsid w:val="00197AD6"/>
    <w:rsid w:val="001A3BAC"/>
    <w:rsid w:val="001A3E58"/>
    <w:rsid w:val="001A6858"/>
    <w:rsid w:val="001B005F"/>
    <w:rsid w:val="001B395F"/>
    <w:rsid w:val="001B77F9"/>
    <w:rsid w:val="001C2ABA"/>
    <w:rsid w:val="001C3269"/>
    <w:rsid w:val="001D1DB4"/>
    <w:rsid w:val="001D2DCE"/>
    <w:rsid w:val="001E25CA"/>
    <w:rsid w:val="001F10A2"/>
    <w:rsid w:val="001F5D78"/>
    <w:rsid w:val="00200EC9"/>
    <w:rsid w:val="00204A9B"/>
    <w:rsid w:val="00212171"/>
    <w:rsid w:val="00215AB4"/>
    <w:rsid w:val="00216C06"/>
    <w:rsid w:val="0022019A"/>
    <w:rsid w:val="00222DE9"/>
    <w:rsid w:val="00224E8A"/>
    <w:rsid w:val="002262EE"/>
    <w:rsid w:val="002353F1"/>
    <w:rsid w:val="0023662D"/>
    <w:rsid w:val="0024417E"/>
    <w:rsid w:val="00246ABC"/>
    <w:rsid w:val="00255C9E"/>
    <w:rsid w:val="002574F9"/>
    <w:rsid w:val="0025795F"/>
    <w:rsid w:val="00262B61"/>
    <w:rsid w:val="00263072"/>
    <w:rsid w:val="00270281"/>
    <w:rsid w:val="00270C0B"/>
    <w:rsid w:val="00274AD8"/>
    <w:rsid w:val="002751CA"/>
    <w:rsid w:val="00276091"/>
    <w:rsid w:val="00276811"/>
    <w:rsid w:val="00276D58"/>
    <w:rsid w:val="00282699"/>
    <w:rsid w:val="002902CC"/>
    <w:rsid w:val="002926DF"/>
    <w:rsid w:val="00296697"/>
    <w:rsid w:val="002A20D6"/>
    <w:rsid w:val="002A54AB"/>
    <w:rsid w:val="002A5852"/>
    <w:rsid w:val="002B0472"/>
    <w:rsid w:val="002B45AB"/>
    <w:rsid w:val="002B4669"/>
    <w:rsid w:val="002B5BF7"/>
    <w:rsid w:val="002B631A"/>
    <w:rsid w:val="002B6B12"/>
    <w:rsid w:val="002C26E8"/>
    <w:rsid w:val="002C52D1"/>
    <w:rsid w:val="002D4EBC"/>
    <w:rsid w:val="002E2506"/>
    <w:rsid w:val="002E6140"/>
    <w:rsid w:val="002E6985"/>
    <w:rsid w:val="002E71B6"/>
    <w:rsid w:val="002E7311"/>
    <w:rsid w:val="002F7233"/>
    <w:rsid w:val="002F77C8"/>
    <w:rsid w:val="002F7C3B"/>
    <w:rsid w:val="00301908"/>
    <w:rsid w:val="00304D0A"/>
    <w:rsid w:val="00304F22"/>
    <w:rsid w:val="00306C7C"/>
    <w:rsid w:val="00307B80"/>
    <w:rsid w:val="00316BC2"/>
    <w:rsid w:val="00316DB6"/>
    <w:rsid w:val="003173EC"/>
    <w:rsid w:val="00322EDD"/>
    <w:rsid w:val="00323A89"/>
    <w:rsid w:val="00327342"/>
    <w:rsid w:val="0033214A"/>
    <w:rsid w:val="00332320"/>
    <w:rsid w:val="003352AA"/>
    <w:rsid w:val="00347D72"/>
    <w:rsid w:val="003538E9"/>
    <w:rsid w:val="00357611"/>
    <w:rsid w:val="00367237"/>
    <w:rsid w:val="0037077F"/>
    <w:rsid w:val="00372411"/>
    <w:rsid w:val="00373882"/>
    <w:rsid w:val="00376E02"/>
    <w:rsid w:val="0037734E"/>
    <w:rsid w:val="003843DB"/>
    <w:rsid w:val="0039009D"/>
    <w:rsid w:val="00393761"/>
    <w:rsid w:val="003937A4"/>
    <w:rsid w:val="003958C5"/>
    <w:rsid w:val="00397D18"/>
    <w:rsid w:val="003A1B36"/>
    <w:rsid w:val="003A349B"/>
    <w:rsid w:val="003B0CD9"/>
    <w:rsid w:val="003B1454"/>
    <w:rsid w:val="003B18B6"/>
    <w:rsid w:val="003C1C71"/>
    <w:rsid w:val="003C2933"/>
    <w:rsid w:val="003C30F1"/>
    <w:rsid w:val="003C3C16"/>
    <w:rsid w:val="003C59E0"/>
    <w:rsid w:val="003C6C8D"/>
    <w:rsid w:val="003D0243"/>
    <w:rsid w:val="003D4F95"/>
    <w:rsid w:val="003D5F42"/>
    <w:rsid w:val="003D60A9"/>
    <w:rsid w:val="003D6B36"/>
    <w:rsid w:val="003D70E3"/>
    <w:rsid w:val="003F4C97"/>
    <w:rsid w:val="003F4D76"/>
    <w:rsid w:val="003F4F2D"/>
    <w:rsid w:val="003F79A1"/>
    <w:rsid w:val="003F7FE6"/>
    <w:rsid w:val="00400193"/>
    <w:rsid w:val="00403D65"/>
    <w:rsid w:val="00405985"/>
    <w:rsid w:val="00405A33"/>
    <w:rsid w:val="00420816"/>
    <w:rsid w:val="00420D62"/>
    <w:rsid w:val="004212E7"/>
    <w:rsid w:val="0042446D"/>
    <w:rsid w:val="004246D8"/>
    <w:rsid w:val="00424CE5"/>
    <w:rsid w:val="00427BF8"/>
    <w:rsid w:val="00431C02"/>
    <w:rsid w:val="004340CA"/>
    <w:rsid w:val="00437395"/>
    <w:rsid w:val="00442380"/>
    <w:rsid w:val="004433FB"/>
    <w:rsid w:val="00445047"/>
    <w:rsid w:val="0045250B"/>
    <w:rsid w:val="00454242"/>
    <w:rsid w:val="004602DA"/>
    <w:rsid w:val="00463E39"/>
    <w:rsid w:val="004657D4"/>
    <w:rsid w:val="004657FC"/>
    <w:rsid w:val="004733F6"/>
    <w:rsid w:val="00474E69"/>
    <w:rsid w:val="004843FA"/>
    <w:rsid w:val="004874DA"/>
    <w:rsid w:val="004923AB"/>
    <w:rsid w:val="00492C54"/>
    <w:rsid w:val="00492DAB"/>
    <w:rsid w:val="0049621B"/>
    <w:rsid w:val="004A0B3B"/>
    <w:rsid w:val="004B02E9"/>
    <w:rsid w:val="004B6E12"/>
    <w:rsid w:val="004B7CAB"/>
    <w:rsid w:val="004C1895"/>
    <w:rsid w:val="004C6D40"/>
    <w:rsid w:val="004D070B"/>
    <w:rsid w:val="004D29C4"/>
    <w:rsid w:val="004D6BEF"/>
    <w:rsid w:val="004D7A22"/>
    <w:rsid w:val="004E6996"/>
    <w:rsid w:val="004F0C3C"/>
    <w:rsid w:val="004F1AB7"/>
    <w:rsid w:val="004F1B93"/>
    <w:rsid w:val="004F63FC"/>
    <w:rsid w:val="004F686F"/>
    <w:rsid w:val="00502BAE"/>
    <w:rsid w:val="00505A92"/>
    <w:rsid w:val="005133A3"/>
    <w:rsid w:val="005203F1"/>
    <w:rsid w:val="00521BC3"/>
    <w:rsid w:val="00524EA4"/>
    <w:rsid w:val="005263B0"/>
    <w:rsid w:val="005265A8"/>
    <w:rsid w:val="005316F4"/>
    <w:rsid w:val="00533632"/>
    <w:rsid w:val="005362C6"/>
    <w:rsid w:val="00541E6E"/>
    <w:rsid w:val="0054241E"/>
    <w:rsid w:val="0054251F"/>
    <w:rsid w:val="0054381A"/>
    <w:rsid w:val="005446A2"/>
    <w:rsid w:val="00546819"/>
    <w:rsid w:val="005511FB"/>
    <w:rsid w:val="005520D8"/>
    <w:rsid w:val="00554955"/>
    <w:rsid w:val="00556CF1"/>
    <w:rsid w:val="005622E5"/>
    <w:rsid w:val="00565D21"/>
    <w:rsid w:val="0056742B"/>
    <w:rsid w:val="00575877"/>
    <w:rsid w:val="005762A7"/>
    <w:rsid w:val="00577888"/>
    <w:rsid w:val="0058080F"/>
    <w:rsid w:val="005916D7"/>
    <w:rsid w:val="00591EDF"/>
    <w:rsid w:val="0059648F"/>
    <w:rsid w:val="0059661D"/>
    <w:rsid w:val="005A04BC"/>
    <w:rsid w:val="005A4062"/>
    <w:rsid w:val="005A698C"/>
    <w:rsid w:val="005B3F7D"/>
    <w:rsid w:val="005C0435"/>
    <w:rsid w:val="005C2F0C"/>
    <w:rsid w:val="005C3A0F"/>
    <w:rsid w:val="005D39B1"/>
    <w:rsid w:val="005D41BD"/>
    <w:rsid w:val="005D49B7"/>
    <w:rsid w:val="005E0799"/>
    <w:rsid w:val="005E28BE"/>
    <w:rsid w:val="005E3284"/>
    <w:rsid w:val="005F3045"/>
    <w:rsid w:val="005F5A80"/>
    <w:rsid w:val="006036B2"/>
    <w:rsid w:val="006044FF"/>
    <w:rsid w:val="00606E8E"/>
    <w:rsid w:val="00607CC5"/>
    <w:rsid w:val="00617278"/>
    <w:rsid w:val="00623C69"/>
    <w:rsid w:val="00625286"/>
    <w:rsid w:val="00627473"/>
    <w:rsid w:val="00632709"/>
    <w:rsid w:val="00633014"/>
    <w:rsid w:val="0063437B"/>
    <w:rsid w:val="00641888"/>
    <w:rsid w:val="006447E4"/>
    <w:rsid w:val="006529BE"/>
    <w:rsid w:val="006577B1"/>
    <w:rsid w:val="006648E9"/>
    <w:rsid w:val="006673CA"/>
    <w:rsid w:val="006708E5"/>
    <w:rsid w:val="00673C26"/>
    <w:rsid w:val="006812AF"/>
    <w:rsid w:val="00681F22"/>
    <w:rsid w:val="0068327D"/>
    <w:rsid w:val="00694AF0"/>
    <w:rsid w:val="00694E20"/>
    <w:rsid w:val="006964CF"/>
    <w:rsid w:val="006A1313"/>
    <w:rsid w:val="006A4686"/>
    <w:rsid w:val="006A6377"/>
    <w:rsid w:val="006B0E9E"/>
    <w:rsid w:val="006B5AE4"/>
    <w:rsid w:val="006C2AAE"/>
    <w:rsid w:val="006C581B"/>
    <w:rsid w:val="006D1507"/>
    <w:rsid w:val="006D402D"/>
    <w:rsid w:val="006D4054"/>
    <w:rsid w:val="006D69B3"/>
    <w:rsid w:val="006D7E74"/>
    <w:rsid w:val="006E02EC"/>
    <w:rsid w:val="006E1284"/>
    <w:rsid w:val="006E1B94"/>
    <w:rsid w:val="007006F2"/>
    <w:rsid w:val="00700A51"/>
    <w:rsid w:val="00703A33"/>
    <w:rsid w:val="007126F1"/>
    <w:rsid w:val="00716995"/>
    <w:rsid w:val="00717A77"/>
    <w:rsid w:val="0072073D"/>
    <w:rsid w:val="007211B1"/>
    <w:rsid w:val="007228DB"/>
    <w:rsid w:val="00722949"/>
    <w:rsid w:val="0074369E"/>
    <w:rsid w:val="00743F72"/>
    <w:rsid w:val="0074477F"/>
    <w:rsid w:val="00746187"/>
    <w:rsid w:val="00753AED"/>
    <w:rsid w:val="00754930"/>
    <w:rsid w:val="0075509D"/>
    <w:rsid w:val="0076254F"/>
    <w:rsid w:val="00765704"/>
    <w:rsid w:val="007801F5"/>
    <w:rsid w:val="00783063"/>
    <w:rsid w:val="00783CA4"/>
    <w:rsid w:val="007842FB"/>
    <w:rsid w:val="00784D25"/>
    <w:rsid w:val="00786124"/>
    <w:rsid w:val="0079514B"/>
    <w:rsid w:val="00795AEF"/>
    <w:rsid w:val="007A2DC1"/>
    <w:rsid w:val="007A5A06"/>
    <w:rsid w:val="007C07B0"/>
    <w:rsid w:val="007C0FDE"/>
    <w:rsid w:val="007D0E6D"/>
    <w:rsid w:val="007D3319"/>
    <w:rsid w:val="007D335D"/>
    <w:rsid w:val="007E3314"/>
    <w:rsid w:val="007E4B03"/>
    <w:rsid w:val="007E50D5"/>
    <w:rsid w:val="007E7313"/>
    <w:rsid w:val="007E7A0D"/>
    <w:rsid w:val="007F188A"/>
    <w:rsid w:val="007F324B"/>
    <w:rsid w:val="007F4D51"/>
    <w:rsid w:val="007F6877"/>
    <w:rsid w:val="00805369"/>
    <w:rsid w:val="0080553C"/>
    <w:rsid w:val="00805B46"/>
    <w:rsid w:val="00805E27"/>
    <w:rsid w:val="008069C4"/>
    <w:rsid w:val="008101A6"/>
    <w:rsid w:val="00814DA8"/>
    <w:rsid w:val="00825DC2"/>
    <w:rsid w:val="008261B3"/>
    <w:rsid w:val="00826B13"/>
    <w:rsid w:val="00834AD3"/>
    <w:rsid w:val="00834F48"/>
    <w:rsid w:val="00843795"/>
    <w:rsid w:val="00847F0F"/>
    <w:rsid w:val="00850B1D"/>
    <w:rsid w:val="00852448"/>
    <w:rsid w:val="00853319"/>
    <w:rsid w:val="008547CE"/>
    <w:rsid w:val="00856FF9"/>
    <w:rsid w:val="00870B4D"/>
    <w:rsid w:val="008749B0"/>
    <w:rsid w:val="0088258A"/>
    <w:rsid w:val="00886332"/>
    <w:rsid w:val="008923D9"/>
    <w:rsid w:val="008A17EB"/>
    <w:rsid w:val="008A26D9"/>
    <w:rsid w:val="008B0587"/>
    <w:rsid w:val="008B1611"/>
    <w:rsid w:val="008B18FF"/>
    <w:rsid w:val="008C0C29"/>
    <w:rsid w:val="008C0D50"/>
    <w:rsid w:val="008C207A"/>
    <w:rsid w:val="008C621E"/>
    <w:rsid w:val="008D5457"/>
    <w:rsid w:val="008D5FC8"/>
    <w:rsid w:val="008E1BA4"/>
    <w:rsid w:val="008E2E7B"/>
    <w:rsid w:val="008E3469"/>
    <w:rsid w:val="008F16FF"/>
    <w:rsid w:val="008F3638"/>
    <w:rsid w:val="008F4441"/>
    <w:rsid w:val="008F6F31"/>
    <w:rsid w:val="008F74DF"/>
    <w:rsid w:val="009127BA"/>
    <w:rsid w:val="00915BCC"/>
    <w:rsid w:val="009166E5"/>
    <w:rsid w:val="009227A6"/>
    <w:rsid w:val="00924902"/>
    <w:rsid w:val="00931C09"/>
    <w:rsid w:val="00933EC1"/>
    <w:rsid w:val="0093570E"/>
    <w:rsid w:val="00935A47"/>
    <w:rsid w:val="009372B3"/>
    <w:rsid w:val="00943519"/>
    <w:rsid w:val="00946AF0"/>
    <w:rsid w:val="009475C1"/>
    <w:rsid w:val="00950D69"/>
    <w:rsid w:val="009530DB"/>
    <w:rsid w:val="00953676"/>
    <w:rsid w:val="00955B41"/>
    <w:rsid w:val="009705EE"/>
    <w:rsid w:val="00972C92"/>
    <w:rsid w:val="00975E6E"/>
    <w:rsid w:val="00977927"/>
    <w:rsid w:val="0098135C"/>
    <w:rsid w:val="0098156A"/>
    <w:rsid w:val="00991BAC"/>
    <w:rsid w:val="00992347"/>
    <w:rsid w:val="00992E9E"/>
    <w:rsid w:val="0099445B"/>
    <w:rsid w:val="00995112"/>
    <w:rsid w:val="009A44FF"/>
    <w:rsid w:val="009A5CF2"/>
    <w:rsid w:val="009A6EA0"/>
    <w:rsid w:val="009A7A41"/>
    <w:rsid w:val="009B203D"/>
    <w:rsid w:val="009C085D"/>
    <w:rsid w:val="009C1335"/>
    <w:rsid w:val="009C1AB2"/>
    <w:rsid w:val="009C7251"/>
    <w:rsid w:val="009D0DEC"/>
    <w:rsid w:val="009E11FA"/>
    <w:rsid w:val="009E1361"/>
    <w:rsid w:val="009E2E91"/>
    <w:rsid w:val="009F19EA"/>
    <w:rsid w:val="009F1C95"/>
    <w:rsid w:val="009F4660"/>
    <w:rsid w:val="00A00FB5"/>
    <w:rsid w:val="00A061AD"/>
    <w:rsid w:val="00A074EF"/>
    <w:rsid w:val="00A07964"/>
    <w:rsid w:val="00A139F5"/>
    <w:rsid w:val="00A27E40"/>
    <w:rsid w:val="00A31030"/>
    <w:rsid w:val="00A356AB"/>
    <w:rsid w:val="00A365F4"/>
    <w:rsid w:val="00A41696"/>
    <w:rsid w:val="00A42A15"/>
    <w:rsid w:val="00A47D80"/>
    <w:rsid w:val="00A5129D"/>
    <w:rsid w:val="00A53132"/>
    <w:rsid w:val="00A5361E"/>
    <w:rsid w:val="00A558B4"/>
    <w:rsid w:val="00A563F2"/>
    <w:rsid w:val="00A566E8"/>
    <w:rsid w:val="00A71200"/>
    <w:rsid w:val="00A73801"/>
    <w:rsid w:val="00A75147"/>
    <w:rsid w:val="00A76EC3"/>
    <w:rsid w:val="00A80F5C"/>
    <w:rsid w:val="00A810F9"/>
    <w:rsid w:val="00A83D73"/>
    <w:rsid w:val="00A856DB"/>
    <w:rsid w:val="00A86ECC"/>
    <w:rsid w:val="00A86FCC"/>
    <w:rsid w:val="00AA710D"/>
    <w:rsid w:val="00AB6D25"/>
    <w:rsid w:val="00AC21CB"/>
    <w:rsid w:val="00AC2B74"/>
    <w:rsid w:val="00AC2BDB"/>
    <w:rsid w:val="00AC6559"/>
    <w:rsid w:val="00AE2D4B"/>
    <w:rsid w:val="00AE4F99"/>
    <w:rsid w:val="00AF23E6"/>
    <w:rsid w:val="00AF7A50"/>
    <w:rsid w:val="00B006C3"/>
    <w:rsid w:val="00B01885"/>
    <w:rsid w:val="00B11083"/>
    <w:rsid w:val="00B11B69"/>
    <w:rsid w:val="00B14952"/>
    <w:rsid w:val="00B21BBF"/>
    <w:rsid w:val="00B259A8"/>
    <w:rsid w:val="00B31E5A"/>
    <w:rsid w:val="00B352A5"/>
    <w:rsid w:val="00B5172F"/>
    <w:rsid w:val="00B55F59"/>
    <w:rsid w:val="00B57FFE"/>
    <w:rsid w:val="00B653AB"/>
    <w:rsid w:val="00B65F9E"/>
    <w:rsid w:val="00B66B19"/>
    <w:rsid w:val="00B718C1"/>
    <w:rsid w:val="00B726DE"/>
    <w:rsid w:val="00B762C6"/>
    <w:rsid w:val="00B80777"/>
    <w:rsid w:val="00B8124C"/>
    <w:rsid w:val="00B82433"/>
    <w:rsid w:val="00B87A17"/>
    <w:rsid w:val="00B914E9"/>
    <w:rsid w:val="00B956EE"/>
    <w:rsid w:val="00BA1780"/>
    <w:rsid w:val="00BA29B0"/>
    <w:rsid w:val="00BA2BA1"/>
    <w:rsid w:val="00BA3562"/>
    <w:rsid w:val="00BB0D09"/>
    <w:rsid w:val="00BB170D"/>
    <w:rsid w:val="00BB4F09"/>
    <w:rsid w:val="00BC10B5"/>
    <w:rsid w:val="00BC345E"/>
    <w:rsid w:val="00BD132F"/>
    <w:rsid w:val="00BD4E33"/>
    <w:rsid w:val="00BE0DF1"/>
    <w:rsid w:val="00BF12EB"/>
    <w:rsid w:val="00BF18FA"/>
    <w:rsid w:val="00BF2577"/>
    <w:rsid w:val="00BF4289"/>
    <w:rsid w:val="00BF65A2"/>
    <w:rsid w:val="00C000FB"/>
    <w:rsid w:val="00C030DE"/>
    <w:rsid w:val="00C035E9"/>
    <w:rsid w:val="00C06FFD"/>
    <w:rsid w:val="00C17825"/>
    <w:rsid w:val="00C2126F"/>
    <w:rsid w:val="00C22105"/>
    <w:rsid w:val="00C244B6"/>
    <w:rsid w:val="00C355E9"/>
    <w:rsid w:val="00C35E03"/>
    <w:rsid w:val="00C36BD2"/>
    <w:rsid w:val="00C3702F"/>
    <w:rsid w:val="00C410E3"/>
    <w:rsid w:val="00C4500A"/>
    <w:rsid w:val="00C53D04"/>
    <w:rsid w:val="00C63FA2"/>
    <w:rsid w:val="00C64A37"/>
    <w:rsid w:val="00C64AD9"/>
    <w:rsid w:val="00C6557B"/>
    <w:rsid w:val="00C71302"/>
    <w:rsid w:val="00C7158E"/>
    <w:rsid w:val="00C7250B"/>
    <w:rsid w:val="00C7346B"/>
    <w:rsid w:val="00C74449"/>
    <w:rsid w:val="00C749DA"/>
    <w:rsid w:val="00C7556E"/>
    <w:rsid w:val="00C75DAF"/>
    <w:rsid w:val="00C75E6C"/>
    <w:rsid w:val="00C76E3E"/>
    <w:rsid w:val="00C76FD6"/>
    <w:rsid w:val="00C77C0E"/>
    <w:rsid w:val="00C91687"/>
    <w:rsid w:val="00C924A8"/>
    <w:rsid w:val="00C945FE"/>
    <w:rsid w:val="00C96FAA"/>
    <w:rsid w:val="00C97A04"/>
    <w:rsid w:val="00CA107B"/>
    <w:rsid w:val="00CA47AE"/>
    <w:rsid w:val="00CA484D"/>
    <w:rsid w:val="00CA4FB6"/>
    <w:rsid w:val="00CB02C5"/>
    <w:rsid w:val="00CC2637"/>
    <w:rsid w:val="00CC2DCD"/>
    <w:rsid w:val="00CC739E"/>
    <w:rsid w:val="00CD1D1E"/>
    <w:rsid w:val="00CD30FC"/>
    <w:rsid w:val="00CD3A59"/>
    <w:rsid w:val="00CD58B7"/>
    <w:rsid w:val="00CE3023"/>
    <w:rsid w:val="00CE3D9E"/>
    <w:rsid w:val="00CE62E9"/>
    <w:rsid w:val="00CF4099"/>
    <w:rsid w:val="00CF6ED4"/>
    <w:rsid w:val="00D00796"/>
    <w:rsid w:val="00D01AEA"/>
    <w:rsid w:val="00D03014"/>
    <w:rsid w:val="00D0570E"/>
    <w:rsid w:val="00D0602E"/>
    <w:rsid w:val="00D06600"/>
    <w:rsid w:val="00D16558"/>
    <w:rsid w:val="00D25B73"/>
    <w:rsid w:val="00D261A2"/>
    <w:rsid w:val="00D36A99"/>
    <w:rsid w:val="00D42B05"/>
    <w:rsid w:val="00D43D37"/>
    <w:rsid w:val="00D50BA7"/>
    <w:rsid w:val="00D52C78"/>
    <w:rsid w:val="00D616D2"/>
    <w:rsid w:val="00D63B5F"/>
    <w:rsid w:val="00D6682B"/>
    <w:rsid w:val="00D70EF7"/>
    <w:rsid w:val="00D77622"/>
    <w:rsid w:val="00D80C68"/>
    <w:rsid w:val="00D8397C"/>
    <w:rsid w:val="00D83B7A"/>
    <w:rsid w:val="00D91F97"/>
    <w:rsid w:val="00D94EED"/>
    <w:rsid w:val="00D96026"/>
    <w:rsid w:val="00D97DE2"/>
    <w:rsid w:val="00DA10F0"/>
    <w:rsid w:val="00DA1ED2"/>
    <w:rsid w:val="00DA2D39"/>
    <w:rsid w:val="00DA5E0E"/>
    <w:rsid w:val="00DA69B8"/>
    <w:rsid w:val="00DA7C1C"/>
    <w:rsid w:val="00DB147A"/>
    <w:rsid w:val="00DB1B7A"/>
    <w:rsid w:val="00DB296F"/>
    <w:rsid w:val="00DB7154"/>
    <w:rsid w:val="00DC6708"/>
    <w:rsid w:val="00DD123D"/>
    <w:rsid w:val="00DD3E53"/>
    <w:rsid w:val="00DD4565"/>
    <w:rsid w:val="00DD638F"/>
    <w:rsid w:val="00DD73B1"/>
    <w:rsid w:val="00DE10B3"/>
    <w:rsid w:val="00DE4EC5"/>
    <w:rsid w:val="00E01436"/>
    <w:rsid w:val="00E0397F"/>
    <w:rsid w:val="00E045BD"/>
    <w:rsid w:val="00E051F5"/>
    <w:rsid w:val="00E13F14"/>
    <w:rsid w:val="00E172DF"/>
    <w:rsid w:val="00E17B77"/>
    <w:rsid w:val="00E20762"/>
    <w:rsid w:val="00E23337"/>
    <w:rsid w:val="00E259EA"/>
    <w:rsid w:val="00E27A39"/>
    <w:rsid w:val="00E306D2"/>
    <w:rsid w:val="00E32061"/>
    <w:rsid w:val="00E32DF2"/>
    <w:rsid w:val="00E379A0"/>
    <w:rsid w:val="00E42FF9"/>
    <w:rsid w:val="00E43BAA"/>
    <w:rsid w:val="00E46FF1"/>
    <w:rsid w:val="00E4714C"/>
    <w:rsid w:val="00E51AEB"/>
    <w:rsid w:val="00E522A7"/>
    <w:rsid w:val="00E54452"/>
    <w:rsid w:val="00E55A53"/>
    <w:rsid w:val="00E658C4"/>
    <w:rsid w:val="00E664C5"/>
    <w:rsid w:val="00E671A2"/>
    <w:rsid w:val="00E73BE7"/>
    <w:rsid w:val="00E75714"/>
    <w:rsid w:val="00E76D26"/>
    <w:rsid w:val="00E80467"/>
    <w:rsid w:val="00E818EE"/>
    <w:rsid w:val="00E86786"/>
    <w:rsid w:val="00E870CE"/>
    <w:rsid w:val="00E92BCF"/>
    <w:rsid w:val="00EB1390"/>
    <w:rsid w:val="00EB2C71"/>
    <w:rsid w:val="00EB4340"/>
    <w:rsid w:val="00EB556D"/>
    <w:rsid w:val="00EB5A7D"/>
    <w:rsid w:val="00ED0F65"/>
    <w:rsid w:val="00ED4133"/>
    <w:rsid w:val="00ED55C0"/>
    <w:rsid w:val="00ED682B"/>
    <w:rsid w:val="00EE079A"/>
    <w:rsid w:val="00EE07E0"/>
    <w:rsid w:val="00EE41D5"/>
    <w:rsid w:val="00EE7158"/>
    <w:rsid w:val="00EF448B"/>
    <w:rsid w:val="00F00F8E"/>
    <w:rsid w:val="00F01408"/>
    <w:rsid w:val="00F0175E"/>
    <w:rsid w:val="00F037A4"/>
    <w:rsid w:val="00F04243"/>
    <w:rsid w:val="00F0483A"/>
    <w:rsid w:val="00F055B6"/>
    <w:rsid w:val="00F0762C"/>
    <w:rsid w:val="00F128D8"/>
    <w:rsid w:val="00F2765B"/>
    <w:rsid w:val="00F2797B"/>
    <w:rsid w:val="00F27C8F"/>
    <w:rsid w:val="00F314DB"/>
    <w:rsid w:val="00F32749"/>
    <w:rsid w:val="00F37172"/>
    <w:rsid w:val="00F40370"/>
    <w:rsid w:val="00F4477E"/>
    <w:rsid w:val="00F447BF"/>
    <w:rsid w:val="00F519B0"/>
    <w:rsid w:val="00F54494"/>
    <w:rsid w:val="00F5799D"/>
    <w:rsid w:val="00F666F4"/>
    <w:rsid w:val="00F67D8F"/>
    <w:rsid w:val="00F7125F"/>
    <w:rsid w:val="00F72F98"/>
    <w:rsid w:val="00F802BE"/>
    <w:rsid w:val="00F80E93"/>
    <w:rsid w:val="00F84629"/>
    <w:rsid w:val="00F86024"/>
    <w:rsid w:val="00F8611A"/>
    <w:rsid w:val="00F922EE"/>
    <w:rsid w:val="00F9343B"/>
    <w:rsid w:val="00FA2E25"/>
    <w:rsid w:val="00FA5128"/>
    <w:rsid w:val="00FB42D4"/>
    <w:rsid w:val="00FB5906"/>
    <w:rsid w:val="00FB762F"/>
    <w:rsid w:val="00FB76CA"/>
    <w:rsid w:val="00FC2AED"/>
    <w:rsid w:val="00FC73BB"/>
    <w:rsid w:val="00FD2853"/>
    <w:rsid w:val="00FD5C8B"/>
    <w:rsid w:val="00FD5EA7"/>
    <w:rsid w:val="00FF0CE7"/>
    <w:rsid w:val="00FF531C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lime,#9f6,#9f3,#9c0"/>
      <o:colormenu v:ext="edit" fillcolor="#9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podmioty-gospodarcze-wyniki-finansowe/przedsiebiorstwa-niefinansowe/zeszyt-metodologiczny-badania-przedsiebiorstw-niefinansowych,28,1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.pieta@stat.gov.pl" TargetMode="External"/><Relationship Id="rId29" Type="http://schemas.openxmlformats.org/officeDocument/2006/relationships/hyperlink" Target="http://stat.gov.pl/metainformacje/slownik-pojec/pojecia-stosowane-w-statystyce-publicznej/58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4.png"/><Relationship Id="rId28" Type="http://schemas.openxmlformats.org/officeDocument/2006/relationships/hyperlink" Target="http://stat.gov.pl/metainformacje/slownik-pojec/pojecia-stosowane-w-statystyce-publicznej/158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.kotowski@stat.gov.pl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metainformacje/slownik-pojec/pojecia-stosowane-w-statystyce-publicznej/395,pojecie.html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ietaS\Desktop\Przedsi&#281;biorstwa%20nowopowsta&#322;e%202017\sygnalna%20PNP\Zeszy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ietaS\Desktop\Przedsi&#281;biorstwa%20nowopowsta&#322;e%202017\sygnalna%20PNP\Zeszy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etaS\Desktop\Przedsi&#281;biorstwa%20nowopowsta&#322;e%202017\sygnalna%20PNP\Zeszyt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ietaS\Desktop\Przedsi&#281;biorstwa%20nowopowsta&#322;e%202017\sygnalna%20PNP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autoTitleDeleted val="1"/>
    <c:plotArea>
      <c:layout>
        <c:manualLayout>
          <c:layoutTarget val="inner"/>
          <c:xMode val="edge"/>
          <c:yMode val="edge"/>
          <c:x val="0.29309817980069625"/>
          <c:y val="2.5841733557851135E-2"/>
          <c:w val="0.59797474322762756"/>
          <c:h val="0.85819423702054376"/>
        </c:manualLayout>
      </c:layout>
      <c:barChart>
        <c:barDir val="bar"/>
        <c:grouping val="clustered"/>
        <c:ser>
          <c:idx val="0"/>
          <c:order val="0"/>
          <c:tx>
            <c:strRef>
              <c:f>Arkusz1!$D$1</c:f>
              <c:strCache>
                <c:ptCount val="1"/>
                <c:pt idx="0">
                  <c:v>koszty ogółem</c:v>
                </c:pt>
              </c:strCache>
            </c:strRef>
          </c:tx>
          <c:spPr>
            <a:solidFill>
              <a:srgbClr val="6677AD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outEnd"/>
            <c:showVal val="1"/>
          </c:dLbls>
          <c:cat>
            <c:strRef>
              <c:f>Arkusz1!$B$7:$B$19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Arkusz1!$D$7:$D$19</c:f>
              <c:numCache>
                <c:formatCode>_-* #,##0\ _z_ł_-;\-* #,##0\ _z_ł_-;_-* "-"??\ _z_ł_-;_-@_-</c:formatCode>
                <c:ptCount val="13"/>
                <c:pt idx="0">
                  <c:v>216050.7135979</c:v>
                </c:pt>
                <c:pt idx="1">
                  <c:v>207232.18831880001</c:v>
                </c:pt>
                <c:pt idx="2">
                  <c:v>315918.6036951</c:v>
                </c:pt>
                <c:pt idx="3">
                  <c:v>399797.25658420002</c:v>
                </c:pt>
                <c:pt idx="4">
                  <c:v>738136.84362950071</c:v>
                </c:pt>
                <c:pt idx="5">
                  <c:v>2654235.5103256968</c:v>
                </c:pt>
                <c:pt idx="6">
                  <c:v>655051.35060030071</c:v>
                </c:pt>
                <c:pt idx="7">
                  <c:v>888975.16560180043</c:v>
                </c:pt>
                <c:pt idx="8">
                  <c:v>699925.67141129996</c:v>
                </c:pt>
                <c:pt idx="9">
                  <c:v>2759756.7875572001</c:v>
                </c:pt>
                <c:pt idx="10">
                  <c:v>19473878.68247528</c:v>
                </c:pt>
                <c:pt idx="11">
                  <c:v>3392272.3387819976</c:v>
                </c:pt>
                <c:pt idx="12">
                  <c:v>4920616.2108326936</c:v>
                </c:pt>
              </c:numCache>
            </c:numRef>
          </c:val>
        </c:ser>
        <c:ser>
          <c:idx val="1"/>
          <c:order val="1"/>
          <c:tx>
            <c:strRef>
              <c:f>Arkusz1!$K$1</c:f>
              <c:strCache>
                <c:ptCount val="1"/>
                <c:pt idx="0">
                  <c:v>przychody ogółem</c:v>
                </c:pt>
              </c:strCache>
            </c:strRef>
          </c:tx>
          <c:spPr>
            <a:solidFill>
              <a:srgbClr val="001D77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outEnd"/>
            <c:showVal val="1"/>
          </c:dLbls>
          <c:cat>
            <c:strRef>
              <c:f>Arkusz1!$B$7:$B$19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Arkusz1!$K$7:$K$19</c:f>
              <c:numCache>
                <c:formatCode>_-* #,##0\ _z_ł_-;\-* #,##0\ _z_ł_-;_-* "-"??\ _z_ł_-;_-@_-</c:formatCode>
                <c:ptCount val="13"/>
                <c:pt idx="0">
                  <c:v>225628.3971913</c:v>
                </c:pt>
                <c:pt idx="1">
                  <c:v>224359.23286950015</c:v>
                </c:pt>
                <c:pt idx="2">
                  <c:v>457876.95189149986</c:v>
                </c:pt>
                <c:pt idx="3">
                  <c:v>281161.3044822003</c:v>
                </c:pt>
                <c:pt idx="4">
                  <c:v>866499.76334619999</c:v>
                </c:pt>
                <c:pt idx="5">
                  <c:v>2895217.1951178974</c:v>
                </c:pt>
                <c:pt idx="6">
                  <c:v>680936.51557289937</c:v>
                </c:pt>
                <c:pt idx="7">
                  <c:v>1438356.6305889001</c:v>
                </c:pt>
                <c:pt idx="8">
                  <c:v>639200.48700369999</c:v>
                </c:pt>
                <c:pt idx="9">
                  <c:v>2865357.2599936975</c:v>
                </c:pt>
                <c:pt idx="10">
                  <c:v>19716470.3109615</c:v>
                </c:pt>
                <c:pt idx="11">
                  <c:v>3627760.4442062001</c:v>
                </c:pt>
                <c:pt idx="12">
                  <c:v>5189853.7356486004</c:v>
                </c:pt>
              </c:numCache>
            </c:numRef>
          </c:val>
        </c:ser>
        <c:dLbls>
          <c:showVal val="1"/>
        </c:dLbls>
        <c:gapWidth val="142"/>
        <c:overlap val="-35"/>
        <c:axId val="103793792"/>
        <c:axId val="106110976"/>
      </c:barChart>
      <c:catAx>
        <c:axId val="10379379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06110976"/>
        <c:crosses val="autoZero"/>
        <c:auto val="1"/>
        <c:lblAlgn val="ctr"/>
        <c:lblOffset val="100"/>
      </c:catAx>
      <c:valAx>
        <c:axId val="106110976"/>
        <c:scaling>
          <c:orientation val="minMax"/>
          <c:max val="20000000"/>
        </c:scaling>
        <c:axPos val="b"/>
        <c:numFmt formatCode="_-* #,##0\ _z_ł_-;\-* #,##0\ _z_ł_-;_-* &quot;-&quot;??\ _z_ł_-;_-@_-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03793792"/>
        <c:crosses val="autoZero"/>
        <c:crossBetween val="between"/>
        <c:majorUnit val="5000000"/>
        <c:dispUnits>
          <c:builtInUnit val="thousands"/>
        </c:dispUnits>
      </c:valAx>
    </c:plotArea>
    <c:legend>
      <c:legendPos val="b"/>
      <c:layout>
        <c:manualLayout>
          <c:xMode val="edge"/>
          <c:yMode val="edge"/>
          <c:x val="0.37944603247678466"/>
          <c:y val="0.94151094311199657"/>
          <c:w val="0.48579016875400832"/>
          <c:h val="4.39172068677086E-2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4647329964390397"/>
          <c:y val="3.6974789915966394E-2"/>
          <c:w val="0.46956713940753675"/>
          <c:h val="0.87533911202276193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1D77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Val val="1"/>
          </c:dLbls>
          <c:cat>
            <c:strRef>
              <c:f>Arkusz1!$B$7:$B$19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Arkusz1!$I$7:$I$19</c:f>
              <c:numCache>
                <c:formatCode>_-* #,##0\ _z_ł_-;\-* #,##0\ _z_ł_-;_-* "-"??\ _z_ł_-;_-@_-</c:formatCode>
                <c:ptCount val="13"/>
                <c:pt idx="0">
                  <c:v>2225.9129613114796</c:v>
                </c:pt>
                <c:pt idx="1">
                  <c:v>3812.0174030151629</c:v>
                </c:pt>
                <c:pt idx="2">
                  <c:v>3093.3754418993813</c:v>
                </c:pt>
                <c:pt idx="3">
                  <c:v>3698.1528493500937</c:v>
                </c:pt>
                <c:pt idx="4">
                  <c:v>3533.3312271683212</c:v>
                </c:pt>
                <c:pt idx="5">
                  <c:v>3904.4673141029075</c:v>
                </c:pt>
                <c:pt idx="6">
                  <c:v>3710.1558828613415</c:v>
                </c:pt>
                <c:pt idx="7">
                  <c:v>6333.3692651383244</c:v>
                </c:pt>
                <c:pt idx="8">
                  <c:v>2647.3930116166052</c:v>
                </c:pt>
                <c:pt idx="9">
                  <c:v>2483.6698797770537</c:v>
                </c:pt>
                <c:pt idx="10">
                  <c:v>3863.9707304596604</c:v>
                </c:pt>
                <c:pt idx="11">
                  <c:v>2858.0223458195996</c:v>
                </c:pt>
                <c:pt idx="12">
                  <c:v>3253.5050813432267</c:v>
                </c:pt>
              </c:numCache>
            </c:numRef>
          </c:val>
        </c:ser>
        <c:dLbls>
          <c:showVal val="1"/>
        </c:dLbls>
        <c:axId val="115448448"/>
        <c:axId val="115632768"/>
      </c:barChart>
      <c:catAx>
        <c:axId val="11544844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5632768"/>
        <c:crosses val="autoZero"/>
        <c:auto val="1"/>
        <c:lblAlgn val="ctr"/>
        <c:lblOffset val="100"/>
      </c:catAx>
      <c:valAx>
        <c:axId val="115632768"/>
        <c:scaling>
          <c:orientation val="minMax"/>
          <c:min val="0"/>
        </c:scaling>
        <c:axPos val="b"/>
        <c:numFmt formatCode="_-* #,##0\ _z_ł_-;\-* #,##0\ _z_ł_-;_-* &quot;-&quot;??\ _z_ł_-;_-@_-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5448448"/>
        <c:crosses val="autoZero"/>
        <c:crossBetween val="between"/>
        <c:majorUnit val="2000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Arkusz1!$L$1</c:f>
              <c:strCache>
                <c:ptCount val="1"/>
                <c:pt idx="0">
                  <c:v>przec. Zatrudnienie</c:v>
                </c:pt>
              </c:strCache>
            </c:strRef>
          </c:tx>
          <c:spPr>
            <a:solidFill>
              <a:srgbClr val="001D77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Arkusz1!$B$7:$B$19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Arkusz1!$L$7:$L$19</c:f>
              <c:numCache>
                <c:formatCode>_-* #,##0\ _z_ł_-;\-* #,##0\ _z_ł_-;_-* "-"??\ _z_ł_-;_-@_-</c:formatCode>
                <c:ptCount val="13"/>
                <c:pt idx="0">
                  <c:v>668.57796599999949</c:v>
                </c:pt>
                <c:pt idx="1">
                  <c:v>304.93007199999869</c:v>
                </c:pt>
                <c:pt idx="2">
                  <c:v>1300.257449</c:v>
                </c:pt>
                <c:pt idx="3">
                  <c:v>1243.1629719999999</c:v>
                </c:pt>
                <c:pt idx="4">
                  <c:v>2823.2553630000002</c:v>
                </c:pt>
                <c:pt idx="5">
                  <c:v>4310.5396680000003</c:v>
                </c:pt>
                <c:pt idx="6">
                  <c:v>836.30982399999948</c:v>
                </c:pt>
                <c:pt idx="7">
                  <c:v>1612.1348949999947</c:v>
                </c:pt>
                <c:pt idx="8">
                  <c:v>1697.8899879999999</c:v>
                </c:pt>
                <c:pt idx="9">
                  <c:v>5502.1603790000054</c:v>
                </c:pt>
                <c:pt idx="10">
                  <c:v>10505.270192</c:v>
                </c:pt>
                <c:pt idx="11">
                  <c:v>5242.6176390000173</c:v>
                </c:pt>
                <c:pt idx="12">
                  <c:v>11647.907882999993</c:v>
                </c:pt>
              </c:numCache>
            </c:numRef>
          </c:val>
        </c:ser>
        <c:dLbls>
          <c:showVal val="1"/>
        </c:dLbls>
        <c:axId val="116815360"/>
        <c:axId val="116816896"/>
      </c:barChart>
      <c:catAx>
        <c:axId val="11681536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6816896"/>
        <c:crosses val="autoZero"/>
        <c:auto val="1"/>
        <c:lblAlgn val="ctr"/>
        <c:lblOffset val="100"/>
      </c:catAx>
      <c:valAx>
        <c:axId val="116816896"/>
        <c:scaling>
          <c:orientation val="minMax"/>
          <c:min val="0"/>
        </c:scaling>
        <c:axPos val="b"/>
        <c:numFmt formatCode="_-* #,##0\ _z_ł_-;\-* #,##0\ _z_ł_-;_-* &quot;-&quot;??\ _z_ł_-;_-@_-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6815360"/>
        <c:crosses val="autoZero"/>
        <c:crossBetween val="between"/>
        <c:majorUnit val="4000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autoTitleDeleted val="1"/>
    <c:plotArea>
      <c:layout>
        <c:manualLayout>
          <c:layoutTarget val="inner"/>
          <c:xMode val="edge"/>
          <c:yMode val="edge"/>
          <c:x val="6.3663730345395131E-2"/>
          <c:y val="6.8676706673801699E-2"/>
          <c:w val="0.90907472997102057"/>
          <c:h val="0.44435160410773894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1D77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Arkusz1!$O$7:$O$19</c:f>
              <c:strCache>
                <c:ptCount val="13"/>
                <c:pt idx="0">
                  <c:v>Przemysł</c:v>
                </c:pt>
                <c:pt idx="1">
                  <c:v>Budownictwo</c:v>
                </c:pt>
                <c:pt idx="2">
                  <c:v>Handel; naprawa poj. samoch. </c:v>
                </c:pt>
                <c:pt idx="3">
                  <c:v>Transport i gospodarka magazynowa</c:v>
                </c:pt>
                <c:pt idx="4">
                  <c:v>Zakwaterowanie i gastronomia</c:v>
                </c:pt>
                <c:pt idx="5">
                  <c:v>Informacja i komunikacja</c:v>
                </c:pt>
                <c:pt idx="6">
                  <c:v>Obsługa rynku nieruchomości</c:v>
                </c:pt>
                <c:pt idx="7">
                  <c:v>Działalność profesjonalna, naukowa i techniczna</c:v>
                </c:pt>
                <c:pt idx="8">
                  <c:v>Administrowanie i działalność wspierająca</c:v>
                </c:pt>
                <c:pt idx="9">
                  <c:v>Edukacja</c:v>
                </c:pt>
                <c:pt idx="10">
                  <c:v>Opieka zdrowotna i pomoc społeczna</c:v>
                </c:pt>
                <c:pt idx="11">
                  <c:v>Kultura, rozrywka i rekreacja</c:v>
                </c:pt>
                <c:pt idx="12">
                  <c:v>Pozostała działalność usługowa</c:v>
                </c:pt>
              </c:strCache>
            </c:strRef>
          </c:cat>
          <c:val>
            <c:numRef>
              <c:f>Arkusz1!$P$7:$P$19</c:f>
              <c:numCache>
                <c:formatCode>0.0</c:formatCode>
                <c:ptCount val="13"/>
                <c:pt idx="0">
                  <c:v>94.812232896535065</c:v>
                </c:pt>
                <c:pt idx="1">
                  <c:v>93.508719524182155</c:v>
                </c:pt>
                <c:pt idx="2">
                  <c:v>98.769599098316988</c:v>
                </c:pt>
                <c:pt idx="3">
                  <c:v>96.314579200614872</c:v>
                </c:pt>
                <c:pt idx="4">
                  <c:v>109.50017805716215</c:v>
                </c:pt>
                <c:pt idx="5">
                  <c:v>61.804920052256222</c:v>
                </c:pt>
                <c:pt idx="6">
                  <c:v>96.198593498716733</c:v>
                </c:pt>
                <c:pt idx="7">
                  <c:v>91.676559354560041</c:v>
                </c:pt>
                <c:pt idx="8">
                  <c:v>85.186040995441758</c:v>
                </c:pt>
                <c:pt idx="9">
                  <c:v>142.19497854460639</c:v>
                </c:pt>
                <c:pt idx="10">
                  <c:v>68.996397916521246</c:v>
                </c:pt>
                <c:pt idx="11">
                  <c:v>92.366240367445869</c:v>
                </c:pt>
                <c:pt idx="12">
                  <c:v>95.755107197220241</c:v>
                </c:pt>
              </c:numCache>
            </c:numRef>
          </c:val>
        </c:ser>
        <c:axId val="128871808"/>
        <c:axId val="131042304"/>
      </c:barChart>
      <c:catAx>
        <c:axId val="1288718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31042304"/>
        <c:crosses val="autoZero"/>
        <c:auto val="1"/>
        <c:lblAlgn val="ctr"/>
        <c:lblOffset val="100"/>
      </c:catAx>
      <c:valAx>
        <c:axId val="131042304"/>
        <c:scaling>
          <c:orientation val="minMax"/>
          <c:max val="160"/>
          <c:min val="0"/>
        </c:scaling>
        <c:axPos val="l"/>
        <c:numFmt formatCode="0" sourceLinked="0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28871808"/>
        <c:crosses val="autoZero"/>
        <c:crossBetween val="between"/>
        <c:majorUnit val="40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0.88215</cdr:x>
      <cdr:y>0.88815</cdr:y>
    </cdr:from>
    <cdr:to>
      <cdr:x>1</cdr:x>
      <cdr:y>0.92821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20242" y="4589253"/>
          <a:ext cx="603849" cy="207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/>
            <a:t>    </a:t>
          </a:r>
          <a:r>
            <a:rPr lang="pl-PL" sz="800"/>
            <a:t>mln zł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0.94157</cdr:x>
      <cdr:y>0.91908</cdr:y>
    </cdr:from>
    <cdr:to>
      <cdr:x>1</cdr:x>
      <cdr:y>0.97289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08445" y="3123503"/>
          <a:ext cx="298393" cy="1828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/>
            <a:t>zł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0.14657</cdr:x>
      <cdr:y>0.05048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0"/>
          <a:ext cx="752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 baseline="0"/>
            <a:t> </a:t>
          </a:r>
          <a:r>
            <a:rPr lang="pl-PL" sz="8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A1FA9508-AECB-4EFF-B411-D45F94E8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gospodarcze według rodzajów i miejsc prowadzenia działalności w 2017 roku</vt:lpstr>
    </vt:vector>
  </TitlesOfParts>
  <Company>Główny Urząd Statystyczny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gospodarcze według rodzajów i miejsc prowadzenia działalności w 2017 roku</dc:title>
  <dc:subject>Podmioty gospodarcze według rodzajów i miejsc prowadzenia działalności w 2017 roku</dc:subject>
  <dc:creator>Główny Urząd Statystyczny</dc:creator>
  <cp:keywords>przedsiębiorstwa; działalność gospodarcza; wyniki finansowe; badanie przedsiębiorstw; jednostki lokalne</cp:keywords>
  <cp:lastModifiedBy>PietaS</cp:lastModifiedBy>
  <cp:revision>5</cp:revision>
  <cp:lastPrinted>2018-10-25T09:38:00Z</cp:lastPrinted>
  <dcterms:created xsi:type="dcterms:W3CDTF">2018-11-23T13:07:00Z</dcterms:created>
  <dcterms:modified xsi:type="dcterms:W3CDTF">2018-11-26T13:03:00Z</dcterms:modified>
  <cp:category>Podmioty gospodarcze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