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B253FF">
        <w:t>I</w:t>
      </w:r>
      <w:r w:rsidR="001172AE">
        <w:t xml:space="preserve"> kwartale 2020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B253F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4,3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8E6D15" w:rsidP="00883763">
                            <w:pPr>
                              <w:pStyle w:val="tekstnaniebieskimtle"/>
                            </w:pPr>
                            <w:r>
                              <w:t>Wzrost</w:t>
                            </w:r>
                            <w:r w:rsidR="00C4345F">
                              <w:t xml:space="preserve"> przychodów</w:t>
                            </w:r>
                            <w:r w:rsidR="00EE3AA7">
                              <w:t xml:space="preserve"> </w:t>
                            </w:r>
                            <w:r w:rsidR="00A220D1">
                              <w:t>z całokształtu działalności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JtKQIAACo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B253F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4,3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8E6D15" w:rsidP="00883763">
                      <w:pPr>
                        <w:pStyle w:val="tekstnaniebieskimtle"/>
                      </w:pPr>
                      <w:r>
                        <w:t>Wzrost</w:t>
                      </w:r>
                      <w:r w:rsidR="00C4345F">
                        <w:t xml:space="preserve"> przychodów</w:t>
                      </w:r>
                      <w:r w:rsidR="00EE3AA7">
                        <w:t xml:space="preserve"> </w:t>
                      </w:r>
                      <w:r w:rsidR="00A220D1">
                        <w:t>z całokształtu działalności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B253FF">
        <w:rPr>
          <w:shd w:val="clear" w:color="auto" w:fill="FFFFFF"/>
        </w:rPr>
        <w:t>I kwartale 2020</w:t>
      </w:r>
      <w:r w:rsidR="00CF7929" w:rsidRPr="002A2B09">
        <w:rPr>
          <w:shd w:val="clear" w:color="auto" w:fill="FFFFFF"/>
        </w:rPr>
        <w:t xml:space="preserve"> roku </w:t>
      </w:r>
      <w:r w:rsidR="00662AAF" w:rsidRPr="00662AAF">
        <w:rPr>
          <w:shd w:val="clear" w:color="auto" w:fill="FFFFFF"/>
        </w:rPr>
        <w:t>wzrost przychodów z całokształtu działalności (4,3%) by</w:t>
      </w:r>
      <w:r w:rsidR="00662AAF">
        <w:rPr>
          <w:shd w:val="clear" w:color="auto" w:fill="FFFFFF"/>
        </w:rPr>
        <w:t>ł</w:t>
      </w:r>
      <w:r w:rsidR="00662AAF" w:rsidRPr="00662AAF">
        <w:rPr>
          <w:shd w:val="clear" w:color="auto" w:fill="FFFFFF"/>
        </w:rPr>
        <w:t xml:space="preserve"> niższy niż wzrost kosztów ich uzyskania (5,7%</w:t>
      </w:r>
      <w:r w:rsidR="00662AAF">
        <w:rPr>
          <w:shd w:val="clear" w:color="auto" w:fill="FFFFFF"/>
        </w:rPr>
        <w:t>). 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>ych przedsiębiorstw były niższe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>Pogorszyły</w:t>
      </w:r>
      <w:r w:rsidR="00294738">
        <w:rPr>
          <w:shd w:val="clear" w:color="auto" w:fill="FFFFFF"/>
        </w:rPr>
        <w:t xml:space="preserve"> się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 xml:space="preserve">wskaźniki ekonomiczno-finansowe. </w:t>
      </w:r>
      <w:r w:rsidR="003E4D16" w:rsidRPr="00A3364B">
        <w:rPr>
          <w:shd w:val="clear" w:color="auto" w:fill="FFFFFF"/>
        </w:rPr>
        <w:t>Nakłady</w:t>
      </w:r>
      <w:r w:rsidR="00D877CE">
        <w:rPr>
          <w:shd w:val="clear" w:color="auto" w:fill="FFFFFF"/>
        </w:rPr>
        <w:t xml:space="preserve"> inwestycyjne były wyższe o 4,3</w:t>
      </w:r>
      <w:r w:rsidR="00D30F69" w:rsidRPr="00A3364B">
        <w:rPr>
          <w:shd w:val="clear" w:color="auto" w:fill="FFFFFF"/>
        </w:rPr>
        <w:t>% od notowanych w</w:t>
      </w:r>
      <w:r w:rsidR="00D877CE">
        <w:rPr>
          <w:shd w:val="clear" w:color="auto" w:fill="FFFFFF"/>
        </w:rPr>
        <w:t xml:space="preserve"> I</w:t>
      </w:r>
      <w:r w:rsidR="00E5365D">
        <w:rPr>
          <w:shd w:val="clear" w:color="auto" w:fill="FFFFFF"/>
        </w:rPr>
        <w:t xml:space="preserve"> </w:t>
      </w:r>
      <w:r w:rsidR="00D877CE">
        <w:rPr>
          <w:shd w:val="clear" w:color="auto" w:fill="FFFFFF"/>
        </w:rPr>
        <w:t>kwartale</w:t>
      </w:r>
      <w:r w:rsidR="00D30F69" w:rsidRPr="00A3364B">
        <w:rPr>
          <w:shd w:val="clear" w:color="auto" w:fill="FFFFFF"/>
        </w:rPr>
        <w:t xml:space="preserve"> </w:t>
      </w:r>
      <w:r w:rsidR="00D877CE">
        <w:rPr>
          <w:shd w:val="clear" w:color="auto" w:fill="FFFFFF"/>
        </w:rPr>
        <w:t>2019</w:t>
      </w:r>
      <w:r w:rsidR="00636C9A">
        <w:rPr>
          <w:shd w:val="clear" w:color="auto" w:fill="FFFFFF"/>
        </w:rPr>
        <w:t xml:space="preserve"> </w:t>
      </w:r>
      <w:r w:rsidR="003E4D16" w:rsidRPr="00A3364B">
        <w:rPr>
          <w:shd w:val="clear" w:color="auto" w:fill="FFFFFF"/>
        </w:rPr>
        <w:t xml:space="preserve">roku </w:t>
      </w:r>
      <w:r w:rsidR="00636C9A">
        <w:rPr>
          <w:shd w:val="clear" w:color="auto" w:fill="FFFFFF"/>
        </w:rPr>
        <w:t>(kiedy miał miejsce</w:t>
      </w:r>
      <w:r w:rsidR="00B67226">
        <w:rPr>
          <w:shd w:val="clear" w:color="auto" w:fill="FFFFFF"/>
        </w:rPr>
        <w:t xml:space="preserve"> wzrost o 22,8</w:t>
      </w:r>
      <w:r w:rsidR="003E4D16" w:rsidRPr="00A3364B">
        <w:rPr>
          <w:shd w:val="clear" w:color="auto" w:fill="FFFFFF"/>
        </w:rPr>
        <w:t>%).</w:t>
      </w:r>
    </w:p>
    <w:p w:rsidR="00685123" w:rsidRDefault="00685123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624EE8">
        <w:rPr>
          <w:b w:val="0"/>
        </w:rPr>
        <w:t>z całokształtu działalności</w:t>
      </w:r>
      <w:r>
        <w:rPr>
          <w:b w:val="0"/>
        </w:rPr>
        <w:t xml:space="preserve"> </w:t>
      </w:r>
      <w:r w:rsidRPr="00B93908">
        <w:rPr>
          <w:b w:val="0"/>
        </w:rPr>
        <w:t>były wy</w:t>
      </w:r>
      <w:r>
        <w:rPr>
          <w:b w:val="0"/>
        </w:rPr>
        <w:t xml:space="preserve">ższe o </w:t>
      </w:r>
      <w:r w:rsidR="00302DC0">
        <w:rPr>
          <w:b w:val="0"/>
        </w:rPr>
        <w:t>4,3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koszty ich uzyskania wzrosły o 5,7%</w:t>
      </w:r>
      <w:r w:rsidR="00CD5A2C">
        <w:rPr>
          <w:b w:val="0"/>
        </w:rPr>
        <w:t xml:space="preserve">. </w:t>
      </w:r>
      <w:r w:rsidR="00E13D08">
        <w:rPr>
          <w:b w:val="0"/>
        </w:rPr>
        <w:t xml:space="preserve">Pogorszył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E13D08">
        <w:rPr>
          <w:b w:val="0"/>
        </w:rPr>
        <w:t>95,7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E13D08">
        <w:rPr>
          <w:b w:val="0"/>
        </w:rPr>
        <w:t>97,0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0839E8">
        <w:rPr>
          <w:b w:val="0"/>
        </w:rPr>
        <w:t>wzrosły o 3,8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E1025B">
        <w:rPr>
          <w:b w:val="0"/>
        </w:rPr>
        <w:t>4,5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finansowy netto był niższy o 28,6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8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zJEg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finansowy netto był niższy o 28,6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A3573C">
        <w:rPr>
          <w:b w:val="0"/>
        </w:rPr>
        <w:t>30,1</w:t>
      </w:r>
      <w:r w:rsidR="0081208E">
        <w:rPr>
          <w:b w:val="0"/>
        </w:rPr>
        <w:t xml:space="preserve"> mld zł i był </w:t>
      </w:r>
      <w:r w:rsidR="00A3573C">
        <w:rPr>
          <w:b w:val="0"/>
        </w:rPr>
        <w:t>ni</w:t>
      </w:r>
      <w:r w:rsidR="0081208E">
        <w:rPr>
          <w:b w:val="0"/>
        </w:rPr>
        <w:t>ższy o </w:t>
      </w:r>
      <w:r w:rsidR="00A3573C">
        <w:rPr>
          <w:b w:val="0"/>
        </w:rPr>
        <w:t>9,9</w:t>
      </w:r>
      <w:r w:rsidR="001C0B72">
        <w:rPr>
          <w:b w:val="0"/>
        </w:rPr>
        <w:t xml:space="preserve">% niż w </w:t>
      </w:r>
      <w:r w:rsidR="00A3573C">
        <w:rPr>
          <w:b w:val="0"/>
        </w:rPr>
        <w:t>I kwartale 2019</w:t>
      </w:r>
      <w:r w:rsidR="00636C9A">
        <w:rPr>
          <w:b w:val="0"/>
        </w:rPr>
        <w:t xml:space="preserve"> </w:t>
      </w:r>
      <w:r w:rsidR="00F045E7">
        <w:rPr>
          <w:b w:val="0"/>
        </w:rPr>
        <w:t>roku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C37A8D">
        <w:rPr>
          <w:b w:val="0"/>
        </w:rPr>
        <w:t>4,2 mld zł i był wy</w:t>
      </w:r>
      <w:r w:rsidR="0081208E">
        <w:rPr>
          <w:b w:val="0"/>
        </w:rPr>
        <w:t xml:space="preserve">ższy o </w:t>
      </w:r>
      <w:r w:rsidR="001951F5">
        <w:rPr>
          <w:b w:val="0"/>
        </w:rPr>
        <w:t>2,8</w:t>
      </w:r>
      <w:r w:rsidR="0081208E" w:rsidRPr="00DD07B8">
        <w:rPr>
          <w:b w:val="0"/>
        </w:rPr>
        <w:t xml:space="preserve"> mld zł niż przed rokiem. Zanotowano </w:t>
      </w:r>
      <w:r w:rsidR="001951F5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C37A8D">
        <w:rPr>
          <w:b w:val="0"/>
        </w:rPr>
        <w:t xml:space="preserve">minus </w:t>
      </w:r>
      <w:r w:rsidR="001951F5">
        <w:rPr>
          <w:b w:val="0"/>
        </w:rPr>
        <w:t>10,3</w:t>
      </w:r>
      <w:r w:rsidR="00AD2E7D">
        <w:rPr>
          <w:b w:val="0"/>
        </w:rPr>
        <w:t xml:space="preserve"> mld zł wobec</w:t>
      </w:r>
      <w:r w:rsidR="001951F5">
        <w:rPr>
          <w:b w:val="0"/>
        </w:rPr>
        <w:t xml:space="preserve"> minus 2,7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1951F5">
        <w:rPr>
          <w:b w:val="0"/>
        </w:rPr>
        <w:t xml:space="preserve"> I kwartale</w:t>
      </w:r>
      <w:r w:rsidR="00C37A8D">
        <w:rPr>
          <w:b w:val="0"/>
        </w:rPr>
        <w:t xml:space="preserve"> </w:t>
      </w:r>
      <w:r w:rsidR="001951F5">
        <w:rPr>
          <w:b w:val="0"/>
        </w:rPr>
        <w:t>2019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1951F5">
        <w:rPr>
          <w:b w:val="0"/>
        </w:rPr>
        <w:t>23,9</w:t>
      </w:r>
      <w:r>
        <w:rPr>
          <w:b w:val="0"/>
        </w:rPr>
        <w:t xml:space="preserve"> mld zł wobec </w:t>
      </w:r>
      <w:r w:rsidR="001951F5">
        <w:rPr>
          <w:b w:val="0"/>
        </w:rPr>
        <w:t>32,1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1951F5">
        <w:rPr>
          <w:b w:val="0"/>
        </w:rPr>
        <w:t>5,3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1951F5">
        <w:rPr>
          <w:b w:val="0"/>
        </w:rPr>
        <w:t>6,1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1951F5">
        <w:rPr>
          <w:b w:val="0"/>
        </w:rPr>
        <w:t>18,6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1951F5">
        <w:rPr>
          <w:b w:val="0"/>
        </w:rPr>
        <w:t>ni</w:t>
      </w:r>
      <w:r>
        <w:rPr>
          <w:b w:val="0"/>
        </w:rPr>
        <w:t xml:space="preserve">ższy o </w:t>
      </w:r>
      <w:r w:rsidR="001951F5">
        <w:rPr>
          <w:b w:val="0"/>
        </w:rPr>
        <w:t>28,6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F96984">
        <w:rPr>
          <w:b w:val="0"/>
        </w:rPr>
        <w:t>39,0</w:t>
      </w:r>
      <w:r>
        <w:rPr>
          <w:b w:val="0"/>
        </w:rPr>
        <w:t xml:space="preserve"> mld zł i był </w:t>
      </w:r>
      <w:r w:rsidR="00CF2215">
        <w:rPr>
          <w:b w:val="0"/>
        </w:rPr>
        <w:t>wy</w:t>
      </w:r>
      <w:r>
        <w:rPr>
          <w:b w:val="0"/>
        </w:rPr>
        <w:t xml:space="preserve">ższy o </w:t>
      </w:r>
      <w:r w:rsidR="009C37DA">
        <w:rPr>
          <w:b w:val="0"/>
        </w:rPr>
        <w:t>2,1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F96984">
        <w:rPr>
          <w:b w:val="0"/>
        </w:rPr>
        <w:t>I kwartale 2019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F96984">
        <w:rPr>
          <w:b w:val="0"/>
        </w:rPr>
        <w:t>20,5</w:t>
      </w:r>
      <w:r w:rsidRPr="00DD07B8">
        <w:rPr>
          <w:b w:val="0"/>
        </w:rPr>
        <w:t xml:space="preserve"> mld zł i z</w:t>
      </w:r>
      <w:r w:rsidR="006409D7">
        <w:rPr>
          <w:b w:val="0"/>
        </w:rPr>
        <w:t>więk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6409D7">
        <w:rPr>
          <w:b w:val="0"/>
        </w:rPr>
        <w:t>9,5 mld zł</w:t>
      </w:r>
      <w:r>
        <w:rPr>
          <w:b w:val="0"/>
        </w:rPr>
        <w:t xml:space="preserve">. </w:t>
      </w:r>
      <w:r w:rsidR="00797F16">
        <w:rPr>
          <w:b w:val="0"/>
        </w:rPr>
        <w:t xml:space="preserve">Zysk netto wykazało </w:t>
      </w:r>
      <w:r w:rsidR="006409D7">
        <w:rPr>
          <w:b w:val="0"/>
        </w:rPr>
        <w:t>67,6</w:t>
      </w:r>
      <w:r w:rsidRPr="006361E6">
        <w:rPr>
          <w:b w:val="0"/>
        </w:rPr>
        <w:t>% o</w:t>
      </w:r>
      <w:r w:rsidR="00797F16">
        <w:rPr>
          <w:b w:val="0"/>
        </w:rPr>
        <w:t xml:space="preserve">gółu przedsiębiorstw (wobec </w:t>
      </w:r>
      <w:r w:rsidR="006409D7">
        <w:rPr>
          <w:b w:val="0"/>
        </w:rPr>
        <w:t>69,5</w:t>
      </w:r>
      <w:r w:rsidRPr="006361E6">
        <w:rPr>
          <w:b w:val="0"/>
        </w:rPr>
        <w:t>%</w:t>
      </w:r>
      <w:r w:rsidR="006361E6">
        <w:rPr>
          <w:b w:val="0"/>
        </w:rPr>
        <w:t xml:space="preserve"> rok wcześniej</w:t>
      </w:r>
      <w:r w:rsidRPr="006361E6">
        <w:rPr>
          <w:b w:val="0"/>
        </w:rPr>
        <w:t>), a uzyskane</w:t>
      </w:r>
      <w:r w:rsidR="006361E6">
        <w:rPr>
          <w:b w:val="0"/>
        </w:rPr>
        <w:t xml:space="preserve"> przez nie przychody stanowiły </w:t>
      </w:r>
      <w:r w:rsidR="006409D7">
        <w:rPr>
          <w:b w:val="0"/>
        </w:rPr>
        <w:t>72,7</w:t>
      </w:r>
      <w:r w:rsidRPr="006361E6">
        <w:rPr>
          <w:b w:val="0"/>
        </w:rPr>
        <w:t>% przyc</w:t>
      </w:r>
      <w:r w:rsidRPr="00C40424">
        <w:rPr>
          <w:b w:val="0"/>
        </w:rPr>
        <w:t>hodów z całokształtu działalności badanych przedsiębior</w:t>
      </w:r>
      <w:r w:rsidR="003A414D" w:rsidRPr="00C40424">
        <w:rPr>
          <w:b w:val="0"/>
        </w:rPr>
        <w:t xml:space="preserve">stw (wobec </w:t>
      </w:r>
      <w:r w:rsidR="006409D7" w:rsidRPr="00C40424">
        <w:rPr>
          <w:b w:val="0"/>
        </w:rPr>
        <w:t>79,7</w:t>
      </w:r>
      <w:r w:rsidRPr="00C40424">
        <w:rPr>
          <w:b w:val="0"/>
        </w:rPr>
        <w:t>% przed rokiem). W przetwórstwie przemys</w:t>
      </w:r>
      <w:r w:rsidR="00C92B84" w:rsidRPr="00C40424">
        <w:rPr>
          <w:b w:val="0"/>
        </w:rPr>
        <w:t xml:space="preserve">łowym zysk netto odnotowało </w:t>
      </w:r>
      <w:r w:rsidR="00C40424" w:rsidRPr="00C40424">
        <w:rPr>
          <w:b w:val="0"/>
        </w:rPr>
        <w:t>73,4% jednostek (przed rokiem 76,0</w:t>
      </w:r>
      <w:r w:rsidRPr="00C40424">
        <w:rPr>
          <w:b w:val="0"/>
        </w:rPr>
        <w:t>%), a udział uzyskanych przez nie przychodów w przychodach wszystkich p</w:t>
      </w:r>
      <w:r w:rsidR="00C40424" w:rsidRPr="00C40424">
        <w:rPr>
          <w:b w:val="0"/>
        </w:rPr>
        <w:t>odmiotów tej sekcji wyniósł 7</w:t>
      </w:r>
      <w:r w:rsidR="00EE0341" w:rsidRPr="00C40424">
        <w:rPr>
          <w:b w:val="0"/>
        </w:rPr>
        <w:t>0,3</w:t>
      </w:r>
      <w:r w:rsidR="00A501AC" w:rsidRPr="00C40424">
        <w:rPr>
          <w:b w:val="0"/>
        </w:rPr>
        <w:t xml:space="preserve">% (wobec </w:t>
      </w:r>
      <w:r w:rsidR="00C40424" w:rsidRPr="00C40424">
        <w:rPr>
          <w:b w:val="0"/>
        </w:rPr>
        <w:t>odpowiednio 85,3</w:t>
      </w:r>
      <w:r w:rsidRPr="00C40424">
        <w:rPr>
          <w:b w:val="0"/>
        </w:rPr>
        <w:t>% przed rokiem).</w:t>
      </w:r>
    </w:p>
    <w:p w:rsidR="00924048" w:rsidRDefault="00A56338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4944110" cy="3011805"/>
            <wp:effectExtent l="0" t="0" r="8890" b="0"/>
            <wp:wrapTopAndBottom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08E">
        <w:rPr>
          <w:sz w:val="18"/>
          <w:szCs w:val="18"/>
        </w:rPr>
        <w:t xml:space="preserve">Wykres </w:t>
      </w:r>
      <w:r w:rsidR="0081208E" w:rsidRPr="00731F4B">
        <w:rPr>
          <w:sz w:val="18"/>
          <w:szCs w:val="18"/>
        </w:rPr>
        <w:t>1</w:t>
      </w:r>
      <w:r w:rsidR="0081208E"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086B78">
        <w:rPr>
          <w:sz w:val="18"/>
          <w:szCs w:val="18"/>
        </w:rPr>
        <w:t xml:space="preserve">w </w:t>
      </w:r>
      <w:r w:rsidR="001951F5">
        <w:rPr>
          <w:sz w:val="18"/>
          <w:szCs w:val="18"/>
        </w:rPr>
        <w:t xml:space="preserve">I </w:t>
      </w:r>
      <w:r w:rsidR="001951F5" w:rsidRPr="00DC15C8">
        <w:rPr>
          <w:sz w:val="18"/>
          <w:szCs w:val="18"/>
        </w:rPr>
        <w:t>kwartale w latach 2</w:t>
      </w:r>
      <w:r w:rsidR="00DC15C8" w:rsidRPr="00DC15C8">
        <w:rPr>
          <w:sz w:val="18"/>
          <w:szCs w:val="18"/>
        </w:rPr>
        <w:t>001</w:t>
      </w:r>
      <w:r w:rsidR="001951F5" w:rsidRPr="00DC15C8">
        <w:rPr>
          <w:sz w:val="18"/>
          <w:szCs w:val="18"/>
        </w:rPr>
        <w:t>-2020</w:t>
      </w: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251BD4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-I</w:t>
            </w:r>
            <w:r w:rsidR="00251B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B91AA5">
              <w:rPr>
                <w:rFonts w:eastAsia="Times New Roman" w:cs="Calibri"/>
                <w:sz w:val="16"/>
                <w:szCs w:val="16"/>
                <w:lang w:eastAsia="pl-PL"/>
              </w:rPr>
              <w:t>-I</w:t>
            </w:r>
            <w:r w:rsidR="00251BD4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C84929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Pr="00957F9B" w:rsidRDefault="00E24DD0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="00C84929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754 061,4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786 700,6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104,3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735 773,9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763 844,1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E24DD0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="00C84929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721 951,7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762 799,7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702 406,0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733 780,4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33 367,9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30 063,7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90,1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1 417,7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4 150,3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292,7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-2 676,0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-10 313,1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32 109,6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23 900,9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74,4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25 993,4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18 562,5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71,4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36 929,8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39 044,0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10 936,4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20 481,5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187,3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C8492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C84929" w:rsidRDefault="00C84929" w:rsidP="00C849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29" w:rsidRPr="00957F9B" w:rsidRDefault="00C84929" w:rsidP="00C8492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AB7D9A" w:rsidRDefault="00AB7D9A" w:rsidP="00251BD4">
      <w:pPr>
        <w:pStyle w:val="LID"/>
        <w:rPr>
          <w:b w:val="0"/>
        </w:rPr>
      </w:pPr>
    </w:p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544830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AF36AA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Największe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ogorszenie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wskaźnika rentowności obrotu netto 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zakwaterowaniu i gastronomii</w:t>
                            </w:r>
                            <w:r w:rsidR="00E53F59" w:rsidRPr="00E53F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9,7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</w:t>
                            </w:r>
                            <w:r w:rsidR="001646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margin-left:415.5pt;margin-top:42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" filled="f" stroked="f">
                <v:textbox>
                  <w:txbxContent>
                    <w:p w:rsidR="007413CF" w:rsidRPr="00BF2F65" w:rsidRDefault="00AF36AA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Największe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ogorszenie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wskaźnika rentowności obrotu netto 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zakwaterowaniu i gastronomii</w:t>
                      </w:r>
                      <w:r w:rsidR="00E53F59" w:rsidRPr="00E53F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9,7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</w:t>
                      </w:r>
                      <w:r w:rsidR="001646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710F70">
        <w:rPr>
          <w:b w:val="0"/>
        </w:rPr>
        <w:t>97,0</w:t>
      </w:r>
      <w:r w:rsidR="005A2748">
        <w:rPr>
          <w:b w:val="0"/>
        </w:rPr>
        <w:t xml:space="preserve">% (wobec </w:t>
      </w:r>
      <w:r w:rsidR="00710F70">
        <w:rPr>
          <w:b w:val="0"/>
        </w:rPr>
        <w:t>95,7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710F70">
        <w:rPr>
          <w:b w:val="0"/>
        </w:rPr>
        <w:t xml:space="preserve"> zmniejszył się z 4,5</w:t>
      </w:r>
      <w:r w:rsidR="00251BD4">
        <w:rPr>
          <w:b w:val="0"/>
        </w:rPr>
        <w:t>%</w:t>
      </w:r>
      <w:r w:rsidR="00710F70">
        <w:rPr>
          <w:b w:val="0"/>
        </w:rPr>
        <w:t xml:space="preserve"> do 3,9%,</w:t>
      </w:r>
      <w:r w:rsidR="00251BD4">
        <w:rPr>
          <w:b w:val="0"/>
        </w:rPr>
        <w:t xml:space="preserve"> wskaźnik rentowności obrotu brutto </w:t>
      </w:r>
      <w:r w:rsidR="00710F70">
        <w:rPr>
          <w:b w:val="0"/>
        </w:rPr>
        <w:t>z 4,3% do 3,0%,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710F70">
        <w:rPr>
          <w:b w:val="0"/>
        </w:rPr>
        <w:t>z 3,4</w:t>
      </w:r>
      <w:r w:rsidR="00583934" w:rsidRPr="007A2842">
        <w:rPr>
          <w:b w:val="0"/>
        </w:rPr>
        <w:t>%</w:t>
      </w:r>
      <w:r w:rsidR="00710F70">
        <w:rPr>
          <w:b w:val="0"/>
        </w:rPr>
        <w:t xml:space="preserve"> do 2,4%</w:t>
      </w:r>
      <w:r w:rsidR="00583934" w:rsidRPr="007A2842">
        <w:rPr>
          <w:b w:val="0"/>
        </w:rPr>
        <w:t>.</w:t>
      </w:r>
    </w:p>
    <w:p w:rsidR="000F051C" w:rsidRPr="00F93481" w:rsidRDefault="00115944" w:rsidP="00F93481">
      <w:pPr>
        <w:pStyle w:val="LID"/>
        <w:rPr>
          <w:b w:val="0"/>
          <w:highlight w:val="yellow"/>
        </w:rPr>
      </w:pPr>
      <w:r>
        <w:rPr>
          <w:b w:val="0"/>
        </w:rPr>
        <w:t>Pogorszenie</w:t>
      </w:r>
      <w:r w:rsidRPr="00F93481">
        <w:rPr>
          <w:b w:val="0"/>
        </w:rPr>
        <w:t xml:space="preserve"> wskaźnika rentowności obrotu netto odnotowano </w:t>
      </w:r>
      <w:r>
        <w:rPr>
          <w:b w:val="0"/>
        </w:rPr>
        <w:t xml:space="preserve">m.in. </w:t>
      </w:r>
      <w:r w:rsidRPr="00F93481">
        <w:rPr>
          <w:b w:val="0"/>
        </w:rPr>
        <w:t xml:space="preserve">w zakwaterowaniu i gastronomii (z 1,8% </w:t>
      </w:r>
      <w:r w:rsidR="00F43895">
        <w:rPr>
          <w:b w:val="0"/>
        </w:rPr>
        <w:t xml:space="preserve">przed rokiem </w:t>
      </w:r>
      <w:r w:rsidRPr="00F93481">
        <w:rPr>
          <w:b w:val="0"/>
        </w:rPr>
        <w:t>do minus 7,9%), pozostałej działalności usługowej (z 5,8% do minus 2,1%), górnictwie i wydobywaniu (z 5,7% do minus 2,0%), transporcie i gospodarce magazynowej (z 3,2% do minus 0,2%), przetwórstwie przemysłowym (z 4,8% do 2,2%), obsłudze rynku nieruchomości (z 6,6%</w:t>
      </w:r>
      <w:r>
        <w:rPr>
          <w:b w:val="0"/>
        </w:rPr>
        <w:t xml:space="preserve"> do 4,3%), </w:t>
      </w:r>
      <w:r w:rsidRPr="00F93481">
        <w:rPr>
          <w:b w:val="0"/>
        </w:rPr>
        <w:t>informacji i komunikacji (z 5,9% do 4,3%), administrowaniu i działalnośc</w:t>
      </w:r>
      <w:r>
        <w:rPr>
          <w:b w:val="0"/>
        </w:rPr>
        <w:t xml:space="preserve">i wspierającej (z 2,7% do 1,8%) oraz w budownictwie (z 2,7% do 1,9%). </w:t>
      </w:r>
      <w:r w:rsidR="00336911" w:rsidRPr="00F93481">
        <w:rPr>
          <w:b w:val="0"/>
        </w:rPr>
        <w:t xml:space="preserve">Poprawę wskaźnika rentowności obrotu netto odnotowano </w:t>
      </w:r>
      <w:r w:rsidR="000F051C" w:rsidRPr="00F93481">
        <w:rPr>
          <w:b w:val="0"/>
        </w:rPr>
        <w:t>w</w:t>
      </w:r>
      <w:r w:rsidR="0049265E" w:rsidRPr="00F93481">
        <w:rPr>
          <w:b w:val="0"/>
        </w:rPr>
        <w:t xml:space="preserve"> </w:t>
      </w:r>
      <w:r w:rsidR="00E53F59" w:rsidRPr="00F93481">
        <w:rPr>
          <w:b w:val="0"/>
        </w:rPr>
        <w:t>wytwarzaniu i zaopatrywaniu w energię elektryczną, gaz, parę wodną i gorącą wodę (z 3,4% do 6,7%), działalności profesjonalnej, naukowej i technicznej (z 3,8% do 5,4%) oraz w handlu; naprawie pojazdów samochodowych (z 1,4% do 1,7%).</w:t>
      </w:r>
      <w:r w:rsidR="00F93481" w:rsidRPr="00F93481">
        <w:rPr>
          <w:b w:val="0"/>
        </w:rPr>
        <w:t xml:space="preserve"> </w:t>
      </w:r>
    </w:p>
    <w:p w:rsidR="00C40EC5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2717B9">
        <w:rPr>
          <w:b w:val="0"/>
        </w:rPr>
        <w:t xml:space="preserve"> finansowej I stopnia wyniósł 3</w:t>
      </w:r>
      <w:r w:rsidR="00710F70">
        <w:rPr>
          <w:b w:val="0"/>
        </w:rPr>
        <w:t>8,9</w:t>
      </w:r>
      <w:r w:rsidR="002717B9">
        <w:rPr>
          <w:b w:val="0"/>
        </w:rPr>
        <w:t>% (wobec 3</w:t>
      </w:r>
      <w:r w:rsidR="00710F70">
        <w:rPr>
          <w:b w:val="0"/>
        </w:rPr>
        <w:t>4,7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710F70">
        <w:rPr>
          <w:b w:val="0"/>
        </w:rPr>
        <w:t>ności finansowej II stopnia 100,3% (wobec 98,5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>Wskaźnik płynności I</w:t>
      </w:r>
      <w:r w:rsidR="002717B9" w:rsidRPr="006A4389">
        <w:rPr>
          <w:b w:val="0"/>
        </w:rPr>
        <w:t xml:space="preserve"> s</w:t>
      </w:r>
      <w:r w:rsidR="00710F70">
        <w:rPr>
          <w:b w:val="0"/>
        </w:rPr>
        <w:t>topnia powyżej 20% uzyskało 53,9</w:t>
      </w:r>
      <w:r w:rsidR="00B56404">
        <w:rPr>
          <w:b w:val="0"/>
        </w:rPr>
        <w:t>% przedsięb</w:t>
      </w:r>
      <w:r w:rsidR="00026241">
        <w:rPr>
          <w:b w:val="0"/>
        </w:rPr>
        <w:t>io</w:t>
      </w:r>
      <w:r w:rsidR="00710F70">
        <w:rPr>
          <w:b w:val="0"/>
        </w:rPr>
        <w:t>rstw (wobec 49,7</w:t>
      </w:r>
      <w:r w:rsidRPr="006A4389">
        <w:rPr>
          <w:b w:val="0"/>
        </w:rPr>
        <w:t>% przed rokiem). Wskaźnik płynności II stopnia w przedziale</w:t>
      </w:r>
      <w:r w:rsidR="00710F70">
        <w:rPr>
          <w:b w:val="0"/>
        </w:rPr>
        <w:t xml:space="preserve"> od 100% do 130% odnotowało 12,0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710F70">
        <w:rPr>
          <w:b w:val="0"/>
        </w:rPr>
        <w:t>ec 11,9</w:t>
      </w:r>
      <w:r w:rsidRPr="006A4389">
        <w:rPr>
          <w:b w:val="0"/>
        </w:rPr>
        <w:t>% przed rokiem).</w:t>
      </w:r>
    </w:p>
    <w:p w:rsidR="00225FB2" w:rsidRPr="005E4242" w:rsidRDefault="00E83145" w:rsidP="00685123">
      <w:pPr>
        <w:pStyle w:val="LID"/>
        <w:contextualSpacing/>
        <w:rPr>
          <w:sz w:val="18"/>
          <w:szCs w:val="18"/>
        </w:rPr>
      </w:pPr>
      <w:r>
        <w:lastRenderedPageBreak/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5121275" cy="3456940"/>
            <wp:effectExtent l="0" t="0" r="317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6B1A">
        <w:rPr>
          <w:sz w:val="18"/>
          <w:szCs w:val="18"/>
        </w:rPr>
        <w:t>Wykres 2. Wskaźnik rentowności obrotu netto</w:t>
      </w:r>
    </w:p>
    <w:p w:rsidR="006B74AA" w:rsidRDefault="006B74AA" w:rsidP="00685123">
      <w:pPr>
        <w:pStyle w:val="LID"/>
        <w:contextualSpacing/>
      </w:pPr>
    </w:p>
    <w:p w:rsidR="00022BC4" w:rsidRPr="00BA5B22" w:rsidRDefault="00917AE0" w:rsidP="003F01DA">
      <w:pPr>
        <w:pStyle w:val="LID"/>
        <w:contextualSpacing/>
        <w:rPr>
          <w:b w:val="0"/>
        </w:rPr>
      </w:pPr>
      <w:r w:rsidRPr="00BA5B22">
        <w:rPr>
          <w:b w:val="0"/>
        </w:rPr>
        <w:t>W strukturze rodzajowej koszt</w:t>
      </w:r>
      <w:r w:rsidR="00800039" w:rsidRPr="00BA5B22">
        <w:rPr>
          <w:b w:val="0"/>
        </w:rPr>
        <w:t>ów ogółem zwiększył się udział</w:t>
      </w:r>
      <w:r w:rsidR="0094093B" w:rsidRPr="00BA5B22">
        <w:rPr>
          <w:b w:val="0"/>
        </w:rPr>
        <w:t xml:space="preserve"> </w:t>
      </w:r>
      <w:r w:rsidR="00022BC4" w:rsidRPr="00BA5B22">
        <w:rPr>
          <w:b w:val="0"/>
        </w:rPr>
        <w:t>usług obcych (o 0,8 p. proc.),</w:t>
      </w:r>
    </w:p>
    <w:p w:rsidR="000D10D7" w:rsidRPr="00BA5B22" w:rsidRDefault="002B14A0" w:rsidP="003F01DA">
      <w:pPr>
        <w:pStyle w:val="LID"/>
        <w:contextualSpacing/>
        <w:rPr>
          <w:b w:val="0"/>
        </w:rPr>
      </w:pPr>
      <w:r w:rsidRPr="00BA5B22">
        <w:rPr>
          <w:b w:val="0"/>
        </w:rPr>
        <w:t>wynagrodzeń</w:t>
      </w:r>
      <w:r w:rsidR="00022BC4" w:rsidRPr="00BA5B22">
        <w:rPr>
          <w:b w:val="0"/>
        </w:rPr>
        <w:t xml:space="preserve"> (o 0,7</w:t>
      </w:r>
      <w:r w:rsidR="001D1490" w:rsidRPr="00BA5B22">
        <w:rPr>
          <w:b w:val="0"/>
        </w:rPr>
        <w:t xml:space="preserve"> p. proc.)</w:t>
      </w:r>
      <w:r w:rsidRPr="00BA5B22">
        <w:rPr>
          <w:b w:val="0"/>
        </w:rPr>
        <w:t>,</w:t>
      </w:r>
      <w:r w:rsidR="00022BC4" w:rsidRPr="00BA5B22">
        <w:rPr>
          <w:b w:val="0"/>
        </w:rPr>
        <w:t xml:space="preserve"> </w:t>
      </w:r>
      <w:r w:rsidR="0094093B" w:rsidRPr="00BA5B22">
        <w:rPr>
          <w:b w:val="0"/>
        </w:rPr>
        <w:t>amortyzacji</w:t>
      </w:r>
      <w:r w:rsidR="00022BC4" w:rsidRPr="00BA5B22">
        <w:rPr>
          <w:b w:val="0"/>
        </w:rPr>
        <w:t xml:space="preserve"> (o 0,3 p. proc.), podatków i opłat, ubezpieczeń społecznych i innych świadczeń</w:t>
      </w:r>
      <w:r w:rsidR="00FB7CF0">
        <w:rPr>
          <w:b w:val="0"/>
        </w:rPr>
        <w:t xml:space="preserve"> </w:t>
      </w:r>
      <w:r w:rsidR="00022BC4" w:rsidRPr="00BA5B22">
        <w:rPr>
          <w:b w:val="0"/>
        </w:rPr>
        <w:t xml:space="preserve">oraz </w:t>
      </w:r>
      <w:r w:rsidRPr="00BA5B22">
        <w:rPr>
          <w:b w:val="0"/>
        </w:rPr>
        <w:t>pozostałych kosztów rodzajowych</w:t>
      </w:r>
      <w:r w:rsidR="0094093B" w:rsidRPr="00BA5B22">
        <w:rPr>
          <w:b w:val="0"/>
        </w:rPr>
        <w:t xml:space="preserve"> (</w:t>
      </w:r>
      <w:r w:rsidRPr="00BA5B22">
        <w:rPr>
          <w:b w:val="0"/>
        </w:rPr>
        <w:t>p</w:t>
      </w:r>
      <w:r w:rsidR="00022BC4" w:rsidRPr="00BA5B22">
        <w:rPr>
          <w:b w:val="0"/>
        </w:rPr>
        <w:t>o 0,2</w:t>
      </w:r>
      <w:r w:rsidR="00E235DD" w:rsidRPr="00BA5B22">
        <w:rPr>
          <w:b w:val="0"/>
        </w:rPr>
        <w:t xml:space="preserve"> p.</w:t>
      </w:r>
      <w:r w:rsidR="006616A2" w:rsidRPr="00BA5B22">
        <w:rPr>
          <w:b w:val="0"/>
        </w:rPr>
        <w:t xml:space="preserve"> </w:t>
      </w:r>
      <w:r w:rsidR="00E235DD" w:rsidRPr="00BA5B22">
        <w:rPr>
          <w:b w:val="0"/>
        </w:rPr>
        <w:t>pr</w:t>
      </w:r>
      <w:r w:rsidR="00543557" w:rsidRPr="00BA5B22">
        <w:rPr>
          <w:b w:val="0"/>
        </w:rPr>
        <w:t>o</w:t>
      </w:r>
      <w:r w:rsidR="00022BC4" w:rsidRPr="00BA5B22">
        <w:rPr>
          <w:b w:val="0"/>
        </w:rPr>
        <w:t xml:space="preserve">c.) oraz zużycia energii </w:t>
      </w:r>
      <w:r w:rsidR="001D1490" w:rsidRPr="00BA5B22">
        <w:rPr>
          <w:b w:val="0"/>
        </w:rPr>
        <w:t>(o 0,1 p. proc.).</w:t>
      </w:r>
      <w:r w:rsidR="00933A7A" w:rsidRPr="00BA5B22">
        <w:rPr>
          <w:b w:val="0"/>
        </w:rPr>
        <w:t xml:space="preserve"> </w:t>
      </w:r>
      <w:r w:rsidR="00E235DD" w:rsidRPr="00BA5B22">
        <w:rPr>
          <w:b w:val="0"/>
        </w:rPr>
        <w:t xml:space="preserve">Zmniejszył się udział </w:t>
      </w:r>
      <w:r w:rsidR="00022BC4" w:rsidRPr="00BA5B22">
        <w:rPr>
          <w:b w:val="0"/>
        </w:rPr>
        <w:t>zużycia materiałów (o 2,5 p. proc.).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B31EB3">
        <w:rPr>
          <w:sz w:val="18"/>
          <w:szCs w:val="18"/>
        </w:rPr>
        <w:t>I kwartale 2020</w:t>
      </w:r>
      <w:r>
        <w:rPr>
          <w:sz w:val="18"/>
          <w:szCs w:val="18"/>
        </w:rPr>
        <w:t xml:space="preserve"> roku</w:t>
      </w:r>
    </w:p>
    <w:p w:rsidR="00666D8D" w:rsidRDefault="00022BC4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145405" cy="3389630"/>
            <wp:effectExtent l="0" t="0" r="0" b="127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75356" w:rsidRDefault="00675356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EC42DC" w:rsidRPr="00EC42DC" w:rsidRDefault="00A23A1A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9863F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4,3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9863F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kwartału 2019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9863F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4,3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9863F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kwartału 2019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42DC" w:rsidRPr="00E2185D">
        <w:rPr>
          <w:b w:val="0"/>
        </w:rPr>
        <w:t>Z grupy przeds</w:t>
      </w:r>
      <w:r w:rsidR="00B31EB3">
        <w:rPr>
          <w:b w:val="0"/>
        </w:rPr>
        <w:t>iębiorstw objętych badaniem 51,0</w:t>
      </w:r>
      <w:r w:rsidR="00EC42DC" w:rsidRPr="00E2185D">
        <w:rPr>
          <w:b w:val="0"/>
        </w:rPr>
        <w:t xml:space="preserve">% wykazało w </w:t>
      </w:r>
      <w:r w:rsidR="00B31EB3">
        <w:rPr>
          <w:b w:val="0"/>
        </w:rPr>
        <w:t>I kwartale 2020</w:t>
      </w:r>
      <w:r w:rsidR="006F58B6">
        <w:rPr>
          <w:b w:val="0"/>
        </w:rPr>
        <w:t xml:space="preserve"> roku </w:t>
      </w:r>
      <w:r w:rsidR="0060360B" w:rsidRPr="00E2185D">
        <w:rPr>
          <w:b w:val="0"/>
        </w:rPr>
        <w:t>przychody netto ze sprzedaży produktów, towarów i materiałów na eksport</w:t>
      </w:r>
      <w:r w:rsidR="000C68DA" w:rsidRPr="00E2185D">
        <w:rPr>
          <w:b w:val="0"/>
        </w:rPr>
        <w:t xml:space="preserve"> (</w:t>
      </w:r>
      <w:r w:rsidR="007D43A9" w:rsidRPr="00E2185D">
        <w:rPr>
          <w:b w:val="0"/>
        </w:rPr>
        <w:t xml:space="preserve">wobec </w:t>
      </w:r>
      <w:r w:rsidR="00B31EB3">
        <w:rPr>
          <w:b w:val="0"/>
        </w:rPr>
        <w:t>51,5</w:t>
      </w:r>
      <w:r w:rsidR="00EC42DC" w:rsidRPr="00E2185D">
        <w:rPr>
          <w:b w:val="0"/>
        </w:rPr>
        <w:t>% rok wcześniej). 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6D79D1">
        <w:rPr>
          <w:b w:val="0"/>
        </w:rPr>
        <w:t xml:space="preserve"> był o 1,0</w:t>
      </w:r>
      <w:r w:rsidR="00EC42DC" w:rsidRPr="00E2185D">
        <w:rPr>
          <w:b w:val="0"/>
        </w:rPr>
        <w:t xml:space="preserve">% </w:t>
      </w:r>
      <w:r w:rsidR="006D79D1">
        <w:rPr>
          <w:b w:val="0"/>
        </w:rPr>
        <w:t>ni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podmiotów zmniejszył się z 26,2% do 25,0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1B5354" w:rsidRPr="001B5354">
        <w:rPr>
          <w:b w:val="0"/>
        </w:rPr>
        <w:t>72,7% przedsiębiorstw wobec 75,1</w:t>
      </w:r>
      <w:r w:rsidR="00EC42DC" w:rsidRPr="001B5354">
        <w:rPr>
          <w:b w:val="0"/>
        </w:rPr>
        <w:t>% przed rokiem. 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282C1D">
        <w:rPr>
          <w:b w:val="0"/>
        </w:rPr>
        <w:t xml:space="preserve"> uległy pogorszeniu, ale</w:t>
      </w:r>
      <w:r w:rsidR="00636C9A" w:rsidRPr="001B5354">
        <w:rPr>
          <w:b w:val="0"/>
        </w:rPr>
        <w:t xml:space="preserve"> były nieznacznie </w:t>
      </w:r>
      <w:r w:rsidR="00EC42DC" w:rsidRPr="001B5354">
        <w:rPr>
          <w:b w:val="0"/>
        </w:rPr>
        <w:t>lepsze niż dla ogółu badanych przedsiębiorstw.</w:t>
      </w:r>
    </w:p>
    <w:p w:rsidR="00211438" w:rsidRPr="00211438" w:rsidRDefault="009863F2" w:rsidP="00211438">
      <w:pPr>
        <w:pStyle w:val="LID"/>
        <w:rPr>
          <w:b w:val="0"/>
        </w:rPr>
      </w:pPr>
      <w:r w:rsidRPr="009863F2">
        <w:rPr>
          <w:b w:val="0"/>
        </w:rPr>
        <w:t>W I kwartale br. nakłady inwestycyjne badanych przedsiębiorstw wyniosły 29,6 mld zł i były (w cenach stałych) o 4,3% wyższe niż przed rokiem (w I kwartale 20</w:t>
      </w:r>
      <w:r w:rsidR="00B67226">
        <w:rPr>
          <w:b w:val="0"/>
        </w:rPr>
        <w:t>19 roku odnotowano wzrost o 22,8</w:t>
      </w:r>
      <w:r w:rsidRPr="009863F2">
        <w:rPr>
          <w:b w:val="0"/>
        </w:rPr>
        <w:t xml:space="preserve">%). </w:t>
      </w:r>
      <w:r w:rsidR="003C5FDB">
        <w:rPr>
          <w:b w:val="0"/>
        </w:rPr>
        <w:t xml:space="preserve">Zwiększyły się </w:t>
      </w:r>
      <w:r w:rsidRPr="009863F2">
        <w:rPr>
          <w:b w:val="0"/>
        </w:rPr>
        <w:t>nakłady na budynki i budowle (wzrost o 12,8%)</w:t>
      </w:r>
      <w:r w:rsidR="003C5FDB">
        <w:rPr>
          <w:b w:val="0"/>
        </w:rPr>
        <w:t>, natomiast nakłady</w:t>
      </w:r>
      <w:r w:rsidRPr="009863F2">
        <w:rPr>
          <w:b w:val="0"/>
        </w:rPr>
        <w:t xml:space="preserve"> na maszyny, urz</w:t>
      </w:r>
      <w:r w:rsidR="00C77FF0">
        <w:rPr>
          <w:b w:val="0"/>
        </w:rPr>
        <w:t xml:space="preserve">ądzenia techniczne i narzędzia oraz </w:t>
      </w:r>
      <w:r w:rsidRPr="009863F2">
        <w:rPr>
          <w:b w:val="0"/>
        </w:rPr>
        <w:t>na środki transpo</w:t>
      </w:r>
      <w:r w:rsidR="00B67226">
        <w:rPr>
          <w:b w:val="0"/>
        </w:rPr>
        <w:t xml:space="preserve">rtu </w:t>
      </w:r>
      <w:r w:rsidR="00C77FF0">
        <w:rPr>
          <w:b w:val="0"/>
        </w:rPr>
        <w:t xml:space="preserve">nieco spadły (o 0,3% wobec wzrostu </w:t>
      </w:r>
      <w:r w:rsidRPr="009863F2">
        <w:rPr>
          <w:b w:val="0"/>
        </w:rPr>
        <w:t>przed rokiem</w:t>
      </w:r>
      <w:r w:rsidR="00C77FF0">
        <w:rPr>
          <w:b w:val="0"/>
        </w:rPr>
        <w:t xml:space="preserve"> o 18,3%</w:t>
      </w:r>
      <w:r w:rsidRPr="009863F2">
        <w:rPr>
          <w:b w:val="0"/>
        </w:rPr>
        <w:t>)</w:t>
      </w:r>
      <w:r w:rsidR="00211438" w:rsidRPr="00211438">
        <w:rPr>
          <w:b w:val="0"/>
        </w:rPr>
        <w:t xml:space="preserve">. </w:t>
      </w:r>
    </w:p>
    <w:p w:rsidR="00082A93" w:rsidRDefault="00F86131" w:rsidP="00211438">
      <w:pPr>
        <w:pStyle w:val="LID"/>
        <w:rPr>
          <w:b w:val="0"/>
        </w:rPr>
      </w:pPr>
      <w:r w:rsidRPr="00F86131">
        <w:rPr>
          <w:b w:val="0"/>
        </w:rPr>
        <w:t>Największy wzrost nakładów inwestycyjnych (w cenach bieżących) wystąpił m.in. w dostawie wody; gospodarowaniu ściekami i odpadami; rekultywacji (o 22,8% wobec wzrostu przed rokiem o 14,3%), przetwórstwie przemysłow</w:t>
      </w:r>
      <w:r w:rsidR="00B67226">
        <w:rPr>
          <w:b w:val="0"/>
        </w:rPr>
        <w:t>ym (o 14,1% wobec wzrostu o 18,5</w:t>
      </w:r>
      <w:r w:rsidRPr="00F86131">
        <w:rPr>
          <w:b w:val="0"/>
        </w:rPr>
        <w:t>%), handlu; naprawie poja</w:t>
      </w:r>
      <w:r w:rsidR="00091911">
        <w:rPr>
          <w:b w:val="0"/>
        </w:rPr>
        <w:t xml:space="preserve">zdów samochodowych (o 10,2% </w:t>
      </w:r>
      <w:r w:rsidR="00091911" w:rsidRPr="00091911">
        <w:rPr>
          <w:b w:val="0"/>
        </w:rPr>
        <w:t>podczas gdy w I kwartale ub. roku nakłady były podobne do notowanych rok wcześniej</w:t>
      </w:r>
      <w:r w:rsidRPr="00F86131">
        <w:rPr>
          <w:b w:val="0"/>
        </w:rPr>
        <w:t>)</w:t>
      </w:r>
      <w:r w:rsidR="003C5FDB">
        <w:rPr>
          <w:b w:val="0"/>
        </w:rPr>
        <w:t>. Zmniejszyły się</w:t>
      </w:r>
      <w:r w:rsidR="00CC105D">
        <w:rPr>
          <w:b w:val="0"/>
        </w:rPr>
        <w:t xml:space="preserve"> </w:t>
      </w:r>
      <w:r w:rsidRPr="00F86131">
        <w:rPr>
          <w:b w:val="0"/>
        </w:rPr>
        <w:t xml:space="preserve">nakłady inwestycyjne </w:t>
      </w:r>
      <w:r w:rsidR="00780C29">
        <w:rPr>
          <w:b w:val="0"/>
        </w:rPr>
        <w:t xml:space="preserve">m.in. </w:t>
      </w:r>
      <w:r w:rsidRPr="00F86131">
        <w:rPr>
          <w:b w:val="0"/>
        </w:rPr>
        <w:t>w wytwarzaniu i zaopatrywaniu w energię elektryczną, gaz, parę wodną i gorącą wodę (o 4,9% wobec wzrostu przed rokiem o 45,8%), transporcie i gospodarce magazynowej (o 0,5% wobec wzrostu przed rokiem o 30,0%).</w:t>
      </w:r>
    </w:p>
    <w:p w:rsidR="0048623F" w:rsidRPr="001F3A2A" w:rsidRDefault="0048623F" w:rsidP="00082A93">
      <w:pPr>
        <w:pStyle w:val="LID"/>
        <w:contextualSpacing/>
        <w:rPr>
          <w:b w:val="0"/>
        </w:rPr>
      </w:pPr>
    </w:p>
    <w:p w:rsidR="002B3CF8" w:rsidRDefault="00E16DA7" w:rsidP="00E41C21">
      <w:pPr>
        <w:pStyle w:val="LID"/>
        <w:ind w:left="851" w:hanging="851"/>
        <w:contextualSpacing/>
        <w:rPr>
          <w:sz w:val="18"/>
          <w:szCs w:val="18"/>
        </w:rPr>
      </w:pPr>
      <w:r>
        <w:drawing>
          <wp:anchor distT="0" distB="0" distL="114300" distR="114300" simplePos="0" relativeHeight="2516884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5133340" cy="320675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CF8"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 w:rsidR="002B3CF8"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8539D6" w:rsidRDefault="008539D6" w:rsidP="00685123">
      <w:pPr>
        <w:pStyle w:val="LID"/>
        <w:contextualSpacing/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1A5C06" w:rsidRDefault="001A5C06" w:rsidP="00685123">
      <w:pPr>
        <w:pStyle w:val="LID"/>
        <w:contextualSpacing/>
        <w:rPr>
          <w:b w:val="0"/>
        </w:rPr>
      </w:pPr>
    </w:p>
    <w:p w:rsidR="00685123" w:rsidRPr="00883763" w:rsidRDefault="00F66770" w:rsidP="001A5C06">
      <w:pPr>
        <w:pStyle w:val="LID"/>
        <w:contextualSpacing/>
        <w:rPr>
          <w:b w:val="0"/>
        </w:rPr>
        <w:sectPr w:rsidR="0068512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754430" w:rsidRPr="00754430">
        <w:rPr>
          <w:b w:val="0"/>
        </w:rPr>
        <w:t xml:space="preserve"> 16 338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>przedsiębiorstw niefinansowych 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883763" w:rsidRPr="00E24DD0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661B52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A27E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="00883763" w:rsidRPr="000A27E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="00B9042B" w:rsidRPr="009553C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Sekretariat-PZ@stat.gov.pl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1172A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EB173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3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6B1C0F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6B1C0F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6B1C0F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6B1C0F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5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oszty uzyskania przychodów z całokształtu 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C10E77" w:rsidRDefault="006B1C0F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6B1C0F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6B1C0F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6B1C0F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6B1C0F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6B1C0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6B1C0F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3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6B1C0F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6B1C0F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6B1C0F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6B1C0F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2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oszty uzyskania przychodów z całokształtu 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C10E77" w:rsidRDefault="006B1C0F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6B1C0F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6B1C0F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6B1C0F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6B1C0F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6B1C0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6B1C0F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0F" w:rsidRDefault="006B1C0F" w:rsidP="000662E2">
      <w:pPr>
        <w:spacing w:after="0" w:line="240" w:lineRule="auto"/>
      </w:pPr>
      <w:r>
        <w:separator/>
      </w:r>
    </w:p>
  </w:endnote>
  <w:endnote w:type="continuationSeparator" w:id="0">
    <w:p w:rsidR="006B1C0F" w:rsidRDefault="006B1C0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5A13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E24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5A13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0F" w:rsidRDefault="006B1C0F" w:rsidP="000662E2">
      <w:pPr>
        <w:spacing w:after="0" w:line="240" w:lineRule="auto"/>
      </w:pPr>
      <w:r>
        <w:separator/>
      </w:r>
    </w:p>
  </w:footnote>
  <w:footnote w:type="continuationSeparator" w:id="0">
    <w:p w:rsidR="006B1C0F" w:rsidRDefault="006B1C0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1172A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25.05</w:t>
                          </w:r>
                          <w:r w:rsidR="001A7517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1172A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25.05</w:t>
                    </w:r>
                    <w:r w:rsidR="001A7517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4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8B8"/>
    <w:rsid w:val="00013ABE"/>
    <w:rsid w:val="000141D0"/>
    <w:rsid w:val="0001460C"/>
    <w:rsid w:val="000146F1"/>
    <w:rsid w:val="000152F5"/>
    <w:rsid w:val="00022BC4"/>
    <w:rsid w:val="00023A86"/>
    <w:rsid w:val="00023B80"/>
    <w:rsid w:val="00026241"/>
    <w:rsid w:val="000278B4"/>
    <w:rsid w:val="000310E4"/>
    <w:rsid w:val="0003316A"/>
    <w:rsid w:val="00033C4B"/>
    <w:rsid w:val="000408B0"/>
    <w:rsid w:val="00044738"/>
    <w:rsid w:val="0004582E"/>
    <w:rsid w:val="000470AA"/>
    <w:rsid w:val="00057CA1"/>
    <w:rsid w:val="00065AE3"/>
    <w:rsid w:val="000662E2"/>
    <w:rsid w:val="00066883"/>
    <w:rsid w:val="0007092A"/>
    <w:rsid w:val="00070AFB"/>
    <w:rsid w:val="00072CAA"/>
    <w:rsid w:val="0007322E"/>
    <w:rsid w:val="000741C2"/>
    <w:rsid w:val="00074DD8"/>
    <w:rsid w:val="000765A6"/>
    <w:rsid w:val="000802BD"/>
    <w:rsid w:val="000806F7"/>
    <w:rsid w:val="000821D5"/>
    <w:rsid w:val="00082A93"/>
    <w:rsid w:val="000839E8"/>
    <w:rsid w:val="000846AD"/>
    <w:rsid w:val="00086B78"/>
    <w:rsid w:val="00091911"/>
    <w:rsid w:val="00091D4E"/>
    <w:rsid w:val="000930E0"/>
    <w:rsid w:val="00097840"/>
    <w:rsid w:val="000A0312"/>
    <w:rsid w:val="000A1700"/>
    <w:rsid w:val="000A27E6"/>
    <w:rsid w:val="000A3366"/>
    <w:rsid w:val="000A5CB8"/>
    <w:rsid w:val="000B0727"/>
    <w:rsid w:val="000B79D7"/>
    <w:rsid w:val="000C135D"/>
    <w:rsid w:val="000C2198"/>
    <w:rsid w:val="000C3E8A"/>
    <w:rsid w:val="000C68DA"/>
    <w:rsid w:val="000D02F0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49A6"/>
    <w:rsid w:val="000F051C"/>
    <w:rsid w:val="000F3664"/>
    <w:rsid w:val="000F3A38"/>
    <w:rsid w:val="00100942"/>
    <w:rsid w:val="00100F09"/>
    <w:rsid w:val="001011C3"/>
    <w:rsid w:val="0010258D"/>
    <w:rsid w:val="00102C1E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208B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741F"/>
    <w:rsid w:val="00187619"/>
    <w:rsid w:val="00191AD0"/>
    <w:rsid w:val="001951DA"/>
    <w:rsid w:val="001951F5"/>
    <w:rsid w:val="001A2492"/>
    <w:rsid w:val="001A5C06"/>
    <w:rsid w:val="001A7517"/>
    <w:rsid w:val="001B3B8F"/>
    <w:rsid w:val="001B3D79"/>
    <w:rsid w:val="001B5023"/>
    <w:rsid w:val="001B5354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55E4"/>
    <w:rsid w:val="001F05EB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304AB"/>
    <w:rsid w:val="0023454E"/>
    <w:rsid w:val="00237700"/>
    <w:rsid w:val="0024084C"/>
    <w:rsid w:val="00241627"/>
    <w:rsid w:val="00242ECF"/>
    <w:rsid w:val="00251BD4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293B"/>
    <w:rsid w:val="00274EE4"/>
    <w:rsid w:val="00276811"/>
    <w:rsid w:val="00282699"/>
    <w:rsid w:val="00282A6B"/>
    <w:rsid w:val="00282ADF"/>
    <w:rsid w:val="00282C1D"/>
    <w:rsid w:val="002843B6"/>
    <w:rsid w:val="002926DF"/>
    <w:rsid w:val="00294738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7C3"/>
    <w:rsid w:val="00304F22"/>
    <w:rsid w:val="00306C7C"/>
    <w:rsid w:val="003108AA"/>
    <w:rsid w:val="00310D38"/>
    <w:rsid w:val="0031200B"/>
    <w:rsid w:val="00320012"/>
    <w:rsid w:val="00322EDD"/>
    <w:rsid w:val="00332320"/>
    <w:rsid w:val="003356A8"/>
    <w:rsid w:val="00336911"/>
    <w:rsid w:val="00340588"/>
    <w:rsid w:val="003414CD"/>
    <w:rsid w:val="00341D19"/>
    <w:rsid w:val="00347D72"/>
    <w:rsid w:val="003507F4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2473"/>
    <w:rsid w:val="00393761"/>
    <w:rsid w:val="00397D18"/>
    <w:rsid w:val="003A1B36"/>
    <w:rsid w:val="003A2D70"/>
    <w:rsid w:val="003A382F"/>
    <w:rsid w:val="003A3BF1"/>
    <w:rsid w:val="003A414D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628"/>
    <w:rsid w:val="004019A9"/>
    <w:rsid w:val="00402700"/>
    <w:rsid w:val="00403FDE"/>
    <w:rsid w:val="0040691A"/>
    <w:rsid w:val="00407DAB"/>
    <w:rsid w:val="00413DC6"/>
    <w:rsid w:val="00416748"/>
    <w:rsid w:val="0041742F"/>
    <w:rsid w:val="004212E7"/>
    <w:rsid w:val="00421E79"/>
    <w:rsid w:val="004222F7"/>
    <w:rsid w:val="0042446D"/>
    <w:rsid w:val="00426175"/>
    <w:rsid w:val="00426BDF"/>
    <w:rsid w:val="004272C3"/>
    <w:rsid w:val="00427BF8"/>
    <w:rsid w:val="00430CB4"/>
    <w:rsid w:val="00431C02"/>
    <w:rsid w:val="004364FB"/>
    <w:rsid w:val="00437395"/>
    <w:rsid w:val="004373CE"/>
    <w:rsid w:val="00440697"/>
    <w:rsid w:val="00442EE7"/>
    <w:rsid w:val="00444E5A"/>
    <w:rsid w:val="00445047"/>
    <w:rsid w:val="004451D6"/>
    <w:rsid w:val="004550AD"/>
    <w:rsid w:val="004627FD"/>
    <w:rsid w:val="00463E39"/>
    <w:rsid w:val="004657FC"/>
    <w:rsid w:val="004659BE"/>
    <w:rsid w:val="00467126"/>
    <w:rsid w:val="00472C7A"/>
    <w:rsid w:val="004733F6"/>
    <w:rsid w:val="004746EF"/>
    <w:rsid w:val="00474E69"/>
    <w:rsid w:val="004754E6"/>
    <w:rsid w:val="00477B36"/>
    <w:rsid w:val="00482BEF"/>
    <w:rsid w:val="0048623F"/>
    <w:rsid w:val="00486A49"/>
    <w:rsid w:val="0049265E"/>
    <w:rsid w:val="004931A7"/>
    <w:rsid w:val="004946CD"/>
    <w:rsid w:val="0049621B"/>
    <w:rsid w:val="004A134B"/>
    <w:rsid w:val="004A237F"/>
    <w:rsid w:val="004A61B8"/>
    <w:rsid w:val="004A61E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2801"/>
    <w:rsid w:val="004D59EF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42A7"/>
    <w:rsid w:val="005054EB"/>
    <w:rsid w:val="00505A92"/>
    <w:rsid w:val="005065F3"/>
    <w:rsid w:val="00506741"/>
    <w:rsid w:val="00512E3D"/>
    <w:rsid w:val="005160B1"/>
    <w:rsid w:val="0051623E"/>
    <w:rsid w:val="005203F1"/>
    <w:rsid w:val="00521BC3"/>
    <w:rsid w:val="00523DB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3587"/>
    <w:rsid w:val="00545571"/>
    <w:rsid w:val="00545CA4"/>
    <w:rsid w:val="0054726F"/>
    <w:rsid w:val="00550441"/>
    <w:rsid w:val="005520D8"/>
    <w:rsid w:val="00555B80"/>
    <w:rsid w:val="00556CF1"/>
    <w:rsid w:val="00557272"/>
    <w:rsid w:val="005605AA"/>
    <w:rsid w:val="00564AA3"/>
    <w:rsid w:val="00564CC9"/>
    <w:rsid w:val="005658E5"/>
    <w:rsid w:val="00566A2C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BFF"/>
    <w:rsid w:val="005916D7"/>
    <w:rsid w:val="005922DC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66B3"/>
    <w:rsid w:val="005B70BD"/>
    <w:rsid w:val="005C0BEF"/>
    <w:rsid w:val="005C6676"/>
    <w:rsid w:val="005C66B1"/>
    <w:rsid w:val="005D2E20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6D15"/>
    <w:rsid w:val="00617481"/>
    <w:rsid w:val="0062217D"/>
    <w:rsid w:val="00624EE8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E8B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812AF"/>
    <w:rsid w:val="00681A15"/>
    <w:rsid w:val="0068327D"/>
    <w:rsid w:val="00685123"/>
    <w:rsid w:val="00685A14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54A9"/>
    <w:rsid w:val="006A5567"/>
    <w:rsid w:val="006A66C6"/>
    <w:rsid w:val="006B0E9E"/>
    <w:rsid w:val="006B1315"/>
    <w:rsid w:val="006B1C0F"/>
    <w:rsid w:val="006B21C4"/>
    <w:rsid w:val="006B5AE4"/>
    <w:rsid w:val="006B74AA"/>
    <w:rsid w:val="006B74C7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79D1"/>
    <w:rsid w:val="006E02EC"/>
    <w:rsid w:val="006E35C2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10F70"/>
    <w:rsid w:val="007119F4"/>
    <w:rsid w:val="00714211"/>
    <w:rsid w:val="007201FC"/>
    <w:rsid w:val="007211B1"/>
    <w:rsid w:val="007217D5"/>
    <w:rsid w:val="00721CB0"/>
    <w:rsid w:val="00731F4B"/>
    <w:rsid w:val="00737EC9"/>
    <w:rsid w:val="007413CF"/>
    <w:rsid w:val="007431B0"/>
    <w:rsid w:val="00746187"/>
    <w:rsid w:val="00747D1A"/>
    <w:rsid w:val="00750EAA"/>
    <w:rsid w:val="00751428"/>
    <w:rsid w:val="00751D96"/>
    <w:rsid w:val="00752C52"/>
    <w:rsid w:val="00754430"/>
    <w:rsid w:val="00756001"/>
    <w:rsid w:val="00757BE2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434F"/>
    <w:rsid w:val="007C49A5"/>
    <w:rsid w:val="007C6E7B"/>
    <w:rsid w:val="007D0B39"/>
    <w:rsid w:val="007D1E30"/>
    <w:rsid w:val="007D3319"/>
    <w:rsid w:val="007D335D"/>
    <w:rsid w:val="007D43A9"/>
    <w:rsid w:val="007E3314"/>
    <w:rsid w:val="007E45C0"/>
    <w:rsid w:val="007E4B03"/>
    <w:rsid w:val="007F1A30"/>
    <w:rsid w:val="007F324B"/>
    <w:rsid w:val="007F564A"/>
    <w:rsid w:val="007F6D04"/>
    <w:rsid w:val="00800039"/>
    <w:rsid w:val="00801DD9"/>
    <w:rsid w:val="0080553C"/>
    <w:rsid w:val="00805B46"/>
    <w:rsid w:val="00807B63"/>
    <w:rsid w:val="0081208E"/>
    <w:rsid w:val="0081504C"/>
    <w:rsid w:val="0082072B"/>
    <w:rsid w:val="0082363E"/>
    <w:rsid w:val="00824F31"/>
    <w:rsid w:val="00825DC2"/>
    <w:rsid w:val="008264BB"/>
    <w:rsid w:val="00831A77"/>
    <w:rsid w:val="00834A2C"/>
    <w:rsid w:val="00834AD3"/>
    <w:rsid w:val="008363EC"/>
    <w:rsid w:val="00843795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70608"/>
    <w:rsid w:val="008710D3"/>
    <w:rsid w:val="008710E7"/>
    <w:rsid w:val="00873F5B"/>
    <w:rsid w:val="00876070"/>
    <w:rsid w:val="0088258A"/>
    <w:rsid w:val="00883763"/>
    <w:rsid w:val="00886332"/>
    <w:rsid w:val="008A0BCE"/>
    <w:rsid w:val="008A26D9"/>
    <w:rsid w:val="008A3CB6"/>
    <w:rsid w:val="008A5F9F"/>
    <w:rsid w:val="008A66C1"/>
    <w:rsid w:val="008B3BD2"/>
    <w:rsid w:val="008C0C29"/>
    <w:rsid w:val="008C2412"/>
    <w:rsid w:val="008C2C4B"/>
    <w:rsid w:val="008C4D65"/>
    <w:rsid w:val="008C6CBF"/>
    <w:rsid w:val="008D1423"/>
    <w:rsid w:val="008E4C1D"/>
    <w:rsid w:val="008E4C2D"/>
    <w:rsid w:val="008E6D15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9D3"/>
    <w:rsid w:val="009065C7"/>
    <w:rsid w:val="00907735"/>
    <w:rsid w:val="00907D8D"/>
    <w:rsid w:val="009127BA"/>
    <w:rsid w:val="00914480"/>
    <w:rsid w:val="0091452B"/>
    <w:rsid w:val="00917AE0"/>
    <w:rsid w:val="0092143B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7927"/>
    <w:rsid w:val="00977C19"/>
    <w:rsid w:val="0098135C"/>
    <w:rsid w:val="0098156A"/>
    <w:rsid w:val="00983EF9"/>
    <w:rsid w:val="009851A2"/>
    <w:rsid w:val="009863F2"/>
    <w:rsid w:val="00986DEC"/>
    <w:rsid w:val="00990105"/>
    <w:rsid w:val="00991BAC"/>
    <w:rsid w:val="00993562"/>
    <w:rsid w:val="009957D9"/>
    <w:rsid w:val="00996B56"/>
    <w:rsid w:val="009978ED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34F6"/>
    <w:rsid w:val="009D41C7"/>
    <w:rsid w:val="009E1339"/>
    <w:rsid w:val="009E1A54"/>
    <w:rsid w:val="009E1BE7"/>
    <w:rsid w:val="009E1FD1"/>
    <w:rsid w:val="009E2E91"/>
    <w:rsid w:val="009E5FA3"/>
    <w:rsid w:val="00A008B4"/>
    <w:rsid w:val="00A01A76"/>
    <w:rsid w:val="00A030B3"/>
    <w:rsid w:val="00A04A47"/>
    <w:rsid w:val="00A06A7A"/>
    <w:rsid w:val="00A103D4"/>
    <w:rsid w:val="00A133CC"/>
    <w:rsid w:val="00A139F5"/>
    <w:rsid w:val="00A162B5"/>
    <w:rsid w:val="00A16FCB"/>
    <w:rsid w:val="00A17DFA"/>
    <w:rsid w:val="00A2111D"/>
    <w:rsid w:val="00A220D1"/>
    <w:rsid w:val="00A22CCE"/>
    <w:rsid w:val="00A23A1A"/>
    <w:rsid w:val="00A26CDF"/>
    <w:rsid w:val="00A26D9C"/>
    <w:rsid w:val="00A312F3"/>
    <w:rsid w:val="00A317F7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7C9E"/>
    <w:rsid w:val="00A47D80"/>
    <w:rsid w:val="00A501AC"/>
    <w:rsid w:val="00A53132"/>
    <w:rsid w:val="00A53494"/>
    <w:rsid w:val="00A54548"/>
    <w:rsid w:val="00A56338"/>
    <w:rsid w:val="00A563F2"/>
    <w:rsid w:val="00A566E8"/>
    <w:rsid w:val="00A5777E"/>
    <w:rsid w:val="00A7059D"/>
    <w:rsid w:val="00A717E0"/>
    <w:rsid w:val="00A71DC0"/>
    <w:rsid w:val="00A73D90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E3F"/>
    <w:rsid w:val="00A963DF"/>
    <w:rsid w:val="00A97F97"/>
    <w:rsid w:val="00AA5DD8"/>
    <w:rsid w:val="00AA710D"/>
    <w:rsid w:val="00AB588D"/>
    <w:rsid w:val="00AB6D25"/>
    <w:rsid w:val="00AB7179"/>
    <w:rsid w:val="00AB7D9A"/>
    <w:rsid w:val="00AC0D36"/>
    <w:rsid w:val="00AC5769"/>
    <w:rsid w:val="00AD0501"/>
    <w:rsid w:val="00AD1528"/>
    <w:rsid w:val="00AD2E7D"/>
    <w:rsid w:val="00AD2F46"/>
    <w:rsid w:val="00AD676B"/>
    <w:rsid w:val="00AE2D4B"/>
    <w:rsid w:val="00AE4F99"/>
    <w:rsid w:val="00AF2D28"/>
    <w:rsid w:val="00AF3175"/>
    <w:rsid w:val="00AF36AA"/>
    <w:rsid w:val="00AF5464"/>
    <w:rsid w:val="00AF6712"/>
    <w:rsid w:val="00AF6B6C"/>
    <w:rsid w:val="00AF6ECF"/>
    <w:rsid w:val="00B02ECB"/>
    <w:rsid w:val="00B10068"/>
    <w:rsid w:val="00B11B69"/>
    <w:rsid w:val="00B14952"/>
    <w:rsid w:val="00B14E82"/>
    <w:rsid w:val="00B15988"/>
    <w:rsid w:val="00B21571"/>
    <w:rsid w:val="00B219C8"/>
    <w:rsid w:val="00B24B97"/>
    <w:rsid w:val="00B253FF"/>
    <w:rsid w:val="00B27A13"/>
    <w:rsid w:val="00B3022C"/>
    <w:rsid w:val="00B31E5A"/>
    <w:rsid w:val="00B31EB3"/>
    <w:rsid w:val="00B33130"/>
    <w:rsid w:val="00B36472"/>
    <w:rsid w:val="00B3665D"/>
    <w:rsid w:val="00B5074C"/>
    <w:rsid w:val="00B510C9"/>
    <w:rsid w:val="00B56065"/>
    <w:rsid w:val="00B56404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8C9"/>
    <w:rsid w:val="00B76BFB"/>
    <w:rsid w:val="00B77927"/>
    <w:rsid w:val="00B863DC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E7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F063A"/>
    <w:rsid w:val="00BF25ED"/>
    <w:rsid w:val="00BF4700"/>
    <w:rsid w:val="00BF61C3"/>
    <w:rsid w:val="00BF7F61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345F"/>
    <w:rsid w:val="00C4500A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38A1"/>
    <w:rsid w:val="00C74693"/>
    <w:rsid w:val="00C75084"/>
    <w:rsid w:val="00C76D09"/>
    <w:rsid w:val="00C76D68"/>
    <w:rsid w:val="00C77C0E"/>
    <w:rsid w:val="00C77FF0"/>
    <w:rsid w:val="00C818A7"/>
    <w:rsid w:val="00C82A3D"/>
    <w:rsid w:val="00C84929"/>
    <w:rsid w:val="00C906BC"/>
    <w:rsid w:val="00C91687"/>
    <w:rsid w:val="00C924A8"/>
    <w:rsid w:val="00C92B84"/>
    <w:rsid w:val="00C930FB"/>
    <w:rsid w:val="00C940C6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1B0D"/>
    <w:rsid w:val="00CB2FD4"/>
    <w:rsid w:val="00CB6A45"/>
    <w:rsid w:val="00CB72CE"/>
    <w:rsid w:val="00CB7F71"/>
    <w:rsid w:val="00CC0A14"/>
    <w:rsid w:val="00CC105D"/>
    <w:rsid w:val="00CC2523"/>
    <w:rsid w:val="00CC50A9"/>
    <w:rsid w:val="00CC739E"/>
    <w:rsid w:val="00CD088A"/>
    <w:rsid w:val="00CD0BA0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DD6"/>
    <w:rsid w:val="00CF5899"/>
    <w:rsid w:val="00CF6933"/>
    <w:rsid w:val="00CF7929"/>
    <w:rsid w:val="00D00796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7C59"/>
    <w:rsid w:val="00D70EF7"/>
    <w:rsid w:val="00D7454D"/>
    <w:rsid w:val="00D76CF3"/>
    <w:rsid w:val="00D77818"/>
    <w:rsid w:val="00D83363"/>
    <w:rsid w:val="00D8397C"/>
    <w:rsid w:val="00D870E0"/>
    <w:rsid w:val="00D877CE"/>
    <w:rsid w:val="00D9352C"/>
    <w:rsid w:val="00D93D38"/>
    <w:rsid w:val="00D94561"/>
    <w:rsid w:val="00D94EED"/>
    <w:rsid w:val="00D96026"/>
    <w:rsid w:val="00D96537"/>
    <w:rsid w:val="00D97170"/>
    <w:rsid w:val="00D9777E"/>
    <w:rsid w:val="00DA17DD"/>
    <w:rsid w:val="00DA4FC6"/>
    <w:rsid w:val="00DA7C1C"/>
    <w:rsid w:val="00DB147A"/>
    <w:rsid w:val="00DB1B7A"/>
    <w:rsid w:val="00DB1E8E"/>
    <w:rsid w:val="00DB6597"/>
    <w:rsid w:val="00DC15C8"/>
    <w:rsid w:val="00DC47CA"/>
    <w:rsid w:val="00DC6708"/>
    <w:rsid w:val="00DC6C4A"/>
    <w:rsid w:val="00DD04DA"/>
    <w:rsid w:val="00DD07B8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73D3"/>
    <w:rsid w:val="00E005C1"/>
    <w:rsid w:val="00E01337"/>
    <w:rsid w:val="00E01436"/>
    <w:rsid w:val="00E01A80"/>
    <w:rsid w:val="00E02479"/>
    <w:rsid w:val="00E03874"/>
    <w:rsid w:val="00E045BD"/>
    <w:rsid w:val="00E0623E"/>
    <w:rsid w:val="00E07B93"/>
    <w:rsid w:val="00E1025B"/>
    <w:rsid w:val="00E11A04"/>
    <w:rsid w:val="00E13B89"/>
    <w:rsid w:val="00E13D08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AEB"/>
    <w:rsid w:val="00E522A7"/>
    <w:rsid w:val="00E5365D"/>
    <w:rsid w:val="00E53EE8"/>
    <w:rsid w:val="00E53F59"/>
    <w:rsid w:val="00E54452"/>
    <w:rsid w:val="00E544E3"/>
    <w:rsid w:val="00E545DA"/>
    <w:rsid w:val="00E65CCC"/>
    <w:rsid w:val="00E664C5"/>
    <w:rsid w:val="00E66883"/>
    <w:rsid w:val="00E671A2"/>
    <w:rsid w:val="00E70FA9"/>
    <w:rsid w:val="00E76D26"/>
    <w:rsid w:val="00E7769B"/>
    <w:rsid w:val="00E83145"/>
    <w:rsid w:val="00E8349F"/>
    <w:rsid w:val="00E8404E"/>
    <w:rsid w:val="00E84E62"/>
    <w:rsid w:val="00E908A7"/>
    <w:rsid w:val="00E911D6"/>
    <w:rsid w:val="00E95303"/>
    <w:rsid w:val="00E95499"/>
    <w:rsid w:val="00E96F1C"/>
    <w:rsid w:val="00E97F02"/>
    <w:rsid w:val="00EB1390"/>
    <w:rsid w:val="00EB1733"/>
    <w:rsid w:val="00EB2C71"/>
    <w:rsid w:val="00EB4340"/>
    <w:rsid w:val="00EB556D"/>
    <w:rsid w:val="00EB5A7D"/>
    <w:rsid w:val="00EB5AD4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749F"/>
    <w:rsid w:val="00F57898"/>
    <w:rsid w:val="00F61D4D"/>
    <w:rsid w:val="00F6258C"/>
    <w:rsid w:val="00F65C79"/>
    <w:rsid w:val="00F66770"/>
    <w:rsid w:val="00F67D8F"/>
    <w:rsid w:val="00F716A2"/>
    <w:rsid w:val="00F72B6A"/>
    <w:rsid w:val="00F739B3"/>
    <w:rsid w:val="00F802BE"/>
    <w:rsid w:val="00F80E93"/>
    <w:rsid w:val="00F8128C"/>
    <w:rsid w:val="00F83E9A"/>
    <w:rsid w:val="00F8501D"/>
    <w:rsid w:val="00F86024"/>
    <w:rsid w:val="00F8611A"/>
    <w:rsid w:val="00F86131"/>
    <w:rsid w:val="00F866F5"/>
    <w:rsid w:val="00F92319"/>
    <w:rsid w:val="00F93481"/>
    <w:rsid w:val="00F9523C"/>
    <w:rsid w:val="00F96086"/>
    <w:rsid w:val="00F96984"/>
    <w:rsid w:val="00FA3614"/>
    <w:rsid w:val="00FA5128"/>
    <w:rsid w:val="00FA64AB"/>
    <w:rsid w:val="00FA6850"/>
    <w:rsid w:val="00FB09EE"/>
    <w:rsid w:val="00FB10B6"/>
    <w:rsid w:val="00FB42D4"/>
    <w:rsid w:val="00FB5906"/>
    <w:rsid w:val="00FB762F"/>
    <w:rsid w:val="00FB7CF0"/>
    <w:rsid w:val="00FC2AED"/>
    <w:rsid w:val="00FC32F1"/>
    <w:rsid w:val="00FC46B7"/>
    <w:rsid w:val="00FD0580"/>
    <w:rsid w:val="00FD320B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587,pojecie.html" TargetMode="External"/><Relationship Id="rId21" Type="http://schemas.openxmlformats.org/officeDocument/2006/relationships/hyperlink" Target="mailto:Sekretariat-PZ@stat.gov.p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hyperlink" Target="http://stat.gov.pl/metainformacje/slownik-pojec/pojecia-stosowane-w-statystyce-publicznej/585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://stat.gov.pl/sygnalne/informacje-sygnalne/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hyperlink" Target="http://swaid.stat.gov.pl/SitePagesDBW/PrzedsiebiorstwaNiefinansowe.aspx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588,pojecie.html" TargetMode="External"/><Relationship Id="rId45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hyperlink" Target="http://stat.gov.pl/metainformacje/slownik-pojec/pojecia-stosowane-w-statystyce-publicznej/223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583,pojecie.html" TargetMode="External"/><Relationship Id="rId46" Type="http://schemas.openxmlformats.org/officeDocument/2006/relationships/hyperlink" Target="http://stat.gov.pl/sygnalne/informacje-sygnalne/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584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7C8584BC-0A1E-4EE3-80AE-1186B6EF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2019-08-22T07:10:00Z</dcterms:created>
  <dcterms:modified xsi:type="dcterms:W3CDTF">2020-05-25T06:16:00Z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