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EC" w:rsidRPr="004A6BEC" w:rsidRDefault="004A6BEC" w:rsidP="003E439B">
      <w:pPr>
        <w:pStyle w:val="tytuinformacji"/>
        <w:tabs>
          <w:tab w:val="right" w:pos="8039"/>
        </w:tabs>
        <w:rPr>
          <w:rFonts w:ascii="Fira Sans" w:hAnsi="Fira Sans"/>
          <w:b/>
          <w:sz w:val="28"/>
          <w:szCs w:val="28"/>
        </w:rPr>
      </w:pPr>
      <w:bookmarkStart w:id="0" w:name="_GoBack"/>
      <w:bookmarkEnd w:id="0"/>
      <w:r w:rsidRPr="004A6BEC">
        <w:rPr>
          <w:rFonts w:ascii="Fira Sans" w:hAnsi="Fira Sans"/>
          <w:b/>
          <w:sz w:val="28"/>
          <w:szCs w:val="28"/>
        </w:rPr>
        <w:t>Postrzeganie ubóstwa i nierówności dochodowych w Polsce</w:t>
      </w:r>
      <w:r w:rsidRPr="004A6BEC">
        <w:rPr>
          <w:rStyle w:val="Odwoanieprzypisudolnego"/>
          <w:rFonts w:ascii="Fira Sans" w:hAnsi="Fira Sans"/>
          <w:b/>
          <w:sz w:val="28"/>
          <w:szCs w:val="28"/>
        </w:rPr>
        <w:footnoteReference w:id="1"/>
      </w:r>
      <w:r w:rsidR="00C464B3">
        <w:rPr>
          <w:rFonts w:ascii="Fira Sans" w:hAnsi="Fira Sans"/>
          <w:b/>
          <w:sz w:val="28"/>
          <w:szCs w:val="28"/>
        </w:rPr>
        <w:t>.</w:t>
      </w:r>
    </w:p>
    <w:p w:rsidR="0098135C" w:rsidRPr="004A6BEC" w:rsidRDefault="004A6BEC" w:rsidP="004A6BEC">
      <w:pPr>
        <w:pStyle w:val="tytuinformacji"/>
        <w:rPr>
          <w:shd w:val="clear" w:color="auto" w:fill="FFFFFF"/>
        </w:rPr>
      </w:pPr>
      <w:r w:rsidRPr="004A6BEC">
        <w:rPr>
          <w:rFonts w:ascii="Fira Sans" w:hAnsi="Fira Sans"/>
          <w:b/>
          <w:sz w:val="28"/>
          <w:szCs w:val="28"/>
        </w:rPr>
        <w:t xml:space="preserve">Wyniki </w:t>
      </w:r>
      <w:r w:rsidR="001249FA">
        <w:rPr>
          <w:rFonts w:ascii="Fira Sans" w:hAnsi="Fira Sans"/>
          <w:b/>
          <w:sz w:val="28"/>
          <w:szCs w:val="28"/>
        </w:rPr>
        <w:t>B</w:t>
      </w:r>
      <w:r w:rsidRPr="004A6BEC">
        <w:rPr>
          <w:rFonts w:ascii="Fira Sans" w:hAnsi="Fira Sans"/>
          <w:b/>
          <w:sz w:val="28"/>
          <w:szCs w:val="28"/>
        </w:rPr>
        <w:t>adania spójności społecznej 2018.</w:t>
      </w:r>
    </w:p>
    <w:p w:rsidR="00393761" w:rsidRPr="008A6DD8" w:rsidRDefault="00393761" w:rsidP="008A6DD8">
      <w:pPr>
        <w:pStyle w:val="tytuinformacji"/>
        <w:spacing w:before="0"/>
        <w:rPr>
          <w:sz w:val="18"/>
          <w:szCs w:val="18"/>
        </w:rPr>
      </w:pPr>
    </w:p>
    <w:p w:rsidR="00A047AB" w:rsidRPr="00C16F91" w:rsidRDefault="008876F3" w:rsidP="00635DE0">
      <w:pPr>
        <w:pStyle w:val="LID"/>
        <w:spacing w:before="0" w:after="0"/>
      </w:pPr>
      <w:r w:rsidRPr="00C16F91"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051560" cy="1705610"/>
                <wp:effectExtent l="0" t="0" r="0" b="889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797" cy="170561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95B" w:rsidRPr="006823E3" w:rsidRDefault="0046395B" w:rsidP="0046395B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52"/>
                                <w:szCs w:val="52"/>
                              </w:rPr>
                              <w:t>87</w:t>
                            </w:r>
                            <w:r w:rsidRPr="006823E3">
                              <w:rPr>
                                <w:rFonts w:ascii="Fira Sans SemiBold" w:hAnsi="Fira Sans SemiBold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%</w:t>
                            </w:r>
                          </w:p>
                          <w:p w:rsidR="00933EC1" w:rsidRPr="004A6BEC" w:rsidRDefault="0046395B" w:rsidP="0046395B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663057">
                              <w:rPr>
                                <w:color w:val="FFFFFF" w:themeColor="background1"/>
                                <w:sz w:val="22"/>
                              </w:rPr>
                              <w:t>osób uważa, że różnice dochodowe w</w:t>
                            </w:r>
                            <w:r w:rsidR="008876F3">
                              <w:rPr>
                                <w:color w:val="FFFFFF" w:themeColor="background1"/>
                                <w:sz w:val="22"/>
                              </w:rPr>
                              <w:t> </w:t>
                            </w:r>
                            <w:r w:rsidRPr="00663057">
                              <w:rPr>
                                <w:color w:val="FFFFFF" w:themeColor="background1"/>
                                <w:sz w:val="22"/>
                              </w:rPr>
                              <w:t>Polsce są zbyt duże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82.8pt;height:134.3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" fillcolor="#001d77" stroked="f">
                <v:textbox>
                  <w:txbxContent>
                    <w:p w:rsidR="0046395B" w:rsidRPr="006823E3" w:rsidRDefault="0046395B" w:rsidP="0046395B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Fira Sans SemiBold" w:hAnsi="Fira Sans SemiBold"/>
                          <w:color w:val="FFFFFF" w:themeColor="background1"/>
                          <w:sz w:val="52"/>
                          <w:szCs w:val="52"/>
                        </w:rPr>
                        <w:t>87</w:t>
                      </w:r>
                      <w:r w:rsidRPr="006823E3">
                        <w:rPr>
                          <w:rFonts w:ascii="Fira Sans SemiBold" w:hAnsi="Fira Sans SemiBold"/>
                          <w:color w:val="FFFFFF" w:themeColor="background1"/>
                          <w:sz w:val="52"/>
                          <w:szCs w:val="52"/>
                        </w:rPr>
                        <w:t xml:space="preserve"> %</w:t>
                      </w:r>
                    </w:p>
                    <w:p w:rsidR="00933EC1" w:rsidRPr="004A6BEC" w:rsidRDefault="0046395B" w:rsidP="0046395B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663057">
                        <w:rPr>
                          <w:color w:val="FFFFFF" w:themeColor="background1"/>
                          <w:sz w:val="22"/>
                        </w:rPr>
                        <w:t>osób uważa, że różnice dochodowe w</w:t>
                      </w:r>
                      <w:r w:rsidR="008876F3">
                        <w:rPr>
                          <w:color w:val="FFFFFF" w:themeColor="background1"/>
                          <w:sz w:val="22"/>
                        </w:rPr>
                        <w:t> </w:t>
                      </w:r>
                      <w:r w:rsidRPr="00663057">
                        <w:rPr>
                          <w:color w:val="FFFFFF" w:themeColor="background1"/>
                          <w:sz w:val="22"/>
                        </w:rPr>
                        <w:t>Polsce są zbyt duże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05AA" w:rsidRPr="00C16F91">
        <w:rPr>
          <w:b w:val="0"/>
          <w:color w:val="212492"/>
          <w:spacing w:val="-2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>
                <wp:simplePos x="0" y="0"/>
                <wp:positionH relativeFrom="column">
                  <wp:posOffset>5268595</wp:posOffset>
                </wp:positionH>
                <wp:positionV relativeFrom="paragraph">
                  <wp:posOffset>74295</wp:posOffset>
                </wp:positionV>
                <wp:extent cx="1725295" cy="1163955"/>
                <wp:effectExtent l="0" t="0" r="0" b="0"/>
                <wp:wrapTight wrapText="bothSides">
                  <wp:wrapPolygon edited="0">
                    <wp:start x="715" y="0"/>
                    <wp:lineTo x="715" y="21211"/>
                    <wp:lineTo x="20749" y="21211"/>
                    <wp:lineTo x="20749" y="0"/>
                    <wp:lineTo x="715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BEC" w:rsidRPr="0045546B" w:rsidRDefault="00C16F91" w:rsidP="004A6BEC">
                            <w:pPr>
                              <w:pStyle w:val="tekstzboku"/>
                            </w:pPr>
                            <w:r w:rsidRPr="00C16F91">
                              <w:rPr>
                                <w:b/>
                                <w:bCs w:val="0"/>
                              </w:rPr>
                              <w:t>Społeczna percepcja zasięgu ubóstwa i nierówności dochodowych niewiele się zmieniła w porównaniu z</w:t>
                            </w:r>
                            <w:r w:rsidR="007257E1">
                              <w:rPr>
                                <w:b/>
                                <w:bCs w:val="0"/>
                              </w:rPr>
                              <w:t> </w:t>
                            </w:r>
                            <w:r w:rsidRPr="00C16F91">
                              <w:rPr>
                                <w:b/>
                                <w:bCs w:val="0"/>
                              </w:rPr>
                              <w:t>2015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4.85pt;margin-top:5.85pt;width:135.85pt;height:91.6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" filled="f" stroked="f">
                <v:textbox>
                  <w:txbxContent>
                    <w:p w:rsidR="004A6BEC" w:rsidRPr="0045546B" w:rsidRDefault="00C16F91" w:rsidP="004A6BEC">
                      <w:pPr>
                        <w:pStyle w:val="tekstzboku"/>
                      </w:pPr>
                      <w:r w:rsidRPr="00C16F91">
                        <w:rPr>
                          <w:b/>
                          <w:bCs w:val="0"/>
                        </w:rPr>
                        <w:t>Społeczna percepcja zasięgu ubóstwa i nierówności dochodowych niewiele się zmieniła w porównaniu z</w:t>
                      </w:r>
                      <w:r w:rsidR="007257E1">
                        <w:rPr>
                          <w:b/>
                          <w:bCs w:val="0"/>
                        </w:rPr>
                        <w:t> </w:t>
                      </w:r>
                      <w:r w:rsidRPr="00C16F91">
                        <w:rPr>
                          <w:b/>
                          <w:bCs w:val="0"/>
                        </w:rPr>
                        <w:t>2015 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16F91" w:rsidRPr="00C16F91">
        <w:rPr>
          <w:rFonts w:cstheme="minorHAnsi"/>
        </w:rPr>
        <w:t>Opinie na temat zasięgu ubóstwa w Polsce są bardzo zróżnicowane. Najczęściej zasięg ubóstwa szacowano na poziomie od 26% do 30% oraz od 16% do 20%.</w:t>
      </w:r>
      <w:r w:rsidR="00C16F91" w:rsidRPr="00C16F91">
        <w:rPr>
          <w:rFonts w:cs="Arial"/>
        </w:rPr>
        <w:t xml:space="preserve"> Zdecydowana większość społeczeństwa sądzi, że</w:t>
      </w:r>
      <w:r>
        <w:rPr>
          <w:rFonts w:cs="Arial"/>
        </w:rPr>
        <w:t> </w:t>
      </w:r>
      <w:r w:rsidR="00C16F91" w:rsidRPr="00C16F91">
        <w:rPr>
          <w:rFonts w:cs="Arial"/>
        </w:rPr>
        <w:t>w</w:t>
      </w:r>
      <w:r>
        <w:rPr>
          <w:rFonts w:cs="Arial"/>
        </w:rPr>
        <w:t xml:space="preserve"> </w:t>
      </w:r>
      <w:r w:rsidR="00C16F91" w:rsidRPr="00C16F91">
        <w:rPr>
          <w:rFonts w:cs="Arial"/>
        </w:rPr>
        <w:t>Polsce mamy do czynienia ze zbyt dużymi nierównościami dochodowymi. Istnieje również powszechne przekonanie, że do obowiązków państwa powinno nale</w:t>
      </w:r>
      <w:r>
        <w:rPr>
          <w:rFonts w:cs="Arial"/>
        </w:rPr>
        <w:t>żeć zmniejszanie dysproporcji w </w:t>
      </w:r>
      <w:r w:rsidR="00C16F91" w:rsidRPr="00C16F91">
        <w:rPr>
          <w:rFonts w:cs="Arial"/>
        </w:rPr>
        <w:t>tym zakresie i że to państwo powinno zapewnić każdemu podstawowe minimum dochodów oraz wspierać ludzi żyjących w</w:t>
      </w:r>
      <w:r>
        <w:rPr>
          <w:rFonts w:cs="Arial"/>
        </w:rPr>
        <w:t> </w:t>
      </w:r>
      <w:r w:rsidR="00C16F91" w:rsidRPr="00C16F91">
        <w:rPr>
          <w:rFonts w:cs="Arial"/>
        </w:rPr>
        <w:t>ubóstwie</w:t>
      </w:r>
      <w:r w:rsidR="00014665">
        <w:rPr>
          <w:rFonts w:cs="Arial"/>
        </w:rPr>
        <w:t>.</w:t>
      </w:r>
      <w:r w:rsidR="00C16F91" w:rsidRPr="00C16F91">
        <w:rPr>
          <w:bCs/>
        </w:rPr>
        <w:t xml:space="preserve"> Do najbardziej preferowanych form pomocy kierowanej </w:t>
      </w:r>
      <w:r w:rsidR="00014665">
        <w:rPr>
          <w:bCs/>
        </w:rPr>
        <w:t xml:space="preserve">  </w:t>
      </w:r>
      <w:r w:rsidR="00C16F91" w:rsidRPr="00C16F91">
        <w:rPr>
          <w:bCs/>
        </w:rPr>
        <w:t>do osób ubogich należą w kolejności: pomoc w znalezieniu pracy, pielęgnacja osób niepełnosprawnych i</w:t>
      </w:r>
      <w:r>
        <w:rPr>
          <w:bCs/>
        </w:rPr>
        <w:t xml:space="preserve"> </w:t>
      </w:r>
      <w:r w:rsidR="00C16F91" w:rsidRPr="00C16F91">
        <w:rPr>
          <w:bCs/>
        </w:rPr>
        <w:t>przewlekle chorych, zwiększenie dostępności do bezpłatnych usług medycznych, pomoc w</w:t>
      </w:r>
      <w:r>
        <w:rPr>
          <w:bCs/>
        </w:rPr>
        <w:t> </w:t>
      </w:r>
      <w:r w:rsidR="00C16F91" w:rsidRPr="00C16F91">
        <w:rPr>
          <w:bCs/>
        </w:rPr>
        <w:t>prowadzeniu gospodarstwa domowego osobom starszym oraz zasiłki pieniężne.</w:t>
      </w:r>
    </w:p>
    <w:p w:rsidR="00A047AB" w:rsidRDefault="00A047AB" w:rsidP="00324E12">
      <w:pPr>
        <w:spacing w:before="0" w:after="0" w:line="200" w:lineRule="exact"/>
        <w:rPr>
          <w:shd w:val="clear" w:color="auto" w:fill="FFFFFF"/>
        </w:rPr>
      </w:pPr>
    </w:p>
    <w:p w:rsidR="004A6BEC" w:rsidRPr="009D1F55" w:rsidRDefault="004A6BEC" w:rsidP="00172402">
      <w:pPr>
        <w:rPr>
          <w:color w:val="000000" w:themeColor="text1"/>
          <w:shd w:val="clear" w:color="auto" w:fill="FFFFFF"/>
        </w:rPr>
      </w:pPr>
      <w:r w:rsidRPr="00A047AB">
        <w:rPr>
          <w:shd w:val="clear" w:color="auto" w:fill="FFFFFF"/>
        </w:rPr>
        <w:t>Prezentowane w notatce informacje pozwalają zapoznać się z subiektywnymi opiniami mieszkańców Polski na temat różnic dochodowych</w:t>
      </w:r>
      <w:r w:rsidR="007905AA">
        <w:rPr>
          <w:shd w:val="clear" w:color="auto" w:fill="FFFFFF"/>
        </w:rPr>
        <w:t>,</w:t>
      </w:r>
      <w:r w:rsidRPr="00A047AB">
        <w:rPr>
          <w:shd w:val="clear" w:color="auto" w:fill="FFFFFF"/>
        </w:rPr>
        <w:t xml:space="preserve"> skali ubóstwa w Polsce oraz roli państwa w</w:t>
      </w:r>
      <w:r w:rsidR="00A757D3">
        <w:rPr>
          <w:shd w:val="clear" w:color="auto" w:fill="FFFFFF"/>
        </w:rPr>
        <w:t> </w:t>
      </w:r>
      <w:r w:rsidRPr="00A047AB">
        <w:rPr>
          <w:shd w:val="clear" w:color="auto" w:fill="FFFFFF"/>
        </w:rPr>
        <w:t>rozwiązywaniu tych ważnych problemów społecznych. Informacje te stanowią uzupełnienie publikowanych przez GUS analiz dotyczących sytuacji dochodowej gospodarstw domowych oraz ubóstwa opartych na miarach obiektywnych</w:t>
      </w:r>
      <w:r w:rsidRPr="009D1F55">
        <w:rPr>
          <w:color w:val="000000" w:themeColor="text1"/>
          <w:shd w:val="clear" w:color="auto" w:fill="FFFFFF"/>
        </w:rPr>
        <w:t>.</w:t>
      </w:r>
    </w:p>
    <w:p w:rsidR="004A6BEC" w:rsidRPr="00C129F7" w:rsidRDefault="00E85CFA" w:rsidP="00172402">
      <w:pPr>
        <w:rPr>
          <w:b/>
          <w:color w:val="001D77"/>
          <w:shd w:val="clear" w:color="auto" w:fill="FFFFFF"/>
        </w:rPr>
      </w:pPr>
      <w:r w:rsidRPr="00C129F7">
        <w:rPr>
          <w:b/>
          <w:noProof/>
          <w:color w:val="001D77"/>
          <w:spacing w:val="-2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19992350" wp14:editId="22EC763A">
                <wp:simplePos x="0" y="0"/>
                <wp:positionH relativeFrom="page">
                  <wp:posOffset>5723255</wp:posOffset>
                </wp:positionH>
                <wp:positionV relativeFrom="paragraph">
                  <wp:posOffset>19685</wp:posOffset>
                </wp:positionV>
                <wp:extent cx="1748790" cy="996950"/>
                <wp:effectExtent l="0" t="0" r="0" b="0"/>
                <wp:wrapTight wrapText="bothSides">
                  <wp:wrapPolygon edited="0">
                    <wp:start x="706" y="0"/>
                    <wp:lineTo x="706" y="21050"/>
                    <wp:lineTo x="20706" y="21050"/>
                    <wp:lineTo x="20706" y="0"/>
                    <wp:lineTo x="706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99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CFA" w:rsidRPr="0045546B" w:rsidRDefault="00C16F91" w:rsidP="00E85CFA">
                            <w:pPr>
                              <w:pStyle w:val="tekstzboku"/>
                            </w:pPr>
                            <w:r w:rsidRPr="00C16F91">
                              <w:rPr>
                                <w:b/>
                                <w:bCs w:val="0"/>
                              </w:rPr>
                              <w:t>Nieznacznie zmalał (z ok.</w:t>
                            </w:r>
                            <w:r w:rsidR="0060164D">
                              <w:rPr>
                                <w:b/>
                                <w:bCs w:val="0"/>
                              </w:rPr>
                              <w:t> </w:t>
                            </w:r>
                            <w:r w:rsidRPr="00C16F91">
                              <w:rPr>
                                <w:b/>
                                <w:bCs w:val="0"/>
                              </w:rPr>
                              <w:t>90% do 87%)</w:t>
                            </w:r>
                            <w:r>
                              <w:rPr>
                                <w:b/>
                                <w:bCs w:val="0"/>
                              </w:rPr>
                              <w:t xml:space="preserve"> </w:t>
                            </w:r>
                            <w:r w:rsidRPr="00C16F91">
                              <w:rPr>
                                <w:b/>
                                <w:bCs w:val="0"/>
                              </w:rPr>
                              <w:t>odsetek osób podzielających opinię o zbyt dużych różnicach dochodowych.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9235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50.65pt;margin-top:1.55pt;width:137.7pt;height:78.5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" filled="f" stroked="f">
                <v:textbox>
                  <w:txbxContent>
                    <w:p w:rsidR="00E85CFA" w:rsidRPr="0045546B" w:rsidRDefault="00C16F91" w:rsidP="00E85CFA">
                      <w:pPr>
                        <w:pStyle w:val="tekstzboku"/>
                      </w:pPr>
                      <w:r w:rsidRPr="00C16F91">
                        <w:rPr>
                          <w:b/>
                          <w:bCs w:val="0"/>
                        </w:rPr>
                        <w:t>Nieznacznie zmalał (z ok.</w:t>
                      </w:r>
                      <w:r w:rsidR="0060164D">
                        <w:rPr>
                          <w:b/>
                          <w:bCs w:val="0"/>
                        </w:rPr>
                        <w:t> </w:t>
                      </w:r>
                      <w:r w:rsidRPr="00C16F91">
                        <w:rPr>
                          <w:b/>
                          <w:bCs w:val="0"/>
                        </w:rPr>
                        <w:t>90% do 87%)</w:t>
                      </w:r>
                      <w:r>
                        <w:rPr>
                          <w:b/>
                          <w:bCs w:val="0"/>
                        </w:rPr>
                        <w:t xml:space="preserve"> </w:t>
                      </w:r>
                      <w:r w:rsidRPr="00C16F91">
                        <w:rPr>
                          <w:b/>
                          <w:bCs w:val="0"/>
                        </w:rPr>
                        <w:t>odsetek osób podzielających opinię o zbyt dużych różnicach dochodowych.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A6BEC" w:rsidRPr="00C129F7">
        <w:rPr>
          <w:b/>
          <w:color w:val="001D77"/>
          <w:shd w:val="clear" w:color="auto" w:fill="FFFFFF"/>
        </w:rPr>
        <w:t>Co myślimy na temat różnic dochodowych w Polsce?</w:t>
      </w:r>
    </w:p>
    <w:p w:rsidR="004A6BEC" w:rsidRDefault="004A6BEC" w:rsidP="00172402">
      <w:pPr>
        <w:rPr>
          <w:shd w:val="clear" w:color="auto" w:fill="FFFFFF"/>
        </w:rPr>
      </w:pPr>
      <w:r>
        <w:rPr>
          <w:shd w:val="clear" w:color="auto" w:fill="FFFFFF"/>
        </w:rPr>
        <w:t xml:space="preserve">Zdecydowana większość (87%) mieszkańców Polski w wieku 16 </w:t>
      </w:r>
      <w:r w:rsidR="00A23CCE">
        <w:rPr>
          <w:shd w:val="clear" w:color="auto" w:fill="FFFFFF"/>
        </w:rPr>
        <w:t xml:space="preserve">lat </w:t>
      </w:r>
      <w:r>
        <w:rPr>
          <w:shd w:val="clear" w:color="auto" w:fill="FFFFFF"/>
        </w:rPr>
        <w:t>i więcej uważa, że w Polsce różnice dochodów są zbyt duże. Z opinią tą nie zgadza się tylko ok.</w:t>
      </w:r>
      <w:r w:rsidR="000C575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3% osób. </w:t>
      </w:r>
    </w:p>
    <w:p w:rsidR="004A6BEC" w:rsidRDefault="008A6DD8" w:rsidP="004A6BEC">
      <w:pPr>
        <w:jc w:val="both"/>
        <w:rPr>
          <w:shd w:val="clear" w:color="auto" w:fill="FFFFFF"/>
        </w:rPr>
      </w:pPr>
      <w:r w:rsidRPr="00EE1343">
        <w:rPr>
          <w:b/>
          <w:noProof/>
          <w:lang w:eastAsia="pl-PL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436932</wp:posOffset>
            </wp:positionV>
            <wp:extent cx="4838700" cy="3642360"/>
            <wp:effectExtent l="0" t="0" r="0" b="0"/>
            <wp:wrapTopAndBottom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F8173A" w:rsidRPr="00EE1343">
        <w:rPr>
          <w:b/>
          <w:shd w:val="clear" w:color="auto" w:fill="FFFFFF"/>
        </w:rPr>
        <w:t>W</w:t>
      </w:r>
      <w:r w:rsidR="004A6BEC" w:rsidRPr="00EE1343">
        <w:rPr>
          <w:b/>
          <w:shd w:val="clear" w:color="auto" w:fill="FFFFFF"/>
        </w:rPr>
        <w:t>ykres</w:t>
      </w:r>
      <w:r w:rsidR="00F8173A" w:rsidRPr="00EE1343">
        <w:rPr>
          <w:b/>
          <w:shd w:val="clear" w:color="auto" w:fill="FFFFFF"/>
        </w:rPr>
        <w:t xml:space="preserve"> 1</w:t>
      </w:r>
      <w:r w:rsidR="009607CD" w:rsidRPr="00EE1343">
        <w:rPr>
          <w:b/>
          <w:shd w:val="clear" w:color="auto" w:fill="FFFFFF"/>
        </w:rPr>
        <w:t xml:space="preserve"> Stosunek </w:t>
      </w:r>
      <w:r w:rsidR="00EE1343" w:rsidRPr="00EE1343">
        <w:rPr>
          <w:b/>
          <w:shd w:val="clear" w:color="auto" w:fill="FFFFFF"/>
        </w:rPr>
        <w:t xml:space="preserve">mieszkańców Polski </w:t>
      </w:r>
      <w:r w:rsidR="009607CD" w:rsidRPr="00EE1343">
        <w:rPr>
          <w:b/>
          <w:shd w:val="clear" w:color="auto" w:fill="FFFFFF"/>
        </w:rPr>
        <w:t>do opinii</w:t>
      </w:r>
      <w:r w:rsidR="00EE1343" w:rsidRPr="00EE1343">
        <w:rPr>
          <w:b/>
          <w:shd w:val="clear" w:color="auto" w:fill="FFFFFF"/>
        </w:rPr>
        <w:t>:</w:t>
      </w:r>
      <w:r w:rsidR="009607CD" w:rsidRPr="00EE1343">
        <w:rPr>
          <w:b/>
          <w:shd w:val="clear" w:color="auto" w:fill="FFFFFF"/>
        </w:rPr>
        <w:t xml:space="preserve"> </w:t>
      </w:r>
      <w:r w:rsidR="00EE1343" w:rsidRPr="00EE1343">
        <w:rPr>
          <w:b/>
          <w:i/>
          <w:shd w:val="clear" w:color="auto" w:fill="FFFFFF"/>
        </w:rPr>
        <w:t>różnice dochodów są w Polsce zbyt duże,</w:t>
      </w:r>
      <w:r w:rsidR="00EE1343">
        <w:rPr>
          <w:i/>
          <w:shd w:val="clear" w:color="auto" w:fill="FFFFFF"/>
        </w:rPr>
        <w:t xml:space="preserve"> </w:t>
      </w:r>
      <w:r w:rsidR="00324E12">
        <w:rPr>
          <w:i/>
          <w:shd w:val="clear" w:color="auto" w:fill="FFFFFF"/>
        </w:rPr>
        <w:t>(</w:t>
      </w:r>
      <w:r w:rsidR="00EE1343" w:rsidRPr="00AA644E">
        <w:rPr>
          <w:b/>
          <w:shd w:val="clear" w:color="auto" w:fill="FFFFFF"/>
        </w:rPr>
        <w:t>w</w:t>
      </w:r>
      <w:r w:rsidR="00324E12">
        <w:rPr>
          <w:b/>
          <w:shd w:val="clear" w:color="auto" w:fill="FFFFFF"/>
        </w:rPr>
        <w:t> </w:t>
      </w:r>
      <w:r w:rsidR="00EE1343" w:rsidRPr="00AA644E">
        <w:rPr>
          <w:b/>
          <w:shd w:val="clear" w:color="auto" w:fill="FFFFFF"/>
        </w:rPr>
        <w:t>% osób w wieku 16 lat i więcej</w:t>
      </w:r>
      <w:r w:rsidR="00324E12">
        <w:rPr>
          <w:b/>
          <w:shd w:val="clear" w:color="auto" w:fill="FFFFFF"/>
        </w:rPr>
        <w:t>)</w:t>
      </w:r>
    </w:p>
    <w:p w:rsidR="005916D7" w:rsidRPr="004A6BEC" w:rsidRDefault="004A6BEC" w:rsidP="00172402">
      <w:pPr>
        <w:pStyle w:val="LID"/>
        <w:rPr>
          <w:b w:val="0"/>
        </w:rPr>
      </w:pPr>
      <w:r w:rsidRPr="004A6BEC">
        <w:rPr>
          <w:b w:val="0"/>
          <w:shd w:val="clear" w:color="auto" w:fill="FFFFFF"/>
        </w:rPr>
        <w:lastRenderedPageBreak/>
        <w:t>Społeczne postrzeganie różnic dochodowych w 2018</w:t>
      </w:r>
      <w:r w:rsidR="00172402">
        <w:rPr>
          <w:b w:val="0"/>
          <w:shd w:val="clear" w:color="auto" w:fill="FFFFFF"/>
        </w:rPr>
        <w:t xml:space="preserve"> </w:t>
      </w:r>
      <w:r w:rsidRPr="004A6BEC">
        <w:rPr>
          <w:b w:val="0"/>
          <w:shd w:val="clear" w:color="auto" w:fill="FFFFFF"/>
        </w:rPr>
        <w:t xml:space="preserve">r. </w:t>
      </w:r>
      <w:r w:rsidR="00A757D3">
        <w:rPr>
          <w:b w:val="0"/>
          <w:shd w:val="clear" w:color="auto" w:fill="FFFFFF"/>
        </w:rPr>
        <w:t>w</w:t>
      </w:r>
      <w:r w:rsidRPr="004A6BEC">
        <w:rPr>
          <w:b w:val="0"/>
          <w:shd w:val="clear" w:color="auto" w:fill="FFFFFF"/>
        </w:rPr>
        <w:t xml:space="preserve"> porównaniu z rokiem 2015 niewiele się zmieniło. Wówczas odsetek osób podzielających opinię o zbyt dużych różnicach dochodowych w Polsce był niewiele większy i wynosił nieco ponad 90%</w:t>
      </w:r>
      <w:r w:rsidR="003C2AEF">
        <w:rPr>
          <w:b w:val="0"/>
          <w:shd w:val="clear" w:color="auto" w:fill="FFFFFF"/>
        </w:rPr>
        <w:t xml:space="preserve">, </w:t>
      </w:r>
      <w:r w:rsidRPr="004A6BEC">
        <w:rPr>
          <w:b w:val="0"/>
          <w:shd w:val="clear" w:color="auto" w:fill="FFFFFF"/>
        </w:rPr>
        <w:t>natomiast z</w:t>
      </w:r>
      <w:r w:rsidR="00A757D3">
        <w:rPr>
          <w:b w:val="0"/>
          <w:shd w:val="clear" w:color="auto" w:fill="FFFFFF"/>
        </w:rPr>
        <w:t> </w:t>
      </w:r>
      <w:r w:rsidRPr="004A6BEC">
        <w:rPr>
          <w:b w:val="0"/>
          <w:shd w:val="clear" w:color="auto" w:fill="FFFFFF"/>
        </w:rPr>
        <w:t>opinią tą nie zgadzała się co pięćdziesiąta osoba.</w:t>
      </w:r>
    </w:p>
    <w:p w:rsidR="004A6BEC" w:rsidRPr="00A3279A" w:rsidRDefault="00327A1C" w:rsidP="00172402">
      <w:pPr>
        <w:pStyle w:val="Nagwek1"/>
      </w:pPr>
      <w:r w:rsidRPr="00A3279A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7CFF7B3" wp14:editId="405E671E">
                <wp:simplePos x="0" y="0"/>
                <wp:positionH relativeFrom="column">
                  <wp:posOffset>5316855</wp:posOffset>
                </wp:positionH>
                <wp:positionV relativeFrom="paragraph">
                  <wp:posOffset>313690</wp:posOffset>
                </wp:positionV>
                <wp:extent cx="1708785" cy="84074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27A1C" w:rsidRPr="00A3279A" w:rsidRDefault="00327A1C" w:rsidP="00327A1C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A3279A"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  <w:t>Mieszkańcy Polski najczęściej zasięg ubóstwa szacowali</w:t>
                            </w:r>
                            <w:r w:rsidR="0061283A"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  <w:t xml:space="preserve"> na poziomie 26-30% oraz 16-20%.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FF7B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8.65pt;margin-top:24.7pt;width:134.55pt;height:66.2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" filled="f" stroked="f">
                <v:textbox>
                  <w:txbxContent>
                    <w:p w:rsidR="00327A1C" w:rsidRPr="00A3279A" w:rsidRDefault="00327A1C" w:rsidP="00327A1C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r w:rsidRPr="00A3279A">
                        <w:rPr>
                          <w:b/>
                          <w:color w:val="001D77"/>
                          <w:sz w:val="18"/>
                          <w:szCs w:val="18"/>
                        </w:rPr>
                        <w:t>Mieszkańcy Polski najczęściej zasięg ubóstwa szacowali</w:t>
                      </w:r>
                      <w:r w:rsidR="0061283A">
                        <w:rPr>
                          <w:b/>
                          <w:color w:val="001D77"/>
                          <w:sz w:val="18"/>
                          <w:szCs w:val="18"/>
                        </w:rPr>
                        <w:t xml:space="preserve"> na poziomie 26-30% oraz 16-20%.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6BEC" w:rsidRPr="00A3279A">
        <w:t>Jaki procent stanowią w naszym kraju ludzie biedni?</w:t>
      </w:r>
    </w:p>
    <w:p w:rsidR="002D2946" w:rsidRPr="0044318F" w:rsidRDefault="002D2946" w:rsidP="00172402">
      <w:pPr>
        <w:rPr>
          <w:rFonts w:cstheme="minorHAnsi"/>
        </w:rPr>
      </w:pPr>
      <w:r w:rsidRPr="0044318F">
        <w:rPr>
          <w:rFonts w:cstheme="minorHAnsi"/>
        </w:rPr>
        <w:t>Opinie na temat zasięgu ubóstwa w Polsce są bardzo zróżnicowane. Zwraca przy tym uwagę wysoki odsetek osób, które nie potrafią oszacować zasięgu występowania tego zjawiska (29,5%). Mniej niż 1% osób w wieku 16 lat i więcej uważa, że w Polsce nie ma ludzi biednych, tzn. takich, którym m.in. nie starcza pieniędzy na zakup jedzenia, odzieży, opłacenie mieszkania</w:t>
      </w:r>
      <w:r w:rsidR="00087EB6">
        <w:rPr>
          <w:rFonts w:cstheme="minorHAnsi"/>
        </w:rPr>
        <w:t xml:space="preserve">. Z drugiej strony </w:t>
      </w:r>
      <w:r w:rsidRPr="0044318F">
        <w:rPr>
          <w:rFonts w:cstheme="minorHAnsi"/>
        </w:rPr>
        <w:t>ponad 5% osób sądzi, że biedna jest ponad połowa polskiego społeczeństwa. Najczęściej zasięg ubóstwa szacowano na poziomie od 26% do 30% (takie wartości podało 14% osób) oraz od 16% do 20% (13% osób).</w:t>
      </w:r>
    </w:p>
    <w:p w:rsidR="002D2946" w:rsidRPr="0044318F" w:rsidRDefault="002D2946" w:rsidP="00C809EB">
      <w:pPr>
        <w:rPr>
          <w:rFonts w:cstheme="minorHAnsi"/>
        </w:rPr>
      </w:pPr>
      <w:r w:rsidRPr="0044318F">
        <w:rPr>
          <w:rFonts w:cstheme="minorHAnsi"/>
        </w:rPr>
        <w:t xml:space="preserve">Generalnie w 2018 r. w porównaniu z 2015 r. społeczna percepcja zasięgu ubóstwa w Polsce nie </w:t>
      </w:r>
      <w:r w:rsidR="00087EB6">
        <w:rPr>
          <w:rFonts w:cstheme="minorHAnsi"/>
        </w:rPr>
        <w:t>zmieniła się znacząco</w:t>
      </w:r>
      <w:r w:rsidRPr="0044318F">
        <w:rPr>
          <w:rFonts w:cstheme="minorHAnsi"/>
        </w:rPr>
        <w:t xml:space="preserve">. Można jednak zauważyć niewielki spadek odsetka osób szacujących skalę ubóstwa na więcej niż </w:t>
      </w:r>
      <w:r w:rsidR="00087EB6">
        <w:rPr>
          <w:rFonts w:cstheme="minorHAnsi"/>
        </w:rPr>
        <w:t>2</w:t>
      </w:r>
      <w:r w:rsidRPr="0044318F">
        <w:rPr>
          <w:rFonts w:cstheme="minorHAnsi"/>
        </w:rPr>
        <w:t>0%.</w:t>
      </w:r>
    </w:p>
    <w:p w:rsidR="00A757D3" w:rsidRPr="005D0993" w:rsidRDefault="005537DA" w:rsidP="00A757D3">
      <w:pPr>
        <w:rPr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3753563</wp:posOffset>
            </wp:positionV>
            <wp:extent cx="5006340" cy="2415540"/>
            <wp:effectExtent l="0" t="0" r="3810" b="3810"/>
            <wp:wrapTopAndBottom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A757D3" w:rsidRPr="005D0993">
        <w:rPr>
          <w:b/>
          <w:sz w:val="18"/>
          <w:szCs w:val="18"/>
        </w:rPr>
        <w:t>Opinie mieszkańców Polski w wieku 16 lat i więcej dotyczące zasięgu ubóstwa w Polsce</w:t>
      </w:r>
      <w:r w:rsidR="00A757D3" w:rsidRPr="005D0993">
        <w:rPr>
          <w:rFonts w:cs="Arial"/>
          <w:b/>
          <w:bCs/>
          <w:sz w:val="18"/>
          <w:szCs w:val="18"/>
        </w:rPr>
        <w:t xml:space="preserve"> w % osób</w:t>
      </w:r>
      <w:r w:rsidR="00A757D3" w:rsidRPr="005D0993">
        <w:rPr>
          <w:rFonts w:cs="Arial"/>
          <w:b/>
          <w:bCs/>
          <w:sz w:val="18"/>
          <w:szCs w:val="18"/>
          <w:vertAlign w:val="superscript"/>
        </w:rPr>
        <w:t>a</w:t>
      </w:r>
    </w:p>
    <w:tbl>
      <w:tblPr>
        <w:tblStyle w:val="Siatkatabelijasna1"/>
        <w:tblW w:w="57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599"/>
        <w:gridCol w:w="1081"/>
        <w:gridCol w:w="1081"/>
      </w:tblGrid>
      <w:tr w:rsidR="00A757D3" w:rsidRPr="009511BA" w:rsidTr="00014665">
        <w:trPr>
          <w:trHeight w:val="57"/>
          <w:jc w:val="center"/>
        </w:trPr>
        <w:tc>
          <w:tcPr>
            <w:tcW w:w="3599" w:type="dxa"/>
            <w:vMerge w:val="restart"/>
            <w:vAlign w:val="center"/>
          </w:tcPr>
          <w:p w:rsidR="00A757D3" w:rsidRPr="009C7251" w:rsidRDefault="00A757D3" w:rsidP="005B4472">
            <w:pPr>
              <w:pStyle w:val="Nagwek1"/>
              <w:tabs>
                <w:tab w:val="right" w:leader="dot" w:pos="4139"/>
              </w:tabs>
              <w:spacing w:before="120"/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ODSETEK LUDZI BIEDNYCH WG OPINII       (PRZEDZIAŁY)</w:t>
            </w:r>
          </w:p>
        </w:tc>
        <w:tc>
          <w:tcPr>
            <w:tcW w:w="2162" w:type="dxa"/>
            <w:gridSpan w:val="2"/>
            <w:vAlign w:val="center"/>
          </w:tcPr>
          <w:p w:rsidR="00A757D3" w:rsidRPr="00FA5128" w:rsidRDefault="00A757D3" w:rsidP="00E8705B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Ogółem</w:t>
            </w:r>
          </w:p>
        </w:tc>
      </w:tr>
      <w:tr w:rsidR="00A757D3" w:rsidRPr="00FA5128" w:rsidTr="00014665">
        <w:trPr>
          <w:trHeight w:val="355"/>
          <w:jc w:val="center"/>
        </w:trPr>
        <w:tc>
          <w:tcPr>
            <w:tcW w:w="3599" w:type="dxa"/>
            <w:vMerge/>
            <w:tcBorders>
              <w:bottom w:val="single" w:sz="12" w:space="0" w:color="212492"/>
            </w:tcBorders>
            <w:vAlign w:val="center"/>
          </w:tcPr>
          <w:p w:rsidR="00A757D3" w:rsidRPr="00FA5128" w:rsidRDefault="00A757D3" w:rsidP="00E8705B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81" w:type="dxa"/>
            <w:tcBorders>
              <w:bottom w:val="single" w:sz="12" w:space="0" w:color="212492"/>
            </w:tcBorders>
            <w:vAlign w:val="center"/>
          </w:tcPr>
          <w:p w:rsidR="00A757D3" w:rsidRPr="00FA5128" w:rsidRDefault="00A757D3" w:rsidP="005B4472">
            <w:pPr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1081" w:type="dxa"/>
            <w:tcBorders>
              <w:bottom w:val="single" w:sz="12" w:space="0" w:color="212492"/>
            </w:tcBorders>
            <w:vAlign w:val="center"/>
          </w:tcPr>
          <w:p w:rsidR="00A757D3" w:rsidRPr="00FA5128" w:rsidRDefault="00A757D3" w:rsidP="005B4472">
            <w:pPr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</w:tr>
      <w:tr w:rsidR="003D3F6D" w:rsidRPr="00C44EE9" w:rsidTr="00014665">
        <w:trPr>
          <w:trHeight w:val="57"/>
          <w:jc w:val="center"/>
        </w:trPr>
        <w:tc>
          <w:tcPr>
            <w:tcW w:w="3599" w:type="dxa"/>
            <w:shd w:val="clear" w:color="auto" w:fill="auto"/>
            <w:vAlign w:val="center"/>
          </w:tcPr>
          <w:p w:rsidR="003D3F6D" w:rsidRPr="00B15280" w:rsidRDefault="003D3F6D" w:rsidP="004E7919">
            <w:pPr>
              <w:pStyle w:val="Nagwek2"/>
              <w:tabs>
                <w:tab w:val="right" w:leader="dot" w:pos="4156"/>
              </w:tabs>
              <w:spacing w:before="120" w:after="60" w:line="10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1528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nie ma ludzi biednych</w:t>
            </w:r>
          </w:p>
        </w:tc>
        <w:tc>
          <w:tcPr>
            <w:tcW w:w="1081" w:type="dxa"/>
            <w:vAlign w:val="center"/>
          </w:tcPr>
          <w:p w:rsidR="003D3F6D" w:rsidRPr="00B15280" w:rsidRDefault="003D3F6D" w:rsidP="004E7919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0,3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D3F6D" w:rsidRPr="00B15280" w:rsidRDefault="003D3F6D" w:rsidP="004E7919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0,7</w:t>
            </w:r>
          </w:p>
        </w:tc>
      </w:tr>
      <w:tr w:rsidR="00A757D3" w:rsidRPr="00C44EE9" w:rsidTr="00014665">
        <w:trPr>
          <w:trHeight w:val="57"/>
          <w:jc w:val="center"/>
        </w:trPr>
        <w:tc>
          <w:tcPr>
            <w:tcW w:w="3599" w:type="dxa"/>
            <w:shd w:val="clear" w:color="auto" w:fill="auto"/>
            <w:vAlign w:val="center"/>
          </w:tcPr>
          <w:p w:rsidR="00A757D3" w:rsidRPr="00B15280" w:rsidRDefault="00A757D3" w:rsidP="00763B26">
            <w:pPr>
              <w:pStyle w:val="Nagwek8"/>
              <w:tabs>
                <w:tab w:val="right" w:leader="dot" w:pos="4156"/>
              </w:tabs>
              <w:spacing w:before="120" w:after="60" w:line="100" w:lineRule="exact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</w:pPr>
            <w:r w:rsidRPr="00B1528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1% do </w:t>
            </w:r>
            <w:r w:rsidR="00763B26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5</w:t>
            </w:r>
            <w:r w:rsidRPr="00B1528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081" w:type="dxa"/>
            <w:vAlign w:val="center"/>
          </w:tcPr>
          <w:p w:rsidR="00A757D3" w:rsidRPr="00B15280" w:rsidRDefault="00763B26" w:rsidP="00763B26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  <w:r w:rsidR="00A757D3"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57D3" w:rsidRPr="00B15280" w:rsidRDefault="00763B26" w:rsidP="00763B26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</w:t>
            </w:r>
            <w:r w:rsidR="00A757D3"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A757D3" w:rsidRPr="00C44EE9" w:rsidTr="00014665">
        <w:trPr>
          <w:trHeight w:val="57"/>
          <w:jc w:val="center"/>
        </w:trPr>
        <w:tc>
          <w:tcPr>
            <w:tcW w:w="3599" w:type="dxa"/>
            <w:shd w:val="clear" w:color="auto" w:fill="auto"/>
            <w:vAlign w:val="center"/>
          </w:tcPr>
          <w:p w:rsidR="00A757D3" w:rsidRPr="00B15280" w:rsidRDefault="0095086E" w:rsidP="004E7919">
            <w:pPr>
              <w:pStyle w:val="Nagwek2"/>
              <w:tabs>
                <w:tab w:val="right" w:leader="dot" w:pos="4156"/>
              </w:tabs>
              <w:spacing w:before="120" w:after="60" w:line="10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6</w:t>
            </w:r>
            <w:r w:rsidR="00A757D3" w:rsidRPr="00B1528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% do 10%</w:t>
            </w:r>
          </w:p>
        </w:tc>
        <w:tc>
          <w:tcPr>
            <w:tcW w:w="1081" w:type="dxa"/>
            <w:vAlign w:val="center"/>
          </w:tcPr>
          <w:p w:rsidR="00A757D3" w:rsidRPr="00B15280" w:rsidRDefault="00A757D3" w:rsidP="004E7919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57D3" w:rsidRPr="00B15280" w:rsidRDefault="00A757D3" w:rsidP="004E7919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9,4</w:t>
            </w:r>
          </w:p>
        </w:tc>
      </w:tr>
      <w:tr w:rsidR="00327A1C" w:rsidRPr="00C44EE9" w:rsidTr="00014665">
        <w:trPr>
          <w:trHeight w:val="57"/>
          <w:jc w:val="center"/>
        </w:trPr>
        <w:tc>
          <w:tcPr>
            <w:tcW w:w="3599" w:type="dxa"/>
            <w:shd w:val="clear" w:color="auto" w:fill="auto"/>
            <w:vAlign w:val="center"/>
          </w:tcPr>
          <w:p w:rsidR="00327A1C" w:rsidRPr="00B15280" w:rsidRDefault="00327A1C" w:rsidP="00327A1C">
            <w:pPr>
              <w:pStyle w:val="Nagwek2"/>
              <w:tabs>
                <w:tab w:val="right" w:leader="dot" w:pos="4156"/>
              </w:tabs>
              <w:spacing w:before="120" w:after="60" w:line="10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11</w:t>
            </w:r>
            <w:r w:rsidRPr="00B1528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% do 1</w:t>
            </w: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5</w:t>
            </w:r>
            <w:r w:rsidRPr="00B1528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081" w:type="dxa"/>
            <w:vAlign w:val="center"/>
          </w:tcPr>
          <w:p w:rsidR="00327A1C" w:rsidRPr="00B15280" w:rsidRDefault="00327A1C" w:rsidP="00327A1C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7A1C" w:rsidRPr="00B15280" w:rsidRDefault="00327A1C" w:rsidP="00327A1C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5,9</w:t>
            </w:r>
          </w:p>
        </w:tc>
      </w:tr>
      <w:tr w:rsidR="00A757D3" w:rsidRPr="00C44EE9" w:rsidTr="00014665">
        <w:trPr>
          <w:trHeight w:val="57"/>
          <w:jc w:val="center"/>
        </w:trPr>
        <w:tc>
          <w:tcPr>
            <w:tcW w:w="3599" w:type="dxa"/>
            <w:shd w:val="clear" w:color="auto" w:fill="auto"/>
            <w:vAlign w:val="center"/>
          </w:tcPr>
          <w:p w:rsidR="00A757D3" w:rsidRPr="00B15280" w:rsidRDefault="00A757D3" w:rsidP="004E7919">
            <w:pPr>
              <w:pStyle w:val="Nagwek9"/>
              <w:tabs>
                <w:tab w:val="right" w:leader="dot" w:pos="4156"/>
              </w:tabs>
              <w:spacing w:before="120" w:after="60" w:line="100" w:lineRule="exact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B15280">
              <w:rPr>
                <w:rFonts w:ascii="Fira Sans" w:eastAsia="Times New Roman" w:hAnsi="Fira Sans" w:cs="Arial"/>
                <w:i w:val="0"/>
                <w:color w:val="000000"/>
                <w:sz w:val="16"/>
                <w:szCs w:val="16"/>
                <w:lang w:eastAsia="pl-PL"/>
              </w:rPr>
              <w:t>1</w:t>
            </w:r>
            <w:r w:rsidR="00501E22">
              <w:rPr>
                <w:rFonts w:ascii="Fira Sans" w:eastAsia="Times New Roman" w:hAnsi="Fira Sans" w:cs="Arial"/>
                <w:i w:val="0"/>
                <w:color w:val="000000"/>
                <w:sz w:val="16"/>
                <w:szCs w:val="16"/>
                <w:lang w:eastAsia="pl-PL"/>
              </w:rPr>
              <w:t>6</w:t>
            </w:r>
            <w:r w:rsidRPr="00B15280">
              <w:rPr>
                <w:rFonts w:ascii="Fira Sans" w:eastAsia="Times New Roman" w:hAnsi="Fira Sans" w:cs="Arial"/>
                <w:i w:val="0"/>
                <w:color w:val="000000"/>
                <w:sz w:val="16"/>
                <w:szCs w:val="16"/>
                <w:lang w:eastAsia="pl-PL"/>
              </w:rPr>
              <w:t>% do 20%</w:t>
            </w:r>
          </w:p>
        </w:tc>
        <w:tc>
          <w:tcPr>
            <w:tcW w:w="1081" w:type="dxa"/>
            <w:vAlign w:val="center"/>
          </w:tcPr>
          <w:p w:rsidR="00A757D3" w:rsidRPr="00B15280" w:rsidRDefault="00A757D3" w:rsidP="004E7919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12,4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57D3" w:rsidRPr="00B15280" w:rsidRDefault="00A757D3" w:rsidP="004E7919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13,2</w:t>
            </w:r>
          </w:p>
        </w:tc>
      </w:tr>
      <w:tr w:rsidR="00A757D3" w:rsidRPr="00C44EE9" w:rsidTr="00014665">
        <w:trPr>
          <w:trHeight w:val="57"/>
          <w:jc w:val="center"/>
        </w:trPr>
        <w:tc>
          <w:tcPr>
            <w:tcW w:w="3599" w:type="dxa"/>
            <w:shd w:val="clear" w:color="auto" w:fill="auto"/>
            <w:vAlign w:val="center"/>
          </w:tcPr>
          <w:p w:rsidR="00A757D3" w:rsidRPr="005B4472" w:rsidRDefault="00A757D3" w:rsidP="00A0518D">
            <w:pPr>
              <w:pStyle w:val="Nagwek9"/>
              <w:spacing w:before="120" w:after="60" w:line="100" w:lineRule="exact"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5B4472">
              <w:rPr>
                <w:rFonts w:ascii="Fira Sans" w:eastAsia="Times New Roman" w:hAnsi="Fira Sans"/>
                <w:i w:val="0"/>
                <w:sz w:val="16"/>
                <w:szCs w:val="16"/>
                <w:lang w:eastAsia="pl-PL"/>
              </w:rPr>
              <w:t>21% do 25%</w:t>
            </w:r>
          </w:p>
        </w:tc>
        <w:tc>
          <w:tcPr>
            <w:tcW w:w="1081" w:type="dxa"/>
            <w:vAlign w:val="center"/>
          </w:tcPr>
          <w:p w:rsidR="00A757D3" w:rsidRPr="00B15280" w:rsidRDefault="00A757D3" w:rsidP="004E7919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57D3" w:rsidRPr="00B15280" w:rsidRDefault="00A757D3" w:rsidP="004E7919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3,4</w:t>
            </w:r>
          </w:p>
        </w:tc>
      </w:tr>
      <w:tr w:rsidR="00A757D3" w:rsidRPr="00C44EE9" w:rsidTr="00014665">
        <w:trPr>
          <w:trHeight w:val="57"/>
          <w:jc w:val="center"/>
        </w:trPr>
        <w:tc>
          <w:tcPr>
            <w:tcW w:w="3599" w:type="dxa"/>
            <w:shd w:val="clear" w:color="auto" w:fill="auto"/>
            <w:vAlign w:val="center"/>
          </w:tcPr>
          <w:p w:rsidR="00A757D3" w:rsidRPr="00B15280" w:rsidRDefault="00A757D3" w:rsidP="004E7919">
            <w:pPr>
              <w:pStyle w:val="Nagwek2"/>
              <w:tabs>
                <w:tab w:val="right" w:leader="dot" w:pos="4156"/>
              </w:tabs>
              <w:spacing w:before="120" w:after="60" w:line="10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1528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</w:t>
            </w:r>
            <w:r w:rsidR="00501E22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6</w:t>
            </w:r>
            <w:r w:rsidRPr="00B1528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% do 30%</w:t>
            </w:r>
          </w:p>
        </w:tc>
        <w:tc>
          <w:tcPr>
            <w:tcW w:w="1081" w:type="dxa"/>
            <w:vAlign w:val="center"/>
          </w:tcPr>
          <w:p w:rsidR="00A757D3" w:rsidRPr="00B15280" w:rsidRDefault="00A757D3" w:rsidP="004E7919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14,6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57D3" w:rsidRPr="00B15280" w:rsidRDefault="00A757D3" w:rsidP="004E7919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14,0</w:t>
            </w:r>
          </w:p>
        </w:tc>
      </w:tr>
      <w:tr w:rsidR="00A757D3" w:rsidRPr="00C44EE9" w:rsidTr="00014665">
        <w:trPr>
          <w:trHeight w:val="57"/>
          <w:jc w:val="center"/>
        </w:trPr>
        <w:tc>
          <w:tcPr>
            <w:tcW w:w="3599" w:type="dxa"/>
            <w:shd w:val="clear" w:color="auto" w:fill="auto"/>
            <w:vAlign w:val="center"/>
          </w:tcPr>
          <w:p w:rsidR="00A757D3" w:rsidRPr="00B15280" w:rsidRDefault="00A757D3" w:rsidP="004E7919">
            <w:pPr>
              <w:pStyle w:val="Nagwek2"/>
              <w:tabs>
                <w:tab w:val="right" w:leader="dot" w:pos="4156"/>
              </w:tabs>
              <w:spacing w:before="120" w:after="60" w:line="10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1528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31% do 40%</w:t>
            </w:r>
          </w:p>
        </w:tc>
        <w:tc>
          <w:tcPr>
            <w:tcW w:w="1081" w:type="dxa"/>
            <w:vAlign w:val="center"/>
          </w:tcPr>
          <w:p w:rsidR="00A757D3" w:rsidRPr="00B15280" w:rsidRDefault="00A757D3" w:rsidP="004E7919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9,9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57D3" w:rsidRPr="00B15280" w:rsidRDefault="00A757D3" w:rsidP="004E7919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9,5</w:t>
            </w:r>
          </w:p>
        </w:tc>
      </w:tr>
      <w:tr w:rsidR="00A757D3" w:rsidRPr="00C44EE9" w:rsidTr="00014665">
        <w:trPr>
          <w:trHeight w:val="57"/>
          <w:jc w:val="center"/>
        </w:trPr>
        <w:tc>
          <w:tcPr>
            <w:tcW w:w="3599" w:type="dxa"/>
            <w:shd w:val="clear" w:color="auto" w:fill="auto"/>
            <w:vAlign w:val="center"/>
          </w:tcPr>
          <w:p w:rsidR="00A757D3" w:rsidRPr="00B15280" w:rsidRDefault="00A757D3" w:rsidP="004E7919">
            <w:pPr>
              <w:pStyle w:val="Nagwek2"/>
              <w:tabs>
                <w:tab w:val="right" w:leader="dot" w:pos="4156"/>
              </w:tabs>
              <w:spacing w:before="120" w:after="60" w:line="10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1528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41% do 50%</w:t>
            </w:r>
          </w:p>
        </w:tc>
        <w:tc>
          <w:tcPr>
            <w:tcW w:w="1081" w:type="dxa"/>
            <w:vAlign w:val="center"/>
          </w:tcPr>
          <w:p w:rsidR="00A757D3" w:rsidRPr="00B15280" w:rsidRDefault="00A757D3" w:rsidP="004E7919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7,3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57D3" w:rsidRPr="00B15280" w:rsidRDefault="00A757D3" w:rsidP="004E7919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5,5</w:t>
            </w:r>
          </w:p>
        </w:tc>
      </w:tr>
      <w:tr w:rsidR="00A757D3" w:rsidRPr="00C44EE9" w:rsidTr="00014665">
        <w:trPr>
          <w:trHeight w:val="57"/>
          <w:jc w:val="center"/>
        </w:trPr>
        <w:tc>
          <w:tcPr>
            <w:tcW w:w="3599" w:type="dxa"/>
            <w:shd w:val="clear" w:color="auto" w:fill="auto"/>
            <w:vAlign w:val="center"/>
          </w:tcPr>
          <w:p w:rsidR="00A757D3" w:rsidRPr="00B15280" w:rsidRDefault="00A757D3" w:rsidP="004E7919">
            <w:pPr>
              <w:pStyle w:val="Nagwek2"/>
              <w:tabs>
                <w:tab w:val="right" w:leader="dot" w:pos="4156"/>
              </w:tabs>
              <w:spacing w:before="120" w:after="60" w:line="10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1528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powyżej 50%</w:t>
            </w:r>
          </w:p>
        </w:tc>
        <w:tc>
          <w:tcPr>
            <w:tcW w:w="1081" w:type="dxa"/>
            <w:vAlign w:val="center"/>
          </w:tcPr>
          <w:p w:rsidR="00A757D3" w:rsidRPr="00B15280" w:rsidRDefault="00A757D3" w:rsidP="004E7919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8,7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57D3" w:rsidRPr="00B15280" w:rsidRDefault="00A757D3" w:rsidP="004E7919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5,4</w:t>
            </w:r>
          </w:p>
        </w:tc>
      </w:tr>
      <w:tr w:rsidR="00A757D3" w:rsidRPr="00C44EE9" w:rsidTr="00014665">
        <w:trPr>
          <w:trHeight w:val="393"/>
          <w:jc w:val="center"/>
        </w:trPr>
        <w:tc>
          <w:tcPr>
            <w:tcW w:w="3599" w:type="dxa"/>
            <w:shd w:val="clear" w:color="auto" w:fill="auto"/>
            <w:vAlign w:val="center"/>
          </w:tcPr>
          <w:p w:rsidR="00A757D3" w:rsidRPr="00B15280" w:rsidRDefault="00A757D3" w:rsidP="004E7919">
            <w:pPr>
              <w:pStyle w:val="Nagwek2"/>
              <w:tabs>
                <w:tab w:val="right" w:leader="dot" w:pos="4156"/>
              </w:tabs>
              <w:spacing w:before="120" w:after="60" w:line="10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1528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nie wiem</w:t>
            </w:r>
          </w:p>
        </w:tc>
        <w:tc>
          <w:tcPr>
            <w:tcW w:w="1081" w:type="dxa"/>
            <w:vAlign w:val="center"/>
          </w:tcPr>
          <w:p w:rsidR="00A757D3" w:rsidRPr="00B15280" w:rsidRDefault="00A757D3" w:rsidP="004E7919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27,5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757D3" w:rsidRPr="00B15280" w:rsidRDefault="00A757D3" w:rsidP="004E7919">
            <w:pPr>
              <w:spacing w:after="60" w:line="1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1528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29,5</w:t>
            </w:r>
          </w:p>
        </w:tc>
      </w:tr>
    </w:tbl>
    <w:p w:rsidR="006E7C54" w:rsidRDefault="005537DA" w:rsidP="005D37C4">
      <w:pPr>
        <w:spacing w:before="60" w:after="60"/>
        <w:rPr>
          <w:b/>
          <w:color w:val="1F4E79" w:themeColor="accent1" w:themeShade="80"/>
          <w:shd w:val="clear" w:color="auto" w:fill="FFFFFF"/>
        </w:rPr>
      </w:pPr>
      <w:r w:rsidRPr="006705B0">
        <w:rPr>
          <w:sz w:val="16"/>
          <w:szCs w:val="16"/>
          <w:vertAlign w:val="superscript"/>
        </w:rPr>
        <w:t xml:space="preserve"> </w:t>
      </w:r>
      <w:r w:rsidR="00A757D3" w:rsidRPr="006705B0">
        <w:rPr>
          <w:sz w:val="16"/>
          <w:szCs w:val="16"/>
          <w:vertAlign w:val="superscript"/>
        </w:rPr>
        <w:t xml:space="preserve">a </w:t>
      </w:r>
      <w:r w:rsidR="00A757D3" w:rsidRPr="006705B0">
        <w:rPr>
          <w:sz w:val="16"/>
          <w:szCs w:val="16"/>
        </w:rPr>
        <w:t xml:space="preserve">Opracowano na podstawie odpowiedzi na pytanie: </w:t>
      </w:r>
      <w:r w:rsidR="00A757D3" w:rsidRPr="00465AA1">
        <w:rPr>
          <w:i/>
          <w:sz w:val="16"/>
          <w:szCs w:val="16"/>
        </w:rPr>
        <w:t>Jak Pan/Pani sądzi, jaki procent (w przybliżeniu) stanowią</w:t>
      </w:r>
      <w:r w:rsidR="00A757D3" w:rsidRPr="006705B0">
        <w:rPr>
          <w:i/>
          <w:sz w:val="16"/>
          <w:szCs w:val="16"/>
        </w:rPr>
        <w:t xml:space="preserve"> w naszym kraju ludzie biedni? Chodzi o ludzi, którym m.in. nie starcza pieniędzy na zakup jedzenia, odzieży, opłacenie mieszkania.</w:t>
      </w:r>
      <w:r w:rsidR="006E7C54">
        <w:rPr>
          <w:b/>
          <w:color w:val="1F4E79" w:themeColor="accent1" w:themeShade="80"/>
          <w:shd w:val="clear" w:color="auto" w:fill="FFFFFF"/>
        </w:rPr>
        <w:br w:type="page"/>
      </w:r>
    </w:p>
    <w:p w:rsidR="00EA43D5" w:rsidRPr="00A3279A" w:rsidRDefault="006E7C54" w:rsidP="00172402">
      <w:pPr>
        <w:rPr>
          <w:b/>
          <w:color w:val="001D77"/>
          <w:shd w:val="clear" w:color="auto" w:fill="FFFFFF"/>
        </w:rPr>
      </w:pPr>
      <w:r w:rsidRPr="00A3279A">
        <w:rPr>
          <w:noProof/>
          <w:color w:val="001D77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37CFF7B3" wp14:editId="405E671E">
                <wp:simplePos x="0" y="0"/>
                <wp:positionH relativeFrom="column">
                  <wp:posOffset>5278018</wp:posOffset>
                </wp:positionH>
                <wp:positionV relativeFrom="paragraph">
                  <wp:posOffset>6350</wp:posOffset>
                </wp:positionV>
                <wp:extent cx="1727835" cy="1463040"/>
                <wp:effectExtent l="0" t="0" r="0" b="381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97214" w:rsidRPr="00A3279A" w:rsidRDefault="00776673" w:rsidP="00997214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A3279A"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  <w:t>Zdecydowana większość mieszkańców Polski w wieku 16 lat i więcej dostrzega potrzebę aktywnej roli państwa w ograniczaniu dysproporcji dochodowych oraz we wspieraniu materialnym osób żyjących w ubóstwie.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CFF7B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15.6pt;margin-top:.5pt;width:136.05pt;height:115.2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" filled="f" stroked="f">
                <v:textbox style="mso-fit-shape-to-text:t">
                  <w:txbxContent>
                    <w:p w:rsidR="00997214" w:rsidRPr="00A3279A" w:rsidRDefault="00776673" w:rsidP="00997214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r w:rsidRPr="00A3279A">
                        <w:rPr>
                          <w:b/>
                          <w:color w:val="001D77"/>
                          <w:sz w:val="18"/>
                          <w:szCs w:val="18"/>
                        </w:rPr>
                        <w:t>Zdecydowana większość mieszkańców Polski w wieku 16 lat i więcej dostrzega potrzebę aktywnej roli państwa w ograniczaniu dysproporcji dochodowych oraz we wspieraniu materialnym osób żyjących w ubóstwie.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47AB" w:rsidRPr="00A3279A">
        <w:rPr>
          <w:b/>
          <w:color w:val="001D77"/>
          <w:shd w:val="clear" w:color="auto" w:fill="FFFFFF"/>
        </w:rPr>
        <w:t>Jak postrzegamy rolę państwa w niwelowaniu różnic dochodowych i ograniczaniu ubóstwa?</w:t>
      </w:r>
    </w:p>
    <w:p w:rsidR="00EA43D5" w:rsidRDefault="00EA43D5" w:rsidP="00172402">
      <w:pPr>
        <w:rPr>
          <w:shd w:val="clear" w:color="auto" w:fill="FFFFFF"/>
        </w:rPr>
      </w:pPr>
      <w:r>
        <w:rPr>
          <w:shd w:val="clear" w:color="auto" w:fill="FFFFFF"/>
        </w:rPr>
        <w:t>Mieszkańcy Polski uważają w większości, iż do obowiązków państwa należy zmniejszanie różnic pomiędzy wysokimi i niskimi dochodami. Z takim twierdzeniem zgadza się (w tym zdecydowanie) prawie 78% osób w wieku 16 lat i więcej. Przeciwnego zdania jest niecałe 7% osób.</w:t>
      </w:r>
    </w:p>
    <w:p w:rsidR="00EA43D5" w:rsidRDefault="00EA43D5" w:rsidP="00172402">
      <w:pPr>
        <w:rPr>
          <w:shd w:val="clear" w:color="auto" w:fill="FFFFFF"/>
        </w:rPr>
      </w:pPr>
      <w:r>
        <w:rPr>
          <w:shd w:val="clear" w:color="auto" w:fill="FFFFFF"/>
        </w:rPr>
        <w:t>Podobnie postrzegana jest rola państwa w zapewnieniu każdemu minimalnego dochodu - ok.</w:t>
      </w:r>
      <w:r w:rsidR="00172402">
        <w:rPr>
          <w:shd w:val="clear" w:color="auto" w:fill="FFFFFF"/>
        </w:rPr>
        <w:t> </w:t>
      </w:r>
      <w:r>
        <w:rPr>
          <w:shd w:val="clear" w:color="auto" w:fill="FFFFFF"/>
        </w:rPr>
        <w:t>78% mieszkańców Polski uważa,</w:t>
      </w:r>
      <w:r w:rsidR="00306667">
        <w:rPr>
          <w:shd w:val="clear" w:color="auto" w:fill="FFFFFF"/>
        </w:rPr>
        <w:t xml:space="preserve"> </w:t>
      </w:r>
      <w:r>
        <w:rPr>
          <w:shd w:val="clear" w:color="auto" w:fill="FFFFFF"/>
        </w:rPr>
        <w:t>że państwo powinno zapewnić każdemu podstawowe minimum dochodu a ok. 8% - nie zgadza się z tą opinią.</w:t>
      </w:r>
    </w:p>
    <w:p w:rsidR="0071324E" w:rsidRDefault="0071324E" w:rsidP="00172402">
      <w:pPr>
        <w:rPr>
          <w:shd w:val="clear" w:color="auto" w:fill="FFFFFF"/>
        </w:rPr>
      </w:pPr>
    </w:p>
    <w:p w:rsidR="00964ED7" w:rsidRDefault="008A6DD8" w:rsidP="00EA43D5">
      <w:pPr>
        <w:jc w:val="both"/>
        <w:rPr>
          <w:b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483440</wp:posOffset>
            </wp:positionV>
            <wp:extent cx="4861560" cy="3086100"/>
            <wp:effectExtent l="0" t="0" r="0" b="0"/>
            <wp:wrapTopAndBottom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964ED7" w:rsidRPr="00AA644E">
        <w:rPr>
          <w:b/>
          <w:shd w:val="clear" w:color="auto" w:fill="FFFFFF"/>
        </w:rPr>
        <w:t xml:space="preserve">Wykres </w:t>
      </w:r>
      <w:r w:rsidR="009E0880">
        <w:rPr>
          <w:b/>
          <w:shd w:val="clear" w:color="auto" w:fill="FFFFFF"/>
        </w:rPr>
        <w:t>2</w:t>
      </w:r>
      <w:r w:rsidR="00AA644E" w:rsidRPr="00AA644E">
        <w:rPr>
          <w:b/>
          <w:shd w:val="clear" w:color="auto" w:fill="FFFFFF"/>
        </w:rPr>
        <w:t xml:space="preserve">. Stosunek mieszkańców Polski do opinii: </w:t>
      </w:r>
      <w:r w:rsidR="00AA644E" w:rsidRPr="00AA644E">
        <w:rPr>
          <w:b/>
          <w:i/>
          <w:shd w:val="clear" w:color="auto" w:fill="FFFFFF"/>
        </w:rPr>
        <w:t>do obowiązków państwa powinno należeć zmniejszanie różnic pomiędz</w:t>
      </w:r>
      <w:r w:rsidR="00172402">
        <w:rPr>
          <w:b/>
          <w:i/>
          <w:shd w:val="clear" w:color="auto" w:fill="FFFFFF"/>
        </w:rPr>
        <w:t xml:space="preserve">y wysokimi i niskimi dochodami </w:t>
      </w:r>
      <w:r w:rsidR="00172402">
        <w:rPr>
          <w:b/>
          <w:shd w:val="clear" w:color="auto" w:fill="FFFFFF"/>
        </w:rPr>
        <w:t>(</w:t>
      </w:r>
      <w:r w:rsidR="00AA644E" w:rsidRPr="00AA644E">
        <w:rPr>
          <w:b/>
          <w:shd w:val="clear" w:color="auto" w:fill="FFFFFF"/>
        </w:rPr>
        <w:t>w % osób w wieku 16 lat i więcej</w:t>
      </w:r>
      <w:r w:rsidR="00172402">
        <w:rPr>
          <w:noProof/>
          <w:lang w:eastAsia="pl-PL"/>
        </w:rPr>
        <w:t>)</w:t>
      </w:r>
    </w:p>
    <w:p w:rsidR="008A6DD8" w:rsidRPr="00AA644E" w:rsidRDefault="008A6DD8" w:rsidP="00EA43D5">
      <w:pPr>
        <w:jc w:val="both"/>
        <w:rPr>
          <w:b/>
          <w:shd w:val="clear" w:color="auto" w:fill="FFFFFF"/>
        </w:rPr>
      </w:pPr>
    </w:p>
    <w:p w:rsidR="004C5C78" w:rsidRDefault="008A6DD8" w:rsidP="004C5C78">
      <w:pPr>
        <w:jc w:val="both"/>
        <w:rPr>
          <w:b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491580</wp:posOffset>
            </wp:positionV>
            <wp:extent cx="4808220" cy="2956560"/>
            <wp:effectExtent l="0" t="0" r="0" b="0"/>
            <wp:wrapTopAndBottom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4C5C78" w:rsidRPr="00AA644E">
        <w:rPr>
          <w:b/>
          <w:shd w:val="clear" w:color="auto" w:fill="FFFFFF"/>
        </w:rPr>
        <w:t xml:space="preserve">Wykres </w:t>
      </w:r>
      <w:r w:rsidR="009E0880">
        <w:rPr>
          <w:b/>
          <w:shd w:val="clear" w:color="auto" w:fill="FFFFFF"/>
        </w:rPr>
        <w:t>3</w:t>
      </w:r>
      <w:r w:rsidR="004C5C78" w:rsidRPr="00AA644E">
        <w:rPr>
          <w:b/>
          <w:shd w:val="clear" w:color="auto" w:fill="FFFFFF"/>
        </w:rPr>
        <w:t xml:space="preserve">. Stosunek mieszkańców Polski do opinii: </w:t>
      </w:r>
      <w:r w:rsidR="004C5C78" w:rsidRPr="004C5C78">
        <w:rPr>
          <w:b/>
          <w:i/>
          <w:shd w:val="clear" w:color="auto" w:fill="FFFFFF"/>
        </w:rPr>
        <w:t>p</w:t>
      </w:r>
      <w:r w:rsidR="004C5C78" w:rsidRPr="00AA644E">
        <w:rPr>
          <w:b/>
          <w:i/>
          <w:shd w:val="clear" w:color="auto" w:fill="FFFFFF"/>
        </w:rPr>
        <w:t>aństw</w:t>
      </w:r>
      <w:r w:rsidR="004C5C78">
        <w:rPr>
          <w:b/>
          <w:i/>
          <w:shd w:val="clear" w:color="auto" w:fill="FFFFFF"/>
        </w:rPr>
        <w:t>o</w:t>
      </w:r>
      <w:r w:rsidR="004C5C78" w:rsidRPr="00AA644E">
        <w:rPr>
          <w:b/>
          <w:i/>
          <w:shd w:val="clear" w:color="auto" w:fill="FFFFFF"/>
        </w:rPr>
        <w:t xml:space="preserve"> powinno </w:t>
      </w:r>
      <w:r w:rsidR="004C5C78">
        <w:rPr>
          <w:b/>
          <w:i/>
          <w:shd w:val="clear" w:color="auto" w:fill="FFFFFF"/>
        </w:rPr>
        <w:t xml:space="preserve">zapewnić </w:t>
      </w:r>
      <w:r w:rsidR="006E7C54">
        <w:rPr>
          <w:b/>
          <w:i/>
          <w:shd w:val="clear" w:color="auto" w:fill="FFFFFF"/>
        </w:rPr>
        <w:t xml:space="preserve">każdemu       </w:t>
      </w:r>
      <w:r w:rsidR="004C5C78">
        <w:rPr>
          <w:b/>
          <w:i/>
          <w:shd w:val="clear" w:color="auto" w:fill="FFFFFF"/>
        </w:rPr>
        <w:t>podstawowe minimum dochodów</w:t>
      </w:r>
      <w:r w:rsidR="004C5C78" w:rsidRPr="00AA644E">
        <w:rPr>
          <w:b/>
          <w:i/>
          <w:shd w:val="clear" w:color="auto" w:fill="FFFFFF"/>
        </w:rPr>
        <w:t xml:space="preserve"> </w:t>
      </w:r>
      <w:r w:rsidR="00EE787E">
        <w:rPr>
          <w:b/>
          <w:i/>
          <w:shd w:val="clear" w:color="auto" w:fill="FFFFFF"/>
        </w:rPr>
        <w:t>(</w:t>
      </w:r>
      <w:r w:rsidR="004C5C78" w:rsidRPr="00AA644E">
        <w:rPr>
          <w:b/>
          <w:shd w:val="clear" w:color="auto" w:fill="FFFFFF"/>
        </w:rPr>
        <w:t>w % osób w wieku 16 lat i więcej</w:t>
      </w:r>
      <w:r w:rsidR="00EE787E">
        <w:rPr>
          <w:b/>
          <w:shd w:val="clear" w:color="auto" w:fill="FFFFFF"/>
        </w:rPr>
        <w:t>)</w:t>
      </w:r>
    </w:p>
    <w:p w:rsidR="0071324E" w:rsidRPr="00AA644E" w:rsidRDefault="0071324E" w:rsidP="004C5C78">
      <w:pPr>
        <w:jc w:val="both"/>
        <w:rPr>
          <w:b/>
          <w:shd w:val="clear" w:color="auto" w:fill="FFFFFF"/>
        </w:rPr>
      </w:pPr>
    </w:p>
    <w:p w:rsidR="00EA43D5" w:rsidRDefault="006B5A52" w:rsidP="0071324E">
      <w:pPr>
        <w:rPr>
          <w:shd w:val="clear" w:color="auto" w:fill="FFFFFF"/>
        </w:rPr>
      </w:pPr>
      <w:r>
        <w:rPr>
          <w:shd w:val="clear" w:color="auto" w:fill="FFFFFF"/>
        </w:rPr>
        <w:t>Powszechne jest również przekonanie o potrzebie zaangażowania państwa w pomoc ludziom biednym.</w:t>
      </w:r>
      <w:r w:rsidR="0071324E">
        <w:rPr>
          <w:shd w:val="clear" w:color="auto" w:fill="FFFFFF"/>
        </w:rPr>
        <w:t xml:space="preserve"> </w:t>
      </w:r>
      <w:r w:rsidR="00EA43D5">
        <w:rPr>
          <w:shd w:val="clear" w:color="auto" w:fill="FFFFFF"/>
        </w:rPr>
        <w:t>Zgodnie z opinią ok.</w:t>
      </w:r>
      <w:r w:rsidR="0071324E">
        <w:rPr>
          <w:shd w:val="clear" w:color="auto" w:fill="FFFFFF"/>
        </w:rPr>
        <w:t xml:space="preserve"> </w:t>
      </w:r>
      <w:r w:rsidR="00EA43D5">
        <w:rPr>
          <w:shd w:val="clear" w:color="auto" w:fill="FFFFFF"/>
        </w:rPr>
        <w:t xml:space="preserve">59% osób wsparcie materialne dla ludzi żyjących w ubóstwie </w:t>
      </w:r>
      <w:r w:rsidR="00EA43D5">
        <w:rPr>
          <w:shd w:val="clear" w:color="auto" w:fill="FFFFFF"/>
        </w:rPr>
        <w:lastRenderedPageBreak/>
        <w:t>jest przede wszystkim zadaniem dla państwa a nie rodziny</w:t>
      </w:r>
      <w:r w:rsidR="00EA43D5">
        <w:rPr>
          <w:rStyle w:val="Odwoanieprzypisudolnego"/>
          <w:shd w:val="clear" w:color="auto" w:fill="FFFFFF"/>
        </w:rPr>
        <w:footnoteReference w:id="2"/>
      </w:r>
      <w:r w:rsidR="00EA43D5">
        <w:rPr>
          <w:shd w:val="clear" w:color="auto" w:fill="FFFFFF"/>
        </w:rPr>
        <w:t xml:space="preserve">. Ponad jedna trzecia (ok. 36%) uważa, że jest to zadanie zarówno dla państwa jak i </w:t>
      </w:r>
      <w:r w:rsidR="002B1ED9">
        <w:rPr>
          <w:shd w:val="clear" w:color="auto" w:fill="FFFFFF"/>
        </w:rPr>
        <w:t xml:space="preserve">dla </w:t>
      </w:r>
      <w:r w:rsidR="00EA43D5">
        <w:rPr>
          <w:shd w:val="clear" w:color="auto" w:fill="FFFFFF"/>
        </w:rPr>
        <w:t>rodziny. Rodzinę, jako główne źródło wsparcia materialnego osób ubogich postrzega natomiast około co dwudziesty mieszkaniec Polski (3,5% uważa</w:t>
      </w:r>
      <w:r w:rsidR="00056DC4">
        <w:rPr>
          <w:shd w:val="clear" w:color="auto" w:fill="FFFFFF"/>
        </w:rPr>
        <w:t>,</w:t>
      </w:r>
      <w:r w:rsidR="00EA43D5">
        <w:rPr>
          <w:shd w:val="clear" w:color="auto" w:fill="FFFFFF"/>
        </w:rPr>
        <w:t xml:space="preserve"> że jest to zadane bardziej dla rodziny niż dla państwa, a ok. 2%</w:t>
      </w:r>
      <w:r w:rsidR="00056DC4">
        <w:rPr>
          <w:shd w:val="clear" w:color="auto" w:fill="FFFFFF"/>
        </w:rPr>
        <w:t>, że jest to</w:t>
      </w:r>
      <w:r w:rsidR="00E8461A">
        <w:rPr>
          <w:shd w:val="clear" w:color="auto" w:fill="FFFFFF"/>
        </w:rPr>
        <w:t xml:space="preserve"> </w:t>
      </w:r>
      <w:r w:rsidR="00172402">
        <w:rPr>
          <w:shd w:val="clear" w:color="auto" w:fill="FFFFFF"/>
        </w:rPr>
        <w:t>zadanie głównie dla rodziny).</w:t>
      </w:r>
    </w:p>
    <w:p w:rsidR="0071324E" w:rsidRDefault="0071324E" w:rsidP="0071324E">
      <w:pPr>
        <w:rPr>
          <w:shd w:val="clear" w:color="auto" w:fill="FFFFFF"/>
        </w:rPr>
      </w:pPr>
    </w:p>
    <w:p w:rsidR="00172402" w:rsidRPr="008D191C" w:rsidRDefault="00172402" w:rsidP="00172402">
      <w:pPr>
        <w:jc w:val="both"/>
        <w:rPr>
          <w:b/>
          <w:shd w:val="clear" w:color="auto" w:fill="FFFFFF"/>
        </w:rPr>
      </w:pPr>
      <w:r w:rsidRPr="008D191C">
        <w:rPr>
          <w:b/>
          <w:noProof/>
          <w:lang w:eastAsia="pl-PL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377034</wp:posOffset>
            </wp:positionV>
            <wp:extent cx="4853940" cy="3398520"/>
            <wp:effectExtent l="0" t="0" r="3810" b="0"/>
            <wp:wrapTopAndBottom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Pr="008D191C">
        <w:rPr>
          <w:b/>
          <w:shd w:val="clear" w:color="auto" w:fill="FFFFFF"/>
        </w:rPr>
        <w:t xml:space="preserve">Wykres </w:t>
      </w:r>
      <w:r>
        <w:rPr>
          <w:b/>
          <w:shd w:val="clear" w:color="auto" w:fill="FFFFFF"/>
        </w:rPr>
        <w:t>4</w:t>
      </w:r>
      <w:r w:rsidRPr="008D191C">
        <w:rPr>
          <w:b/>
          <w:shd w:val="clear" w:color="auto" w:fill="FFFFFF"/>
        </w:rPr>
        <w:t xml:space="preserve"> Stosunek </w:t>
      </w:r>
      <w:r w:rsidR="009549F5">
        <w:rPr>
          <w:b/>
          <w:shd w:val="clear" w:color="auto" w:fill="FFFFFF"/>
        </w:rPr>
        <w:t xml:space="preserve">mieszkańców Polski </w:t>
      </w:r>
      <w:r w:rsidRPr="008D191C">
        <w:rPr>
          <w:b/>
          <w:shd w:val="clear" w:color="auto" w:fill="FFFFFF"/>
        </w:rPr>
        <w:t>do roli państwa i rodziny we wspieraniu materialnym osób żyjących w</w:t>
      </w:r>
      <w:r w:rsidR="009549F5">
        <w:rPr>
          <w:b/>
          <w:shd w:val="clear" w:color="auto" w:fill="FFFFFF"/>
        </w:rPr>
        <w:t xml:space="preserve"> </w:t>
      </w:r>
      <w:r w:rsidRPr="008D191C">
        <w:rPr>
          <w:b/>
          <w:shd w:val="clear" w:color="auto" w:fill="FFFFFF"/>
        </w:rPr>
        <w:t>ubóstwie w % osób w wieku 16 lat i więcej</w:t>
      </w:r>
    </w:p>
    <w:p w:rsidR="00172402" w:rsidRDefault="00172402" w:rsidP="00EA43D5">
      <w:pPr>
        <w:jc w:val="both"/>
        <w:rPr>
          <w:shd w:val="clear" w:color="auto" w:fill="FFFFFF"/>
        </w:rPr>
      </w:pPr>
    </w:p>
    <w:p w:rsidR="00EA43D5" w:rsidRDefault="00EA43D5" w:rsidP="0071324E">
      <w:pPr>
        <w:rPr>
          <w:shd w:val="clear" w:color="auto" w:fill="FFFFFF"/>
        </w:rPr>
      </w:pPr>
      <w:r>
        <w:rPr>
          <w:shd w:val="clear" w:color="auto" w:fill="FFFFFF"/>
        </w:rPr>
        <w:t>Powyższe dane wskazują iż poparcie społeczne dla interwencjonizmu państwa w zakresie niwelowania różnic dochodowych oraz udzielania wsparcia materialnego dla osób ubogich jest w 2018 r. bardzo duże. Jednak  w porównaniu z rokiem 2015 możemy mówić o niewielkim spadku tego poparcia. O blisko 5 p.</w:t>
      </w:r>
      <w:r w:rsidR="0071324E">
        <w:rPr>
          <w:shd w:val="clear" w:color="auto" w:fill="FFFFFF"/>
        </w:rPr>
        <w:t xml:space="preserve"> </w:t>
      </w:r>
      <w:r>
        <w:rPr>
          <w:shd w:val="clear" w:color="auto" w:fill="FFFFFF"/>
        </w:rPr>
        <w:t>proc</w:t>
      </w:r>
      <w:r w:rsidR="00A71AC3">
        <w:rPr>
          <w:shd w:val="clear" w:color="auto" w:fill="FFFFFF"/>
        </w:rPr>
        <w:t>.</w:t>
      </w:r>
      <w:r>
        <w:rPr>
          <w:shd w:val="clear" w:color="auto" w:fill="FFFFFF"/>
        </w:rPr>
        <w:t xml:space="preserve"> zmniejszył się np. odsetek osób uważających, iż państwo powinno zapewnić każdemu minimum dochodów a o 3 p.</w:t>
      </w:r>
      <w:r w:rsidR="0071324E">
        <w:rPr>
          <w:shd w:val="clear" w:color="auto" w:fill="FFFFFF"/>
        </w:rPr>
        <w:t xml:space="preserve"> </w:t>
      </w:r>
      <w:r>
        <w:rPr>
          <w:shd w:val="clear" w:color="auto" w:fill="FFFFFF"/>
        </w:rPr>
        <w:t>proc</w:t>
      </w:r>
      <w:r w:rsidR="00A71AC3">
        <w:rPr>
          <w:shd w:val="clear" w:color="auto" w:fill="FFFFFF"/>
        </w:rPr>
        <w:t>.</w:t>
      </w:r>
      <w:r>
        <w:rPr>
          <w:shd w:val="clear" w:color="auto" w:fill="FFFFFF"/>
        </w:rPr>
        <w:t xml:space="preserve">, odsetek osób twierdzących, iż obowiązkiem państwa jest zmniejszanie różnic dochodowych. </w:t>
      </w:r>
      <w:r w:rsidR="003E0419">
        <w:rPr>
          <w:shd w:val="clear" w:color="auto" w:fill="FFFFFF"/>
        </w:rPr>
        <w:t>Nieco rzadzie</w:t>
      </w:r>
      <w:r>
        <w:rPr>
          <w:shd w:val="clear" w:color="auto" w:fill="FFFFFF"/>
        </w:rPr>
        <w:t xml:space="preserve">j też wskazywano </w:t>
      </w:r>
      <w:r w:rsidR="003E0419">
        <w:rPr>
          <w:shd w:val="clear" w:color="auto" w:fill="FFFFFF"/>
        </w:rPr>
        <w:t xml:space="preserve">państwo </w:t>
      </w:r>
      <w:r>
        <w:rPr>
          <w:shd w:val="clear" w:color="auto" w:fill="FFFFFF"/>
        </w:rPr>
        <w:t>jako źródło wsparcia materialnego dla osób żyjących w ubóstwie.</w:t>
      </w:r>
    </w:p>
    <w:p w:rsidR="00116087" w:rsidRPr="00047119" w:rsidRDefault="004A26C9" w:rsidP="00D82539">
      <w:pPr>
        <w:jc w:val="both"/>
        <w:rPr>
          <w:b/>
          <w:color w:val="001D77"/>
          <w:shd w:val="clear" w:color="auto" w:fill="FFFFFF"/>
        </w:rPr>
      </w:pPr>
      <w:r w:rsidRPr="00047119">
        <w:rPr>
          <w:noProof/>
          <w:color w:val="001D77"/>
          <w:lang w:eastAsia="pl-PL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3117F89" wp14:editId="415685CF">
                <wp:simplePos x="0" y="0"/>
                <wp:positionH relativeFrom="column">
                  <wp:posOffset>5315331</wp:posOffset>
                </wp:positionH>
                <wp:positionV relativeFrom="paragraph">
                  <wp:posOffset>62611</wp:posOffset>
                </wp:positionV>
                <wp:extent cx="1727835" cy="853440"/>
                <wp:effectExtent l="0" t="0" r="0" b="381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233D" w:rsidRPr="00047119" w:rsidRDefault="00D3233D" w:rsidP="00D3233D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047119"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  <w:t>Za najważniejsze formy pomocy uznano</w:t>
                            </w:r>
                            <w:r w:rsidR="005B4472" w:rsidRPr="00047119"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  <w:t>:</w:t>
                            </w:r>
                            <w:r w:rsidRPr="00047119"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  <w:t xml:space="preserve"> pomoc w znalezieniu pracy, pomoc w opiece nad osobami chorymi, niepełnosprawnymi </w:t>
                            </w:r>
                            <w:r w:rsidR="005B4472" w:rsidRPr="00047119"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  <w:t>oraz</w:t>
                            </w:r>
                            <w:r w:rsidRPr="00047119"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  <w:t xml:space="preserve"> zwiększenie dostępności do </w:t>
                            </w:r>
                            <w:r w:rsidR="005B4472" w:rsidRPr="00047119"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  <w:t>bezpłatnych usług medycznych</w:t>
                            </w:r>
                            <w:r w:rsidRPr="00047119"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  <w:t>.</w:t>
                            </w:r>
                            <w:r w:rsidR="005B4472" w:rsidRPr="00047119"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  <w:t xml:space="preserve"> Takich form wsparcia częściej niż zasiłków pieniężnych oczekują też osoby ubogie.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117F89" id="_x0000_s1031" type="#_x0000_t202" style="position:absolute;left:0;text-align:left;margin-left:418.55pt;margin-top:4.95pt;width:136.05pt;height:67.2pt;z-index:251772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" filled="f" stroked="f">
                <v:textbox style="mso-fit-shape-to-text:t">
                  <w:txbxContent>
                    <w:p w:rsidR="00D3233D" w:rsidRPr="00047119" w:rsidRDefault="00D3233D" w:rsidP="00D3233D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r w:rsidRPr="00047119">
                        <w:rPr>
                          <w:b/>
                          <w:color w:val="001D77"/>
                          <w:sz w:val="18"/>
                          <w:szCs w:val="18"/>
                        </w:rPr>
                        <w:t>Za najważniejsze formy pomocy uznano</w:t>
                      </w:r>
                      <w:r w:rsidR="005B4472" w:rsidRPr="00047119">
                        <w:rPr>
                          <w:b/>
                          <w:color w:val="001D77"/>
                          <w:sz w:val="18"/>
                          <w:szCs w:val="18"/>
                        </w:rPr>
                        <w:t>:</w:t>
                      </w:r>
                      <w:r w:rsidRPr="00047119">
                        <w:rPr>
                          <w:b/>
                          <w:color w:val="001D77"/>
                          <w:sz w:val="18"/>
                          <w:szCs w:val="18"/>
                        </w:rPr>
                        <w:t xml:space="preserve"> pomoc w znalezieniu pracy, pomoc w opiece nad osobami chorymi, niepełnosprawnymi </w:t>
                      </w:r>
                      <w:r w:rsidR="005B4472" w:rsidRPr="00047119">
                        <w:rPr>
                          <w:b/>
                          <w:color w:val="001D77"/>
                          <w:sz w:val="18"/>
                          <w:szCs w:val="18"/>
                        </w:rPr>
                        <w:t>oraz</w:t>
                      </w:r>
                      <w:r w:rsidRPr="00047119">
                        <w:rPr>
                          <w:b/>
                          <w:color w:val="001D77"/>
                          <w:sz w:val="18"/>
                          <w:szCs w:val="18"/>
                        </w:rPr>
                        <w:t xml:space="preserve"> zwiększenie dostępności do </w:t>
                      </w:r>
                      <w:r w:rsidR="005B4472" w:rsidRPr="00047119">
                        <w:rPr>
                          <w:b/>
                          <w:color w:val="001D77"/>
                          <w:sz w:val="18"/>
                          <w:szCs w:val="18"/>
                        </w:rPr>
                        <w:t>bezpłatnych usług medycznych</w:t>
                      </w:r>
                      <w:r w:rsidRPr="00047119">
                        <w:rPr>
                          <w:b/>
                          <w:color w:val="001D77"/>
                          <w:sz w:val="18"/>
                          <w:szCs w:val="18"/>
                        </w:rPr>
                        <w:t>.</w:t>
                      </w:r>
                      <w:r w:rsidR="005B4472" w:rsidRPr="00047119">
                        <w:rPr>
                          <w:b/>
                          <w:color w:val="001D77"/>
                          <w:sz w:val="18"/>
                          <w:szCs w:val="18"/>
                        </w:rPr>
                        <w:t xml:space="preserve"> Takich form wsparcia częściej niż zasiłków pieniężnych oczekują też osoby ubogie.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D0B" w:rsidRPr="00047119">
        <w:rPr>
          <w:b/>
          <w:color w:val="001D77"/>
          <w:shd w:val="clear" w:color="auto" w:fill="FFFFFF"/>
        </w:rPr>
        <w:t xml:space="preserve">Jakiego rodzaju pomocy najbardziej potrzeba ludziom </w:t>
      </w:r>
      <w:r w:rsidR="003743CC" w:rsidRPr="00047119">
        <w:rPr>
          <w:b/>
          <w:color w:val="001D77"/>
          <w:shd w:val="clear" w:color="auto" w:fill="FFFFFF"/>
        </w:rPr>
        <w:t>ubogim?</w:t>
      </w:r>
    </w:p>
    <w:p w:rsidR="00657EC1" w:rsidRPr="004A26C9" w:rsidRDefault="00DA0A79" w:rsidP="0039663B">
      <w:pPr>
        <w:rPr>
          <w:color w:val="000000" w:themeColor="text1"/>
          <w:shd w:val="clear" w:color="auto" w:fill="FFFFFF"/>
        </w:rPr>
      </w:pPr>
      <w:r w:rsidRPr="004A26C9">
        <w:rPr>
          <w:color w:val="000000" w:themeColor="text1"/>
          <w:shd w:val="clear" w:color="auto" w:fill="FFFFFF"/>
        </w:rPr>
        <w:t>W opinii społecznej najbardziej potrzebną formą pomocy dla osób żyjących w ubóstwie jest pomoc w znalezieniu pracy. Jako jedną z trzech najbardziej potrzebnych form wsparcia uważa ją 43% mieszkańców Polski w wieku 16 lat i więcej. Ważne znaczenie mają również usługi społeczne. Preferowane jest głównie wsparcie w postaci: pomocy w pielęgnacji osób przewlekle chorych i niepełnosprawnych (ok.</w:t>
      </w:r>
      <w:r w:rsidR="004A26C9" w:rsidRPr="004A26C9">
        <w:rPr>
          <w:color w:val="000000" w:themeColor="text1"/>
          <w:shd w:val="clear" w:color="auto" w:fill="FFFFFF"/>
        </w:rPr>
        <w:t xml:space="preserve"> </w:t>
      </w:r>
      <w:r w:rsidRPr="004A26C9">
        <w:rPr>
          <w:color w:val="000000" w:themeColor="text1"/>
          <w:shd w:val="clear" w:color="auto" w:fill="FFFFFF"/>
        </w:rPr>
        <w:t>32%), zwiększenia dostępności bezpłatnych usług medycznych (ok.</w:t>
      </w:r>
      <w:r w:rsidR="008322F4">
        <w:rPr>
          <w:color w:val="000000" w:themeColor="text1"/>
          <w:shd w:val="clear" w:color="auto" w:fill="FFFFFF"/>
        </w:rPr>
        <w:t xml:space="preserve"> </w:t>
      </w:r>
      <w:r w:rsidRPr="004A26C9">
        <w:rPr>
          <w:color w:val="000000" w:themeColor="text1"/>
          <w:shd w:val="clear" w:color="auto" w:fill="FFFFFF"/>
        </w:rPr>
        <w:t>28 %) oraz pomocy w prowadzeniu gospodarstwa domowego osobom starszym (ok.</w:t>
      </w:r>
      <w:r w:rsidR="0039663B">
        <w:rPr>
          <w:color w:val="000000" w:themeColor="text1"/>
          <w:shd w:val="clear" w:color="auto" w:fill="FFFFFF"/>
        </w:rPr>
        <w:t> </w:t>
      </w:r>
      <w:r w:rsidRPr="004A26C9">
        <w:rPr>
          <w:color w:val="000000" w:themeColor="text1"/>
          <w:shd w:val="clear" w:color="auto" w:fill="FFFFFF"/>
        </w:rPr>
        <w:t xml:space="preserve">25%). </w:t>
      </w:r>
      <w:r w:rsidR="0047058F">
        <w:rPr>
          <w:color w:val="000000" w:themeColor="text1"/>
          <w:shd w:val="clear" w:color="auto" w:fill="FFFFFF"/>
        </w:rPr>
        <w:t>Z</w:t>
      </w:r>
      <w:r w:rsidRPr="004A26C9">
        <w:rPr>
          <w:color w:val="000000" w:themeColor="text1"/>
          <w:shd w:val="clear" w:color="auto" w:fill="FFFFFF"/>
        </w:rPr>
        <w:t xml:space="preserve">asiłki pieniężne </w:t>
      </w:r>
      <w:r w:rsidR="0047058F">
        <w:rPr>
          <w:color w:val="000000" w:themeColor="text1"/>
          <w:shd w:val="clear" w:color="auto" w:fill="FFFFFF"/>
        </w:rPr>
        <w:t xml:space="preserve">za jedną z trzech najważniejszych form wsparcia uważa </w:t>
      </w:r>
      <w:r w:rsidRPr="004A26C9">
        <w:rPr>
          <w:color w:val="000000" w:themeColor="text1"/>
          <w:shd w:val="clear" w:color="auto" w:fill="FFFFFF"/>
        </w:rPr>
        <w:t>ok.</w:t>
      </w:r>
      <w:r w:rsidR="008322F4">
        <w:rPr>
          <w:color w:val="000000" w:themeColor="text1"/>
          <w:shd w:val="clear" w:color="auto" w:fill="FFFFFF"/>
        </w:rPr>
        <w:t xml:space="preserve"> </w:t>
      </w:r>
      <w:r w:rsidRPr="004A26C9">
        <w:rPr>
          <w:color w:val="000000" w:themeColor="text1"/>
          <w:shd w:val="clear" w:color="auto" w:fill="FFFFFF"/>
        </w:rPr>
        <w:t>16%</w:t>
      </w:r>
      <w:r w:rsidR="0047058F">
        <w:rPr>
          <w:color w:val="000000" w:themeColor="text1"/>
          <w:shd w:val="clear" w:color="auto" w:fill="FFFFFF"/>
        </w:rPr>
        <w:t xml:space="preserve"> osób</w:t>
      </w:r>
      <w:r w:rsidRPr="004A26C9">
        <w:rPr>
          <w:color w:val="000000" w:themeColor="text1"/>
          <w:shd w:val="clear" w:color="auto" w:fill="FFFFFF"/>
        </w:rPr>
        <w:t>. Generalnie nie ma zbyt dużych rozbieżności w oczekiwaniach dotyczących pomocy ubogim pomiędzy ogółem społeczeństwa a osobami dotkniętymi ubóstwem dochodowym</w:t>
      </w:r>
      <w:r w:rsidRPr="004A26C9">
        <w:rPr>
          <w:rStyle w:val="Odwoanieprzypisudolnego"/>
          <w:rFonts w:cstheme="minorHAnsi"/>
          <w:color w:val="000000" w:themeColor="text1"/>
        </w:rPr>
        <w:footnoteReference w:id="3"/>
      </w:r>
      <w:r w:rsidRPr="004A26C9">
        <w:rPr>
          <w:color w:val="000000" w:themeColor="text1"/>
          <w:shd w:val="clear" w:color="auto" w:fill="FFFFFF"/>
        </w:rPr>
        <w:t>. Jedynie w przypadku zasiłków pieniężnych taka różnica jest wyraźna. Zasiłek pieniężny za jedną z</w:t>
      </w:r>
      <w:r w:rsidR="00830954">
        <w:rPr>
          <w:color w:val="000000" w:themeColor="text1"/>
          <w:shd w:val="clear" w:color="auto" w:fill="FFFFFF"/>
        </w:rPr>
        <w:t xml:space="preserve"> </w:t>
      </w:r>
      <w:r w:rsidRPr="004A26C9">
        <w:rPr>
          <w:color w:val="000000" w:themeColor="text1"/>
          <w:shd w:val="clear" w:color="auto" w:fill="FFFFFF"/>
        </w:rPr>
        <w:t>trzech najważniejszych form pomocy uważa ok. 24 % osób uznanych wg kryterium</w:t>
      </w:r>
      <w:r w:rsidR="00F97092">
        <w:rPr>
          <w:color w:val="000000" w:themeColor="text1"/>
          <w:shd w:val="clear" w:color="auto" w:fill="FFFFFF"/>
        </w:rPr>
        <w:t xml:space="preserve"> </w:t>
      </w:r>
      <w:r w:rsidR="00C020A5">
        <w:rPr>
          <w:color w:val="000000" w:themeColor="text1"/>
          <w:shd w:val="clear" w:color="auto" w:fill="FFFFFF"/>
        </w:rPr>
        <w:t xml:space="preserve"> </w:t>
      </w:r>
      <w:r w:rsidRPr="004A26C9">
        <w:rPr>
          <w:color w:val="000000" w:themeColor="text1"/>
          <w:shd w:val="clear" w:color="auto" w:fill="FFFFFF"/>
        </w:rPr>
        <w:t>dochodowego za ubogie (</w:t>
      </w:r>
      <w:r w:rsidR="00205686">
        <w:rPr>
          <w:color w:val="000000" w:themeColor="text1"/>
          <w:shd w:val="clear" w:color="auto" w:fill="FFFFFF"/>
        </w:rPr>
        <w:t xml:space="preserve">czyli </w:t>
      </w:r>
      <w:r w:rsidRPr="004A26C9">
        <w:rPr>
          <w:color w:val="000000" w:themeColor="text1"/>
          <w:shd w:val="clear" w:color="auto" w:fill="FFFFFF"/>
        </w:rPr>
        <w:t>o ok.</w:t>
      </w:r>
      <w:r w:rsidR="00205686">
        <w:rPr>
          <w:color w:val="000000" w:themeColor="text1"/>
          <w:shd w:val="clear" w:color="auto" w:fill="FFFFFF"/>
        </w:rPr>
        <w:t xml:space="preserve"> </w:t>
      </w:r>
      <w:r w:rsidRPr="004A26C9">
        <w:rPr>
          <w:color w:val="000000" w:themeColor="text1"/>
          <w:shd w:val="clear" w:color="auto" w:fill="FFFFFF"/>
        </w:rPr>
        <w:t>8 p.</w:t>
      </w:r>
      <w:r w:rsidR="008322F4">
        <w:rPr>
          <w:color w:val="000000" w:themeColor="text1"/>
          <w:shd w:val="clear" w:color="auto" w:fill="FFFFFF"/>
        </w:rPr>
        <w:t xml:space="preserve"> </w:t>
      </w:r>
      <w:r w:rsidRPr="004A26C9">
        <w:rPr>
          <w:color w:val="000000" w:themeColor="text1"/>
          <w:shd w:val="clear" w:color="auto" w:fill="FFFFFF"/>
        </w:rPr>
        <w:t>proc</w:t>
      </w:r>
      <w:r w:rsidR="00A71AC3">
        <w:rPr>
          <w:color w:val="000000" w:themeColor="text1"/>
          <w:shd w:val="clear" w:color="auto" w:fill="FFFFFF"/>
        </w:rPr>
        <w:t>.</w:t>
      </w:r>
      <w:r w:rsidR="00205686">
        <w:rPr>
          <w:color w:val="000000" w:themeColor="text1"/>
          <w:shd w:val="clear" w:color="auto" w:fill="FFFFFF"/>
        </w:rPr>
        <w:t xml:space="preserve"> więcej niż wśród ogółu społeczeństwa</w:t>
      </w:r>
      <w:r w:rsidRPr="004A26C9">
        <w:rPr>
          <w:color w:val="000000" w:themeColor="text1"/>
          <w:shd w:val="clear" w:color="auto" w:fill="FFFFFF"/>
        </w:rPr>
        <w:t>).</w:t>
      </w:r>
    </w:p>
    <w:tbl>
      <w:tblPr>
        <w:tblStyle w:val="Siatkatabelijasna1"/>
        <w:tblW w:w="7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599"/>
        <w:gridCol w:w="1081"/>
        <w:gridCol w:w="1081"/>
        <w:gridCol w:w="1081"/>
        <w:gridCol w:w="1081"/>
      </w:tblGrid>
      <w:tr w:rsidR="00411D0B" w:rsidRPr="009511BA" w:rsidTr="0039663B">
        <w:trPr>
          <w:trHeight w:val="57"/>
        </w:trPr>
        <w:tc>
          <w:tcPr>
            <w:tcW w:w="7923" w:type="dxa"/>
            <w:gridSpan w:val="5"/>
            <w:tcBorders>
              <w:top w:val="nil"/>
              <w:bottom w:val="nil"/>
            </w:tcBorders>
            <w:vAlign w:val="center"/>
          </w:tcPr>
          <w:p w:rsidR="00411D0B" w:rsidRPr="009511BA" w:rsidRDefault="00DA6634" w:rsidP="0047733C">
            <w:pPr>
              <w:pStyle w:val="Nagwek3"/>
              <w:spacing w:before="0" w:line="200" w:lineRule="exact"/>
              <w:outlineLvl w:val="2"/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pacing w:val="-2"/>
                <w:sz w:val="18"/>
                <w:shd w:val="clear" w:color="auto" w:fill="FFFFFF"/>
              </w:rPr>
              <w:lastRenderedPageBreak/>
              <w:t xml:space="preserve">Tablica </w:t>
            </w:r>
            <w:r w:rsidR="0047733C">
              <w:rPr>
                <w:b/>
                <w:color w:val="000000" w:themeColor="text1"/>
                <w:spacing w:val="-2"/>
                <w:sz w:val="18"/>
                <w:shd w:val="clear" w:color="auto" w:fill="FFFFFF"/>
              </w:rPr>
              <w:t>1</w:t>
            </w:r>
            <w:r w:rsidR="00411D0B" w:rsidRPr="00411D0B">
              <w:rPr>
                <w:b/>
                <w:color w:val="000000" w:themeColor="text1"/>
                <w:spacing w:val="-2"/>
                <w:sz w:val="18"/>
                <w:shd w:val="clear" w:color="auto" w:fill="FFFFFF"/>
              </w:rPr>
              <w:t xml:space="preserve">. </w:t>
            </w:r>
            <w:r w:rsidR="00411D0B" w:rsidRPr="00411D0B">
              <w:rPr>
                <w:b/>
                <w:bCs/>
                <w:color w:val="000000" w:themeColor="text1"/>
                <w:spacing w:val="-2"/>
                <w:sz w:val="18"/>
                <w:shd w:val="clear" w:color="auto" w:fill="FFFFFF"/>
              </w:rPr>
              <w:t>Najbardziej potrzebnych form pomocy dla osób ubogich w opinii mieszkańców Polski</w:t>
            </w:r>
            <w:r w:rsidR="00411D0B" w:rsidRPr="00411D0B">
              <w:rPr>
                <w:b/>
                <w:bCs/>
                <w:color w:val="000000" w:themeColor="text1"/>
                <w:spacing w:val="-2"/>
                <w:sz w:val="18"/>
                <w:shd w:val="clear" w:color="auto" w:fill="FFFFFF"/>
                <w:vertAlign w:val="superscript"/>
              </w:rPr>
              <w:t>a</w:t>
            </w:r>
            <w:r w:rsidR="00411D0B" w:rsidRPr="00411D0B">
              <w:rPr>
                <w:b/>
                <w:bCs/>
                <w:color w:val="000000" w:themeColor="text1"/>
                <w:spacing w:val="-2"/>
                <w:sz w:val="18"/>
                <w:shd w:val="clear" w:color="auto" w:fill="FFFFFF"/>
              </w:rPr>
              <w:t xml:space="preserve"> w % osób</w:t>
            </w:r>
          </w:p>
        </w:tc>
      </w:tr>
      <w:tr w:rsidR="009511BA" w:rsidRPr="009511BA" w:rsidTr="0039663B">
        <w:trPr>
          <w:trHeight w:val="57"/>
        </w:trPr>
        <w:tc>
          <w:tcPr>
            <w:tcW w:w="3599" w:type="dxa"/>
            <w:vMerge w:val="restart"/>
            <w:tcBorders>
              <w:top w:val="nil"/>
            </w:tcBorders>
            <w:vAlign w:val="center"/>
          </w:tcPr>
          <w:p w:rsidR="009511BA" w:rsidRPr="009C7251" w:rsidRDefault="009511BA" w:rsidP="0039663B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9C725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2162" w:type="dxa"/>
            <w:gridSpan w:val="2"/>
            <w:tcBorders>
              <w:top w:val="nil"/>
            </w:tcBorders>
            <w:vAlign w:val="center"/>
          </w:tcPr>
          <w:p w:rsidR="009511BA" w:rsidRPr="00FA5128" w:rsidRDefault="009511BA" w:rsidP="0039663B">
            <w:pPr>
              <w:pStyle w:val="Nagwek3"/>
              <w:spacing w:before="0" w:line="200" w:lineRule="exact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2162" w:type="dxa"/>
            <w:gridSpan w:val="2"/>
            <w:tcBorders>
              <w:top w:val="nil"/>
            </w:tcBorders>
            <w:vAlign w:val="center"/>
          </w:tcPr>
          <w:p w:rsidR="009511BA" w:rsidRPr="009511BA" w:rsidRDefault="009511BA" w:rsidP="0039663B">
            <w:pPr>
              <w:pStyle w:val="Nagwek3"/>
              <w:spacing w:before="0" w:line="200" w:lineRule="exact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9511BA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osoby dotknięte ubóstwem dochodowym</w:t>
            </w:r>
          </w:p>
        </w:tc>
      </w:tr>
      <w:tr w:rsidR="00694AF0" w:rsidRPr="00FA5128" w:rsidTr="0039663B">
        <w:trPr>
          <w:trHeight w:val="57"/>
        </w:trPr>
        <w:tc>
          <w:tcPr>
            <w:tcW w:w="3599" w:type="dxa"/>
            <w:vMerge/>
            <w:tcBorders>
              <w:bottom w:val="single" w:sz="12" w:space="0" w:color="212492"/>
            </w:tcBorders>
            <w:vAlign w:val="center"/>
          </w:tcPr>
          <w:p w:rsidR="00694AF0" w:rsidRPr="00FA5128" w:rsidRDefault="00694AF0" w:rsidP="0039663B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81" w:type="dxa"/>
            <w:tcBorders>
              <w:bottom w:val="single" w:sz="12" w:space="0" w:color="212492"/>
            </w:tcBorders>
            <w:vAlign w:val="center"/>
          </w:tcPr>
          <w:p w:rsidR="00694AF0" w:rsidRPr="00FA5128" w:rsidRDefault="00324B6A" w:rsidP="0039663B">
            <w:pPr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1081" w:type="dxa"/>
            <w:tcBorders>
              <w:bottom w:val="single" w:sz="12" w:space="0" w:color="212492"/>
            </w:tcBorders>
            <w:vAlign w:val="center"/>
          </w:tcPr>
          <w:p w:rsidR="00694AF0" w:rsidRPr="00FA5128" w:rsidRDefault="00324B6A" w:rsidP="0039663B">
            <w:pPr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1081" w:type="dxa"/>
            <w:tcBorders>
              <w:bottom w:val="single" w:sz="12" w:space="0" w:color="212492"/>
            </w:tcBorders>
            <w:vAlign w:val="center"/>
          </w:tcPr>
          <w:p w:rsidR="00694AF0" w:rsidRPr="00FA5128" w:rsidRDefault="00324B6A" w:rsidP="0039663B">
            <w:pPr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2015</w:t>
            </w:r>
          </w:p>
        </w:tc>
        <w:tc>
          <w:tcPr>
            <w:tcW w:w="1081" w:type="dxa"/>
            <w:tcBorders>
              <w:bottom w:val="single" w:sz="12" w:space="0" w:color="212492"/>
            </w:tcBorders>
            <w:vAlign w:val="center"/>
          </w:tcPr>
          <w:p w:rsidR="00694AF0" w:rsidRPr="00FA5128" w:rsidRDefault="00324B6A" w:rsidP="0039663B">
            <w:pPr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</w:tr>
      <w:tr w:rsidR="00694AF0" w:rsidRPr="00E60063" w:rsidTr="0039663B">
        <w:trPr>
          <w:trHeight w:val="57"/>
        </w:trPr>
        <w:tc>
          <w:tcPr>
            <w:tcW w:w="3599" w:type="dxa"/>
            <w:vAlign w:val="center"/>
          </w:tcPr>
          <w:p w:rsidR="00694AF0" w:rsidRPr="00324B6A" w:rsidRDefault="00E60063" w:rsidP="00CD6E1E">
            <w:pPr>
              <w:pStyle w:val="Nagwek8"/>
              <w:tabs>
                <w:tab w:val="right" w:leader="dot" w:pos="4156"/>
              </w:tabs>
              <w:spacing w:before="60" w:line="140" w:lineRule="exact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</w:pPr>
            <w:r w:rsidRPr="00024AD4">
              <w:rPr>
                <w:rFonts w:ascii="Fira Sans" w:eastAsia="Fira Sans Light" w:hAnsi="Fira Sans" w:cs="Arial"/>
                <w:sz w:val="16"/>
                <w:szCs w:val="16"/>
              </w:rPr>
              <w:t>pomoc w znalezieniu pracy</w:t>
            </w:r>
            <w:r w:rsidRPr="00024AD4">
              <w:rPr>
                <w:rFonts w:ascii="Fira Sans" w:eastAsia="Fira Sans Light" w:hAnsi="Fira Sans" w:cs="Arial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81" w:type="dxa"/>
            <w:vAlign w:val="center"/>
          </w:tcPr>
          <w:p w:rsidR="00694AF0" w:rsidRPr="00E60063" w:rsidRDefault="009511BA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74,3</w:t>
            </w:r>
          </w:p>
        </w:tc>
        <w:tc>
          <w:tcPr>
            <w:tcW w:w="1081" w:type="dxa"/>
            <w:vAlign w:val="center"/>
          </w:tcPr>
          <w:p w:rsidR="00694AF0" w:rsidRPr="00E60063" w:rsidRDefault="009511BA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43,1</w:t>
            </w:r>
          </w:p>
        </w:tc>
        <w:tc>
          <w:tcPr>
            <w:tcW w:w="1081" w:type="dxa"/>
            <w:vAlign w:val="center"/>
          </w:tcPr>
          <w:p w:rsidR="00694AF0" w:rsidRPr="00E60063" w:rsidRDefault="009511BA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81,6</w:t>
            </w:r>
          </w:p>
        </w:tc>
        <w:tc>
          <w:tcPr>
            <w:tcW w:w="1081" w:type="dxa"/>
            <w:vAlign w:val="center"/>
          </w:tcPr>
          <w:p w:rsidR="00694AF0" w:rsidRPr="00E60063" w:rsidRDefault="009511BA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49,5</w:t>
            </w:r>
          </w:p>
        </w:tc>
      </w:tr>
      <w:tr w:rsidR="00CB772C" w:rsidRPr="00FA5128" w:rsidTr="0039663B">
        <w:trPr>
          <w:trHeight w:val="57"/>
        </w:trPr>
        <w:tc>
          <w:tcPr>
            <w:tcW w:w="3599" w:type="dxa"/>
            <w:vAlign w:val="center"/>
          </w:tcPr>
          <w:p w:rsidR="00CB772C" w:rsidRPr="00E60063" w:rsidRDefault="00CB772C" w:rsidP="0039663B">
            <w:pPr>
              <w:tabs>
                <w:tab w:val="right" w:leader="dot" w:pos="4156"/>
              </w:tabs>
              <w:spacing w:line="180" w:lineRule="exact"/>
              <w:contextualSpacing/>
              <w:rPr>
                <w:color w:val="000000" w:themeColor="text1"/>
                <w:sz w:val="16"/>
                <w:szCs w:val="16"/>
              </w:rPr>
            </w:pPr>
            <w:r w:rsidRPr="00024AD4">
              <w:rPr>
                <w:rFonts w:eastAsia="Fira Sans Light" w:cs="Arial"/>
                <w:sz w:val="16"/>
                <w:szCs w:val="16"/>
              </w:rPr>
              <w:t>pomoc w pielęgnacji osób przewlekle chorych, niepełnosprawnych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33,1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31,7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27,4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29,1</w:t>
            </w:r>
          </w:p>
        </w:tc>
      </w:tr>
      <w:tr w:rsidR="00CB772C" w:rsidRPr="00FA5128" w:rsidTr="0039663B">
        <w:trPr>
          <w:trHeight w:val="57"/>
        </w:trPr>
        <w:tc>
          <w:tcPr>
            <w:tcW w:w="3599" w:type="dxa"/>
            <w:vAlign w:val="center"/>
          </w:tcPr>
          <w:p w:rsidR="00CB772C" w:rsidRPr="009511BA" w:rsidRDefault="00CB772C" w:rsidP="0039663B">
            <w:pPr>
              <w:pStyle w:val="Nagwek2"/>
              <w:tabs>
                <w:tab w:val="right" w:leader="dot" w:pos="4156"/>
              </w:tabs>
              <w:spacing w:before="0" w:line="18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9511BA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zwiększenie dostępności bezpłatnych usług medycznych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28,7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27,6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24,5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28,1</w:t>
            </w:r>
          </w:p>
        </w:tc>
      </w:tr>
      <w:tr w:rsidR="00CB772C" w:rsidRPr="00FA5128" w:rsidTr="0039663B">
        <w:trPr>
          <w:trHeight w:val="57"/>
        </w:trPr>
        <w:tc>
          <w:tcPr>
            <w:tcW w:w="3599" w:type="dxa"/>
            <w:vAlign w:val="center"/>
          </w:tcPr>
          <w:p w:rsidR="00CB772C" w:rsidRPr="00E60063" w:rsidRDefault="00CB772C" w:rsidP="0039663B">
            <w:pPr>
              <w:pStyle w:val="Nagwek2"/>
              <w:tabs>
                <w:tab w:val="right" w:leader="dot" w:pos="4156"/>
              </w:tabs>
              <w:spacing w:before="0" w:line="22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E60063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pomoc w prowadzeniu gospodarstwa domowego osobom starszym (np. sprzątanie, pranie, zakupy, ugotowanie posiłku</w:t>
            </w:r>
            <w:r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19,3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24,8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17,4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22,5</w:t>
            </w:r>
          </w:p>
        </w:tc>
      </w:tr>
      <w:tr w:rsidR="00CB772C" w:rsidRPr="00FA5128" w:rsidTr="0039663B">
        <w:trPr>
          <w:trHeight w:val="57"/>
        </w:trPr>
        <w:tc>
          <w:tcPr>
            <w:tcW w:w="3599" w:type="dxa"/>
            <w:vAlign w:val="center"/>
          </w:tcPr>
          <w:p w:rsidR="00CB772C" w:rsidRPr="009511BA" w:rsidRDefault="00CB772C" w:rsidP="0039663B">
            <w:pPr>
              <w:pStyle w:val="Nagwek2"/>
              <w:tabs>
                <w:tab w:val="right" w:leader="dot" w:pos="4156"/>
              </w:tabs>
              <w:spacing w:before="0" w:line="14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9511BA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zasiłki pieniężne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18,7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15,8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30,2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23,5</w:t>
            </w:r>
          </w:p>
        </w:tc>
      </w:tr>
      <w:tr w:rsidR="00CB772C" w:rsidRPr="00FA5128" w:rsidTr="0039663B">
        <w:trPr>
          <w:trHeight w:val="57"/>
        </w:trPr>
        <w:tc>
          <w:tcPr>
            <w:tcW w:w="3599" w:type="dxa"/>
            <w:vAlign w:val="center"/>
          </w:tcPr>
          <w:p w:rsidR="00CB772C" w:rsidRPr="009511BA" w:rsidRDefault="00CB772C" w:rsidP="0039663B">
            <w:pPr>
              <w:pStyle w:val="Nagwek2"/>
              <w:tabs>
                <w:tab w:val="right" w:leader="dot" w:pos="4156"/>
              </w:tabs>
              <w:spacing w:before="0" w:line="18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9511BA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zapewnienie dostępu do tanich mieszkań komunalnych, socjalnych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13,8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12,6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9,6</w:t>
            </w:r>
          </w:p>
        </w:tc>
        <w:tc>
          <w:tcPr>
            <w:tcW w:w="1081" w:type="dxa"/>
            <w:vAlign w:val="center"/>
          </w:tcPr>
          <w:p w:rsidR="00CB772C" w:rsidRPr="00FA5128" w:rsidRDefault="00CB772C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11,2</w:t>
            </w:r>
          </w:p>
        </w:tc>
      </w:tr>
      <w:tr w:rsidR="00F07FC8" w:rsidRPr="00FA5128" w:rsidTr="0039663B">
        <w:trPr>
          <w:trHeight w:val="57"/>
        </w:trPr>
        <w:tc>
          <w:tcPr>
            <w:tcW w:w="3599" w:type="dxa"/>
            <w:vAlign w:val="center"/>
          </w:tcPr>
          <w:p w:rsidR="00F07FC8" w:rsidRPr="009511BA" w:rsidRDefault="00F07FC8" w:rsidP="0039663B">
            <w:pPr>
              <w:pStyle w:val="Nagwek2"/>
              <w:tabs>
                <w:tab w:val="right" w:leader="dot" w:pos="4156"/>
              </w:tabs>
              <w:spacing w:before="0" w:line="14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9511BA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bezpłatne żłobki i przedszkola dla dzieci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12,4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12,2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9,0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8,3</w:t>
            </w:r>
          </w:p>
        </w:tc>
      </w:tr>
      <w:tr w:rsidR="00F07FC8" w:rsidRPr="00FA5128" w:rsidTr="0039663B">
        <w:trPr>
          <w:trHeight w:val="57"/>
        </w:trPr>
        <w:tc>
          <w:tcPr>
            <w:tcW w:w="3599" w:type="dxa"/>
            <w:vAlign w:val="center"/>
          </w:tcPr>
          <w:p w:rsidR="00F07FC8" w:rsidRPr="009511BA" w:rsidRDefault="00F07FC8" w:rsidP="0039663B">
            <w:pPr>
              <w:pStyle w:val="Nagwek2"/>
              <w:tabs>
                <w:tab w:val="right" w:leader="dot" w:pos="4156"/>
              </w:tabs>
              <w:spacing w:before="0" w:line="18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9511BA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pomoc na cele mieszkaniowe (pokrycie czynszu, opłat za energię, gaz, remont mieszkania)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11,4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11,7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15,8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13,7</w:t>
            </w:r>
          </w:p>
        </w:tc>
      </w:tr>
      <w:tr w:rsidR="00F07FC8" w:rsidRPr="00FA5128" w:rsidTr="0039663B">
        <w:trPr>
          <w:trHeight w:val="57"/>
        </w:trPr>
        <w:tc>
          <w:tcPr>
            <w:tcW w:w="3599" w:type="dxa"/>
            <w:vAlign w:val="center"/>
          </w:tcPr>
          <w:p w:rsidR="00F07FC8" w:rsidRPr="00C3702F" w:rsidRDefault="00F07FC8" w:rsidP="0039663B">
            <w:pPr>
              <w:tabs>
                <w:tab w:val="right" w:leader="dot" w:pos="4156"/>
              </w:tabs>
              <w:spacing w:line="220" w:lineRule="exact"/>
              <w:contextualSpacing/>
              <w:rPr>
                <w:color w:val="000000" w:themeColor="text1"/>
                <w:sz w:val="16"/>
                <w:szCs w:val="16"/>
              </w:rPr>
            </w:pPr>
            <w:r w:rsidRPr="00024AD4">
              <w:rPr>
                <w:rFonts w:eastAsia="Fira Sans Light" w:cs="Arial"/>
                <w:sz w:val="16"/>
                <w:szCs w:val="16"/>
              </w:rPr>
              <w:t>stworzenie miejsc, gdzie dzieci mogłyby pod fachową opieką odrobić lekcje, spędzić część czasu wolnego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12,0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10,6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10,1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8,7</w:t>
            </w:r>
          </w:p>
        </w:tc>
      </w:tr>
      <w:tr w:rsidR="00F07FC8" w:rsidRPr="00FA5128" w:rsidTr="0039663B">
        <w:trPr>
          <w:trHeight w:val="57"/>
        </w:trPr>
        <w:tc>
          <w:tcPr>
            <w:tcW w:w="3599" w:type="dxa"/>
            <w:vAlign w:val="center"/>
          </w:tcPr>
          <w:p w:rsidR="00F07FC8" w:rsidRPr="009511BA" w:rsidRDefault="00F07FC8" w:rsidP="0039663B">
            <w:pPr>
              <w:pStyle w:val="Nagwek2"/>
              <w:tabs>
                <w:tab w:val="right" w:leader="dot" w:pos="4156"/>
              </w:tabs>
              <w:spacing w:before="0" w:line="18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9511BA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zapewnienie wakacyjnego odpoczynku dla dzieci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10,4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11,9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8,4</w:t>
            </w:r>
          </w:p>
        </w:tc>
      </w:tr>
      <w:tr w:rsidR="00F07FC8" w:rsidRPr="00FA5128" w:rsidTr="0039663B">
        <w:trPr>
          <w:trHeight w:val="57"/>
        </w:trPr>
        <w:tc>
          <w:tcPr>
            <w:tcW w:w="3599" w:type="dxa"/>
            <w:vAlign w:val="center"/>
          </w:tcPr>
          <w:p w:rsidR="00F07FC8" w:rsidRPr="009511BA" w:rsidRDefault="00F07FC8" w:rsidP="0039663B">
            <w:pPr>
              <w:pStyle w:val="Nagwek2"/>
              <w:tabs>
                <w:tab w:val="right" w:leader="dot" w:pos="4156"/>
              </w:tabs>
              <w:spacing w:before="0" w:line="20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9511BA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stypendia dla dzieci i młodzieży na kontynuację nauki w szkołach średnich i wyższych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2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10,3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2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9,0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2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11,4</w:t>
            </w:r>
          </w:p>
        </w:tc>
        <w:tc>
          <w:tcPr>
            <w:tcW w:w="1081" w:type="dxa"/>
            <w:vAlign w:val="center"/>
          </w:tcPr>
          <w:p w:rsidR="00F07FC8" w:rsidRPr="00FA5128" w:rsidRDefault="00F07FC8" w:rsidP="0039663B">
            <w:pPr>
              <w:spacing w:line="20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7,4</w:t>
            </w:r>
          </w:p>
        </w:tc>
      </w:tr>
      <w:tr w:rsidR="00EA7C50" w:rsidRPr="00FA5128" w:rsidTr="0039663B">
        <w:trPr>
          <w:trHeight w:val="57"/>
        </w:trPr>
        <w:tc>
          <w:tcPr>
            <w:tcW w:w="3599" w:type="dxa"/>
            <w:vAlign w:val="center"/>
          </w:tcPr>
          <w:p w:rsidR="00EA7C50" w:rsidRPr="009511BA" w:rsidRDefault="00EA7C50" w:rsidP="0039663B">
            <w:pPr>
              <w:pStyle w:val="Nagwek2"/>
              <w:tabs>
                <w:tab w:val="right" w:leader="dot" w:pos="4156"/>
              </w:tabs>
              <w:spacing w:before="0" w:line="22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9511BA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bliższa i długotrwała współpraca osób/instytucji udzielających pomocy z osobami potrzebującymi</w:t>
            </w:r>
          </w:p>
        </w:tc>
        <w:tc>
          <w:tcPr>
            <w:tcW w:w="1081" w:type="dxa"/>
            <w:vAlign w:val="center"/>
          </w:tcPr>
          <w:p w:rsidR="00EA7C50" w:rsidRPr="00FA5128" w:rsidRDefault="00EA7C50" w:rsidP="0039663B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9,5</w:t>
            </w:r>
          </w:p>
        </w:tc>
        <w:tc>
          <w:tcPr>
            <w:tcW w:w="1081" w:type="dxa"/>
            <w:vAlign w:val="center"/>
          </w:tcPr>
          <w:p w:rsidR="00EA7C50" w:rsidRPr="00FA5128" w:rsidRDefault="00EA7C50" w:rsidP="0039663B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8,2</w:t>
            </w:r>
          </w:p>
        </w:tc>
        <w:tc>
          <w:tcPr>
            <w:tcW w:w="1081" w:type="dxa"/>
            <w:vAlign w:val="center"/>
          </w:tcPr>
          <w:p w:rsidR="00EA7C50" w:rsidRPr="00FA5128" w:rsidRDefault="00EA7C50" w:rsidP="0039663B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8,2</w:t>
            </w:r>
          </w:p>
        </w:tc>
        <w:tc>
          <w:tcPr>
            <w:tcW w:w="1081" w:type="dxa"/>
            <w:vAlign w:val="center"/>
          </w:tcPr>
          <w:p w:rsidR="00EA7C50" w:rsidRPr="00FA5128" w:rsidRDefault="00EA7C50" w:rsidP="0039663B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6,1</w:t>
            </w:r>
          </w:p>
        </w:tc>
      </w:tr>
      <w:tr w:rsidR="00EA7C50" w:rsidRPr="00FA5128" w:rsidTr="0039663B">
        <w:trPr>
          <w:trHeight w:val="57"/>
        </w:trPr>
        <w:tc>
          <w:tcPr>
            <w:tcW w:w="3599" w:type="dxa"/>
            <w:vAlign w:val="center"/>
          </w:tcPr>
          <w:p w:rsidR="00EA7C50" w:rsidRPr="00E60063" w:rsidRDefault="00EA7C50" w:rsidP="0039663B">
            <w:pPr>
              <w:pStyle w:val="Nagwek9"/>
              <w:tabs>
                <w:tab w:val="right" w:leader="dot" w:pos="4156"/>
              </w:tabs>
              <w:spacing w:before="0" w:line="180" w:lineRule="exact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E60063">
              <w:rPr>
                <w:rFonts w:ascii="Fira Sans" w:eastAsia="Fira Sans Light" w:hAnsi="Fira Sans" w:cs="Arial"/>
                <w:i w:val="0"/>
                <w:sz w:val="16"/>
                <w:szCs w:val="16"/>
              </w:rPr>
              <w:t>poradnictwo specjalistyczne (prawne, psychologiczne, pedagogiczne)</w:t>
            </w:r>
          </w:p>
        </w:tc>
        <w:tc>
          <w:tcPr>
            <w:tcW w:w="1081" w:type="dxa"/>
            <w:vAlign w:val="center"/>
          </w:tcPr>
          <w:p w:rsidR="00EA7C50" w:rsidRPr="00FA5128" w:rsidRDefault="00EA7C50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7,2</w:t>
            </w:r>
          </w:p>
        </w:tc>
        <w:tc>
          <w:tcPr>
            <w:tcW w:w="1081" w:type="dxa"/>
            <w:vAlign w:val="center"/>
          </w:tcPr>
          <w:p w:rsidR="00EA7C50" w:rsidRPr="00FA5128" w:rsidRDefault="00EA7C50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8,1</w:t>
            </w:r>
          </w:p>
        </w:tc>
        <w:tc>
          <w:tcPr>
            <w:tcW w:w="1081" w:type="dxa"/>
            <w:vAlign w:val="center"/>
          </w:tcPr>
          <w:p w:rsidR="00EA7C50" w:rsidRPr="00FA5128" w:rsidRDefault="00EA7C50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1081" w:type="dxa"/>
            <w:vAlign w:val="center"/>
          </w:tcPr>
          <w:p w:rsidR="00EA7C50" w:rsidRPr="00FA5128" w:rsidRDefault="00EA7C50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5,5</w:t>
            </w:r>
          </w:p>
        </w:tc>
      </w:tr>
      <w:tr w:rsidR="00EA7C50" w:rsidRPr="00FA5128" w:rsidTr="0039663B">
        <w:trPr>
          <w:trHeight w:val="57"/>
        </w:trPr>
        <w:tc>
          <w:tcPr>
            <w:tcW w:w="3599" w:type="dxa"/>
            <w:vAlign w:val="center"/>
          </w:tcPr>
          <w:p w:rsidR="00EA7C50" w:rsidRPr="009511BA" w:rsidRDefault="00EA7C50" w:rsidP="0039663B">
            <w:pPr>
              <w:pStyle w:val="Nagwek2"/>
              <w:tabs>
                <w:tab w:val="right" w:leader="dot" w:pos="4156"/>
              </w:tabs>
              <w:spacing w:before="0" w:line="14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9511BA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tania komunikacja np. autobusy*</w:t>
            </w:r>
          </w:p>
        </w:tc>
        <w:tc>
          <w:tcPr>
            <w:tcW w:w="1081" w:type="dxa"/>
            <w:vAlign w:val="center"/>
          </w:tcPr>
          <w:p w:rsidR="00EA7C50" w:rsidRPr="00FA5128" w:rsidRDefault="00EA7C50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81" w:type="dxa"/>
            <w:vAlign w:val="center"/>
          </w:tcPr>
          <w:p w:rsidR="00EA7C50" w:rsidRPr="00FA5128" w:rsidRDefault="00EA7C50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8,1</w:t>
            </w:r>
          </w:p>
        </w:tc>
        <w:tc>
          <w:tcPr>
            <w:tcW w:w="1081" w:type="dxa"/>
            <w:vAlign w:val="center"/>
          </w:tcPr>
          <w:p w:rsidR="00EA7C50" w:rsidRPr="00FA5128" w:rsidRDefault="00EA7C50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81" w:type="dxa"/>
            <w:vAlign w:val="center"/>
          </w:tcPr>
          <w:p w:rsidR="00EA7C50" w:rsidRPr="00FA5128" w:rsidRDefault="00EA7C50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9,5</w:t>
            </w:r>
          </w:p>
        </w:tc>
      </w:tr>
      <w:tr w:rsidR="006705B0" w:rsidRPr="00E60063" w:rsidTr="0039663B">
        <w:trPr>
          <w:trHeight w:val="57"/>
        </w:trPr>
        <w:tc>
          <w:tcPr>
            <w:tcW w:w="3599" w:type="dxa"/>
            <w:vAlign w:val="center"/>
          </w:tcPr>
          <w:p w:rsidR="006705B0" w:rsidRPr="009511BA" w:rsidRDefault="006705B0" w:rsidP="0039663B">
            <w:pPr>
              <w:pStyle w:val="Nagwek2"/>
              <w:tabs>
                <w:tab w:val="right" w:leader="dot" w:pos="4156"/>
              </w:tabs>
              <w:spacing w:before="0" w:line="18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9511BA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systematyczna pomoc rzeczowa (odzież, żywność, bezpłatne podręczniki szkolne)</w:t>
            </w:r>
          </w:p>
        </w:tc>
        <w:tc>
          <w:tcPr>
            <w:tcW w:w="1081" w:type="dxa"/>
            <w:vAlign w:val="center"/>
          </w:tcPr>
          <w:p w:rsidR="006705B0" w:rsidRPr="00E60063" w:rsidRDefault="006705B0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9,5</w:t>
            </w:r>
          </w:p>
        </w:tc>
        <w:tc>
          <w:tcPr>
            <w:tcW w:w="1081" w:type="dxa"/>
            <w:vAlign w:val="center"/>
          </w:tcPr>
          <w:p w:rsidR="006705B0" w:rsidRPr="00E60063" w:rsidRDefault="006705B0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7,2</w:t>
            </w:r>
          </w:p>
        </w:tc>
        <w:tc>
          <w:tcPr>
            <w:tcW w:w="1081" w:type="dxa"/>
            <w:vAlign w:val="center"/>
          </w:tcPr>
          <w:p w:rsidR="006705B0" w:rsidRPr="00E60063" w:rsidRDefault="006705B0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11,7</w:t>
            </w:r>
          </w:p>
        </w:tc>
        <w:tc>
          <w:tcPr>
            <w:tcW w:w="1081" w:type="dxa"/>
            <w:vAlign w:val="center"/>
          </w:tcPr>
          <w:p w:rsidR="006705B0" w:rsidRPr="00E60063" w:rsidRDefault="006705B0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7,0</w:t>
            </w:r>
          </w:p>
        </w:tc>
      </w:tr>
      <w:tr w:rsidR="006705B0" w:rsidRPr="00FA5128" w:rsidTr="0039663B">
        <w:trPr>
          <w:trHeight w:val="57"/>
        </w:trPr>
        <w:tc>
          <w:tcPr>
            <w:tcW w:w="3599" w:type="dxa"/>
            <w:vAlign w:val="center"/>
          </w:tcPr>
          <w:p w:rsidR="006705B0" w:rsidRPr="009511BA" w:rsidRDefault="006705B0" w:rsidP="00F508D0">
            <w:pPr>
              <w:pStyle w:val="Nagwek2"/>
              <w:tabs>
                <w:tab w:val="right" w:leader="dot" w:pos="4156"/>
              </w:tabs>
              <w:spacing w:before="0" w:line="22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9511BA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upowszechnienie informacji na temat możliwości korzystania przez osoby potrzebujące z</w:t>
            </w:r>
            <w:r w:rsidR="00F508D0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 </w:t>
            </w:r>
            <w:r w:rsidRPr="009511BA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różnych form pomocy</w:t>
            </w:r>
          </w:p>
        </w:tc>
        <w:tc>
          <w:tcPr>
            <w:tcW w:w="1081" w:type="dxa"/>
            <w:vAlign w:val="center"/>
          </w:tcPr>
          <w:p w:rsidR="006705B0" w:rsidRPr="00FA5128" w:rsidRDefault="006705B0" w:rsidP="0039663B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7,5</w:t>
            </w:r>
          </w:p>
        </w:tc>
        <w:tc>
          <w:tcPr>
            <w:tcW w:w="1081" w:type="dxa"/>
            <w:vAlign w:val="center"/>
          </w:tcPr>
          <w:p w:rsidR="006705B0" w:rsidRPr="00FA5128" w:rsidRDefault="006705B0" w:rsidP="0039663B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6,9</w:t>
            </w:r>
          </w:p>
        </w:tc>
        <w:tc>
          <w:tcPr>
            <w:tcW w:w="1081" w:type="dxa"/>
            <w:vAlign w:val="center"/>
          </w:tcPr>
          <w:p w:rsidR="006705B0" w:rsidRPr="00FA5128" w:rsidRDefault="006705B0" w:rsidP="0039663B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5,6</w:t>
            </w:r>
          </w:p>
        </w:tc>
        <w:tc>
          <w:tcPr>
            <w:tcW w:w="1081" w:type="dxa"/>
            <w:vAlign w:val="center"/>
          </w:tcPr>
          <w:p w:rsidR="006705B0" w:rsidRPr="00FA5128" w:rsidRDefault="006705B0" w:rsidP="0039663B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4,5</w:t>
            </w:r>
          </w:p>
        </w:tc>
      </w:tr>
      <w:tr w:rsidR="00694AF0" w:rsidRPr="00FA5128" w:rsidTr="0039663B">
        <w:trPr>
          <w:trHeight w:val="57"/>
        </w:trPr>
        <w:tc>
          <w:tcPr>
            <w:tcW w:w="3599" w:type="dxa"/>
            <w:vAlign w:val="center"/>
          </w:tcPr>
          <w:p w:rsidR="00694AF0" w:rsidRPr="00E60063" w:rsidRDefault="00E60063" w:rsidP="0039663B">
            <w:pPr>
              <w:pStyle w:val="Nagwek8"/>
              <w:tabs>
                <w:tab w:val="right" w:leader="dot" w:pos="4156"/>
              </w:tabs>
              <w:spacing w:before="0" w:line="140" w:lineRule="exact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24AD4">
              <w:rPr>
                <w:rFonts w:ascii="Fira Sans" w:eastAsia="Fira Sans Light" w:hAnsi="Fira Sans" w:cs="Arial"/>
                <w:sz w:val="16"/>
                <w:szCs w:val="16"/>
              </w:rPr>
              <w:t>zapewnienie bezpłatnego, ciepłego posiłku</w:t>
            </w:r>
            <w:r w:rsidRPr="00E60063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  <w:vAlign w:val="center"/>
          </w:tcPr>
          <w:p w:rsidR="00694AF0" w:rsidRPr="00FA5128" w:rsidRDefault="009511BA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7,6</w:t>
            </w:r>
          </w:p>
        </w:tc>
        <w:tc>
          <w:tcPr>
            <w:tcW w:w="1081" w:type="dxa"/>
            <w:vAlign w:val="center"/>
          </w:tcPr>
          <w:p w:rsidR="00694AF0" w:rsidRPr="00FA5128" w:rsidRDefault="009511BA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6,6</w:t>
            </w:r>
          </w:p>
        </w:tc>
        <w:tc>
          <w:tcPr>
            <w:tcW w:w="1081" w:type="dxa"/>
            <w:vAlign w:val="center"/>
          </w:tcPr>
          <w:p w:rsidR="00694AF0" w:rsidRPr="00FA5128" w:rsidRDefault="009511BA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7,6</w:t>
            </w:r>
          </w:p>
        </w:tc>
        <w:tc>
          <w:tcPr>
            <w:tcW w:w="1081" w:type="dxa"/>
            <w:vAlign w:val="center"/>
          </w:tcPr>
          <w:p w:rsidR="00694AF0" w:rsidRPr="00FA5128" w:rsidRDefault="009511BA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6,1</w:t>
            </w:r>
          </w:p>
        </w:tc>
      </w:tr>
      <w:tr w:rsidR="009F78AA" w:rsidRPr="00FA5128" w:rsidTr="0039663B">
        <w:trPr>
          <w:trHeight w:val="57"/>
        </w:trPr>
        <w:tc>
          <w:tcPr>
            <w:tcW w:w="3599" w:type="dxa"/>
            <w:vAlign w:val="center"/>
          </w:tcPr>
          <w:p w:rsidR="009F78AA" w:rsidRPr="009511BA" w:rsidRDefault="009F78AA" w:rsidP="0039663B">
            <w:pPr>
              <w:spacing w:before="0" w:after="0" w:line="180" w:lineRule="exact"/>
              <w:rPr>
                <w:rFonts w:eastAsia="Fira Sans Light" w:cs="Arial"/>
                <w:color w:val="000000" w:themeColor="text1"/>
                <w:sz w:val="16"/>
                <w:szCs w:val="16"/>
              </w:rPr>
            </w:pPr>
            <w:r w:rsidRPr="009511BA">
              <w:rPr>
                <w:rFonts w:eastAsia="Fira Sans Light" w:cs="Arial"/>
                <w:color w:val="000000" w:themeColor="text1"/>
                <w:sz w:val="16"/>
                <w:szCs w:val="16"/>
              </w:rPr>
              <w:t xml:space="preserve">stworzenie miejsc dla osób starszych* </w:t>
            </w:r>
          </w:p>
          <w:p w:rsidR="009F78AA" w:rsidRPr="009511BA" w:rsidRDefault="009F78AA" w:rsidP="0073634D">
            <w:pPr>
              <w:pStyle w:val="Nagwek2"/>
              <w:tabs>
                <w:tab w:val="right" w:leader="dot" w:pos="4156"/>
              </w:tabs>
              <w:spacing w:before="0" w:line="18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9511BA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(np. klubów, świetlic)</w:t>
            </w:r>
          </w:p>
        </w:tc>
        <w:tc>
          <w:tcPr>
            <w:tcW w:w="1081" w:type="dxa"/>
            <w:vAlign w:val="center"/>
          </w:tcPr>
          <w:p w:rsidR="009F78AA" w:rsidRPr="00FA5128" w:rsidRDefault="003524E3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81" w:type="dxa"/>
            <w:vAlign w:val="center"/>
          </w:tcPr>
          <w:p w:rsidR="009F78AA" w:rsidRPr="00FA5128" w:rsidRDefault="003524E3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5,2</w:t>
            </w:r>
          </w:p>
        </w:tc>
        <w:tc>
          <w:tcPr>
            <w:tcW w:w="1081" w:type="dxa"/>
            <w:vAlign w:val="center"/>
          </w:tcPr>
          <w:p w:rsidR="009F78AA" w:rsidRPr="00FA5128" w:rsidRDefault="003524E3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81" w:type="dxa"/>
            <w:vAlign w:val="center"/>
          </w:tcPr>
          <w:p w:rsidR="009F78AA" w:rsidRPr="00FA5128" w:rsidRDefault="003524E3" w:rsidP="0039663B">
            <w:pPr>
              <w:spacing w:line="18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3,7</w:t>
            </w:r>
          </w:p>
        </w:tc>
      </w:tr>
      <w:tr w:rsidR="009F78AA" w:rsidRPr="00FA5128" w:rsidTr="0039663B">
        <w:trPr>
          <w:trHeight w:val="57"/>
        </w:trPr>
        <w:tc>
          <w:tcPr>
            <w:tcW w:w="3599" w:type="dxa"/>
            <w:vAlign w:val="center"/>
          </w:tcPr>
          <w:p w:rsidR="009F78AA" w:rsidRPr="009511BA" w:rsidRDefault="009F78AA" w:rsidP="00351DD7">
            <w:pPr>
              <w:pStyle w:val="Nagwek2"/>
              <w:tabs>
                <w:tab w:val="right" w:leader="dot" w:pos="4156"/>
              </w:tabs>
              <w:spacing w:before="0" w:line="14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9511BA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 xml:space="preserve">bezpłatny </w:t>
            </w:r>
            <w:r w:rsidR="00351DD7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I</w:t>
            </w:r>
            <w:r w:rsidRPr="009511BA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nternet*</w:t>
            </w:r>
          </w:p>
        </w:tc>
        <w:tc>
          <w:tcPr>
            <w:tcW w:w="1081" w:type="dxa"/>
            <w:vAlign w:val="center"/>
          </w:tcPr>
          <w:p w:rsidR="009F78AA" w:rsidRPr="00FA5128" w:rsidRDefault="003524E3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81" w:type="dxa"/>
            <w:vAlign w:val="center"/>
          </w:tcPr>
          <w:p w:rsidR="009F78AA" w:rsidRPr="00FA5128" w:rsidRDefault="003524E3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3,1</w:t>
            </w:r>
          </w:p>
        </w:tc>
        <w:tc>
          <w:tcPr>
            <w:tcW w:w="1081" w:type="dxa"/>
            <w:vAlign w:val="center"/>
          </w:tcPr>
          <w:p w:rsidR="009F78AA" w:rsidRPr="00FA5128" w:rsidRDefault="003524E3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81" w:type="dxa"/>
            <w:vAlign w:val="center"/>
          </w:tcPr>
          <w:p w:rsidR="009F78AA" w:rsidRPr="00FA5128" w:rsidRDefault="003524E3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2,8</w:t>
            </w:r>
          </w:p>
        </w:tc>
      </w:tr>
      <w:tr w:rsidR="009F78AA" w:rsidRPr="00FA5128" w:rsidTr="0039663B">
        <w:trPr>
          <w:trHeight w:val="57"/>
        </w:trPr>
        <w:tc>
          <w:tcPr>
            <w:tcW w:w="3599" w:type="dxa"/>
            <w:vAlign w:val="center"/>
          </w:tcPr>
          <w:p w:rsidR="009F78AA" w:rsidRPr="009511BA" w:rsidRDefault="0073634D" w:rsidP="0039663B">
            <w:pPr>
              <w:pStyle w:val="Nagwek2"/>
              <w:tabs>
                <w:tab w:val="right" w:leader="dot" w:pos="4156"/>
              </w:tabs>
              <w:spacing w:before="0" w:line="140" w:lineRule="exact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i</w:t>
            </w:r>
            <w:r w:rsidR="009F78AA" w:rsidRPr="009511BA">
              <w:rPr>
                <w:rFonts w:ascii="Fira Sans" w:eastAsia="Fira Sans Light" w:hAnsi="Fira Sans" w:cs="Arial"/>
                <w:color w:val="000000" w:themeColor="text1"/>
                <w:sz w:val="16"/>
                <w:szCs w:val="16"/>
              </w:rPr>
              <w:t>nne</w:t>
            </w:r>
          </w:p>
        </w:tc>
        <w:tc>
          <w:tcPr>
            <w:tcW w:w="1081" w:type="dxa"/>
            <w:vAlign w:val="center"/>
          </w:tcPr>
          <w:p w:rsidR="009F78AA" w:rsidRPr="00FA5128" w:rsidRDefault="003524E3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1081" w:type="dxa"/>
            <w:vAlign w:val="center"/>
          </w:tcPr>
          <w:p w:rsidR="009F78AA" w:rsidRPr="00FA5128" w:rsidRDefault="003524E3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0,8</w:t>
            </w:r>
          </w:p>
        </w:tc>
        <w:tc>
          <w:tcPr>
            <w:tcW w:w="1081" w:type="dxa"/>
            <w:vAlign w:val="center"/>
          </w:tcPr>
          <w:p w:rsidR="009F78AA" w:rsidRPr="00FA5128" w:rsidRDefault="003524E3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1081" w:type="dxa"/>
            <w:vAlign w:val="center"/>
          </w:tcPr>
          <w:p w:rsidR="009F78AA" w:rsidRPr="00FA5128" w:rsidRDefault="003524E3" w:rsidP="0039663B">
            <w:pPr>
              <w:spacing w:line="14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0,7</w:t>
            </w:r>
          </w:p>
        </w:tc>
      </w:tr>
    </w:tbl>
    <w:p w:rsidR="009F78AA" w:rsidRPr="00024AD4" w:rsidRDefault="009F78AA" w:rsidP="0039663B">
      <w:pPr>
        <w:spacing w:before="60" w:after="60" w:line="200" w:lineRule="exact"/>
        <w:rPr>
          <w:rFonts w:eastAsia="Fira Sans Light" w:cs="Times New Roman"/>
          <w:sz w:val="16"/>
          <w:szCs w:val="16"/>
          <w:lang w:eastAsia="pl-PL"/>
        </w:rPr>
      </w:pPr>
      <w:r w:rsidRPr="00024AD4">
        <w:rPr>
          <w:rFonts w:eastAsia="Fira Sans Light" w:cs="Times New Roman"/>
          <w:sz w:val="16"/>
          <w:szCs w:val="16"/>
          <w:vertAlign w:val="superscript"/>
          <w:lang w:eastAsia="pl-PL"/>
        </w:rPr>
        <w:t>a</w:t>
      </w:r>
      <w:r w:rsidRPr="00024AD4">
        <w:rPr>
          <w:rFonts w:eastAsia="Fira Sans Light" w:cs="Times New Roman"/>
          <w:sz w:val="16"/>
          <w:szCs w:val="16"/>
        </w:rPr>
        <w:t xml:space="preserve"> Opracowano na podstawie odpowiedzi na pytanie: </w:t>
      </w:r>
      <w:r w:rsidRPr="00024AD4">
        <w:rPr>
          <w:rFonts w:eastAsia="Fira Sans Light" w:cs="Times New Roman"/>
          <w:i/>
          <w:sz w:val="16"/>
          <w:szCs w:val="16"/>
        </w:rPr>
        <w:t>Biorąc pod uwagę miejsce swojego zamieszkania</w:t>
      </w:r>
      <w:r w:rsidR="006705B0">
        <w:rPr>
          <w:rFonts w:eastAsia="Fira Sans Light" w:cs="Times New Roman"/>
          <w:i/>
          <w:sz w:val="16"/>
          <w:szCs w:val="16"/>
        </w:rPr>
        <w:t xml:space="preserve"> </w:t>
      </w:r>
      <w:r w:rsidRPr="00024AD4">
        <w:rPr>
          <w:rFonts w:eastAsia="Fira Sans Light" w:cs="Times New Roman"/>
          <w:i/>
          <w:sz w:val="16"/>
          <w:szCs w:val="16"/>
        </w:rPr>
        <w:t>- miasto, wieś – jakiego rodzaju pomocy najbardziej potrzeba ludziom tu mieszkającym, których uznałby/uznałaby Pan/Pani za ludzi żyjących w biedzie? Proszę wskazać od 1 do 3 najważniejszych form pomocy.</w:t>
      </w:r>
    </w:p>
    <w:p w:rsidR="009F78AA" w:rsidRPr="00024AD4" w:rsidRDefault="00CB27B3" w:rsidP="0039663B">
      <w:pPr>
        <w:spacing w:before="60" w:after="60" w:line="200" w:lineRule="exact"/>
        <w:rPr>
          <w:rFonts w:eastAsia="Fira Sans Light" w:cs="Times New Roman"/>
          <w:i/>
          <w:sz w:val="16"/>
          <w:szCs w:val="16"/>
          <w:lang w:eastAsia="pl-PL"/>
        </w:rPr>
      </w:pPr>
      <w:r>
        <w:rPr>
          <w:rFonts w:eastAsia="Fira Sans Light" w:cs="Times New Roman"/>
          <w:sz w:val="16"/>
          <w:szCs w:val="16"/>
          <w:vertAlign w:val="superscript"/>
          <w:lang w:eastAsia="pl-PL"/>
        </w:rPr>
        <w:t xml:space="preserve">b </w:t>
      </w:r>
      <w:r w:rsidR="009F78AA" w:rsidRPr="00024AD4">
        <w:rPr>
          <w:rFonts w:eastAsia="Fira Sans Light" w:cs="Times New Roman"/>
          <w:sz w:val="16"/>
          <w:szCs w:val="16"/>
          <w:lang w:eastAsia="pl-PL"/>
        </w:rPr>
        <w:t>W edycji Badania spójności społecznej w 2015 roku, w kafeterii odpowiedzi pkt. 1 był sformułowany następująco</w:t>
      </w:r>
      <w:r w:rsidR="009F78AA" w:rsidRPr="00024AD4">
        <w:rPr>
          <w:rFonts w:eastAsia="Fira Sans Light" w:cs="Times New Roman"/>
          <w:i/>
          <w:sz w:val="16"/>
          <w:szCs w:val="16"/>
          <w:lang w:eastAsia="pl-PL"/>
        </w:rPr>
        <w:t>: Pomoc w znalezieniu pracy osobom bezrobotnym</w:t>
      </w:r>
      <w:r w:rsidR="009F78AA" w:rsidRPr="00024AD4">
        <w:rPr>
          <w:rFonts w:eastAsia="Fira Sans Light" w:cs="Times New Roman"/>
          <w:sz w:val="16"/>
          <w:szCs w:val="16"/>
          <w:lang w:eastAsia="pl-PL"/>
        </w:rPr>
        <w:t xml:space="preserve">. W edycji Badania w 2018 analogiczny pkt 1 brzmi: </w:t>
      </w:r>
      <w:r w:rsidR="009F78AA" w:rsidRPr="00024AD4">
        <w:rPr>
          <w:rFonts w:eastAsia="Fira Sans Light" w:cs="Times New Roman"/>
          <w:i/>
          <w:sz w:val="16"/>
          <w:szCs w:val="16"/>
          <w:lang w:eastAsia="pl-PL"/>
        </w:rPr>
        <w:t xml:space="preserve">Pomoc w znalezieniu pracy. </w:t>
      </w:r>
      <w:r w:rsidR="009F78AA" w:rsidRPr="00024AD4">
        <w:rPr>
          <w:rFonts w:eastAsia="Fira Sans Light" w:cs="Times New Roman"/>
          <w:sz w:val="16"/>
          <w:szCs w:val="16"/>
          <w:lang w:eastAsia="pl-PL"/>
        </w:rPr>
        <w:t>Taka zmiana brzmienia mogła wpłynąć na uzyskane odpowiedzi.</w:t>
      </w:r>
    </w:p>
    <w:p w:rsidR="009F78AA" w:rsidRPr="00024AD4" w:rsidRDefault="009F78AA" w:rsidP="0039663B">
      <w:pPr>
        <w:spacing w:before="60" w:after="60" w:line="200" w:lineRule="exact"/>
        <w:rPr>
          <w:rFonts w:eastAsia="Fira Sans Light" w:cs="Times New Roman"/>
          <w:sz w:val="16"/>
          <w:szCs w:val="16"/>
          <w:lang w:eastAsia="pl-PL"/>
        </w:rPr>
      </w:pPr>
      <w:r w:rsidRPr="00024AD4">
        <w:rPr>
          <w:rFonts w:eastAsia="Fira Sans Light" w:cs="Times New Roman"/>
          <w:sz w:val="16"/>
          <w:szCs w:val="16"/>
          <w:lang w:eastAsia="pl-PL"/>
        </w:rPr>
        <w:t>* W edycji Badania spójności społecznej w 2015 roku, w kafeterii nie zostały zamieszczone te warianty odpowiedzi.</w:t>
      </w:r>
    </w:p>
    <w:p w:rsidR="004A26C9" w:rsidRPr="004A26C9" w:rsidRDefault="004A26C9" w:rsidP="0039663B">
      <w:pPr>
        <w:rPr>
          <w:color w:val="000000" w:themeColor="text1"/>
          <w:shd w:val="clear" w:color="auto" w:fill="FFFFFF"/>
        </w:rPr>
      </w:pPr>
      <w:r w:rsidRPr="004A26C9">
        <w:rPr>
          <w:color w:val="000000" w:themeColor="text1"/>
          <w:shd w:val="clear" w:color="auto" w:fill="FFFFFF"/>
        </w:rPr>
        <w:lastRenderedPageBreak/>
        <w:t>Porównując dane dotyczące preferowanych form pomocy społecznej w 2018 r. z danymi z</w:t>
      </w:r>
      <w:r w:rsidR="0039663B">
        <w:rPr>
          <w:color w:val="000000" w:themeColor="text1"/>
          <w:shd w:val="clear" w:color="auto" w:fill="FFFFFF"/>
        </w:rPr>
        <w:t> </w:t>
      </w:r>
      <w:r w:rsidRPr="004A26C9">
        <w:rPr>
          <w:color w:val="000000" w:themeColor="text1"/>
          <w:shd w:val="clear" w:color="auto" w:fill="FFFFFF"/>
        </w:rPr>
        <w:t>2015</w:t>
      </w:r>
      <w:r>
        <w:rPr>
          <w:color w:val="000000" w:themeColor="text1"/>
          <w:shd w:val="clear" w:color="auto" w:fill="FFFFFF"/>
        </w:rPr>
        <w:t> </w:t>
      </w:r>
      <w:r w:rsidRPr="004A26C9">
        <w:rPr>
          <w:color w:val="000000" w:themeColor="text1"/>
          <w:shd w:val="clear" w:color="auto" w:fill="FFFFFF"/>
        </w:rPr>
        <w:t xml:space="preserve">r. zwraca przede wszystkim uwagę bardzo </w:t>
      </w:r>
      <w:r w:rsidRPr="004A26C9">
        <w:rPr>
          <w:rFonts w:cstheme="minorHAnsi"/>
          <w:color w:val="000000" w:themeColor="text1"/>
        </w:rPr>
        <w:t>duży spadek odsetka osób uważających pomoc w znalezieniu pracy za jedną z najbardziej pożądanych form wsparcia (o ok. 31 p. proc. w</w:t>
      </w:r>
      <w:r w:rsidR="0039663B">
        <w:rPr>
          <w:rFonts w:cstheme="minorHAnsi"/>
          <w:color w:val="000000" w:themeColor="text1"/>
        </w:rPr>
        <w:t> </w:t>
      </w:r>
      <w:r w:rsidRPr="004A26C9">
        <w:rPr>
          <w:rFonts w:cstheme="minorHAnsi"/>
          <w:color w:val="000000" w:themeColor="text1"/>
        </w:rPr>
        <w:t>przypadku całej populacji i ok.</w:t>
      </w:r>
      <w:r>
        <w:rPr>
          <w:rFonts w:cstheme="minorHAnsi"/>
          <w:color w:val="000000" w:themeColor="text1"/>
        </w:rPr>
        <w:t xml:space="preserve"> </w:t>
      </w:r>
      <w:r w:rsidRPr="004A26C9">
        <w:rPr>
          <w:rFonts w:cstheme="minorHAnsi"/>
          <w:color w:val="000000" w:themeColor="text1"/>
        </w:rPr>
        <w:t>32% wśród ubogich). Tak wysoki spadek w roku 2018 można wiązać zapewne z poprawą sytuacji na rynku pracy. Nie bez znaczenia jest także fakt, że w</w:t>
      </w:r>
      <w:r w:rsidR="0039663B">
        <w:rPr>
          <w:rFonts w:cstheme="minorHAnsi"/>
          <w:color w:val="000000" w:themeColor="text1"/>
        </w:rPr>
        <w:t> </w:t>
      </w:r>
      <w:r w:rsidRPr="004A26C9">
        <w:rPr>
          <w:rFonts w:cstheme="minorHAnsi"/>
          <w:color w:val="000000" w:themeColor="text1"/>
        </w:rPr>
        <w:t>badaniu z 2018 r. pytano o „pomoc w znalezieniu pracy” a w poprzedniej edycji badania –</w:t>
      </w:r>
      <w:r w:rsidR="00A82B71">
        <w:rPr>
          <w:rFonts w:cstheme="minorHAnsi"/>
          <w:color w:val="000000" w:themeColor="text1"/>
        </w:rPr>
        <w:t xml:space="preserve">  </w:t>
      </w:r>
      <w:r w:rsidRPr="004A26C9">
        <w:rPr>
          <w:rFonts w:cstheme="minorHAnsi"/>
          <w:color w:val="000000" w:themeColor="text1"/>
        </w:rPr>
        <w:t>o</w:t>
      </w:r>
      <w:r w:rsidR="00A82B71">
        <w:rPr>
          <w:rFonts w:cstheme="minorHAnsi"/>
          <w:color w:val="000000" w:themeColor="text1"/>
        </w:rPr>
        <w:t> </w:t>
      </w:r>
      <w:r w:rsidRPr="004A26C9">
        <w:rPr>
          <w:rFonts w:cstheme="minorHAnsi"/>
          <w:color w:val="000000" w:themeColor="text1"/>
        </w:rPr>
        <w:t>„pomoc w znalezieniu pracy osobom bezrobotnym”.</w:t>
      </w:r>
    </w:p>
    <w:p w:rsidR="003961D7" w:rsidRPr="003961D7" w:rsidRDefault="004A26C9" w:rsidP="003961D7">
      <w:pPr>
        <w:rPr>
          <w:color w:val="000000" w:themeColor="text1"/>
          <w:shd w:val="clear" w:color="auto" w:fill="FFFFFF"/>
        </w:rPr>
      </w:pPr>
      <w:r w:rsidRPr="004A26C9">
        <w:rPr>
          <w:color w:val="000000" w:themeColor="text1"/>
          <w:shd w:val="clear" w:color="auto" w:fill="FFFFFF"/>
        </w:rPr>
        <w:t>Należy także odnotować spadek znaczenia w 2018 r. zasiłków pieniężnych jako preferowanej formy pomocy osobom ubogim. Jest to szczególnie widoczne w przypadku opinii osób dotkniętych ubóstwem dochodowym. W 2015 r. zasiłek pieniężny, jako jedną z trzech najważniejszych sposobów pomocy, postrzegało ponad 30% osób ubogich a w 2018 r. – ok.</w:t>
      </w:r>
      <w:r>
        <w:rPr>
          <w:color w:val="000000" w:themeColor="text1"/>
          <w:shd w:val="clear" w:color="auto" w:fill="FFFFFF"/>
        </w:rPr>
        <w:t xml:space="preserve"> </w:t>
      </w:r>
      <w:r w:rsidRPr="004A26C9">
        <w:rPr>
          <w:color w:val="000000" w:themeColor="text1"/>
          <w:shd w:val="clear" w:color="auto" w:fill="FFFFFF"/>
        </w:rPr>
        <w:t>24%. W</w:t>
      </w:r>
      <w:r w:rsidR="0039663B">
        <w:rPr>
          <w:color w:val="000000" w:themeColor="text1"/>
          <w:shd w:val="clear" w:color="auto" w:fill="FFFFFF"/>
        </w:rPr>
        <w:t> </w:t>
      </w:r>
      <w:r w:rsidRPr="004A26C9">
        <w:rPr>
          <w:color w:val="000000" w:themeColor="text1"/>
          <w:shd w:val="clear" w:color="auto" w:fill="FFFFFF"/>
        </w:rPr>
        <w:t>2015 r. była to druga natomiast w 2018 r. –</w:t>
      </w:r>
      <w:r>
        <w:rPr>
          <w:color w:val="000000" w:themeColor="text1"/>
          <w:shd w:val="clear" w:color="auto" w:fill="FFFFFF"/>
        </w:rPr>
        <w:t xml:space="preserve"> </w:t>
      </w:r>
      <w:r w:rsidRPr="004A26C9">
        <w:rPr>
          <w:color w:val="000000" w:themeColor="text1"/>
          <w:shd w:val="clear" w:color="auto" w:fill="FFFFFF"/>
        </w:rPr>
        <w:t>czwarta spośród najczęściej wskazywanych przez osoby ubogie form pomocy.</w:t>
      </w:r>
      <w:r w:rsidR="003961D7">
        <w:rPr>
          <w:color w:val="000000" w:themeColor="text1"/>
          <w:shd w:val="clear" w:color="auto" w:fill="FFFFFF"/>
        </w:rPr>
        <w:t xml:space="preserve"> </w:t>
      </w:r>
      <w:r w:rsidR="003961D7" w:rsidRPr="003961D7">
        <w:rPr>
          <w:color w:val="000000" w:themeColor="text1"/>
          <w:shd w:val="clear" w:color="auto" w:fill="FFFFFF"/>
        </w:rPr>
        <w:t>W tej grupie osób , rzadziej niż w 2015 r., za najważniejsze uznawano wsparcie dotyczące dzieci i młodzieży (takie jak np. zapewnienie wypoczynku wakacyjnego dzieciom). W mniejszym stopniu oczekiwano także pomocy w formie rzeczowej.</w:t>
      </w:r>
    </w:p>
    <w:p w:rsidR="004A26C9" w:rsidRPr="004A26C9" w:rsidRDefault="004A26C9" w:rsidP="0039663B">
      <w:pPr>
        <w:rPr>
          <w:color w:val="000000" w:themeColor="text1"/>
          <w:shd w:val="clear" w:color="auto" w:fill="FFFFFF"/>
        </w:rPr>
      </w:pPr>
    </w:p>
    <w:p w:rsidR="009267BB" w:rsidRDefault="009267BB" w:rsidP="00E76D26">
      <w:pPr>
        <w:rPr>
          <w:sz w:val="18"/>
        </w:rPr>
      </w:pPr>
    </w:p>
    <w:p w:rsidR="009267BB" w:rsidRDefault="009267BB" w:rsidP="00E76D26">
      <w:pPr>
        <w:rPr>
          <w:sz w:val="18"/>
        </w:rPr>
      </w:pPr>
    </w:p>
    <w:p w:rsidR="009267BB" w:rsidRPr="00001C5B" w:rsidRDefault="009267BB" w:rsidP="00E76D26">
      <w:pPr>
        <w:rPr>
          <w:sz w:val="18"/>
        </w:rPr>
        <w:sectPr w:rsidR="009267BB" w:rsidRPr="00001C5B" w:rsidSect="003B18B6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32775" w:rsidRDefault="00032775" w:rsidP="00032775">
      <w:pPr>
        <w:spacing w:before="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032775" w:rsidRPr="00032775" w:rsidRDefault="00032775" w:rsidP="00032775">
      <w:pPr>
        <w:spacing w:before="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032775" w:rsidRPr="00704195" w:rsidTr="00FF6BB9">
        <w:trPr>
          <w:trHeight w:val="2132"/>
        </w:trPr>
        <w:tc>
          <w:tcPr>
            <w:tcW w:w="4248" w:type="dxa"/>
          </w:tcPr>
          <w:p w:rsidR="00032775" w:rsidRPr="00032775" w:rsidRDefault="00032775" w:rsidP="00032775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32775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32775" w:rsidRPr="00032775" w:rsidRDefault="00032775" w:rsidP="00032775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32775">
              <w:rPr>
                <w:rFonts w:cs="Arial"/>
                <w:b/>
                <w:color w:val="000000" w:themeColor="text1"/>
                <w:sz w:val="20"/>
              </w:rPr>
              <w:t>Departament Badań Społecznych</w:t>
            </w:r>
          </w:p>
          <w:p w:rsidR="00032775" w:rsidRPr="00032775" w:rsidRDefault="00032775" w:rsidP="00032775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32775">
              <w:rPr>
                <w:rFonts w:cs="Arial"/>
                <w:b/>
                <w:color w:val="000000" w:themeColor="text1"/>
                <w:sz w:val="20"/>
              </w:rPr>
              <w:t>Wydział Badań i Analiz Jakości Życia</w:t>
            </w:r>
          </w:p>
          <w:p w:rsidR="00032775" w:rsidRPr="00032775" w:rsidRDefault="00032775" w:rsidP="00032775">
            <w:pPr>
              <w:keepNext/>
              <w:keepLines/>
              <w:spacing w:before="0" w:after="0" w:line="240" w:lineRule="auto"/>
              <w:outlineLvl w:val="2"/>
              <w:rPr>
                <w:rFonts w:cs="Arial"/>
                <w:b/>
                <w:color w:val="000000" w:themeColor="text1"/>
                <w:sz w:val="20"/>
              </w:rPr>
            </w:pPr>
            <w:r w:rsidRPr="00032775">
              <w:rPr>
                <w:rFonts w:cs="Arial"/>
                <w:b/>
                <w:color w:val="000000" w:themeColor="text1"/>
                <w:sz w:val="20"/>
              </w:rPr>
              <w:t>i Kapitału Społecznego</w:t>
            </w:r>
          </w:p>
          <w:p w:rsidR="00032775" w:rsidRDefault="00032775" w:rsidP="00032775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</w:pPr>
            <w:r w:rsidRPr="00032775"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  <w:t>Anna Bieńkuńska</w:t>
            </w:r>
          </w:p>
          <w:p w:rsidR="00FF6BB9" w:rsidRPr="00032775" w:rsidRDefault="00FF6BB9" w:rsidP="00032775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  <w:t>Arkadiusz Góralczyk</w:t>
            </w:r>
          </w:p>
          <w:p w:rsidR="00032775" w:rsidRPr="00032775" w:rsidRDefault="00032775" w:rsidP="00032775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</w:pPr>
            <w:r w:rsidRPr="00032775"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  <w:t>Tel: 22 608 35 21</w:t>
            </w:r>
          </w:p>
          <w:p w:rsidR="00032775" w:rsidRPr="00032775" w:rsidRDefault="00032775" w:rsidP="00032775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theme="majorBidi"/>
                <w:color w:val="000000" w:themeColor="text1"/>
                <w:sz w:val="24"/>
                <w:szCs w:val="24"/>
                <w:lang w:val="fi-FI"/>
              </w:rPr>
            </w:pPr>
            <w:r w:rsidRPr="00032775">
              <w:rPr>
                <w:rFonts w:eastAsiaTheme="majorEastAsia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Pr="00032775">
                <w:rPr>
                  <w:rFonts w:eastAsiaTheme="majorEastAsia" w:cs="Arial"/>
                  <w:color w:val="0000FF"/>
                  <w:sz w:val="20"/>
                  <w:szCs w:val="20"/>
                  <w:u w:val="single"/>
                  <w:lang w:val="en-US"/>
                </w:rPr>
                <w:t>a.bienkunska@stat.gov.pl</w:t>
              </w:r>
            </w:hyperlink>
          </w:p>
        </w:tc>
        <w:tc>
          <w:tcPr>
            <w:tcW w:w="3819" w:type="dxa"/>
          </w:tcPr>
          <w:p w:rsidR="00032775" w:rsidRPr="00032775" w:rsidRDefault="00032775" w:rsidP="00032775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32775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032775" w:rsidRPr="00032775" w:rsidRDefault="00032775" w:rsidP="00032775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32775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32775" w:rsidRPr="00032775" w:rsidRDefault="00032775" w:rsidP="00032775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</w:pPr>
            <w:r w:rsidRPr="00032775">
              <w:rPr>
                <w:rFonts w:eastAsiaTheme="majorEastAsia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32775" w:rsidRPr="00032775" w:rsidRDefault="00032775" w:rsidP="00032775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</w:pPr>
            <w:r w:rsidRPr="00032775">
              <w:rPr>
                <w:rFonts w:eastAsiaTheme="majorEastAsia" w:cs="Arial"/>
                <w:color w:val="000000" w:themeColor="text1"/>
                <w:sz w:val="20"/>
                <w:szCs w:val="24"/>
                <w:lang w:val="fi-FI"/>
              </w:rPr>
              <w:t>Tel: 22 608 34 75, 22 608 30 09</w:t>
            </w:r>
          </w:p>
          <w:p w:rsidR="00032775" w:rsidRPr="00032775" w:rsidRDefault="00032775" w:rsidP="00032775">
            <w:pPr>
              <w:keepNext/>
              <w:keepLines/>
              <w:spacing w:before="0" w:after="0" w:line="240" w:lineRule="auto"/>
              <w:outlineLvl w:val="2"/>
              <w:rPr>
                <w:rFonts w:eastAsiaTheme="majorEastAsia" w:cs="Arial"/>
                <w:color w:val="000000" w:themeColor="text1"/>
                <w:sz w:val="20"/>
                <w:szCs w:val="20"/>
                <w:lang w:val="en-US"/>
              </w:rPr>
            </w:pPr>
            <w:r w:rsidRPr="00032775">
              <w:rPr>
                <w:rFonts w:eastAsiaTheme="majorEastAsia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032775">
                <w:rPr>
                  <w:rFonts w:eastAsiaTheme="majorEastAsia" w:cs="Arial"/>
                  <w:color w:val="0000FF"/>
                  <w:sz w:val="20"/>
                  <w:szCs w:val="20"/>
                  <w:u w:val="single"/>
                  <w:lang w:val="en-US"/>
                </w:rPr>
                <w:t>rzecznik@stat.gov.pl</w:t>
              </w:r>
            </w:hyperlink>
          </w:p>
        </w:tc>
      </w:tr>
    </w:tbl>
    <w:p w:rsidR="00032775" w:rsidRPr="00032775" w:rsidRDefault="00032775" w:rsidP="00032775">
      <w:pPr>
        <w:spacing w:before="0" w:after="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</w:p>
    <w:tbl>
      <w:tblPr>
        <w:tblStyle w:val="Tabela-Siatk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32775" w:rsidRPr="00032775" w:rsidTr="00050942">
        <w:trPr>
          <w:trHeight w:val="610"/>
        </w:trPr>
        <w:tc>
          <w:tcPr>
            <w:tcW w:w="2721" w:type="pct"/>
            <w:vMerge w:val="restart"/>
            <w:vAlign w:val="center"/>
          </w:tcPr>
          <w:p w:rsidR="00032775" w:rsidRPr="00032775" w:rsidRDefault="00032775" w:rsidP="00032775">
            <w:pPr>
              <w:ind w:left="142"/>
              <w:rPr>
                <w:b/>
                <w:sz w:val="20"/>
              </w:rPr>
            </w:pPr>
            <w:r w:rsidRPr="00032775">
              <w:rPr>
                <w:b/>
                <w:sz w:val="20"/>
              </w:rPr>
              <w:t xml:space="preserve">Wydział Współpracy z Mediami </w:t>
            </w:r>
          </w:p>
          <w:p w:rsidR="00032775" w:rsidRPr="00032775" w:rsidRDefault="00032775" w:rsidP="00032775">
            <w:pPr>
              <w:ind w:left="142"/>
              <w:rPr>
                <w:sz w:val="20"/>
              </w:rPr>
            </w:pPr>
            <w:r w:rsidRPr="00032775">
              <w:rPr>
                <w:b/>
                <w:sz w:val="20"/>
              </w:rPr>
              <w:t xml:space="preserve">tel.: </w:t>
            </w:r>
            <w:r w:rsidRPr="00032775">
              <w:rPr>
                <w:sz w:val="20"/>
              </w:rPr>
              <w:t xml:space="preserve">22 608 34 91, 22 608 38 04 </w:t>
            </w:r>
          </w:p>
          <w:p w:rsidR="00032775" w:rsidRPr="00032775" w:rsidRDefault="00032775" w:rsidP="00032775">
            <w:pPr>
              <w:ind w:left="142"/>
              <w:rPr>
                <w:sz w:val="20"/>
                <w:lang w:val="en-US"/>
              </w:rPr>
            </w:pPr>
            <w:r w:rsidRPr="00032775">
              <w:rPr>
                <w:b/>
                <w:sz w:val="20"/>
                <w:lang w:val="en-US"/>
              </w:rPr>
              <w:t>faks:</w:t>
            </w:r>
            <w:r w:rsidRPr="00032775">
              <w:rPr>
                <w:sz w:val="20"/>
                <w:lang w:val="en-US"/>
              </w:rPr>
              <w:t xml:space="preserve"> 22 608 38 86 </w:t>
            </w:r>
          </w:p>
          <w:p w:rsidR="00032775" w:rsidRPr="00032775" w:rsidRDefault="00032775" w:rsidP="00032775">
            <w:pPr>
              <w:ind w:left="142"/>
              <w:rPr>
                <w:sz w:val="18"/>
                <w:lang w:val="en-US"/>
              </w:rPr>
            </w:pPr>
            <w:r w:rsidRPr="00032775">
              <w:rPr>
                <w:b/>
                <w:sz w:val="20"/>
                <w:lang w:val="en-US"/>
              </w:rPr>
              <w:t>e-mail:</w:t>
            </w:r>
            <w:r w:rsidRPr="00032775">
              <w:rPr>
                <w:sz w:val="20"/>
                <w:lang w:val="en-US"/>
              </w:rPr>
              <w:t xml:space="preserve"> </w:t>
            </w:r>
            <w:hyperlink r:id="rId22" w:history="1">
              <w:r w:rsidRPr="00032775">
                <w:rPr>
                  <w:color w:val="0000FF"/>
                  <w:sz w:val="20"/>
                  <w:u w:val="single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32775" w:rsidRPr="00032775" w:rsidRDefault="00032775" w:rsidP="00032775">
            <w:pPr>
              <w:rPr>
                <w:sz w:val="18"/>
                <w:lang w:val="en-US"/>
              </w:rPr>
            </w:pPr>
            <w:r w:rsidRPr="00032775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32775" w:rsidRPr="00032775" w:rsidRDefault="0011480E" w:rsidP="00032775">
            <w:pPr>
              <w:rPr>
                <w:sz w:val="18"/>
              </w:rPr>
            </w:pPr>
            <w:hyperlink r:id="rId24" w:history="1">
              <w:r w:rsidR="00032775" w:rsidRPr="00032775">
                <w:rPr>
                  <w:color w:val="0000FF"/>
                  <w:sz w:val="20"/>
                  <w:u w:val="single"/>
                </w:rPr>
                <w:t>www.stat.gov.pl</w:t>
              </w:r>
            </w:hyperlink>
          </w:p>
        </w:tc>
      </w:tr>
      <w:tr w:rsidR="00032775" w:rsidRPr="00032775" w:rsidTr="00050942">
        <w:trPr>
          <w:trHeight w:val="436"/>
        </w:trPr>
        <w:tc>
          <w:tcPr>
            <w:tcW w:w="2721" w:type="pct"/>
            <w:vMerge/>
            <w:vAlign w:val="center"/>
          </w:tcPr>
          <w:p w:rsidR="00032775" w:rsidRPr="00032775" w:rsidRDefault="00032775" w:rsidP="0003277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32775" w:rsidRPr="00032775" w:rsidRDefault="00032775" w:rsidP="00032775">
            <w:pPr>
              <w:rPr>
                <w:sz w:val="18"/>
              </w:rPr>
            </w:pPr>
            <w:r w:rsidRPr="00032775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32775" w:rsidRPr="00032775" w:rsidRDefault="00032775" w:rsidP="00032775">
            <w:pPr>
              <w:rPr>
                <w:sz w:val="18"/>
              </w:rPr>
            </w:pPr>
            <w:r w:rsidRPr="00032775">
              <w:rPr>
                <w:sz w:val="20"/>
              </w:rPr>
              <w:t>@GUS_STAT</w:t>
            </w:r>
          </w:p>
        </w:tc>
      </w:tr>
      <w:tr w:rsidR="00032775" w:rsidRPr="00032775" w:rsidTr="00050942">
        <w:trPr>
          <w:trHeight w:val="436"/>
        </w:trPr>
        <w:tc>
          <w:tcPr>
            <w:tcW w:w="2721" w:type="pct"/>
            <w:vMerge/>
            <w:vAlign w:val="center"/>
          </w:tcPr>
          <w:p w:rsidR="00032775" w:rsidRPr="00032775" w:rsidRDefault="00032775" w:rsidP="0003277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32775" w:rsidRPr="00032775" w:rsidRDefault="00032775" w:rsidP="00032775">
            <w:pPr>
              <w:rPr>
                <w:sz w:val="18"/>
              </w:rPr>
            </w:pPr>
            <w:r w:rsidRPr="00032775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32775" w:rsidRPr="00032775" w:rsidRDefault="00032775" w:rsidP="00032775">
            <w:pPr>
              <w:rPr>
                <w:sz w:val="20"/>
              </w:rPr>
            </w:pPr>
            <w:r w:rsidRPr="00032775">
              <w:rPr>
                <w:sz w:val="20"/>
              </w:rPr>
              <w:t>@GlownyUrzadStatystyczny</w:t>
            </w:r>
          </w:p>
        </w:tc>
      </w:tr>
    </w:tbl>
    <w:p w:rsidR="00032775" w:rsidRPr="00032775" w:rsidRDefault="007905AA" w:rsidP="00032775">
      <w:pPr>
        <w:spacing w:before="0" w:after="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5085080" cy="1409065"/>
                <wp:effectExtent l="0" t="0" r="20320" b="19685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5080" cy="140917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775" w:rsidRDefault="00032775" w:rsidP="00032775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032775" w:rsidRPr="00A82B71" w:rsidRDefault="0011480E" w:rsidP="0003277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</w:rPr>
                            </w:pPr>
                            <w:hyperlink r:id="rId27" w:history="1">
                              <w:r w:rsidR="00032775" w:rsidRPr="00A82B71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</w:rPr>
                                <w:t>Jakość życia w Polsce w 2015 r. Wyniki Badania spójności społecznej.</w:t>
                              </w:r>
                            </w:hyperlink>
                          </w:p>
                          <w:p w:rsidR="00032775" w:rsidRPr="00A82B71" w:rsidRDefault="0047058F" w:rsidP="0003277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</w:rPr>
                            </w:pPr>
                            <w:r w:rsidRPr="00A82B71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</w:rPr>
                              <w:t>Informacja sygnalna „</w:t>
                            </w:r>
                            <w:r w:rsidR="009E1CD9" w:rsidRPr="00A82B71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</w:rPr>
                              <w:fldChar w:fldCharType="begin"/>
                            </w:r>
                            <w:r w:rsidR="00032775" w:rsidRPr="00A82B71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</w:rPr>
                              <w:instrText xml:space="preserve"> HYPERLINK "https://stat.gov.pl/obszary-tematyczne/warunki-zycia/dochody-wydatki-i-warunki-zycia-ludnosci/terytorialne-zroznicowanie-jakosci-zycia-w-polsce-w-2015-r-,25,1.html" </w:instrText>
                            </w:r>
                            <w:r w:rsidR="009E1CD9" w:rsidRPr="00A82B71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</w:rPr>
                              <w:fldChar w:fldCharType="separate"/>
                            </w:r>
                            <w:r w:rsidRPr="00A82B71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</w:rPr>
                              <w:t>Różne oblicza ubóstwa w Polsce w 2015 r. i 2018 r. na podstawie Badania spójności społecznej”</w:t>
                            </w:r>
                          </w:p>
                          <w:p w:rsidR="00032775" w:rsidRPr="00A82B71" w:rsidRDefault="009E1CD9" w:rsidP="0003277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</w:rPr>
                            </w:pPr>
                            <w:r w:rsidRPr="00A82B71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</w:rPr>
                              <w:fldChar w:fldCharType="end"/>
                            </w:r>
                            <w:hyperlink r:id="rId28" w:history="1">
                              <w:r w:rsidR="00032775" w:rsidRPr="00A82B71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</w:rPr>
                                <w:t>Informacja sygnalna „Zasięg ubóstwa ekonomicznego w Polsce w 2017 r.”</w:t>
                              </w:r>
                            </w:hyperlink>
                          </w:p>
                          <w:p w:rsidR="00032775" w:rsidRPr="00A82B71" w:rsidRDefault="0011480E" w:rsidP="0003277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</w:rPr>
                            </w:pPr>
                            <w:hyperlink r:id="rId29" w:history="1">
                              <w:r w:rsidR="00032775" w:rsidRPr="00A82B71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</w:rPr>
                                <w:t>Publikacja „Ubóstwo w Polsce w latach 2015 i 2016”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20.95pt;width:400.4pt;height:110.95pt;z-index:2517524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" fillcolor="#f2f2f2" strokecolor="window">
                <v:textbox>
                  <w:txbxContent>
                    <w:p w:rsidR="00032775" w:rsidRDefault="00032775" w:rsidP="00032775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032775" w:rsidRPr="00A82B71" w:rsidRDefault="00DD2518" w:rsidP="0003277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</w:pPr>
                      <w:hyperlink r:id="rId30" w:history="1">
                        <w:r w:rsidR="00032775" w:rsidRPr="00A82B7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</w:rPr>
                          <w:t>Jakość życia w Polsce w 2015 r. Wyniki Badania spójności społecznej.</w:t>
                        </w:r>
                      </w:hyperlink>
                    </w:p>
                    <w:p w:rsidR="00032775" w:rsidRPr="00A82B71" w:rsidRDefault="0047058F" w:rsidP="0003277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</w:pPr>
                      <w:r w:rsidRPr="00A82B71"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  <w:t>Informacja sygnalna „</w:t>
                      </w:r>
                      <w:r w:rsidR="009E1CD9" w:rsidRPr="00A82B71"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  <w:fldChar w:fldCharType="begin"/>
                      </w:r>
                      <w:r w:rsidR="00032775" w:rsidRPr="00A82B71"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  <w:instrText xml:space="preserve"> HYPERLINK "https://stat.gov.pl/obszary-tematyczne/warunki-zycia/dochody-wydatki-i-warunki-zycia-ludnosci/terytorialne-zroznicowanie-jakosci-zycia-w-polsce-w-2015-r-,25,1.html" </w:instrText>
                      </w:r>
                      <w:r w:rsidR="009E1CD9" w:rsidRPr="00A82B71"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  <w:fldChar w:fldCharType="separate"/>
                      </w:r>
                      <w:r w:rsidRPr="00A82B71"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  <w:t>Różne oblicza ubóstwa w Polsce w 2015 r. i 2018 r. na podstawie Badania spójności społecznej”</w:t>
                      </w:r>
                    </w:p>
                    <w:p w:rsidR="00032775" w:rsidRPr="00A82B71" w:rsidRDefault="009E1CD9" w:rsidP="0003277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</w:pPr>
                      <w:r w:rsidRPr="00A82B71"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  <w:fldChar w:fldCharType="end"/>
                      </w:r>
                      <w:hyperlink r:id="rId31" w:history="1">
                        <w:r w:rsidR="00032775" w:rsidRPr="00A82B7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</w:rPr>
                          <w:t>Informacja sygnalna „Zasięg ubóstwa ekonomicznego w Polsce w 2017 r.”</w:t>
                        </w:r>
                      </w:hyperlink>
                    </w:p>
                    <w:p w:rsidR="00032775" w:rsidRPr="00A82B71" w:rsidRDefault="00DD2518" w:rsidP="0003277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</w:rPr>
                      </w:pPr>
                      <w:hyperlink r:id="rId32" w:history="1">
                        <w:r w:rsidR="00032775" w:rsidRPr="00A82B7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</w:rPr>
                          <w:t>Publikacja „Ubóstwo w Polsce w latach 2015 i 2016”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32775" w:rsidRPr="00032775" w:rsidRDefault="00032775" w:rsidP="00032775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</w:p>
    <w:p w:rsidR="00032775" w:rsidRPr="00032775" w:rsidRDefault="00032775" w:rsidP="00032775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val="en-US" w:eastAsia="pl-PL"/>
        </w:rPr>
      </w:pPr>
    </w:p>
    <w:p w:rsidR="00DD23F8" w:rsidRDefault="00DD23F8" w:rsidP="000470AA">
      <w:pPr>
        <w:rPr>
          <w:sz w:val="18"/>
        </w:rPr>
      </w:pPr>
    </w:p>
    <w:sectPr w:rsidR="00DD23F8" w:rsidSect="003B18B6">
      <w:headerReference w:type="default" r:id="rId33"/>
      <w:footerReference w:type="default" r:id="rId3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0E" w:rsidRDefault="0011480E" w:rsidP="000662E2">
      <w:pPr>
        <w:spacing w:after="0" w:line="240" w:lineRule="auto"/>
      </w:pPr>
      <w:r>
        <w:separator/>
      </w:r>
    </w:p>
  </w:endnote>
  <w:endnote w:type="continuationSeparator" w:id="0">
    <w:p w:rsidR="0011480E" w:rsidRDefault="0011480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EB556D" w:rsidRDefault="009E1CD9" w:rsidP="003B18B6">
        <w:pPr>
          <w:pStyle w:val="Stopka"/>
          <w:jc w:val="center"/>
        </w:pPr>
        <w:r>
          <w:fldChar w:fldCharType="begin"/>
        </w:r>
        <w:r w:rsidR="00541E6E">
          <w:instrText>PAGE   \* MERGEFORMAT</w:instrText>
        </w:r>
        <w:r>
          <w:fldChar w:fldCharType="separate"/>
        </w:r>
        <w:r w:rsidR="00092CA6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EB556D" w:rsidRDefault="009E1CD9" w:rsidP="003B18B6">
        <w:pPr>
          <w:pStyle w:val="Stopka"/>
          <w:jc w:val="center"/>
        </w:pPr>
        <w:r>
          <w:fldChar w:fldCharType="begin"/>
        </w:r>
        <w:r w:rsidR="00541E6E">
          <w:instrText>PAGE   \* MERGEFORMAT</w:instrText>
        </w:r>
        <w:r>
          <w:fldChar w:fldCharType="separate"/>
        </w:r>
        <w:r w:rsidR="00092CA6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3B18B6" w:rsidRDefault="009E1CD9" w:rsidP="003B18B6">
        <w:pPr>
          <w:pStyle w:val="Stopka"/>
          <w:jc w:val="center"/>
        </w:pPr>
        <w:r>
          <w:fldChar w:fldCharType="begin"/>
        </w:r>
        <w:r w:rsidR="003B18B6">
          <w:instrText>PAGE   \* MERGEFORMAT</w:instrText>
        </w:r>
        <w:r>
          <w:fldChar w:fldCharType="separate"/>
        </w:r>
        <w:r w:rsidR="00092CA6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0E" w:rsidRDefault="0011480E" w:rsidP="000662E2">
      <w:pPr>
        <w:spacing w:after="0" w:line="240" w:lineRule="auto"/>
      </w:pPr>
      <w:r>
        <w:separator/>
      </w:r>
    </w:p>
  </w:footnote>
  <w:footnote w:type="continuationSeparator" w:id="0">
    <w:p w:rsidR="0011480E" w:rsidRDefault="0011480E" w:rsidP="000662E2">
      <w:pPr>
        <w:spacing w:after="0" w:line="240" w:lineRule="auto"/>
      </w:pPr>
      <w:r>
        <w:continuationSeparator/>
      </w:r>
    </w:p>
  </w:footnote>
  <w:footnote w:id="1">
    <w:p w:rsidR="004A6BEC" w:rsidRPr="00B63F37" w:rsidRDefault="004A6BEC" w:rsidP="004A6BEC">
      <w:pPr>
        <w:pStyle w:val="Tekstprzypisudolnego"/>
        <w:rPr>
          <w:sz w:val="16"/>
          <w:szCs w:val="16"/>
        </w:rPr>
      </w:pPr>
      <w:r w:rsidRPr="00B63F37">
        <w:rPr>
          <w:rStyle w:val="Odwoanieprzypisudolnego"/>
          <w:sz w:val="16"/>
          <w:szCs w:val="16"/>
        </w:rPr>
        <w:footnoteRef/>
      </w:r>
      <w:r w:rsidRPr="00B63F37">
        <w:rPr>
          <w:sz w:val="16"/>
          <w:szCs w:val="16"/>
        </w:rPr>
        <w:t xml:space="preserve"> </w:t>
      </w:r>
      <w:r w:rsidR="00F3344C">
        <w:rPr>
          <w:sz w:val="16"/>
          <w:szCs w:val="16"/>
        </w:rPr>
        <w:t>Reprezentacyjne Badanie</w:t>
      </w:r>
      <w:r w:rsidR="00F3344C" w:rsidRPr="00B63F37">
        <w:rPr>
          <w:sz w:val="16"/>
          <w:szCs w:val="16"/>
        </w:rPr>
        <w:t xml:space="preserve"> spójności społecznej</w:t>
      </w:r>
      <w:r w:rsidR="00F3344C">
        <w:rPr>
          <w:sz w:val="16"/>
          <w:szCs w:val="16"/>
        </w:rPr>
        <w:t xml:space="preserve"> zostało przeprowadzone w dniach 05.02.-30.05.2018 r. </w:t>
      </w:r>
      <w:r w:rsidR="00E07711">
        <w:rPr>
          <w:sz w:val="16"/>
          <w:szCs w:val="16"/>
        </w:rPr>
        <w:t>O</w:t>
      </w:r>
      <w:r w:rsidR="00F3344C">
        <w:rPr>
          <w:sz w:val="16"/>
          <w:szCs w:val="16"/>
        </w:rPr>
        <w:t>dpowiedzi na pytania w kwestionariuszu indywidualnym udzieliło ponad 13 tys. osób w wieku 16 lat i więcej</w:t>
      </w:r>
      <w:r w:rsidRPr="00B63F37">
        <w:rPr>
          <w:sz w:val="16"/>
          <w:szCs w:val="16"/>
        </w:rPr>
        <w:t>.</w:t>
      </w:r>
      <w:r w:rsidR="00F3344C">
        <w:rPr>
          <w:sz w:val="16"/>
          <w:szCs w:val="16"/>
        </w:rPr>
        <w:t xml:space="preserve"> Dane z roku 2015 pochodzą z poprzedniej edycji badania.</w:t>
      </w:r>
    </w:p>
  </w:footnote>
  <w:footnote w:id="2">
    <w:p w:rsidR="00EA43D5" w:rsidRPr="003A70C5" w:rsidRDefault="00EA43D5" w:rsidP="0039663B">
      <w:pPr>
        <w:pStyle w:val="Tekstprzypisudolnego"/>
        <w:rPr>
          <w:sz w:val="16"/>
          <w:szCs w:val="16"/>
        </w:rPr>
      </w:pPr>
      <w:r w:rsidRPr="00501E22">
        <w:rPr>
          <w:rStyle w:val="Odwoanieprzypisudolnego"/>
          <w:sz w:val="16"/>
          <w:szCs w:val="16"/>
        </w:rPr>
        <w:footnoteRef/>
      </w:r>
      <w:r w:rsidRPr="00501E22">
        <w:rPr>
          <w:sz w:val="16"/>
          <w:szCs w:val="16"/>
        </w:rPr>
        <w:t xml:space="preserve"> Suma odpowiedzi </w:t>
      </w:r>
      <w:r w:rsidRPr="003A70C5">
        <w:rPr>
          <w:i/>
          <w:sz w:val="16"/>
          <w:szCs w:val="16"/>
        </w:rPr>
        <w:t>jest to zadanie głównie dla państwa</w:t>
      </w:r>
      <w:r w:rsidRPr="00501E22">
        <w:rPr>
          <w:sz w:val="16"/>
          <w:szCs w:val="16"/>
        </w:rPr>
        <w:t xml:space="preserve"> oraz </w:t>
      </w:r>
      <w:r w:rsidRPr="003A70C5">
        <w:rPr>
          <w:i/>
          <w:sz w:val="16"/>
          <w:szCs w:val="16"/>
        </w:rPr>
        <w:t>jest to zadanie bardziej dla państwa niż dla rodziny</w:t>
      </w:r>
      <w:r w:rsidR="003A70C5">
        <w:rPr>
          <w:sz w:val="16"/>
          <w:szCs w:val="16"/>
        </w:rPr>
        <w:t>.</w:t>
      </w:r>
    </w:p>
  </w:footnote>
  <w:footnote w:id="3">
    <w:p w:rsidR="00DA0A79" w:rsidRPr="00327A1C" w:rsidRDefault="00DA0A79" w:rsidP="0039663B">
      <w:pPr>
        <w:pStyle w:val="Tekstprzypisudolnego"/>
        <w:rPr>
          <w:sz w:val="16"/>
          <w:szCs w:val="16"/>
        </w:rPr>
      </w:pPr>
      <w:r w:rsidRPr="00327A1C">
        <w:rPr>
          <w:rStyle w:val="Odwoanieprzypisudolnego"/>
          <w:sz w:val="16"/>
          <w:szCs w:val="16"/>
        </w:rPr>
        <w:footnoteRef/>
      </w:r>
      <w:r w:rsidRPr="00327A1C">
        <w:rPr>
          <w:sz w:val="16"/>
          <w:szCs w:val="16"/>
        </w:rPr>
        <w:t xml:space="preserve"> Za ubogie pod względem dochodowym uznano te gospodarstwa domowe i wszystkie osoby w tych gospodarstwach, w których miesięczny dochód, jakim dysponowało gospodarstwo (w ciągu 12 miesięcy poprzedzających badanie) był niższy od wartości uznanej za próg ubóstwa. Granicę ubóstwa przyjęto na poziomie 60% mediany dochodu ekwiwalentnego, czyli porównywalnego między gospodarstwami o różnym składzie demograficznym.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2" w:rsidRDefault="007905A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B476C8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37" w:rsidRDefault="0045546B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2210137" cy="720000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905A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7905A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70B59F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</w:p>
  <w:p w:rsidR="00F32749" w:rsidRDefault="007905A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172" w:rsidRPr="00C97596" w:rsidRDefault="00014665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23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64ED7">
                            <w:rPr>
                              <w:rFonts w:ascii="Fira Sans SemiBold" w:hAnsi="Fira Sans SemiBold"/>
                              <w:color w:val="001D77"/>
                            </w:rPr>
                            <w:t>10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64ED7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2018 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37172" w:rsidRPr="00C97596" w:rsidRDefault="00014665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23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64ED7">
                      <w:rPr>
                        <w:rFonts w:ascii="Fira Sans SemiBold" w:hAnsi="Fira Sans SemiBold"/>
                        <w:color w:val="001D77"/>
                      </w:rPr>
                      <w:t>10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64ED7">
                      <w:rPr>
                        <w:rFonts w:ascii="Fira Sans SemiBold" w:hAnsi="Fira Sans SemiBold"/>
                        <w:color w:val="001D77"/>
                      </w:rPr>
                      <w:t xml:space="preserve">2018 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15pt;height:124.55pt;visibility:visible;mso-wrap-style:square" o:bullet="t">
        <v:imagedata r:id="rId1" o:title=""/>
      </v:shape>
    </w:pict>
  </w:numPicBullet>
  <w:numPicBullet w:numPicBulletId="1">
    <w:pict>
      <v:shape id="_x0000_i1029" type="#_x0000_t75" style="width:123.5pt;height:124.5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4665"/>
    <w:rsid w:val="000152F5"/>
    <w:rsid w:val="00032775"/>
    <w:rsid w:val="0004582E"/>
    <w:rsid w:val="000470AA"/>
    <w:rsid w:val="00047119"/>
    <w:rsid w:val="00052FB8"/>
    <w:rsid w:val="00056DC4"/>
    <w:rsid w:val="00057CA1"/>
    <w:rsid w:val="000662E2"/>
    <w:rsid w:val="00066883"/>
    <w:rsid w:val="00074DD8"/>
    <w:rsid w:val="000766F1"/>
    <w:rsid w:val="000806F7"/>
    <w:rsid w:val="00085880"/>
    <w:rsid w:val="000873FC"/>
    <w:rsid w:val="00087EB6"/>
    <w:rsid w:val="00092CA6"/>
    <w:rsid w:val="00097840"/>
    <w:rsid w:val="000B0727"/>
    <w:rsid w:val="000C135D"/>
    <w:rsid w:val="000C5759"/>
    <w:rsid w:val="000D1D43"/>
    <w:rsid w:val="000D225C"/>
    <w:rsid w:val="000D2A5C"/>
    <w:rsid w:val="000E0918"/>
    <w:rsid w:val="001011C3"/>
    <w:rsid w:val="00104993"/>
    <w:rsid w:val="00110D87"/>
    <w:rsid w:val="0011387B"/>
    <w:rsid w:val="0011480E"/>
    <w:rsid w:val="00114DB9"/>
    <w:rsid w:val="00116087"/>
    <w:rsid w:val="00117190"/>
    <w:rsid w:val="00121845"/>
    <w:rsid w:val="001249FA"/>
    <w:rsid w:val="00130296"/>
    <w:rsid w:val="001423B6"/>
    <w:rsid w:val="001448A7"/>
    <w:rsid w:val="00146621"/>
    <w:rsid w:val="00156EE0"/>
    <w:rsid w:val="00162325"/>
    <w:rsid w:val="00172402"/>
    <w:rsid w:val="001755D8"/>
    <w:rsid w:val="001951DA"/>
    <w:rsid w:val="001C3269"/>
    <w:rsid w:val="001D1DB4"/>
    <w:rsid w:val="001E0FF8"/>
    <w:rsid w:val="00205686"/>
    <w:rsid w:val="00237C49"/>
    <w:rsid w:val="002476E7"/>
    <w:rsid w:val="00251F8D"/>
    <w:rsid w:val="002574F9"/>
    <w:rsid w:val="00262B61"/>
    <w:rsid w:val="00276811"/>
    <w:rsid w:val="00282699"/>
    <w:rsid w:val="002832B3"/>
    <w:rsid w:val="0029091D"/>
    <w:rsid w:val="002926DF"/>
    <w:rsid w:val="00296697"/>
    <w:rsid w:val="002A4E5F"/>
    <w:rsid w:val="002B0472"/>
    <w:rsid w:val="002B1ED9"/>
    <w:rsid w:val="002B28A2"/>
    <w:rsid w:val="002B4666"/>
    <w:rsid w:val="002B6B12"/>
    <w:rsid w:val="002D2946"/>
    <w:rsid w:val="002E6140"/>
    <w:rsid w:val="002E6985"/>
    <w:rsid w:val="002E71B6"/>
    <w:rsid w:val="002F77C8"/>
    <w:rsid w:val="00304F22"/>
    <w:rsid w:val="00306667"/>
    <w:rsid w:val="00306C7C"/>
    <w:rsid w:val="00322EDD"/>
    <w:rsid w:val="00323DD3"/>
    <w:rsid w:val="00324B6A"/>
    <w:rsid w:val="00324E12"/>
    <w:rsid w:val="00327A1C"/>
    <w:rsid w:val="00332320"/>
    <w:rsid w:val="00347D72"/>
    <w:rsid w:val="00351DD7"/>
    <w:rsid w:val="003524E3"/>
    <w:rsid w:val="00357611"/>
    <w:rsid w:val="00367237"/>
    <w:rsid w:val="0037077F"/>
    <w:rsid w:val="00372411"/>
    <w:rsid w:val="00373882"/>
    <w:rsid w:val="003743CC"/>
    <w:rsid w:val="003843DB"/>
    <w:rsid w:val="00393761"/>
    <w:rsid w:val="003961D7"/>
    <w:rsid w:val="0039663B"/>
    <w:rsid w:val="00397D18"/>
    <w:rsid w:val="003A1B36"/>
    <w:rsid w:val="003A70C5"/>
    <w:rsid w:val="003B1454"/>
    <w:rsid w:val="003B17D9"/>
    <w:rsid w:val="003B18B6"/>
    <w:rsid w:val="003B422D"/>
    <w:rsid w:val="003C2AEF"/>
    <w:rsid w:val="003C59E0"/>
    <w:rsid w:val="003C6C8D"/>
    <w:rsid w:val="003D3F6D"/>
    <w:rsid w:val="003D4F95"/>
    <w:rsid w:val="003D5F42"/>
    <w:rsid w:val="003D60A9"/>
    <w:rsid w:val="003E0419"/>
    <w:rsid w:val="003E439B"/>
    <w:rsid w:val="003F3E19"/>
    <w:rsid w:val="003F4C97"/>
    <w:rsid w:val="003F7FE6"/>
    <w:rsid w:val="00400193"/>
    <w:rsid w:val="00411D0B"/>
    <w:rsid w:val="004212E7"/>
    <w:rsid w:val="0042446D"/>
    <w:rsid w:val="00427BF8"/>
    <w:rsid w:val="00431C02"/>
    <w:rsid w:val="00437395"/>
    <w:rsid w:val="00445047"/>
    <w:rsid w:val="0045546B"/>
    <w:rsid w:val="0046395B"/>
    <w:rsid w:val="00463E39"/>
    <w:rsid w:val="004657FC"/>
    <w:rsid w:val="00465AA1"/>
    <w:rsid w:val="0047058F"/>
    <w:rsid w:val="004733F6"/>
    <w:rsid w:val="00474E69"/>
    <w:rsid w:val="0047733C"/>
    <w:rsid w:val="0048119A"/>
    <w:rsid w:val="00485B9C"/>
    <w:rsid w:val="0049621B"/>
    <w:rsid w:val="004A26C9"/>
    <w:rsid w:val="004A6BEC"/>
    <w:rsid w:val="004A77A7"/>
    <w:rsid w:val="004C1895"/>
    <w:rsid w:val="004C5C78"/>
    <w:rsid w:val="004C6D40"/>
    <w:rsid w:val="004E7919"/>
    <w:rsid w:val="004F0C3C"/>
    <w:rsid w:val="004F63FC"/>
    <w:rsid w:val="00501E22"/>
    <w:rsid w:val="00505A92"/>
    <w:rsid w:val="00517599"/>
    <w:rsid w:val="005200E1"/>
    <w:rsid w:val="005203F1"/>
    <w:rsid w:val="00521BC3"/>
    <w:rsid w:val="00532736"/>
    <w:rsid w:val="00533632"/>
    <w:rsid w:val="00541E6E"/>
    <w:rsid w:val="0054251F"/>
    <w:rsid w:val="005520D8"/>
    <w:rsid w:val="005537DA"/>
    <w:rsid w:val="00556CF1"/>
    <w:rsid w:val="005762A7"/>
    <w:rsid w:val="0058331A"/>
    <w:rsid w:val="005916D7"/>
    <w:rsid w:val="00592E0C"/>
    <w:rsid w:val="005A698C"/>
    <w:rsid w:val="005B4472"/>
    <w:rsid w:val="005C25DE"/>
    <w:rsid w:val="005D0993"/>
    <w:rsid w:val="005D37C4"/>
    <w:rsid w:val="005E0799"/>
    <w:rsid w:val="005F5A80"/>
    <w:rsid w:val="0060164D"/>
    <w:rsid w:val="006044FF"/>
    <w:rsid w:val="00607CC5"/>
    <w:rsid w:val="0061283A"/>
    <w:rsid w:val="00633014"/>
    <w:rsid w:val="0063437B"/>
    <w:rsid w:val="00635DE0"/>
    <w:rsid w:val="00656936"/>
    <w:rsid w:val="00657EC1"/>
    <w:rsid w:val="00666D0B"/>
    <w:rsid w:val="006673CA"/>
    <w:rsid w:val="006705B0"/>
    <w:rsid w:val="00673C26"/>
    <w:rsid w:val="006812AF"/>
    <w:rsid w:val="0068327D"/>
    <w:rsid w:val="00694AF0"/>
    <w:rsid w:val="006A4686"/>
    <w:rsid w:val="006B0E9E"/>
    <w:rsid w:val="006B5A52"/>
    <w:rsid w:val="006B5AE4"/>
    <w:rsid w:val="006D1507"/>
    <w:rsid w:val="006D4054"/>
    <w:rsid w:val="006E02EC"/>
    <w:rsid w:val="006E5850"/>
    <w:rsid w:val="006E7C54"/>
    <w:rsid w:val="00704195"/>
    <w:rsid w:val="0071324E"/>
    <w:rsid w:val="007211B1"/>
    <w:rsid w:val="007257E1"/>
    <w:rsid w:val="0073634D"/>
    <w:rsid w:val="00746187"/>
    <w:rsid w:val="00755D11"/>
    <w:rsid w:val="0076254F"/>
    <w:rsid w:val="00763B26"/>
    <w:rsid w:val="00776673"/>
    <w:rsid w:val="007801F5"/>
    <w:rsid w:val="00783CA4"/>
    <w:rsid w:val="007842FB"/>
    <w:rsid w:val="00784D59"/>
    <w:rsid w:val="00786124"/>
    <w:rsid w:val="007905AA"/>
    <w:rsid w:val="0079514B"/>
    <w:rsid w:val="007A2DC1"/>
    <w:rsid w:val="007B5518"/>
    <w:rsid w:val="007D3319"/>
    <w:rsid w:val="007D335D"/>
    <w:rsid w:val="007E1058"/>
    <w:rsid w:val="007E3314"/>
    <w:rsid w:val="007E4B03"/>
    <w:rsid w:val="007F324B"/>
    <w:rsid w:val="0080553C"/>
    <w:rsid w:val="00805B46"/>
    <w:rsid w:val="00816009"/>
    <w:rsid w:val="00825DC2"/>
    <w:rsid w:val="00830954"/>
    <w:rsid w:val="008322F4"/>
    <w:rsid w:val="00834AD3"/>
    <w:rsid w:val="00843795"/>
    <w:rsid w:val="00846957"/>
    <w:rsid w:val="00847F0F"/>
    <w:rsid w:val="00852448"/>
    <w:rsid w:val="0087447D"/>
    <w:rsid w:val="00874C29"/>
    <w:rsid w:val="0088258A"/>
    <w:rsid w:val="008833DC"/>
    <w:rsid w:val="00886332"/>
    <w:rsid w:val="008876F3"/>
    <w:rsid w:val="008A26D9"/>
    <w:rsid w:val="008A6BA2"/>
    <w:rsid w:val="008A6DD8"/>
    <w:rsid w:val="008C0C29"/>
    <w:rsid w:val="008D028F"/>
    <w:rsid w:val="008D191C"/>
    <w:rsid w:val="008F3638"/>
    <w:rsid w:val="008F4441"/>
    <w:rsid w:val="008F6F31"/>
    <w:rsid w:val="008F74DF"/>
    <w:rsid w:val="009127BA"/>
    <w:rsid w:val="009227A6"/>
    <w:rsid w:val="009267BB"/>
    <w:rsid w:val="00933EC1"/>
    <w:rsid w:val="0095086E"/>
    <w:rsid w:val="009511BA"/>
    <w:rsid w:val="009530DB"/>
    <w:rsid w:val="00953676"/>
    <w:rsid w:val="009549F5"/>
    <w:rsid w:val="009607CD"/>
    <w:rsid w:val="00960E52"/>
    <w:rsid w:val="00964ED7"/>
    <w:rsid w:val="009705EE"/>
    <w:rsid w:val="00977927"/>
    <w:rsid w:val="0098135C"/>
    <w:rsid w:val="0098156A"/>
    <w:rsid w:val="009873AF"/>
    <w:rsid w:val="00991BAC"/>
    <w:rsid w:val="00997214"/>
    <w:rsid w:val="009A2D33"/>
    <w:rsid w:val="009A6B02"/>
    <w:rsid w:val="009A6EA0"/>
    <w:rsid w:val="009C1335"/>
    <w:rsid w:val="009C1AB2"/>
    <w:rsid w:val="009C7251"/>
    <w:rsid w:val="009D1F55"/>
    <w:rsid w:val="009E0880"/>
    <w:rsid w:val="009E1CD9"/>
    <w:rsid w:val="009E2E91"/>
    <w:rsid w:val="009F1299"/>
    <w:rsid w:val="009F78AA"/>
    <w:rsid w:val="00A047AB"/>
    <w:rsid w:val="00A0518D"/>
    <w:rsid w:val="00A139F5"/>
    <w:rsid w:val="00A23CCE"/>
    <w:rsid w:val="00A2467C"/>
    <w:rsid w:val="00A3279A"/>
    <w:rsid w:val="00A33DBD"/>
    <w:rsid w:val="00A365F4"/>
    <w:rsid w:val="00A47D80"/>
    <w:rsid w:val="00A53132"/>
    <w:rsid w:val="00A563F2"/>
    <w:rsid w:val="00A566E8"/>
    <w:rsid w:val="00A61034"/>
    <w:rsid w:val="00A71AC3"/>
    <w:rsid w:val="00A741DF"/>
    <w:rsid w:val="00A757D3"/>
    <w:rsid w:val="00A810F9"/>
    <w:rsid w:val="00A82B71"/>
    <w:rsid w:val="00A86ECC"/>
    <w:rsid w:val="00A86FCC"/>
    <w:rsid w:val="00AA644E"/>
    <w:rsid w:val="00AA710D"/>
    <w:rsid w:val="00AB6D25"/>
    <w:rsid w:val="00AE2D4B"/>
    <w:rsid w:val="00AE4F99"/>
    <w:rsid w:val="00B11B69"/>
    <w:rsid w:val="00B14952"/>
    <w:rsid w:val="00B15280"/>
    <w:rsid w:val="00B24391"/>
    <w:rsid w:val="00B30CBC"/>
    <w:rsid w:val="00B31E5A"/>
    <w:rsid w:val="00B62FC1"/>
    <w:rsid w:val="00B63F37"/>
    <w:rsid w:val="00B653AB"/>
    <w:rsid w:val="00B65F9E"/>
    <w:rsid w:val="00B66B19"/>
    <w:rsid w:val="00B86809"/>
    <w:rsid w:val="00B914E9"/>
    <w:rsid w:val="00B956EE"/>
    <w:rsid w:val="00BA2BA1"/>
    <w:rsid w:val="00BA3562"/>
    <w:rsid w:val="00BB4F09"/>
    <w:rsid w:val="00BD4E33"/>
    <w:rsid w:val="00BE55B0"/>
    <w:rsid w:val="00BF7441"/>
    <w:rsid w:val="00BF765C"/>
    <w:rsid w:val="00C020A5"/>
    <w:rsid w:val="00C030DE"/>
    <w:rsid w:val="00C06330"/>
    <w:rsid w:val="00C129F7"/>
    <w:rsid w:val="00C16F91"/>
    <w:rsid w:val="00C22105"/>
    <w:rsid w:val="00C244B6"/>
    <w:rsid w:val="00C3702F"/>
    <w:rsid w:val="00C44EE9"/>
    <w:rsid w:val="00C4500A"/>
    <w:rsid w:val="00C464B3"/>
    <w:rsid w:val="00C51D2D"/>
    <w:rsid w:val="00C64A37"/>
    <w:rsid w:val="00C7158E"/>
    <w:rsid w:val="00C7250B"/>
    <w:rsid w:val="00C7346B"/>
    <w:rsid w:val="00C77C0E"/>
    <w:rsid w:val="00C809EB"/>
    <w:rsid w:val="00C91687"/>
    <w:rsid w:val="00C924A8"/>
    <w:rsid w:val="00C945FE"/>
    <w:rsid w:val="00C96737"/>
    <w:rsid w:val="00C96FAA"/>
    <w:rsid w:val="00C97A04"/>
    <w:rsid w:val="00CA107B"/>
    <w:rsid w:val="00CA484D"/>
    <w:rsid w:val="00CA4FB6"/>
    <w:rsid w:val="00CB27B3"/>
    <w:rsid w:val="00CB772C"/>
    <w:rsid w:val="00CB7FB1"/>
    <w:rsid w:val="00CC0474"/>
    <w:rsid w:val="00CC739E"/>
    <w:rsid w:val="00CD58B7"/>
    <w:rsid w:val="00CD6E1E"/>
    <w:rsid w:val="00CF4099"/>
    <w:rsid w:val="00D00796"/>
    <w:rsid w:val="00D261A2"/>
    <w:rsid w:val="00D3233D"/>
    <w:rsid w:val="00D616D2"/>
    <w:rsid w:val="00D63B5F"/>
    <w:rsid w:val="00D70EF7"/>
    <w:rsid w:val="00D80BA4"/>
    <w:rsid w:val="00D82539"/>
    <w:rsid w:val="00D8397C"/>
    <w:rsid w:val="00D94EED"/>
    <w:rsid w:val="00D96026"/>
    <w:rsid w:val="00DA0A79"/>
    <w:rsid w:val="00DA1599"/>
    <w:rsid w:val="00DA6634"/>
    <w:rsid w:val="00DA7C1C"/>
    <w:rsid w:val="00DB147A"/>
    <w:rsid w:val="00DB1B7A"/>
    <w:rsid w:val="00DC46D4"/>
    <w:rsid w:val="00DC6708"/>
    <w:rsid w:val="00DD23F8"/>
    <w:rsid w:val="00DD2518"/>
    <w:rsid w:val="00E01436"/>
    <w:rsid w:val="00E045BD"/>
    <w:rsid w:val="00E07711"/>
    <w:rsid w:val="00E07EDC"/>
    <w:rsid w:val="00E11EC1"/>
    <w:rsid w:val="00E17B77"/>
    <w:rsid w:val="00E23337"/>
    <w:rsid w:val="00E259EA"/>
    <w:rsid w:val="00E32061"/>
    <w:rsid w:val="00E32F48"/>
    <w:rsid w:val="00E33FB6"/>
    <w:rsid w:val="00E42FF9"/>
    <w:rsid w:val="00E4356F"/>
    <w:rsid w:val="00E4714C"/>
    <w:rsid w:val="00E51AEB"/>
    <w:rsid w:val="00E522A7"/>
    <w:rsid w:val="00E54452"/>
    <w:rsid w:val="00E60063"/>
    <w:rsid w:val="00E664C5"/>
    <w:rsid w:val="00E671A2"/>
    <w:rsid w:val="00E7110C"/>
    <w:rsid w:val="00E76D26"/>
    <w:rsid w:val="00E8461A"/>
    <w:rsid w:val="00E85CFA"/>
    <w:rsid w:val="00EA43D5"/>
    <w:rsid w:val="00EA7C50"/>
    <w:rsid w:val="00EB1390"/>
    <w:rsid w:val="00EB2C71"/>
    <w:rsid w:val="00EB4340"/>
    <w:rsid w:val="00EB556D"/>
    <w:rsid w:val="00EB5A7D"/>
    <w:rsid w:val="00ED55C0"/>
    <w:rsid w:val="00ED682B"/>
    <w:rsid w:val="00EE1343"/>
    <w:rsid w:val="00EE41D5"/>
    <w:rsid w:val="00EE787E"/>
    <w:rsid w:val="00EF4B48"/>
    <w:rsid w:val="00F037A4"/>
    <w:rsid w:val="00F07FC8"/>
    <w:rsid w:val="00F13730"/>
    <w:rsid w:val="00F14659"/>
    <w:rsid w:val="00F17696"/>
    <w:rsid w:val="00F27AF8"/>
    <w:rsid w:val="00F27C8F"/>
    <w:rsid w:val="00F32749"/>
    <w:rsid w:val="00F3344C"/>
    <w:rsid w:val="00F37172"/>
    <w:rsid w:val="00F37C59"/>
    <w:rsid w:val="00F4477E"/>
    <w:rsid w:val="00F508D0"/>
    <w:rsid w:val="00F56E01"/>
    <w:rsid w:val="00F67D8F"/>
    <w:rsid w:val="00F802BE"/>
    <w:rsid w:val="00F80E93"/>
    <w:rsid w:val="00F8173A"/>
    <w:rsid w:val="00F86024"/>
    <w:rsid w:val="00F8611A"/>
    <w:rsid w:val="00F97092"/>
    <w:rsid w:val="00FA5128"/>
    <w:rsid w:val="00FB226C"/>
    <w:rsid w:val="00FB42D4"/>
    <w:rsid w:val="00FB5906"/>
    <w:rsid w:val="00FB762F"/>
    <w:rsid w:val="00FC09BF"/>
    <w:rsid w:val="00FC2AED"/>
    <w:rsid w:val="00FD5EA7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97B93E-FEA9-492C-A801-AFE1F59A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Tabela-Siatka1">
    <w:name w:val="Tabela - Siatka1"/>
    <w:basedOn w:val="Standardowy"/>
    <w:next w:val="Tabela-Siatka"/>
    <w:uiPriority w:val="39"/>
    <w:rsid w:val="0003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header" Target="header2.xm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mailto:rzecznik@stat.gov.pl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5" Type="http://schemas.openxmlformats.org/officeDocument/2006/relationships/image" Target="media/image5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a.bienkunska@stat.gov.pl" TargetMode="External"/><Relationship Id="rId29" Type="http://schemas.openxmlformats.org/officeDocument/2006/relationships/hyperlink" Target="https://stat.gov.pl/obszary-tematyczne/warunki-zycia/ubostwo-pomoc-spoleczna/ubostwo-w-polsce-w-latach-2015-i-2016,1,8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hyperlink" Target="http://www.stat.gov.pl" TargetMode="External"/><Relationship Id="rId32" Type="http://schemas.openxmlformats.org/officeDocument/2006/relationships/hyperlink" Target="https://stat.gov.pl/obszary-tematyczne/warunki-zycia/ubostwo-pomoc-spoleczna/ubostwo-w-polsce-w-latach-2015-i-2016,1,8.html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23" Type="http://schemas.openxmlformats.org/officeDocument/2006/relationships/image" Target="media/image4.png"/><Relationship Id="rId28" Type="http://schemas.openxmlformats.org/officeDocument/2006/relationships/hyperlink" Target="http://stat.gov.pl/obszary-tematyczne/warunki-zycia/dochody-wydatki-i-warunki-zycia-ludnosci/sytuacja-gospodarstw-domowych-w-2017-r-w-swietle-wynikow-badania-budzetow-gospodarstw-domowych,3,17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stat.gov.pl/obszary-tematyczne/warunki-zycia/dochody-wydatki-i-warunki-zycia-ludnosci/sytuacja-gospodarstw-domowych-w-2017-r-w-swietle-wynikow-badania-budzetow-gospodarstw-domowych,3,17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s://stat.gov.pl/obszary-tematyczne/warunki-zycia/dochody-wydatki-i-warunki-zycia-ludnosci/jakosc-zycia-w-polsce-w-2015-roku-wyniki-badania-spojnosci-spolecznej,4,2.html" TargetMode="External"/><Relationship Id="rId30" Type="http://schemas.openxmlformats.org/officeDocument/2006/relationships/hyperlink" Target="https://stat.gov.pl/obszary-tematyczne/warunki-zycia/dochody-wydatki-i-warunki-zycia-ludnosci/jakosc-zycia-w-polsce-w-2015-roku-wyniki-badania-spojnosci-spolecznej,4,2.html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Arkusz1!$F$5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7A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Arkusz1!$E$6:$E$11</c:f>
              <c:strCache>
                <c:ptCount val="6"/>
                <c:pt idx="0">
                  <c:v>zdecydowanie się zgadzam</c:v>
                </c:pt>
                <c:pt idx="1">
                  <c:v>zgadzam się</c:v>
                </c:pt>
                <c:pt idx="2">
                  <c:v>ani się zgadzam, ani się nie zgadzam</c:v>
                </c:pt>
                <c:pt idx="3">
                  <c:v>nie zgadzam się</c:v>
                </c:pt>
                <c:pt idx="4">
                  <c:v>zdecydowanie się nie zgadzam</c:v>
                </c:pt>
                <c:pt idx="5">
                  <c:v>nie wiem</c:v>
                </c:pt>
              </c:strCache>
            </c:strRef>
          </c:cat>
          <c:val>
            <c:numRef>
              <c:f>Arkusz1!$F$6:$F$11</c:f>
              <c:numCache>
                <c:formatCode>0.0%</c:formatCode>
                <c:ptCount val="6"/>
                <c:pt idx="0">
                  <c:v>0.43500000000000033</c:v>
                </c:pt>
                <c:pt idx="1">
                  <c:v>0.43500000000000033</c:v>
                </c:pt>
                <c:pt idx="2">
                  <c:v>7.9000000000000098E-2</c:v>
                </c:pt>
                <c:pt idx="3">
                  <c:v>2.7000000000000045E-2</c:v>
                </c:pt>
                <c:pt idx="4">
                  <c:v>4.0000000000000053E-3</c:v>
                </c:pt>
                <c:pt idx="5">
                  <c:v>2.0000000000000021E-2</c:v>
                </c:pt>
              </c:numCache>
            </c:numRef>
          </c:val>
        </c:ser>
        <c:ser>
          <c:idx val="1"/>
          <c:order val="1"/>
          <c:tx>
            <c:strRef>
              <c:f>Arkusz1!$G$5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CCE4F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Arkusz1!$E$6:$E$11</c:f>
              <c:strCache>
                <c:ptCount val="6"/>
                <c:pt idx="0">
                  <c:v>zdecydowanie się zgadzam</c:v>
                </c:pt>
                <c:pt idx="1">
                  <c:v>zgadzam się</c:v>
                </c:pt>
                <c:pt idx="2">
                  <c:v>ani się zgadzam, ani się nie zgadzam</c:v>
                </c:pt>
                <c:pt idx="3">
                  <c:v>nie zgadzam się</c:v>
                </c:pt>
                <c:pt idx="4">
                  <c:v>zdecydowanie się nie zgadzam</c:v>
                </c:pt>
                <c:pt idx="5">
                  <c:v>nie wiem</c:v>
                </c:pt>
              </c:strCache>
            </c:strRef>
          </c:cat>
          <c:val>
            <c:numRef>
              <c:f>Arkusz1!$G$6:$G$11</c:f>
              <c:numCache>
                <c:formatCode>0.0%</c:formatCode>
                <c:ptCount val="6"/>
                <c:pt idx="0">
                  <c:v>0.51200000000000001</c:v>
                </c:pt>
                <c:pt idx="1">
                  <c:v>0.39200000000000046</c:v>
                </c:pt>
                <c:pt idx="2">
                  <c:v>5.7000000000000065E-2</c:v>
                </c:pt>
                <c:pt idx="3">
                  <c:v>1.8000000000000019E-2</c:v>
                </c:pt>
                <c:pt idx="4">
                  <c:v>3.0000000000000044E-3</c:v>
                </c:pt>
                <c:pt idx="5">
                  <c:v>1.8000000000000019E-2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axId val="805262496"/>
        <c:axId val="805272832"/>
      </c:barChart>
      <c:catAx>
        <c:axId val="80526249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05272832"/>
        <c:crosses val="autoZero"/>
        <c:auto val="1"/>
        <c:lblAlgn val="ctr"/>
        <c:lblOffset val="100"/>
        <c:noMultiLvlLbl val="0"/>
      </c:catAx>
      <c:valAx>
        <c:axId val="80527283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05262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42450260519054E-2"/>
          <c:y val="5.1067780872794802E-2"/>
          <c:w val="0.88501132014986672"/>
          <c:h val="0.5853128038660905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Arkusz2!$D$5</c:f>
              <c:strCache>
                <c:ptCount val="1"/>
                <c:pt idx="0">
                  <c:v>nie ma ludzi biednych</c:v>
                </c:pt>
              </c:strCache>
            </c:strRef>
          </c:tx>
          <c:spPr>
            <a:solidFill>
              <a:srgbClr val="C6C6C6"/>
            </a:solidFill>
            <a:ln>
              <a:noFill/>
            </a:ln>
            <a:effectLst/>
          </c:spPr>
          <c:invertIfNegative val="0"/>
          <c:cat>
            <c:numRef>
              <c:f>Arkusz2!$E$4:$F$4</c:f>
              <c:numCache>
                <c:formatCode>General</c:formatCode>
                <c:ptCount val="2"/>
                <c:pt idx="0">
                  <c:v>2015</c:v>
                </c:pt>
                <c:pt idx="1">
                  <c:v>2018</c:v>
                </c:pt>
              </c:numCache>
            </c:numRef>
          </c:cat>
          <c:val>
            <c:numRef>
              <c:f>Arkusz2!$E$5:$F$5</c:f>
              <c:numCache>
                <c:formatCode>General</c:formatCode>
                <c:ptCount val="2"/>
                <c:pt idx="0">
                  <c:v>0.3</c:v>
                </c:pt>
                <c:pt idx="1">
                  <c:v>0.7</c:v>
                </c:pt>
              </c:numCache>
            </c:numRef>
          </c:val>
        </c:ser>
        <c:ser>
          <c:idx val="1"/>
          <c:order val="1"/>
          <c:tx>
            <c:strRef>
              <c:f>Arkusz2!$D$6</c:f>
              <c:strCache>
                <c:ptCount val="1"/>
                <c:pt idx="0">
                  <c:v>1% do 5%</c:v>
                </c:pt>
              </c:strCache>
            </c:strRef>
          </c:tx>
          <c:spPr>
            <a:solidFill>
              <a:srgbClr val="F0AB00"/>
            </a:solidFill>
            <a:ln>
              <a:noFill/>
            </a:ln>
            <a:effectLst/>
          </c:spPr>
          <c:invertIfNegative val="0"/>
          <c:cat>
            <c:numRef>
              <c:f>Arkusz2!$E$4:$F$4</c:f>
              <c:numCache>
                <c:formatCode>General</c:formatCode>
                <c:ptCount val="2"/>
                <c:pt idx="0">
                  <c:v>2015</c:v>
                </c:pt>
                <c:pt idx="1">
                  <c:v>2018</c:v>
                </c:pt>
              </c:numCache>
            </c:numRef>
          </c:cat>
          <c:val>
            <c:numRef>
              <c:f>Arkusz2!$E$6:$F$6</c:f>
              <c:numCache>
                <c:formatCode>General</c:formatCode>
                <c:ptCount val="2"/>
                <c:pt idx="0">
                  <c:v>2.5</c:v>
                </c:pt>
                <c:pt idx="1">
                  <c:v>3.3</c:v>
                </c:pt>
              </c:numCache>
            </c:numRef>
          </c:val>
        </c:ser>
        <c:ser>
          <c:idx val="3"/>
          <c:order val="3"/>
          <c:tx>
            <c:strRef>
              <c:f>Arkusz2!$D$8</c:f>
              <c:strCache>
                <c:ptCount val="1"/>
                <c:pt idx="0">
                  <c:v>6% do 10%</c:v>
                </c:pt>
              </c:strCache>
            </c:strRef>
          </c:tx>
          <c:spPr>
            <a:solidFill>
              <a:srgbClr val="F6CD66"/>
            </a:solidFill>
            <a:ln>
              <a:noFill/>
            </a:ln>
            <a:effectLst/>
          </c:spPr>
          <c:invertIfNegative val="0"/>
          <c:cat>
            <c:numRef>
              <c:f>Arkusz2!$E$4:$F$4</c:f>
              <c:numCache>
                <c:formatCode>General</c:formatCode>
                <c:ptCount val="2"/>
                <c:pt idx="0">
                  <c:v>2015</c:v>
                </c:pt>
                <c:pt idx="1">
                  <c:v>2018</c:v>
                </c:pt>
              </c:numCache>
            </c:numRef>
          </c:cat>
          <c:val>
            <c:numRef>
              <c:f>Arkusz2!$E$8:$F$8</c:f>
              <c:numCache>
                <c:formatCode>General</c:formatCode>
                <c:ptCount val="2"/>
                <c:pt idx="0">
                  <c:v>8</c:v>
                </c:pt>
                <c:pt idx="1">
                  <c:v>9.4</c:v>
                </c:pt>
              </c:numCache>
            </c:numRef>
          </c:val>
        </c:ser>
        <c:ser>
          <c:idx val="4"/>
          <c:order val="4"/>
          <c:tx>
            <c:strRef>
              <c:f>Arkusz2!$D$9</c:f>
              <c:strCache>
                <c:ptCount val="1"/>
                <c:pt idx="0">
                  <c:v>11% do 15%</c:v>
                </c:pt>
              </c:strCache>
            </c:strRef>
          </c:tx>
          <c:spPr>
            <a:solidFill>
              <a:srgbClr val="F9DD99"/>
            </a:solidFill>
            <a:ln>
              <a:noFill/>
            </a:ln>
            <a:effectLst/>
          </c:spPr>
          <c:invertIfNegative val="0"/>
          <c:cat>
            <c:numRef>
              <c:f>Arkusz2!$E$4:$F$4</c:f>
              <c:numCache>
                <c:formatCode>General</c:formatCode>
                <c:ptCount val="2"/>
                <c:pt idx="0">
                  <c:v>2015</c:v>
                </c:pt>
                <c:pt idx="1">
                  <c:v>2018</c:v>
                </c:pt>
              </c:numCache>
            </c:numRef>
          </c:cat>
          <c:val>
            <c:numRef>
              <c:f>Arkusz2!$E$9:$F$9</c:f>
              <c:numCache>
                <c:formatCode>General</c:formatCode>
                <c:ptCount val="2"/>
                <c:pt idx="0">
                  <c:v>5.0999999999999996</c:v>
                </c:pt>
                <c:pt idx="1">
                  <c:v>5.9</c:v>
                </c:pt>
              </c:numCache>
            </c:numRef>
          </c:val>
        </c:ser>
        <c:ser>
          <c:idx val="5"/>
          <c:order val="5"/>
          <c:tx>
            <c:strRef>
              <c:f>Arkusz2!$D$10</c:f>
              <c:strCache>
                <c:ptCount val="1"/>
                <c:pt idx="0">
                  <c:v>16% do 20%</c:v>
                </c:pt>
              </c:strCache>
            </c:strRef>
          </c:tx>
          <c:spPr>
            <a:solidFill>
              <a:srgbClr val="FCEECC"/>
            </a:solidFill>
            <a:ln>
              <a:noFill/>
            </a:ln>
            <a:effectLst/>
          </c:spPr>
          <c:invertIfNegative val="0"/>
          <c:cat>
            <c:numRef>
              <c:f>Arkusz2!$E$4:$F$4</c:f>
              <c:numCache>
                <c:formatCode>General</c:formatCode>
                <c:ptCount val="2"/>
                <c:pt idx="0">
                  <c:v>2015</c:v>
                </c:pt>
                <c:pt idx="1">
                  <c:v>2018</c:v>
                </c:pt>
              </c:numCache>
            </c:numRef>
          </c:cat>
          <c:val>
            <c:numRef>
              <c:f>Arkusz2!$E$10:$F$10</c:f>
              <c:numCache>
                <c:formatCode>General</c:formatCode>
                <c:ptCount val="2"/>
                <c:pt idx="0">
                  <c:v>12.4</c:v>
                </c:pt>
                <c:pt idx="1">
                  <c:v>13.2</c:v>
                </c:pt>
              </c:numCache>
            </c:numRef>
          </c:val>
        </c:ser>
        <c:ser>
          <c:idx val="6"/>
          <c:order val="6"/>
          <c:tx>
            <c:strRef>
              <c:f>Arkusz2!$D$11</c:f>
              <c:strCache>
                <c:ptCount val="1"/>
                <c:pt idx="0">
                  <c:v>21% do 25%</c:v>
                </c:pt>
              </c:strCache>
            </c:strRef>
          </c:tx>
          <c:spPr>
            <a:solidFill>
              <a:srgbClr val="CCE4F4"/>
            </a:solidFill>
            <a:ln>
              <a:noFill/>
            </a:ln>
            <a:effectLst/>
          </c:spPr>
          <c:invertIfNegative val="0"/>
          <c:cat>
            <c:numRef>
              <c:f>Arkusz2!$E$4:$F$4</c:f>
              <c:numCache>
                <c:formatCode>General</c:formatCode>
                <c:ptCount val="2"/>
                <c:pt idx="0">
                  <c:v>2015</c:v>
                </c:pt>
                <c:pt idx="1">
                  <c:v>2018</c:v>
                </c:pt>
              </c:numCache>
            </c:numRef>
          </c:cat>
          <c:val>
            <c:numRef>
              <c:f>Arkusz2!$E$11:$F$11</c:f>
              <c:numCache>
                <c:formatCode>General</c:formatCode>
                <c:ptCount val="2"/>
                <c:pt idx="0">
                  <c:v>3.7</c:v>
                </c:pt>
                <c:pt idx="1">
                  <c:v>3.4</c:v>
                </c:pt>
              </c:numCache>
            </c:numRef>
          </c:val>
        </c:ser>
        <c:ser>
          <c:idx val="7"/>
          <c:order val="7"/>
          <c:tx>
            <c:strRef>
              <c:f>Arkusz2!$D$12</c:f>
              <c:strCache>
                <c:ptCount val="1"/>
                <c:pt idx="0">
                  <c:v>26% do 30%</c:v>
                </c:pt>
              </c:strCache>
            </c:strRef>
          </c:tx>
          <c:spPr>
            <a:solidFill>
              <a:srgbClr val="99CAE9"/>
            </a:solidFill>
            <a:ln>
              <a:noFill/>
            </a:ln>
            <a:effectLst/>
          </c:spPr>
          <c:invertIfNegative val="0"/>
          <c:cat>
            <c:numRef>
              <c:f>Arkusz2!$E$4:$F$4</c:f>
              <c:numCache>
                <c:formatCode>General</c:formatCode>
                <c:ptCount val="2"/>
                <c:pt idx="0">
                  <c:v>2015</c:v>
                </c:pt>
                <c:pt idx="1">
                  <c:v>2018</c:v>
                </c:pt>
              </c:numCache>
            </c:numRef>
          </c:cat>
          <c:val>
            <c:numRef>
              <c:f>Arkusz2!$E$12:$F$12</c:f>
              <c:numCache>
                <c:formatCode>General</c:formatCode>
                <c:ptCount val="2"/>
                <c:pt idx="0">
                  <c:v>14.6</c:v>
                </c:pt>
                <c:pt idx="1">
                  <c:v>14</c:v>
                </c:pt>
              </c:numCache>
            </c:numRef>
          </c:val>
        </c:ser>
        <c:ser>
          <c:idx val="8"/>
          <c:order val="8"/>
          <c:tx>
            <c:strRef>
              <c:f>Arkusz2!$D$13</c:f>
              <c:strCache>
                <c:ptCount val="1"/>
                <c:pt idx="0">
                  <c:v>31% do 40%</c:v>
                </c:pt>
              </c:strCache>
            </c:strRef>
          </c:tx>
          <c:spPr>
            <a:solidFill>
              <a:srgbClr val="66AFDF"/>
            </a:solidFill>
            <a:ln>
              <a:noFill/>
            </a:ln>
            <a:effectLst/>
          </c:spPr>
          <c:invertIfNegative val="0"/>
          <c:cat>
            <c:numRef>
              <c:f>Arkusz2!$E$4:$F$4</c:f>
              <c:numCache>
                <c:formatCode>General</c:formatCode>
                <c:ptCount val="2"/>
                <c:pt idx="0">
                  <c:v>2015</c:v>
                </c:pt>
                <c:pt idx="1">
                  <c:v>2018</c:v>
                </c:pt>
              </c:numCache>
            </c:numRef>
          </c:cat>
          <c:val>
            <c:numRef>
              <c:f>Arkusz2!$E$13:$F$13</c:f>
              <c:numCache>
                <c:formatCode>General</c:formatCode>
                <c:ptCount val="2"/>
                <c:pt idx="0">
                  <c:v>9.9</c:v>
                </c:pt>
                <c:pt idx="1">
                  <c:v>9.5</c:v>
                </c:pt>
              </c:numCache>
            </c:numRef>
          </c:val>
        </c:ser>
        <c:ser>
          <c:idx val="9"/>
          <c:order val="9"/>
          <c:tx>
            <c:strRef>
              <c:f>Arkusz2!$D$14</c:f>
              <c:strCache>
                <c:ptCount val="1"/>
                <c:pt idx="0">
                  <c:v>41% do 50%</c:v>
                </c:pt>
              </c:strCache>
            </c:strRef>
          </c:tx>
          <c:spPr>
            <a:solidFill>
              <a:srgbClr val="3395D4"/>
            </a:solidFill>
            <a:ln>
              <a:noFill/>
            </a:ln>
            <a:effectLst/>
          </c:spPr>
          <c:invertIfNegative val="0"/>
          <c:cat>
            <c:numRef>
              <c:f>Arkusz2!$E$4:$F$4</c:f>
              <c:numCache>
                <c:formatCode>General</c:formatCode>
                <c:ptCount val="2"/>
                <c:pt idx="0">
                  <c:v>2015</c:v>
                </c:pt>
                <c:pt idx="1">
                  <c:v>2018</c:v>
                </c:pt>
              </c:numCache>
            </c:numRef>
          </c:cat>
          <c:val>
            <c:numRef>
              <c:f>Arkusz2!$E$14:$F$14</c:f>
              <c:numCache>
                <c:formatCode>General</c:formatCode>
                <c:ptCount val="2"/>
                <c:pt idx="0">
                  <c:v>7.3</c:v>
                </c:pt>
                <c:pt idx="1">
                  <c:v>5.5</c:v>
                </c:pt>
              </c:numCache>
            </c:numRef>
          </c:val>
        </c:ser>
        <c:ser>
          <c:idx val="10"/>
          <c:order val="10"/>
          <c:tx>
            <c:strRef>
              <c:f>Arkusz2!$D$15</c:f>
              <c:strCache>
                <c:ptCount val="1"/>
                <c:pt idx="0">
                  <c:v>powyżej 50%</c:v>
                </c:pt>
              </c:strCache>
            </c:strRef>
          </c:tx>
          <c:spPr>
            <a:solidFill>
              <a:srgbClr val="007AC9"/>
            </a:solidFill>
            <a:ln>
              <a:noFill/>
            </a:ln>
            <a:effectLst/>
          </c:spPr>
          <c:invertIfNegative val="0"/>
          <c:cat>
            <c:numRef>
              <c:f>Arkusz2!$E$4:$F$4</c:f>
              <c:numCache>
                <c:formatCode>General</c:formatCode>
                <c:ptCount val="2"/>
                <c:pt idx="0">
                  <c:v>2015</c:v>
                </c:pt>
                <c:pt idx="1">
                  <c:v>2018</c:v>
                </c:pt>
              </c:numCache>
            </c:numRef>
          </c:cat>
          <c:val>
            <c:numRef>
              <c:f>Arkusz2!$E$15:$F$15</c:f>
              <c:numCache>
                <c:formatCode>General</c:formatCode>
                <c:ptCount val="2"/>
                <c:pt idx="0">
                  <c:v>8.6999999999999993</c:v>
                </c:pt>
                <c:pt idx="1">
                  <c:v>5.4</c:v>
                </c:pt>
              </c:numCache>
            </c:numRef>
          </c:val>
        </c:ser>
        <c:ser>
          <c:idx val="11"/>
          <c:order val="11"/>
          <c:tx>
            <c:strRef>
              <c:f>Arkusz2!$D$16</c:f>
              <c:strCache>
                <c:ptCount val="1"/>
                <c:pt idx="0">
                  <c:v>nie wiem</c:v>
                </c:pt>
              </c:strCache>
            </c:strRef>
          </c:tx>
          <c:spPr>
            <a:solidFill>
              <a:srgbClr val="E3E3E3"/>
            </a:solidFill>
            <a:ln>
              <a:noFill/>
            </a:ln>
            <a:effectLst/>
          </c:spPr>
          <c:invertIfNegative val="0"/>
          <c:cat>
            <c:numRef>
              <c:f>Arkusz2!$E$4:$F$4</c:f>
              <c:numCache>
                <c:formatCode>General</c:formatCode>
                <c:ptCount val="2"/>
                <c:pt idx="0">
                  <c:v>2015</c:v>
                </c:pt>
                <c:pt idx="1">
                  <c:v>2018</c:v>
                </c:pt>
              </c:numCache>
            </c:numRef>
          </c:cat>
          <c:val>
            <c:numRef>
              <c:f>Arkusz2!$E$16:$F$16</c:f>
              <c:numCache>
                <c:formatCode>General</c:formatCode>
                <c:ptCount val="2"/>
                <c:pt idx="0">
                  <c:v>27.5</c:v>
                </c:pt>
                <c:pt idx="1">
                  <c:v>29.5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805260320"/>
        <c:axId val="805261952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Arkusz2!$D$7</c15:sqref>
                        </c15:formulaRef>
                      </c:ext>
                    </c:extLst>
                    <c:strCache>
                      <c:ptCount val="1"/>
                      <c:pt idx="0">
                        <c:v>3% do 5%</c:v>
                      </c:pt>
                    </c:strCache>
                  </c:strRef>
                </c:tx>
                <c:spPr>
                  <a:solidFill>
                    <a:srgbClr val="F3BC33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Arkusz2!$E$4:$F$4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2015</c:v>
                      </c:pt>
                      <c:pt idx="1">
                        <c:v>2018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Arkusz2!$E$7:$F$7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</c15:ser>
            </c15:filteredBarSeries>
          </c:ext>
        </c:extLst>
      </c:barChart>
      <c:catAx>
        <c:axId val="805260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05261952"/>
        <c:crosses val="autoZero"/>
        <c:auto val="1"/>
        <c:lblAlgn val="ctr"/>
        <c:lblOffset val="100"/>
        <c:noMultiLvlLbl val="0"/>
      </c:catAx>
      <c:valAx>
        <c:axId val="805261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0526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9244583293485068E-2"/>
          <c:y val="0.74407913495492728"/>
          <c:w val="0.91694936987838371"/>
          <c:h val="0.228065711841730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Arkusz1!$G$46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7A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Arkusz1!$F$47:$F$52</c:f>
              <c:strCache>
                <c:ptCount val="6"/>
                <c:pt idx="0">
                  <c:v>zdecydowanie się zgadzam</c:v>
                </c:pt>
                <c:pt idx="1">
                  <c:v>zgadzam się</c:v>
                </c:pt>
                <c:pt idx="2">
                  <c:v>ani się zgadzam, ani się nie zgadzam</c:v>
                </c:pt>
                <c:pt idx="3">
                  <c:v>nie zgadzam się</c:v>
                </c:pt>
                <c:pt idx="4">
                  <c:v>zdecydowanie się nie zgadzam</c:v>
                </c:pt>
                <c:pt idx="5">
                  <c:v>nie wiem</c:v>
                </c:pt>
              </c:strCache>
            </c:strRef>
          </c:cat>
          <c:val>
            <c:numRef>
              <c:f>Arkusz1!$G$47:$G$52</c:f>
              <c:numCache>
                <c:formatCode>0.0%</c:formatCode>
                <c:ptCount val="6"/>
                <c:pt idx="0">
                  <c:v>0.36200000000000032</c:v>
                </c:pt>
                <c:pt idx="1">
                  <c:v>0.41500000000000031</c:v>
                </c:pt>
                <c:pt idx="2">
                  <c:v>0.126</c:v>
                </c:pt>
                <c:pt idx="3">
                  <c:v>4.900000000000005E-2</c:v>
                </c:pt>
                <c:pt idx="4">
                  <c:v>1.900000000000002E-2</c:v>
                </c:pt>
                <c:pt idx="5">
                  <c:v>2.9000000000000001E-2</c:v>
                </c:pt>
              </c:numCache>
            </c:numRef>
          </c:val>
        </c:ser>
        <c:ser>
          <c:idx val="1"/>
          <c:order val="1"/>
          <c:tx>
            <c:strRef>
              <c:f>Arkusz1!$H$46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CCE4F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Arkusz1!$F$47:$F$52</c:f>
              <c:strCache>
                <c:ptCount val="6"/>
                <c:pt idx="0">
                  <c:v>zdecydowanie się zgadzam</c:v>
                </c:pt>
                <c:pt idx="1">
                  <c:v>zgadzam się</c:v>
                </c:pt>
                <c:pt idx="2">
                  <c:v>ani się zgadzam, ani się nie zgadzam</c:v>
                </c:pt>
                <c:pt idx="3">
                  <c:v>nie zgadzam się</c:v>
                </c:pt>
                <c:pt idx="4">
                  <c:v>zdecydowanie się nie zgadzam</c:v>
                </c:pt>
                <c:pt idx="5">
                  <c:v>nie wiem</c:v>
                </c:pt>
              </c:strCache>
            </c:strRef>
          </c:cat>
          <c:val>
            <c:numRef>
              <c:f>Arkusz1!$H$47:$H$52</c:f>
              <c:numCache>
                <c:formatCode>0.0%</c:formatCode>
                <c:ptCount val="6"/>
                <c:pt idx="0">
                  <c:v>0.42600000000000032</c:v>
                </c:pt>
                <c:pt idx="1">
                  <c:v>0.38100000000000039</c:v>
                </c:pt>
                <c:pt idx="2">
                  <c:v>0.10900000000000008</c:v>
                </c:pt>
                <c:pt idx="3">
                  <c:v>0.05</c:v>
                </c:pt>
                <c:pt idx="4">
                  <c:v>1.0000000000000005E-2</c:v>
                </c:pt>
                <c:pt idx="5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axId val="816003152"/>
        <c:axId val="816004240"/>
      </c:barChart>
      <c:catAx>
        <c:axId val="8160031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16004240"/>
        <c:crosses val="autoZero"/>
        <c:auto val="1"/>
        <c:lblAlgn val="ctr"/>
        <c:lblOffset val="100"/>
        <c:noMultiLvlLbl val="0"/>
      </c:catAx>
      <c:valAx>
        <c:axId val="816004240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16003152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Arkusz1!$G$54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7A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Arkusz1!$F$55:$F$60</c:f>
              <c:strCache>
                <c:ptCount val="6"/>
                <c:pt idx="0">
                  <c:v>zdecydowanie się zgadzam</c:v>
                </c:pt>
                <c:pt idx="1">
                  <c:v>zgadzam się</c:v>
                </c:pt>
                <c:pt idx="2">
                  <c:v>ani się zgadzam, ani się nie zgadzam</c:v>
                </c:pt>
                <c:pt idx="3">
                  <c:v>nie zgadzam się</c:v>
                </c:pt>
                <c:pt idx="4">
                  <c:v>zdecydowanie się nie zgadzam</c:v>
                </c:pt>
                <c:pt idx="5">
                  <c:v>nie wiem</c:v>
                </c:pt>
              </c:strCache>
            </c:strRef>
          </c:cat>
          <c:val>
            <c:numRef>
              <c:f>Arkusz1!$G$55:$G$60</c:f>
              <c:numCache>
                <c:formatCode>0.0%</c:formatCode>
                <c:ptCount val="6"/>
                <c:pt idx="0">
                  <c:v>0.37600000000000033</c:v>
                </c:pt>
                <c:pt idx="1">
                  <c:v>0.39900000000000047</c:v>
                </c:pt>
                <c:pt idx="2">
                  <c:v>0.12200000000000008</c:v>
                </c:pt>
                <c:pt idx="3">
                  <c:v>5.7000000000000023E-2</c:v>
                </c:pt>
                <c:pt idx="4">
                  <c:v>2.0000000000000011E-2</c:v>
                </c:pt>
                <c:pt idx="5">
                  <c:v>2.5999999999999999E-2</c:v>
                </c:pt>
              </c:numCache>
            </c:numRef>
          </c:val>
        </c:ser>
        <c:ser>
          <c:idx val="1"/>
          <c:order val="1"/>
          <c:tx>
            <c:strRef>
              <c:f>Arkusz1!$H$54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CCE4F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Arkusz1!$F$55:$F$60</c:f>
              <c:strCache>
                <c:ptCount val="6"/>
                <c:pt idx="0">
                  <c:v>zdecydowanie się zgadzam</c:v>
                </c:pt>
                <c:pt idx="1">
                  <c:v>zgadzam się</c:v>
                </c:pt>
                <c:pt idx="2">
                  <c:v>ani się zgadzam, ani się nie zgadzam</c:v>
                </c:pt>
                <c:pt idx="3">
                  <c:v>nie zgadzam się</c:v>
                </c:pt>
                <c:pt idx="4">
                  <c:v>zdecydowanie się nie zgadzam</c:v>
                </c:pt>
                <c:pt idx="5">
                  <c:v>nie wiem</c:v>
                </c:pt>
              </c:strCache>
            </c:strRef>
          </c:cat>
          <c:val>
            <c:numRef>
              <c:f>Arkusz1!$H$55:$H$60</c:f>
              <c:numCache>
                <c:formatCode>0.0%</c:formatCode>
                <c:ptCount val="6"/>
                <c:pt idx="0">
                  <c:v>0.46400000000000002</c:v>
                </c:pt>
                <c:pt idx="1">
                  <c:v>0.36000000000000032</c:v>
                </c:pt>
                <c:pt idx="2">
                  <c:v>9.8000000000000129E-2</c:v>
                </c:pt>
                <c:pt idx="3">
                  <c:v>4.3000000000000003E-2</c:v>
                </c:pt>
                <c:pt idx="4">
                  <c:v>1.2E-2</c:v>
                </c:pt>
                <c:pt idx="5">
                  <c:v>2.3E-2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axId val="816014576"/>
        <c:axId val="816004784"/>
      </c:barChart>
      <c:catAx>
        <c:axId val="8160145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16004784"/>
        <c:crosses val="autoZero"/>
        <c:auto val="1"/>
        <c:lblAlgn val="ctr"/>
        <c:lblOffset val="100"/>
        <c:noMultiLvlLbl val="0"/>
      </c:catAx>
      <c:valAx>
        <c:axId val="816004784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16014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Arkusz1!$F$26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7A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Arkusz1!$E$27:$E$31</c:f>
              <c:strCache>
                <c:ptCount val="5"/>
                <c:pt idx="0">
                  <c:v>jest to zadanie głównie dla państwa</c:v>
                </c:pt>
                <c:pt idx="1">
                  <c:v>jest to zadanie bardziej dla państwa niż dla rodziny</c:v>
                </c:pt>
                <c:pt idx="2">
                  <c:v>jest to zadanie zarówno dla państwa, jak i dla rodziny</c:v>
                </c:pt>
                <c:pt idx="3">
                  <c:v>jest to zadanie bardziej dla rodziny niż dla państwa</c:v>
                </c:pt>
                <c:pt idx="4">
                  <c:v>jest to zadanie głównie dla rodziny</c:v>
                </c:pt>
              </c:strCache>
            </c:strRef>
          </c:cat>
          <c:val>
            <c:numRef>
              <c:f>Arkusz1!$F$27:$F$31</c:f>
              <c:numCache>
                <c:formatCode>0.0%</c:formatCode>
                <c:ptCount val="5"/>
                <c:pt idx="0">
                  <c:v>0.30700000000000033</c:v>
                </c:pt>
                <c:pt idx="1">
                  <c:v>0.27900000000000008</c:v>
                </c:pt>
                <c:pt idx="2">
                  <c:v>0.36200000000000032</c:v>
                </c:pt>
                <c:pt idx="3">
                  <c:v>3.500000000000001E-2</c:v>
                </c:pt>
                <c:pt idx="4">
                  <c:v>1.7000000000000001E-2</c:v>
                </c:pt>
              </c:numCache>
            </c:numRef>
          </c:val>
        </c:ser>
        <c:ser>
          <c:idx val="1"/>
          <c:order val="1"/>
          <c:tx>
            <c:strRef>
              <c:f>Arkusz1!$G$26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CCE4F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Arkusz1!$E$27:$E$31</c:f>
              <c:strCache>
                <c:ptCount val="5"/>
                <c:pt idx="0">
                  <c:v>jest to zadanie głównie dla państwa</c:v>
                </c:pt>
                <c:pt idx="1">
                  <c:v>jest to zadanie bardziej dla państwa niż dla rodziny</c:v>
                </c:pt>
                <c:pt idx="2">
                  <c:v>jest to zadanie zarówno dla państwa, jak i dla rodziny</c:v>
                </c:pt>
                <c:pt idx="3">
                  <c:v>jest to zadanie bardziej dla rodziny niż dla państwa</c:v>
                </c:pt>
                <c:pt idx="4">
                  <c:v>jest to zadanie głównie dla rodziny</c:v>
                </c:pt>
              </c:strCache>
            </c:strRef>
          </c:cat>
          <c:val>
            <c:numRef>
              <c:f>Arkusz1!$G$27:$G$31</c:f>
              <c:numCache>
                <c:formatCode>0.0%</c:formatCode>
                <c:ptCount val="5"/>
                <c:pt idx="0">
                  <c:v>0.34800000000000031</c:v>
                </c:pt>
                <c:pt idx="1">
                  <c:v>0.27900000000000008</c:v>
                </c:pt>
                <c:pt idx="2">
                  <c:v>0.33400000000000046</c:v>
                </c:pt>
                <c:pt idx="3">
                  <c:v>2.8000000000000001E-2</c:v>
                </c:pt>
                <c:pt idx="4">
                  <c:v>1.0999999999999998E-2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axId val="842811888"/>
        <c:axId val="842812976"/>
      </c:barChart>
      <c:catAx>
        <c:axId val="84281188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r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42812976"/>
        <c:crosses val="autoZero"/>
        <c:auto val="1"/>
        <c:lblAlgn val="ctr"/>
        <c:lblOffset val="100"/>
        <c:noMultiLvlLbl val="0"/>
      </c:catAx>
      <c:valAx>
        <c:axId val="842812976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42811888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ED113-3F85-4F58-8923-8733C18F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1603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Postrzeganie ubóstwa i nierówności dochodowych w Polsce .</vt:lpstr>
    </vt:vector>
  </TitlesOfParts>
  <Company>GUS</Company>
  <LinksUpToDate>false</LinksUpToDate>
  <CharactersWithSpaces>11199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Postrzeganie ubóstwa i nierówności dochodowych w Polsce .</dc:title>
  <dc:creator>Zawistowska Beata</dc:creator>
  <cp:lastModifiedBy>Koszela Alicja</cp:lastModifiedBy>
  <cp:revision>2</cp:revision>
  <cp:lastPrinted>2018-10-23T05:36:00Z</cp:lastPrinted>
  <dcterms:created xsi:type="dcterms:W3CDTF">2018-10-23T09:21:00Z</dcterms:created>
  <dcterms:modified xsi:type="dcterms:W3CDTF">2018-10-23T09:21:00Z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