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F2482" w:rsidRPr="00E005DC" w:rsidRDefault="003F617A" w:rsidP="00EF2482">
      <w:pPr>
        <w:pStyle w:val="tytuinformacji"/>
        <w:rPr>
          <w:sz w:val="18"/>
        </w:rPr>
      </w:pPr>
      <w:r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766445</wp:posOffset>
                </wp:positionV>
                <wp:extent cx="1758315" cy="1005840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E4C" w:rsidRPr="00330E56" w:rsidRDefault="00296E4C" w:rsidP="00330E56">
                            <w:pPr>
                              <w:rPr>
                                <w:color w:val="001D77"/>
                                <w:sz w:val="18"/>
                              </w:rPr>
                            </w:pPr>
                            <w:r>
                              <w:rPr>
                                <w:color w:val="001D77"/>
                                <w:sz w:val="18"/>
                              </w:rPr>
                              <w:t>W</w:t>
                            </w:r>
                            <w:r w:rsidRPr="00206A6F">
                              <w:rPr>
                                <w:color w:val="001D77"/>
                                <w:sz w:val="18"/>
                              </w:rPr>
                              <w:t xml:space="preserve"> 2018</w:t>
                            </w:r>
                            <w:r>
                              <w:rPr>
                                <w:color w:val="001D77"/>
                                <w:sz w:val="18"/>
                              </w:rPr>
                              <w:t xml:space="preserve"> r.</w:t>
                            </w:r>
                            <w:r w:rsidRPr="00206A6F">
                              <w:rPr>
                                <w:color w:val="001D77"/>
                                <w:sz w:val="18"/>
                              </w:rPr>
                              <w:t xml:space="preserve"> nastąpił spadek zasięgu </w:t>
                            </w:r>
                            <w:r>
                              <w:rPr>
                                <w:color w:val="001D77"/>
                                <w:sz w:val="18"/>
                              </w:rPr>
                              <w:t>ubóstwa wielowymiarowego szacowanego na podstawie Badania spójności społecznej.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1.15pt;margin-top:60.35pt;width:138.45pt;height:79.2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" filled="f" stroked="f">
                <v:textbox style="mso-fit-shape-to-text:t">
                  <w:txbxContent>
                    <w:p w:rsidR="00296E4C" w:rsidRPr="00330E56" w:rsidRDefault="00296E4C" w:rsidP="00330E56">
                      <w:pPr>
                        <w:rPr>
                          <w:color w:val="001D77"/>
                          <w:sz w:val="18"/>
                        </w:rPr>
                      </w:pPr>
                      <w:r>
                        <w:rPr>
                          <w:color w:val="001D77"/>
                          <w:sz w:val="18"/>
                        </w:rPr>
                        <w:t>W</w:t>
                      </w:r>
                      <w:r w:rsidRPr="00206A6F">
                        <w:rPr>
                          <w:color w:val="001D77"/>
                          <w:sz w:val="18"/>
                        </w:rPr>
                        <w:t xml:space="preserve"> 2018</w:t>
                      </w:r>
                      <w:r>
                        <w:rPr>
                          <w:color w:val="001D77"/>
                          <w:sz w:val="18"/>
                        </w:rPr>
                        <w:t xml:space="preserve"> r.</w:t>
                      </w:r>
                      <w:r w:rsidRPr="00206A6F">
                        <w:rPr>
                          <w:color w:val="001D77"/>
                          <w:sz w:val="18"/>
                        </w:rPr>
                        <w:t xml:space="preserve"> nastąpił spadek zasięgu </w:t>
                      </w:r>
                      <w:r>
                        <w:rPr>
                          <w:color w:val="001D77"/>
                          <w:sz w:val="18"/>
                        </w:rPr>
                        <w:t>ubóstwa wielowymiarowego szacowanego na podstawie Badania spójności społecznej.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40005</wp:posOffset>
                </wp:positionV>
                <wp:extent cx="1758315" cy="396240"/>
                <wp:effectExtent l="0" t="0" r="0" b="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E4C" w:rsidRPr="00330E56" w:rsidRDefault="00296E4C">
                            <w:pPr>
                              <w:rPr>
                                <w:rFonts w:ascii="Fira Sans SemiBold" w:hAnsi="Fira Sans SemiBold"/>
                                <w:color w:val="001D77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17.10</w:t>
                            </w:r>
                            <w:r w:rsidRPr="00330E56">
                              <w:rPr>
                                <w:rFonts w:ascii="Fira Sans SemiBold" w:hAnsi="Fira Sans SemiBold"/>
                                <w:color w:val="001D77"/>
                              </w:rPr>
                              <w:t>.2018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10.5pt;margin-top:3.15pt;width:138.45pt;height:31.2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" filled="f" stroked="f">
                <v:textbox style="mso-fit-shape-to-text:t">
                  <w:txbxContent>
                    <w:p w:rsidR="00296E4C" w:rsidRPr="00330E56" w:rsidRDefault="00296E4C">
                      <w:pPr>
                        <w:rPr>
                          <w:rFonts w:ascii="Fira Sans SemiBold" w:hAnsi="Fira Sans SemiBold"/>
                          <w:color w:val="001D77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</w:rPr>
                        <w:t>17.10</w:t>
                      </w:r>
                      <w:r w:rsidRPr="00330E56">
                        <w:rPr>
                          <w:rFonts w:ascii="Fira Sans SemiBold" w:hAnsi="Fira Sans SemiBold"/>
                          <w:color w:val="001D77"/>
                        </w:rPr>
                        <w:t>.2018 r.</w:t>
                      </w:r>
                    </w:p>
                  </w:txbxContent>
                </v:textbox>
              </v:shape>
            </w:pict>
          </mc:Fallback>
        </mc:AlternateContent>
      </w:r>
      <w:r w:rsidR="0040356A">
        <w:t>Różne oblicza ubóstwa w Polsce w 2015 r</w:t>
      </w:r>
      <w:r w:rsidR="00532DCE">
        <w:t xml:space="preserve">. </w:t>
      </w:r>
      <w:r w:rsidR="0040356A">
        <w:t xml:space="preserve">i 2018 r. </w:t>
      </w:r>
      <w:r w:rsidR="00A74C00">
        <w:t xml:space="preserve">  </w:t>
      </w:r>
      <w:r w:rsidR="0040356A">
        <w:t>na podstawie Badania spójności społecznej</w:t>
      </w:r>
      <w:r w:rsidR="009C156D">
        <w:br/>
      </w:r>
    </w:p>
    <w:p w:rsidR="00EF2482" w:rsidRPr="009D2A28" w:rsidRDefault="003F617A" w:rsidP="00C06FBA">
      <w:pPr>
        <w:widowControl w:val="0"/>
        <w:spacing w:before="60" w:line="220" w:lineRule="exact"/>
        <w:rPr>
          <w:b/>
          <w:noProof/>
          <w:szCs w:val="19"/>
          <w:lang w:eastAsia="pl-PL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1540510" cy="1212215"/>
                <wp:effectExtent l="0" t="0" r="2540" b="6985"/>
                <wp:wrapTight wrapText="bothSides">
                  <wp:wrapPolygon edited="0">
                    <wp:start x="0" y="0"/>
                    <wp:lineTo x="0" y="21385"/>
                    <wp:lineTo x="21369" y="21385"/>
                    <wp:lineTo x="21369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121235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E4C" w:rsidRPr="00D538E4" w:rsidRDefault="00296E4C" w:rsidP="00EF2482">
                            <w:pPr>
                              <w:spacing w:before="6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2,1%</w:t>
                            </w:r>
                          </w:p>
                          <w:p w:rsidR="00296E4C" w:rsidRPr="00D538E4" w:rsidRDefault="00296E4C" w:rsidP="00EF2482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Zasięg ubóstwa wielowymiarowego w Polsce w 2018 r.</w:t>
                            </w:r>
                            <w:r w:rsidRPr="00D538E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6.35pt;width:121.3pt;height:95.45pt;z-index:-251536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" fillcolor="#001d77" stroked="f">
                <v:textbox>
                  <w:txbxContent>
                    <w:p w:rsidR="00296E4C" w:rsidRPr="00D538E4" w:rsidRDefault="00296E4C" w:rsidP="00EF2482">
                      <w:pPr>
                        <w:spacing w:before="6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2,1%</w:t>
                      </w:r>
                    </w:p>
                    <w:p w:rsidR="00296E4C" w:rsidRPr="00D538E4" w:rsidRDefault="00296E4C" w:rsidP="00EF2482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Zasięg ubóstwa wielowymiarowego w Polsce w 2018 r.</w:t>
                      </w:r>
                      <w:r w:rsidRPr="00D538E4"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F2482" w:rsidRPr="009D2A28">
        <w:rPr>
          <w:b/>
          <w:noProof/>
          <w:szCs w:val="19"/>
          <w:lang w:eastAsia="pl-PL"/>
        </w:rPr>
        <w:t>Wyniki cyklicznego Badania spójnosci społecznej wskazują,</w:t>
      </w:r>
      <w:r w:rsidR="00953632">
        <w:rPr>
          <w:b/>
          <w:noProof/>
          <w:szCs w:val="19"/>
          <w:lang w:eastAsia="pl-PL"/>
        </w:rPr>
        <w:t xml:space="preserve">    </w:t>
      </w:r>
      <w:r w:rsidR="00EF2482" w:rsidRPr="009D2A28">
        <w:rPr>
          <w:b/>
          <w:noProof/>
          <w:szCs w:val="19"/>
          <w:lang w:eastAsia="pl-PL"/>
        </w:rPr>
        <w:t xml:space="preserve"> iż w 2018 r.</w:t>
      </w:r>
      <w:r w:rsidR="009E0842">
        <w:rPr>
          <w:b/>
          <w:noProof/>
          <w:szCs w:val="19"/>
          <w:lang w:eastAsia="pl-PL"/>
        </w:rPr>
        <w:t xml:space="preserve"> w poró</w:t>
      </w:r>
      <w:r w:rsidR="00EF2482" w:rsidRPr="009D2A28">
        <w:rPr>
          <w:b/>
          <w:noProof/>
          <w:szCs w:val="19"/>
          <w:lang w:eastAsia="pl-PL"/>
        </w:rPr>
        <w:t xml:space="preserve">wnaniu z 2015 r. nastąpił </w:t>
      </w:r>
      <w:r w:rsidR="003C545C">
        <w:rPr>
          <w:b/>
          <w:noProof/>
          <w:szCs w:val="19"/>
          <w:lang w:eastAsia="pl-PL"/>
        </w:rPr>
        <w:t>spadek zasięgu wszystkich trzech branych pod uwagę form ubóstwa. W</w:t>
      </w:r>
      <w:r w:rsidR="00EF2482" w:rsidRPr="009D2A28">
        <w:rPr>
          <w:b/>
          <w:noProof/>
          <w:szCs w:val="19"/>
          <w:lang w:eastAsia="pl-PL"/>
        </w:rPr>
        <w:t>yraźn</w:t>
      </w:r>
      <w:r w:rsidR="003C545C">
        <w:rPr>
          <w:b/>
          <w:noProof/>
          <w:szCs w:val="19"/>
          <w:lang w:eastAsia="pl-PL"/>
        </w:rPr>
        <w:t>ie</w:t>
      </w:r>
      <w:r w:rsidR="00EF2482" w:rsidRPr="009D2A28">
        <w:rPr>
          <w:b/>
          <w:noProof/>
          <w:szCs w:val="19"/>
          <w:lang w:eastAsia="pl-PL"/>
        </w:rPr>
        <w:t xml:space="preserve"> spad</w:t>
      </w:r>
      <w:r w:rsidR="003C545C">
        <w:rPr>
          <w:b/>
          <w:noProof/>
          <w:szCs w:val="19"/>
          <w:lang w:eastAsia="pl-PL"/>
        </w:rPr>
        <w:t>ł</w:t>
      </w:r>
      <w:r w:rsidR="00EF2482" w:rsidRPr="009D2A28">
        <w:rPr>
          <w:b/>
          <w:noProof/>
          <w:szCs w:val="19"/>
          <w:lang w:eastAsia="pl-PL"/>
        </w:rPr>
        <w:t xml:space="preserve"> zasię</w:t>
      </w:r>
      <w:r w:rsidR="003C545C">
        <w:rPr>
          <w:b/>
          <w:noProof/>
          <w:szCs w:val="19"/>
          <w:lang w:eastAsia="pl-PL"/>
        </w:rPr>
        <w:t>g</w:t>
      </w:r>
      <w:r w:rsidR="00EF2482" w:rsidRPr="009D2A28">
        <w:rPr>
          <w:b/>
          <w:noProof/>
          <w:szCs w:val="19"/>
          <w:lang w:eastAsia="pl-PL"/>
        </w:rPr>
        <w:t xml:space="preserve"> ubóstwa warunków życia oraz ubóstwa </w:t>
      </w:r>
      <w:r w:rsidR="004416B7">
        <w:rPr>
          <w:b/>
          <w:noProof/>
          <w:szCs w:val="19"/>
          <w:lang w:eastAsia="pl-PL"/>
        </w:rPr>
        <w:t xml:space="preserve">braku </w:t>
      </w:r>
      <w:r w:rsidR="00EF2482" w:rsidRPr="009D2A28">
        <w:rPr>
          <w:b/>
          <w:noProof/>
          <w:szCs w:val="19"/>
          <w:lang w:eastAsia="pl-PL"/>
        </w:rPr>
        <w:t>równowagi budżetowej gospodarstwa domow</w:t>
      </w:r>
      <w:r w:rsidR="00A74C00">
        <w:rPr>
          <w:b/>
          <w:noProof/>
          <w:szCs w:val="19"/>
          <w:lang w:eastAsia="pl-PL"/>
        </w:rPr>
        <w:t>e</w:t>
      </w:r>
      <w:r w:rsidR="00EF2482" w:rsidRPr="009D2A28">
        <w:rPr>
          <w:b/>
          <w:noProof/>
          <w:szCs w:val="19"/>
          <w:lang w:eastAsia="pl-PL"/>
        </w:rPr>
        <w:t xml:space="preserve">go. </w:t>
      </w:r>
      <w:r w:rsidR="003C545C">
        <w:rPr>
          <w:b/>
          <w:noProof/>
          <w:szCs w:val="19"/>
          <w:lang w:eastAsia="pl-PL"/>
        </w:rPr>
        <w:t>W</w:t>
      </w:r>
      <w:r w:rsidR="003920D0">
        <w:rPr>
          <w:b/>
          <w:noProof/>
          <w:szCs w:val="19"/>
          <w:lang w:eastAsia="pl-PL"/>
        </w:rPr>
        <w:t> </w:t>
      </w:r>
      <w:r w:rsidR="003C545C">
        <w:rPr>
          <w:b/>
          <w:noProof/>
          <w:szCs w:val="19"/>
          <w:lang w:eastAsia="pl-PL"/>
        </w:rPr>
        <w:t xml:space="preserve">niewielkim stopniu </w:t>
      </w:r>
      <w:r w:rsidR="00EF2482" w:rsidRPr="009D2A28">
        <w:rPr>
          <w:b/>
          <w:noProof/>
          <w:szCs w:val="19"/>
          <w:lang w:eastAsia="pl-PL"/>
        </w:rPr>
        <w:t xml:space="preserve">zmalał zasięg </w:t>
      </w:r>
      <w:r w:rsidR="004416B7">
        <w:rPr>
          <w:b/>
          <w:noProof/>
          <w:szCs w:val="19"/>
          <w:lang w:eastAsia="pl-PL"/>
        </w:rPr>
        <w:t xml:space="preserve">relatywnego </w:t>
      </w:r>
      <w:r w:rsidR="00EF2482" w:rsidRPr="009D2A28">
        <w:rPr>
          <w:b/>
          <w:noProof/>
          <w:szCs w:val="19"/>
          <w:lang w:eastAsia="pl-PL"/>
        </w:rPr>
        <w:t>ubóstwa dochodowego. Zm</w:t>
      </w:r>
      <w:r w:rsidR="00A74C00">
        <w:rPr>
          <w:b/>
          <w:noProof/>
          <w:szCs w:val="19"/>
          <w:lang w:eastAsia="pl-PL"/>
        </w:rPr>
        <w:t>n</w:t>
      </w:r>
      <w:r w:rsidR="00EF2482" w:rsidRPr="009D2A28">
        <w:rPr>
          <w:b/>
          <w:noProof/>
          <w:szCs w:val="19"/>
          <w:lang w:eastAsia="pl-PL"/>
        </w:rPr>
        <w:t xml:space="preserve">iejszył się także odsetek gospodarstw domowych </w:t>
      </w:r>
      <w:r w:rsidR="00A74C00">
        <w:rPr>
          <w:b/>
          <w:noProof/>
          <w:szCs w:val="19"/>
          <w:lang w:eastAsia="pl-PL"/>
        </w:rPr>
        <w:t>dotknię</w:t>
      </w:r>
      <w:r w:rsidR="00EF2482" w:rsidRPr="009D2A28">
        <w:rPr>
          <w:b/>
          <w:noProof/>
          <w:szCs w:val="19"/>
          <w:lang w:eastAsia="pl-PL"/>
        </w:rPr>
        <w:t xml:space="preserve">tych ubóstwem wielowymiarowym, mówiącym o jednoczesnym występowaniu trzech wymienionych </w:t>
      </w:r>
      <w:r w:rsidR="00A74C00">
        <w:rPr>
          <w:b/>
          <w:noProof/>
          <w:szCs w:val="19"/>
          <w:lang w:eastAsia="pl-PL"/>
        </w:rPr>
        <w:t xml:space="preserve">wyżej </w:t>
      </w:r>
      <w:r w:rsidR="00EF2482" w:rsidRPr="009D2A28">
        <w:rPr>
          <w:b/>
          <w:noProof/>
          <w:szCs w:val="19"/>
          <w:lang w:eastAsia="pl-PL"/>
        </w:rPr>
        <w:t>form ubóstwa</w:t>
      </w:r>
      <w:r w:rsidR="004416B7">
        <w:rPr>
          <w:b/>
          <w:noProof/>
          <w:szCs w:val="19"/>
          <w:lang w:eastAsia="pl-PL"/>
        </w:rPr>
        <w:t>, z 3,4% do 2,1%</w:t>
      </w:r>
      <w:r w:rsidR="00EF2482" w:rsidRPr="009D2A28">
        <w:rPr>
          <w:b/>
          <w:noProof/>
          <w:szCs w:val="19"/>
          <w:lang w:eastAsia="pl-PL"/>
        </w:rPr>
        <w:t>.</w:t>
      </w:r>
    </w:p>
    <w:p w:rsidR="00EF2482" w:rsidRPr="0088202A" w:rsidRDefault="00EF2482" w:rsidP="00EF2482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Jakie formy ubóstwa uwzględniane są przy ocenie zasięgu ubóstwa wielowymiarowego?</w:t>
      </w:r>
      <w:r w:rsidRPr="00D85239">
        <w:rPr>
          <w:b/>
        </w:rPr>
        <w:t xml:space="preserve"> </w:t>
      </w:r>
      <w:r>
        <w:rPr>
          <w:b/>
        </w:rPr>
        <w:t xml:space="preserve">  </w:t>
      </w:r>
      <w: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Jaki był zasięg poszczególnych form ubóstwa?</w:t>
      </w:r>
    </w:p>
    <w:p w:rsidR="00EF2482" w:rsidRDefault="00EF2482" w:rsidP="00EF2482">
      <w:pPr>
        <w:spacing w:after="0"/>
        <w:rPr>
          <w:noProof/>
          <w:szCs w:val="19"/>
          <w:lang w:eastAsia="pl-PL"/>
        </w:rPr>
      </w:pPr>
      <w:r w:rsidRPr="00900361">
        <w:rPr>
          <w:noProof/>
          <w:szCs w:val="19"/>
          <w:lang w:eastAsia="pl-PL"/>
        </w:rPr>
        <w:t>W odróżnieniu od klasycznego, jednowymiarowego</w:t>
      </w:r>
      <w:r w:rsidRPr="00FF0573">
        <w:rPr>
          <w:noProof/>
          <w:szCs w:val="19"/>
          <w:lang w:eastAsia="pl-PL"/>
        </w:rPr>
        <w:t xml:space="preserve"> </w:t>
      </w:r>
      <w:r w:rsidRPr="00900361">
        <w:rPr>
          <w:noProof/>
          <w:szCs w:val="19"/>
          <w:lang w:eastAsia="pl-PL"/>
        </w:rPr>
        <w:t>ujęcia, w którym zasięg ubóstwa określa się najczęściej na podstawie dochodów lub wydat</w:t>
      </w:r>
      <w:r>
        <w:rPr>
          <w:noProof/>
          <w:szCs w:val="19"/>
          <w:lang w:eastAsia="pl-PL"/>
        </w:rPr>
        <w:t>ków gospodarstw domowych, wzięto</w:t>
      </w:r>
      <w:r w:rsidRPr="00900361">
        <w:rPr>
          <w:noProof/>
          <w:szCs w:val="19"/>
          <w:lang w:eastAsia="pl-PL"/>
        </w:rPr>
        <w:t xml:space="preserve"> pod uwagę </w:t>
      </w:r>
      <w:r w:rsidR="00AE47A1">
        <w:rPr>
          <w:noProof/>
          <w:szCs w:val="19"/>
          <w:lang w:eastAsia="pl-PL"/>
        </w:rPr>
        <w:t xml:space="preserve">jego </w:t>
      </w:r>
      <w:r w:rsidRPr="00900361">
        <w:rPr>
          <w:noProof/>
          <w:szCs w:val="19"/>
          <w:lang w:eastAsia="pl-PL"/>
        </w:rPr>
        <w:t>trzy uzupełniające się wymiary: ubóstwo dochodowe, ubóstwo warunków życia oraz ubóstwo braku równowagi budżetowej.</w:t>
      </w:r>
    </w:p>
    <w:p w:rsidR="00EF2482" w:rsidRDefault="00EF2482" w:rsidP="00EF2482">
      <w:pPr>
        <w:spacing w:before="240" w:line="240" w:lineRule="auto"/>
        <w:rPr>
          <w:b/>
          <w:noProof/>
          <w:sz w:val="18"/>
          <w:szCs w:val="19"/>
          <w:lang w:eastAsia="pl-PL"/>
        </w:rPr>
      </w:pPr>
      <w:r>
        <w:rPr>
          <w:b/>
          <w:noProof/>
          <w:sz w:val="18"/>
          <w:szCs w:val="19"/>
          <w:lang w:eastAsia="pl-PL"/>
        </w:rPr>
        <w:t>Wykres 1</w:t>
      </w:r>
      <w:r w:rsidRPr="00E63984">
        <w:rPr>
          <w:b/>
          <w:noProof/>
          <w:sz w:val="18"/>
          <w:szCs w:val="19"/>
          <w:lang w:eastAsia="pl-PL"/>
        </w:rPr>
        <w:t xml:space="preserve">. Zasięg </w:t>
      </w:r>
      <w:r>
        <w:rPr>
          <w:b/>
          <w:noProof/>
          <w:sz w:val="18"/>
          <w:szCs w:val="19"/>
          <w:lang w:eastAsia="pl-PL"/>
        </w:rPr>
        <w:t>różnych</w:t>
      </w:r>
      <w:r w:rsidRPr="00E63984">
        <w:rPr>
          <w:b/>
          <w:noProof/>
          <w:sz w:val="18"/>
          <w:szCs w:val="19"/>
          <w:lang w:eastAsia="pl-PL"/>
        </w:rPr>
        <w:t xml:space="preserve"> </w:t>
      </w:r>
      <w:r>
        <w:rPr>
          <w:b/>
          <w:noProof/>
          <w:sz w:val="18"/>
          <w:szCs w:val="19"/>
          <w:lang w:eastAsia="pl-PL"/>
        </w:rPr>
        <w:t>form ubóstwa oraz ubóstwa wielowymiarowego w 2015 r. i 2018 r.</w:t>
      </w:r>
    </w:p>
    <w:p w:rsidR="00EF2482" w:rsidRPr="00E63984" w:rsidRDefault="003F617A" w:rsidP="00EA0A5B">
      <w:pPr>
        <w:spacing w:line="240" w:lineRule="auto"/>
        <w:rPr>
          <w:noProof/>
          <w:sz w:val="18"/>
          <w:szCs w:val="19"/>
          <w:lang w:eastAsia="pl-PL"/>
        </w:rPr>
      </w:pPr>
      <w:r>
        <w:rPr>
          <w:noProof/>
          <w:sz w:val="18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2749550</wp:posOffset>
                </wp:positionV>
                <wp:extent cx="1758315" cy="131064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E4C" w:rsidRPr="00330E56" w:rsidRDefault="00296E4C" w:rsidP="00EF2482">
                            <w:pPr>
                              <w:rPr>
                                <w:color w:val="001D77"/>
                                <w:sz w:val="18"/>
                              </w:rPr>
                            </w:pPr>
                            <w:r>
                              <w:rPr>
                                <w:color w:val="001D77"/>
                                <w:sz w:val="18"/>
                              </w:rPr>
                              <w:t>W</w:t>
                            </w:r>
                            <w:r w:rsidRPr="00206A6F">
                              <w:rPr>
                                <w:color w:val="001D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1D77"/>
                                <w:sz w:val="18"/>
                              </w:rPr>
                              <w:t>2018 r. relatywnego ubóstwa dochodowego doświadczało ok. 13% gospodarstw domowych, ubóstwa warunków życia – ok. 5%, natomiast ubóstwa braku równowagi budżetowej – ok. 8%.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10.75pt;margin-top:216.5pt;width:138.45pt;height:103.2pt;z-index:251781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" filled="f" stroked="f">
                <v:textbox style="mso-fit-shape-to-text:t">
                  <w:txbxContent>
                    <w:p w:rsidR="00296E4C" w:rsidRPr="00330E56" w:rsidRDefault="00296E4C" w:rsidP="00EF2482">
                      <w:pPr>
                        <w:rPr>
                          <w:color w:val="001D77"/>
                          <w:sz w:val="18"/>
                        </w:rPr>
                      </w:pPr>
                      <w:r>
                        <w:rPr>
                          <w:color w:val="001D77"/>
                          <w:sz w:val="18"/>
                        </w:rPr>
                        <w:t>W</w:t>
                      </w:r>
                      <w:r w:rsidRPr="00206A6F">
                        <w:rPr>
                          <w:color w:val="001D77"/>
                          <w:sz w:val="18"/>
                        </w:rPr>
                        <w:t xml:space="preserve"> </w:t>
                      </w:r>
                      <w:r>
                        <w:rPr>
                          <w:color w:val="001D77"/>
                          <w:sz w:val="18"/>
                        </w:rPr>
                        <w:t>2018 r. relatywnego ubóstwa dochodowego doświadczało ok. 13% gospodarstw domowych, ubóstwa warunków życia – ok. 5%, natomiast ubóstwa braku równowagi budżetowej – ok. 8%.</w:t>
                      </w:r>
                    </w:p>
                  </w:txbxContent>
                </v:textbox>
              </v:shape>
            </w:pict>
          </mc:Fallback>
        </mc:AlternateContent>
      </w:r>
      <w:r w:rsidR="00EF2482">
        <w:rPr>
          <w:noProof/>
          <w:sz w:val="18"/>
          <w:szCs w:val="19"/>
          <w:lang w:eastAsia="pl-PL"/>
        </w:rPr>
        <w:drawing>
          <wp:inline distT="0" distB="0" distL="0" distR="0">
            <wp:extent cx="5041900" cy="266446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482" w:rsidRPr="00B844DE" w:rsidRDefault="00EF2482" w:rsidP="00EA0A5B">
      <w:pPr>
        <w:pStyle w:val="Akapitzlist"/>
        <w:numPr>
          <w:ilvl w:val="0"/>
          <w:numId w:val="6"/>
        </w:numPr>
        <w:spacing w:line="240" w:lineRule="auto"/>
        <w:ind w:left="357" w:hanging="357"/>
        <w:rPr>
          <w:noProof/>
          <w:szCs w:val="19"/>
          <w:lang w:eastAsia="pl-PL"/>
        </w:rPr>
      </w:pPr>
      <w:r w:rsidRPr="00B844DE">
        <w:rPr>
          <w:noProof/>
          <w:szCs w:val="19"/>
          <w:lang w:eastAsia="pl-PL"/>
        </w:rPr>
        <w:t>Za ubogie pod względem dochodowym uznano te gospodarstwa domowe, w których miesięczny dochód pieniężny (w ciągu 12 miesięcy poprzedzających badanie) był niższy od wartości uznanej za próg ubóstwa. Definiując ubóstwo dochodowe, jak również jego próg</w:t>
      </w:r>
      <w:r w:rsidR="00374CF5">
        <w:rPr>
          <w:noProof/>
          <w:szCs w:val="19"/>
          <w:lang w:eastAsia="pl-PL"/>
        </w:rPr>
        <w:t xml:space="preserve"> (granicę)</w:t>
      </w:r>
      <w:r w:rsidRPr="00B844DE">
        <w:rPr>
          <w:noProof/>
          <w:szCs w:val="19"/>
          <w:lang w:eastAsia="pl-PL"/>
        </w:rPr>
        <w:t>, wzięto pod uwagę dochód ekwiwalentny,</w:t>
      </w:r>
      <w:r>
        <w:rPr>
          <w:noProof/>
          <w:szCs w:val="19"/>
          <w:lang w:eastAsia="pl-PL"/>
        </w:rPr>
        <w:t xml:space="preserve"> </w:t>
      </w:r>
      <w:r w:rsidRPr="00B844DE">
        <w:rPr>
          <w:noProof/>
          <w:szCs w:val="19"/>
          <w:lang w:eastAsia="pl-PL"/>
        </w:rPr>
        <w:t>tj. dochód porównywalny między gospodarstwami o różnym składzie demograficznym.</w:t>
      </w:r>
      <w:r w:rsidR="00374CF5">
        <w:rPr>
          <w:noProof/>
          <w:szCs w:val="19"/>
          <w:lang w:eastAsia="pl-PL"/>
        </w:rPr>
        <w:t xml:space="preserve"> </w:t>
      </w:r>
      <w:r w:rsidR="00792854">
        <w:rPr>
          <w:noProof/>
          <w:szCs w:val="19"/>
          <w:lang w:eastAsia="pl-PL"/>
        </w:rPr>
        <w:t>Zastosowano relatywn</w:t>
      </w:r>
      <w:r w:rsidR="00374CF5">
        <w:rPr>
          <w:noProof/>
          <w:szCs w:val="19"/>
          <w:lang w:eastAsia="pl-PL"/>
        </w:rPr>
        <w:t>ą granicę ubóstwa</w:t>
      </w:r>
      <w:r w:rsidR="007D72C9">
        <w:rPr>
          <w:noProof/>
          <w:szCs w:val="19"/>
          <w:lang w:eastAsia="pl-PL"/>
        </w:rPr>
        <w:t>.</w:t>
      </w:r>
      <w:r w:rsidRPr="00B844DE">
        <w:rPr>
          <w:noProof/>
          <w:szCs w:val="19"/>
          <w:lang w:eastAsia="pl-PL"/>
        </w:rPr>
        <w:t xml:space="preserve"> </w:t>
      </w:r>
      <w:r w:rsidR="00374CF5">
        <w:rPr>
          <w:noProof/>
          <w:szCs w:val="19"/>
          <w:lang w:eastAsia="pl-PL"/>
        </w:rPr>
        <w:t>P</w:t>
      </w:r>
      <w:r w:rsidRPr="00B844DE">
        <w:rPr>
          <w:noProof/>
          <w:szCs w:val="19"/>
          <w:lang w:eastAsia="pl-PL"/>
        </w:rPr>
        <w:t>róg ubóstwa przyjęto na poziomie 60% mediany dochodu ekwiwalentnego dla całego kraju</w:t>
      </w:r>
      <w:r>
        <w:rPr>
          <w:rStyle w:val="Odwoanieprzypisudolnego"/>
          <w:noProof/>
          <w:szCs w:val="19"/>
          <w:lang w:eastAsia="pl-PL"/>
        </w:rPr>
        <w:footnoteReference w:id="1"/>
      </w:r>
      <w:r w:rsidRPr="00B844DE">
        <w:rPr>
          <w:noProof/>
          <w:szCs w:val="19"/>
          <w:lang w:eastAsia="pl-PL"/>
        </w:rPr>
        <w:t xml:space="preserve">. Dochody poniżej tak określonego progu ubóstwa </w:t>
      </w:r>
      <w:r w:rsidR="00743679">
        <w:rPr>
          <w:noProof/>
          <w:szCs w:val="19"/>
          <w:lang w:eastAsia="pl-PL"/>
        </w:rPr>
        <w:t>uzyskiwało</w:t>
      </w:r>
      <w:r w:rsidRPr="00B844DE">
        <w:rPr>
          <w:noProof/>
          <w:szCs w:val="19"/>
          <w:lang w:eastAsia="pl-PL"/>
        </w:rPr>
        <w:t xml:space="preserve"> </w:t>
      </w:r>
      <w:r>
        <w:rPr>
          <w:noProof/>
          <w:szCs w:val="19"/>
          <w:lang w:eastAsia="pl-PL"/>
        </w:rPr>
        <w:t>w 2018 r. ok. 13</w:t>
      </w:r>
      <w:r w:rsidRPr="00B844DE">
        <w:rPr>
          <w:noProof/>
          <w:szCs w:val="19"/>
          <w:lang w:eastAsia="pl-PL"/>
        </w:rPr>
        <w:t>% gospodarstw</w:t>
      </w:r>
      <w:r>
        <w:rPr>
          <w:noProof/>
          <w:szCs w:val="19"/>
          <w:lang w:eastAsia="pl-PL"/>
        </w:rPr>
        <w:t xml:space="preserve"> domowych.</w:t>
      </w:r>
    </w:p>
    <w:p w:rsidR="00EF2482" w:rsidRPr="00B844DE" w:rsidRDefault="00062F53" w:rsidP="00EF2482">
      <w:pPr>
        <w:pStyle w:val="Akapitzlist"/>
        <w:numPr>
          <w:ilvl w:val="0"/>
          <w:numId w:val="6"/>
        </w:numPr>
        <w:spacing w:before="240" w:line="240" w:lineRule="auto"/>
        <w:ind w:left="357" w:hanging="357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 xml:space="preserve">Obliczając wskaźnik ubóstwa warunków życia, za </w:t>
      </w:r>
      <w:r w:rsidR="00EF2482" w:rsidRPr="00B844DE">
        <w:rPr>
          <w:noProof/>
          <w:szCs w:val="19"/>
          <w:lang w:eastAsia="pl-PL"/>
        </w:rPr>
        <w:t>ubogie uznano te gospodarstwa domowe, w których zaobserwowano co najmniej 10 z 30 przejawów (symptomów)</w:t>
      </w:r>
      <w:r>
        <w:rPr>
          <w:noProof/>
          <w:szCs w:val="19"/>
          <w:lang w:eastAsia="pl-PL"/>
        </w:rPr>
        <w:t xml:space="preserve"> ubóstwa</w:t>
      </w:r>
      <w:r w:rsidR="00EF2482" w:rsidRPr="00B844DE">
        <w:rPr>
          <w:noProof/>
          <w:szCs w:val="19"/>
          <w:lang w:eastAsia="pl-PL"/>
        </w:rPr>
        <w:t xml:space="preserve">. Wzięto pod uwagę m.in. brak możliwości zaspokojenia różnego typu potrzeb </w:t>
      </w:r>
      <w:r w:rsidR="00EF2482" w:rsidRPr="00B844DE">
        <w:rPr>
          <w:noProof/>
          <w:szCs w:val="19"/>
          <w:lang w:eastAsia="pl-PL"/>
        </w:rPr>
        <w:lastRenderedPageBreak/>
        <w:t>konsumpcyjnych, jakość mieszkania i poziom wyposażenia w dobra trwałego użytku</w:t>
      </w:r>
      <w:r w:rsidR="00EF2482">
        <w:rPr>
          <w:noProof/>
          <w:szCs w:val="19"/>
          <w:lang w:eastAsia="pl-PL"/>
        </w:rPr>
        <w:t xml:space="preserve"> (zob. załącznik tabl.1 )</w:t>
      </w:r>
      <w:r w:rsidR="00EF2482" w:rsidRPr="00B844DE">
        <w:rPr>
          <w:noProof/>
          <w:szCs w:val="19"/>
          <w:lang w:eastAsia="pl-PL"/>
        </w:rPr>
        <w:t>. Z</w:t>
      </w:r>
      <w:r w:rsidR="00EF2482">
        <w:rPr>
          <w:noProof/>
          <w:szCs w:val="19"/>
          <w:lang w:eastAsia="pl-PL"/>
        </w:rPr>
        <w:t>godnie z tymi kryteriami, w 2018</w:t>
      </w:r>
      <w:r w:rsidR="00EF2482" w:rsidRPr="00B844DE">
        <w:rPr>
          <w:noProof/>
          <w:szCs w:val="19"/>
          <w:lang w:eastAsia="pl-PL"/>
        </w:rPr>
        <w:t xml:space="preserve"> r. ubóstwa waru</w:t>
      </w:r>
      <w:r w:rsidR="00EF2482">
        <w:rPr>
          <w:noProof/>
          <w:szCs w:val="19"/>
          <w:lang w:eastAsia="pl-PL"/>
        </w:rPr>
        <w:t>nków życia doświadczało niemal 5</w:t>
      </w:r>
      <w:r w:rsidR="00EF2482" w:rsidRPr="00B844DE">
        <w:rPr>
          <w:noProof/>
          <w:szCs w:val="19"/>
          <w:lang w:eastAsia="pl-PL"/>
        </w:rPr>
        <w:t xml:space="preserve">% gospodarstw domowych w Polsce. </w:t>
      </w:r>
    </w:p>
    <w:p w:rsidR="00EF2482" w:rsidRDefault="00EF2482" w:rsidP="00EF2482">
      <w:pPr>
        <w:pStyle w:val="Akapitzlist"/>
        <w:numPr>
          <w:ilvl w:val="0"/>
          <w:numId w:val="6"/>
        </w:numPr>
        <w:spacing w:before="240" w:line="240" w:lineRule="auto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>Przy obliczaniu wskaźnika ubóstwa braku równowagi budżetowej uwzględniano</w:t>
      </w:r>
      <w:r w:rsidRPr="00B844DE">
        <w:rPr>
          <w:noProof/>
          <w:szCs w:val="19"/>
          <w:lang w:eastAsia="pl-PL"/>
        </w:rPr>
        <w:t xml:space="preserve"> zarówno subiektywne opinie gospodarstw domowych dotyczące ich statusu materialnego, jak również fakty mówiące o trudnościach budżetowych gospodarstwa (w tym o zaległościach w opłatach). Gospodarstwo domowe uznano za ubogie z punktu widzenia „nieradzenia sobie z budżetem”</w:t>
      </w:r>
      <w:r w:rsidR="005B4FA3">
        <w:rPr>
          <w:noProof/>
          <w:szCs w:val="19"/>
          <w:lang w:eastAsia="pl-PL"/>
        </w:rPr>
        <w:t>,</w:t>
      </w:r>
      <w:r w:rsidRPr="00B844DE">
        <w:rPr>
          <w:noProof/>
          <w:szCs w:val="19"/>
          <w:lang w:eastAsia="pl-PL"/>
        </w:rPr>
        <w:t xml:space="preserve"> jeśli doświadczało przynajmniej 4 z 7 uwzględ</w:t>
      </w:r>
      <w:r>
        <w:rPr>
          <w:noProof/>
          <w:szCs w:val="19"/>
          <w:lang w:eastAsia="pl-PL"/>
        </w:rPr>
        <w:t>nionych symptomów (zob. załącznik tabl.2 )</w:t>
      </w:r>
      <w:r w:rsidRPr="00B844DE">
        <w:rPr>
          <w:noProof/>
          <w:szCs w:val="19"/>
          <w:lang w:eastAsia="pl-PL"/>
        </w:rPr>
        <w:t>. Biorąc pod</w:t>
      </w:r>
      <w:r>
        <w:rPr>
          <w:noProof/>
          <w:szCs w:val="19"/>
          <w:lang w:eastAsia="pl-PL"/>
        </w:rPr>
        <w:t xml:space="preserve"> uwagę przyjęte kryteria, w 2018</w:t>
      </w:r>
      <w:r w:rsidRPr="00B844DE">
        <w:rPr>
          <w:noProof/>
          <w:szCs w:val="19"/>
          <w:lang w:eastAsia="pl-PL"/>
        </w:rPr>
        <w:t xml:space="preserve"> r. ubóstwem braku równowagi bu</w:t>
      </w:r>
      <w:r>
        <w:rPr>
          <w:noProof/>
          <w:szCs w:val="19"/>
          <w:lang w:eastAsia="pl-PL"/>
        </w:rPr>
        <w:t>dżetowej zagrożonych było ok. 8</w:t>
      </w:r>
      <w:r w:rsidRPr="00B844DE">
        <w:rPr>
          <w:noProof/>
          <w:szCs w:val="19"/>
          <w:lang w:eastAsia="pl-PL"/>
        </w:rPr>
        <w:t>% gospodarstw domowych</w:t>
      </w:r>
      <w:r>
        <w:rPr>
          <w:noProof/>
          <w:szCs w:val="19"/>
          <w:lang w:eastAsia="pl-PL"/>
        </w:rPr>
        <w:t>.</w:t>
      </w:r>
    </w:p>
    <w:p w:rsidR="00EF2482" w:rsidRDefault="003F617A" w:rsidP="00EF2482">
      <w:pPr>
        <w:spacing w:before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92075</wp:posOffset>
                </wp:positionV>
                <wp:extent cx="1758315" cy="176784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76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E4C" w:rsidRPr="00330E56" w:rsidRDefault="00C764A1" w:rsidP="00EF2482">
                            <w:pPr>
                              <w:rPr>
                                <w:color w:val="001D77"/>
                                <w:sz w:val="18"/>
                              </w:rPr>
                            </w:pPr>
                            <w:r>
                              <w:rPr>
                                <w:color w:val="001D77"/>
                                <w:sz w:val="18"/>
                              </w:rPr>
                              <w:t>Wyniki</w:t>
                            </w:r>
                            <w:r w:rsidR="00296E4C" w:rsidRPr="00206A6F">
                              <w:rPr>
                                <w:color w:val="001D77"/>
                                <w:sz w:val="18"/>
                              </w:rPr>
                              <w:t xml:space="preserve"> </w:t>
                            </w:r>
                            <w:r w:rsidR="00296E4C">
                              <w:rPr>
                                <w:color w:val="001D77"/>
                                <w:sz w:val="18"/>
                              </w:rPr>
                              <w:t>B</w:t>
                            </w:r>
                            <w:r w:rsidR="00296E4C" w:rsidRPr="00206A6F">
                              <w:rPr>
                                <w:color w:val="001D77"/>
                                <w:sz w:val="18"/>
                              </w:rPr>
                              <w:t xml:space="preserve">adania </w:t>
                            </w:r>
                            <w:r w:rsidR="00296E4C">
                              <w:rPr>
                                <w:color w:val="001D77"/>
                                <w:sz w:val="18"/>
                              </w:rPr>
                              <w:t xml:space="preserve">spójności społecznej </w:t>
                            </w:r>
                            <w:r w:rsidR="00296E4C" w:rsidRPr="00206A6F">
                              <w:rPr>
                                <w:color w:val="001D77"/>
                                <w:sz w:val="18"/>
                              </w:rPr>
                              <w:t xml:space="preserve">wskazują, iż w </w:t>
                            </w:r>
                            <w:r w:rsidR="00296E4C">
                              <w:rPr>
                                <w:color w:val="001D77"/>
                                <w:sz w:val="18"/>
                              </w:rPr>
                              <w:t>2018</w:t>
                            </w:r>
                            <w:r w:rsidR="009E0842">
                              <w:rPr>
                                <w:color w:val="001D77"/>
                                <w:sz w:val="18"/>
                              </w:rPr>
                              <w:t> </w:t>
                            </w:r>
                            <w:r w:rsidR="00296E4C">
                              <w:rPr>
                                <w:color w:val="001D77"/>
                                <w:sz w:val="18"/>
                              </w:rPr>
                              <w:t xml:space="preserve">r. w porównaniu z 2015 r. </w:t>
                            </w:r>
                            <w:r w:rsidR="00296E4C" w:rsidRPr="00206A6F">
                              <w:rPr>
                                <w:color w:val="001D77"/>
                                <w:sz w:val="18"/>
                              </w:rPr>
                              <w:t xml:space="preserve">zaobserwowano spadek </w:t>
                            </w:r>
                            <w:r w:rsidR="00296E4C">
                              <w:rPr>
                                <w:color w:val="001D77"/>
                                <w:sz w:val="18"/>
                              </w:rPr>
                              <w:t xml:space="preserve">zasięgu </w:t>
                            </w:r>
                            <w:r w:rsidR="00296E4C" w:rsidRPr="00206A6F">
                              <w:rPr>
                                <w:color w:val="001D77"/>
                                <w:sz w:val="18"/>
                              </w:rPr>
                              <w:t>wszystkich trzech branych pod uwagę form ubóstwa.</w:t>
                            </w:r>
                            <w:r w:rsidR="00296E4C">
                              <w:rPr>
                                <w:color w:val="001D77"/>
                                <w:sz w:val="18"/>
                              </w:rPr>
                              <w:t xml:space="preserve"> Z 3,4% do 2,1% - spadł odsetek gospodarstw dotkniętych ubóstwem wielowymiarowym.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10.75pt;margin-top:7.25pt;width:138.45pt;height:139.2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" filled="f" stroked="f">
                <v:textbox style="mso-fit-shape-to-text:t">
                  <w:txbxContent>
                    <w:p w:rsidR="00296E4C" w:rsidRPr="00330E56" w:rsidRDefault="00C764A1" w:rsidP="00EF2482">
                      <w:pPr>
                        <w:rPr>
                          <w:color w:val="001D77"/>
                          <w:sz w:val="18"/>
                        </w:rPr>
                      </w:pPr>
                      <w:r>
                        <w:rPr>
                          <w:color w:val="001D77"/>
                          <w:sz w:val="18"/>
                        </w:rPr>
                        <w:t>Wyniki</w:t>
                      </w:r>
                      <w:r w:rsidR="00296E4C" w:rsidRPr="00206A6F">
                        <w:rPr>
                          <w:color w:val="001D77"/>
                          <w:sz w:val="18"/>
                        </w:rPr>
                        <w:t xml:space="preserve"> </w:t>
                      </w:r>
                      <w:r w:rsidR="00296E4C">
                        <w:rPr>
                          <w:color w:val="001D77"/>
                          <w:sz w:val="18"/>
                        </w:rPr>
                        <w:t>B</w:t>
                      </w:r>
                      <w:r w:rsidR="00296E4C" w:rsidRPr="00206A6F">
                        <w:rPr>
                          <w:color w:val="001D77"/>
                          <w:sz w:val="18"/>
                        </w:rPr>
                        <w:t xml:space="preserve">adania </w:t>
                      </w:r>
                      <w:r w:rsidR="00296E4C">
                        <w:rPr>
                          <w:color w:val="001D77"/>
                          <w:sz w:val="18"/>
                        </w:rPr>
                        <w:t xml:space="preserve">spójności społecznej </w:t>
                      </w:r>
                      <w:r w:rsidR="00296E4C" w:rsidRPr="00206A6F">
                        <w:rPr>
                          <w:color w:val="001D77"/>
                          <w:sz w:val="18"/>
                        </w:rPr>
                        <w:t xml:space="preserve">wskazują, iż w </w:t>
                      </w:r>
                      <w:r w:rsidR="00296E4C">
                        <w:rPr>
                          <w:color w:val="001D77"/>
                          <w:sz w:val="18"/>
                        </w:rPr>
                        <w:t>2018</w:t>
                      </w:r>
                      <w:r w:rsidR="009E0842">
                        <w:rPr>
                          <w:color w:val="001D77"/>
                          <w:sz w:val="18"/>
                        </w:rPr>
                        <w:t> </w:t>
                      </w:r>
                      <w:r w:rsidR="00296E4C">
                        <w:rPr>
                          <w:color w:val="001D77"/>
                          <w:sz w:val="18"/>
                        </w:rPr>
                        <w:t xml:space="preserve">r. w porównaniu z 2015 r. </w:t>
                      </w:r>
                      <w:r w:rsidR="00296E4C" w:rsidRPr="00206A6F">
                        <w:rPr>
                          <w:color w:val="001D77"/>
                          <w:sz w:val="18"/>
                        </w:rPr>
                        <w:t xml:space="preserve">zaobserwowano spadek </w:t>
                      </w:r>
                      <w:r w:rsidR="00296E4C">
                        <w:rPr>
                          <w:color w:val="001D77"/>
                          <w:sz w:val="18"/>
                        </w:rPr>
                        <w:t xml:space="preserve">zasięgu </w:t>
                      </w:r>
                      <w:r w:rsidR="00296E4C" w:rsidRPr="00206A6F">
                        <w:rPr>
                          <w:color w:val="001D77"/>
                          <w:sz w:val="18"/>
                        </w:rPr>
                        <w:t>wszystkich trzech branych pod uwagę form ubóstwa.</w:t>
                      </w:r>
                      <w:r w:rsidR="00296E4C">
                        <w:rPr>
                          <w:color w:val="001D77"/>
                          <w:sz w:val="18"/>
                        </w:rPr>
                        <w:t xml:space="preserve"> Z 3,4% do 2,1% - spadł odsetek gospodarstw dotkniętych ubóstwem wielowymiarowym.</w:t>
                      </w:r>
                    </w:p>
                  </w:txbxContent>
                </v:textbox>
              </v:shape>
            </w:pict>
          </mc:Fallback>
        </mc:AlternateContent>
      </w:r>
      <w:r w:rsidR="00EF2482" w:rsidRPr="001A0E4B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Jakie zmiany w zasięgu róż</w:t>
      </w:r>
      <w:r w:rsidR="00EF2482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n</w:t>
      </w:r>
      <w:r w:rsidR="00EF2482" w:rsidRPr="001A0E4B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ych form ubó</w:t>
      </w:r>
      <w:r w:rsidR="00EF2482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s</w:t>
      </w:r>
      <w:r w:rsidR="00EF2482" w:rsidRPr="001A0E4B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twa z</w:t>
      </w:r>
      <w:r w:rsidR="00EF2482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a</w:t>
      </w:r>
      <w:r w:rsidR="009905E7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obserwowano w latach 2015-2018?</w:t>
      </w:r>
    </w:p>
    <w:p w:rsidR="00EF2482" w:rsidRDefault="00C764A1" w:rsidP="00EF2482">
      <w:pPr>
        <w:spacing w:before="0" w:line="240" w:lineRule="auto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>Wyniki</w:t>
      </w:r>
      <w:r w:rsidR="00EF2482">
        <w:rPr>
          <w:noProof/>
          <w:szCs w:val="19"/>
          <w:lang w:eastAsia="pl-PL"/>
        </w:rPr>
        <w:t xml:space="preserve"> badania wskazują, iż w 2018 r. w porównaniu z 2015 r. nastąpił spadek zasięgu wszystkich trzech branych pod uwagę form ubóstwa. Najbardziej wyraźną poprawę odnotowano w przypadku ubóstwa warunków życia (spadek o ok. 4 p. proc.).</w:t>
      </w:r>
      <w:r w:rsidR="00EF2482" w:rsidRPr="00EE7EE6">
        <w:rPr>
          <w:noProof/>
          <w:szCs w:val="19"/>
          <w:lang w:eastAsia="pl-PL"/>
        </w:rPr>
        <w:t xml:space="preserve"> </w:t>
      </w:r>
      <w:r w:rsidR="00EF2482">
        <w:rPr>
          <w:noProof/>
          <w:szCs w:val="19"/>
          <w:lang w:eastAsia="pl-PL"/>
        </w:rPr>
        <w:t xml:space="preserve">Znacząco (o ok. 3 p. proc.) zmniejszył się zasięg ubóstwa braku równowagi budżetowej. Najmniejsze zmiany zaobserwowano w przypadku </w:t>
      </w:r>
      <w:r w:rsidR="007D72C9">
        <w:rPr>
          <w:noProof/>
          <w:szCs w:val="19"/>
          <w:lang w:eastAsia="pl-PL"/>
        </w:rPr>
        <w:t xml:space="preserve">relatywnego </w:t>
      </w:r>
      <w:r w:rsidR="00EF2482">
        <w:rPr>
          <w:noProof/>
          <w:szCs w:val="19"/>
          <w:lang w:eastAsia="pl-PL"/>
        </w:rPr>
        <w:t>ubóstwa dochodowego, które pozostało na poziomie zbliżonym do obserwowanego 3 lata wcześniej (spadek o ok. 1 p. proc.).</w:t>
      </w:r>
      <w:r w:rsidR="005B4FA3">
        <w:rPr>
          <w:noProof/>
          <w:szCs w:val="19"/>
          <w:lang w:eastAsia="pl-PL"/>
        </w:rPr>
        <w:t xml:space="preserve"> </w:t>
      </w:r>
      <w:r w:rsidR="00A95FA7">
        <w:rPr>
          <w:noProof/>
          <w:szCs w:val="19"/>
          <w:lang w:eastAsia="pl-PL"/>
        </w:rPr>
        <w:t>Przy czym należy wziąć pod uwagę, że relatywnie niewielki spadek ubóstwa dochodowego miał miejsce przy wyraźn</w:t>
      </w:r>
      <w:r w:rsidR="00E65FFC">
        <w:rPr>
          <w:noProof/>
          <w:szCs w:val="19"/>
          <w:lang w:eastAsia="pl-PL"/>
        </w:rPr>
        <w:t xml:space="preserve">ej </w:t>
      </w:r>
      <w:r w:rsidR="00A95FA7">
        <w:rPr>
          <w:noProof/>
          <w:szCs w:val="19"/>
          <w:lang w:eastAsia="pl-PL"/>
        </w:rPr>
        <w:t xml:space="preserve">wyższym niż w 2015 r. poziomie </w:t>
      </w:r>
      <w:r w:rsidR="00994D51">
        <w:rPr>
          <w:noProof/>
          <w:szCs w:val="19"/>
          <w:lang w:eastAsia="pl-PL"/>
        </w:rPr>
        <w:t xml:space="preserve">granicy </w:t>
      </w:r>
      <w:r w:rsidR="00E65FFC">
        <w:rPr>
          <w:noProof/>
          <w:szCs w:val="19"/>
          <w:lang w:eastAsia="pl-PL"/>
        </w:rPr>
        <w:t>ubóstwa</w:t>
      </w:r>
      <w:r w:rsidR="00E65FFC">
        <w:rPr>
          <w:rStyle w:val="Odwoanieprzypisudolnego"/>
          <w:noProof/>
          <w:szCs w:val="19"/>
          <w:lang w:eastAsia="pl-PL"/>
        </w:rPr>
        <w:footnoteReference w:id="2"/>
      </w:r>
      <w:r w:rsidR="00E65FFC">
        <w:rPr>
          <w:noProof/>
          <w:szCs w:val="19"/>
          <w:lang w:eastAsia="pl-PL"/>
        </w:rPr>
        <w:t>.</w:t>
      </w:r>
    </w:p>
    <w:p w:rsidR="00EF2482" w:rsidRDefault="00EF2482" w:rsidP="00EF2482">
      <w:pPr>
        <w:spacing w:before="0" w:line="240" w:lineRule="auto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>Nastąpił również spadek zasięgu ubóstwa wielowymiarowego, odzwierciedlającego współwystępowanie wszystkich uwzględnianych form ubóstwa. Podczas gdy w 2015 r. ubóstwa wielowymiarowego doświadczało około co trzydzieste gospodarstwo domowe w Polsce (ponad 3%), to w 2018 r. problem ten dotyczył co pięćdziesiątego gospodarstwa domowego.</w:t>
      </w:r>
    </w:p>
    <w:p w:rsidR="00EF2482" w:rsidRDefault="003F617A" w:rsidP="00EF2482">
      <w:pPr>
        <w:spacing w:before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59690</wp:posOffset>
                </wp:positionV>
                <wp:extent cx="1758315" cy="161544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61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E4C" w:rsidRPr="00330E56" w:rsidRDefault="00296E4C" w:rsidP="00EF2482">
                            <w:pPr>
                              <w:rPr>
                                <w:color w:val="001D77"/>
                                <w:sz w:val="18"/>
                              </w:rPr>
                            </w:pPr>
                            <w:r w:rsidRPr="007B6AA8">
                              <w:rPr>
                                <w:color w:val="001D77"/>
                                <w:sz w:val="18"/>
                              </w:rPr>
                              <w:t>Ważnym czynnikiem ró</w:t>
                            </w:r>
                            <w:r>
                              <w:rPr>
                                <w:color w:val="001D77"/>
                                <w:sz w:val="18"/>
                              </w:rPr>
                              <w:t>ż</w:t>
                            </w:r>
                            <w:r w:rsidRPr="007B6AA8">
                              <w:rPr>
                                <w:color w:val="001D77"/>
                                <w:sz w:val="18"/>
                              </w:rPr>
                              <w:t xml:space="preserve">nicującym zasięg ubóstwa jest klasa miejscowości zamieszkania. </w:t>
                            </w:r>
                            <w:r>
                              <w:rPr>
                                <w:color w:val="001D77"/>
                                <w:sz w:val="18"/>
                              </w:rPr>
                              <w:t>Największe dysproporcje między miastem a wsią oraz pomiędzy miastami różnej wielkości odnotowano w</w:t>
                            </w:r>
                            <w:r w:rsidR="00AC7890">
                              <w:rPr>
                                <w:color w:val="001D77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color w:val="001D77"/>
                                <w:sz w:val="18"/>
                              </w:rPr>
                              <w:t xml:space="preserve">przypadku </w:t>
                            </w:r>
                            <w:r w:rsidR="00EA166D">
                              <w:rPr>
                                <w:color w:val="001D77"/>
                                <w:sz w:val="18"/>
                              </w:rPr>
                              <w:t xml:space="preserve">relatywnego </w:t>
                            </w:r>
                            <w:r>
                              <w:rPr>
                                <w:color w:val="001D77"/>
                                <w:sz w:val="18"/>
                              </w:rPr>
                              <w:t>ubóstwa dochodowego.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10.75pt;margin-top:4.7pt;width:138.45pt;height:127.2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" filled="f" stroked="f">
                <v:textbox style="mso-fit-shape-to-text:t">
                  <w:txbxContent>
                    <w:p w:rsidR="00296E4C" w:rsidRPr="00330E56" w:rsidRDefault="00296E4C" w:rsidP="00EF2482">
                      <w:pPr>
                        <w:rPr>
                          <w:color w:val="001D77"/>
                          <w:sz w:val="18"/>
                        </w:rPr>
                      </w:pPr>
                      <w:r w:rsidRPr="007B6AA8">
                        <w:rPr>
                          <w:color w:val="001D77"/>
                          <w:sz w:val="18"/>
                        </w:rPr>
                        <w:t>Ważnym czynnikiem ró</w:t>
                      </w:r>
                      <w:r>
                        <w:rPr>
                          <w:color w:val="001D77"/>
                          <w:sz w:val="18"/>
                        </w:rPr>
                        <w:t>ż</w:t>
                      </w:r>
                      <w:r w:rsidRPr="007B6AA8">
                        <w:rPr>
                          <w:color w:val="001D77"/>
                          <w:sz w:val="18"/>
                        </w:rPr>
                        <w:t xml:space="preserve">nicującym zasięg ubóstwa jest klasa miejscowości zamieszkania. </w:t>
                      </w:r>
                      <w:r>
                        <w:rPr>
                          <w:color w:val="001D77"/>
                          <w:sz w:val="18"/>
                        </w:rPr>
                        <w:t>Największe dysproporcje między miastem a wsią oraz pomiędzy miastami różnej wielkości odnotowano w</w:t>
                      </w:r>
                      <w:r w:rsidR="00AC7890">
                        <w:rPr>
                          <w:color w:val="001D77"/>
                          <w:sz w:val="18"/>
                        </w:rPr>
                        <w:t> </w:t>
                      </w:r>
                      <w:r>
                        <w:rPr>
                          <w:color w:val="001D77"/>
                          <w:sz w:val="18"/>
                        </w:rPr>
                        <w:t xml:space="preserve">przypadku </w:t>
                      </w:r>
                      <w:r w:rsidR="00EA166D">
                        <w:rPr>
                          <w:color w:val="001D77"/>
                          <w:sz w:val="18"/>
                        </w:rPr>
                        <w:t xml:space="preserve">relatywnego </w:t>
                      </w:r>
                      <w:r>
                        <w:rPr>
                          <w:color w:val="001D77"/>
                          <w:sz w:val="18"/>
                        </w:rPr>
                        <w:t>ubóstwa dochodowego.</w:t>
                      </w:r>
                    </w:p>
                  </w:txbxContent>
                </v:textbox>
              </v:shape>
            </w:pict>
          </mc:Fallback>
        </mc:AlternateContent>
      </w:r>
      <w:r w:rsidR="00EF2482" w:rsidRPr="0090660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Czy</w:t>
      </w:r>
      <w:r w:rsidR="00EF2482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zasięg ubóstwa był</w:t>
      </w:r>
      <w:r w:rsidR="00EF2482" w:rsidRPr="0090660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zróżnicowan</w:t>
      </w:r>
      <w:r w:rsidR="00EF2482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y ze względu na </w:t>
      </w:r>
      <w:r w:rsidR="00C764A1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miejsce</w:t>
      </w:r>
      <w:r w:rsidR="00EF2482" w:rsidRPr="0090660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zamieszkania?</w:t>
      </w:r>
    </w:p>
    <w:p w:rsidR="00EF2482" w:rsidRDefault="00EF2482" w:rsidP="00EF2482">
      <w:pPr>
        <w:spacing w:before="0" w:line="240" w:lineRule="auto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 xml:space="preserve">Ważnym czynnikiem róznicującym zasięg ubóstwa jest </w:t>
      </w:r>
      <w:r w:rsidR="00C764A1">
        <w:rPr>
          <w:noProof/>
          <w:szCs w:val="19"/>
          <w:lang w:eastAsia="pl-PL"/>
        </w:rPr>
        <w:t>miejsce</w:t>
      </w:r>
      <w:r>
        <w:rPr>
          <w:noProof/>
          <w:szCs w:val="19"/>
          <w:lang w:eastAsia="pl-PL"/>
        </w:rPr>
        <w:t xml:space="preserve"> zamieszkania</w:t>
      </w:r>
      <w:r w:rsidR="00C764A1">
        <w:rPr>
          <w:noProof/>
          <w:szCs w:val="19"/>
          <w:lang w:eastAsia="pl-PL"/>
        </w:rPr>
        <w:t xml:space="preserve"> określane </w:t>
      </w:r>
      <w:r w:rsidR="008A1EB4">
        <w:rPr>
          <w:noProof/>
          <w:szCs w:val="19"/>
          <w:lang w:eastAsia="pl-PL"/>
        </w:rPr>
        <w:t>za pomocą klasy miejscowości</w:t>
      </w:r>
      <w:r>
        <w:rPr>
          <w:noProof/>
          <w:szCs w:val="19"/>
          <w:lang w:eastAsia="pl-PL"/>
        </w:rPr>
        <w:t xml:space="preserve">. Najbardziej wyraźne różnice pomiędzy różnej wielkości miejscowościami obserwowane były w przypadku </w:t>
      </w:r>
      <w:r w:rsidR="009B0655">
        <w:rPr>
          <w:noProof/>
          <w:szCs w:val="19"/>
          <w:lang w:eastAsia="pl-PL"/>
        </w:rPr>
        <w:t xml:space="preserve">relatywnego </w:t>
      </w:r>
      <w:r>
        <w:rPr>
          <w:noProof/>
          <w:szCs w:val="19"/>
          <w:lang w:eastAsia="pl-PL"/>
        </w:rPr>
        <w:t>ubóstwa dochodowego. W</w:t>
      </w:r>
      <w:r w:rsidR="002D08A0">
        <w:rPr>
          <w:noProof/>
          <w:szCs w:val="19"/>
          <w:lang w:eastAsia="pl-PL"/>
        </w:rPr>
        <w:t> </w:t>
      </w:r>
      <w:r w:rsidRPr="00D300FF">
        <w:rPr>
          <w:noProof/>
          <w:szCs w:val="19"/>
          <w:lang w:eastAsia="pl-PL"/>
        </w:rPr>
        <w:t xml:space="preserve">największym stopniu dotknięci </w:t>
      </w:r>
      <w:r>
        <w:rPr>
          <w:noProof/>
          <w:szCs w:val="19"/>
          <w:lang w:eastAsia="pl-PL"/>
        </w:rPr>
        <w:t>tą formą ubóstwa byli</w:t>
      </w:r>
      <w:r w:rsidRPr="00D300FF">
        <w:rPr>
          <w:noProof/>
          <w:szCs w:val="19"/>
          <w:lang w:eastAsia="pl-PL"/>
        </w:rPr>
        <w:t xml:space="preserve"> mieszkańcy wsi.</w:t>
      </w:r>
      <w:r w:rsidR="00D223DE">
        <w:rPr>
          <w:noProof/>
          <w:szCs w:val="19"/>
          <w:lang w:eastAsia="pl-PL"/>
        </w:rPr>
        <w:t xml:space="preserve"> </w:t>
      </w:r>
      <w:r w:rsidR="00296E4C">
        <w:rPr>
          <w:noProof/>
          <w:szCs w:val="19"/>
          <w:lang w:eastAsia="pl-PL"/>
        </w:rPr>
        <w:t>W przypadku miast</w:t>
      </w:r>
      <w:r w:rsidR="00973D79">
        <w:rPr>
          <w:noProof/>
          <w:szCs w:val="19"/>
          <w:lang w:eastAsia="pl-PL"/>
        </w:rPr>
        <w:t xml:space="preserve"> – zasięg ubóstwa dochodowego był tym większy im mniejsze miasta. Podczas gdy w</w:t>
      </w:r>
      <w:r w:rsidRPr="00D300FF">
        <w:rPr>
          <w:noProof/>
          <w:szCs w:val="19"/>
          <w:lang w:eastAsia="pl-PL"/>
        </w:rPr>
        <w:t xml:space="preserve"> największych miastach, liczących </w:t>
      </w:r>
      <w:r w:rsidR="00973D79">
        <w:rPr>
          <w:noProof/>
          <w:szCs w:val="19"/>
          <w:lang w:eastAsia="pl-PL"/>
        </w:rPr>
        <w:t>co najmniej</w:t>
      </w:r>
      <w:r w:rsidRPr="00D300FF">
        <w:rPr>
          <w:noProof/>
          <w:szCs w:val="19"/>
          <w:lang w:eastAsia="pl-PL"/>
        </w:rPr>
        <w:t xml:space="preserve"> 500</w:t>
      </w:r>
      <w:r w:rsidR="005B4FA3">
        <w:rPr>
          <w:noProof/>
          <w:szCs w:val="19"/>
          <w:lang w:eastAsia="pl-PL"/>
        </w:rPr>
        <w:t> </w:t>
      </w:r>
      <w:r w:rsidRPr="00D300FF">
        <w:rPr>
          <w:noProof/>
          <w:szCs w:val="19"/>
          <w:lang w:eastAsia="pl-PL"/>
        </w:rPr>
        <w:t xml:space="preserve">tys. mieszkańców, </w:t>
      </w:r>
      <w:r>
        <w:rPr>
          <w:noProof/>
          <w:szCs w:val="19"/>
          <w:lang w:eastAsia="pl-PL"/>
        </w:rPr>
        <w:t xml:space="preserve">w 2018 r. </w:t>
      </w:r>
      <w:r w:rsidRPr="00D300FF">
        <w:rPr>
          <w:noProof/>
          <w:szCs w:val="19"/>
          <w:lang w:eastAsia="pl-PL"/>
        </w:rPr>
        <w:t>zagrożonych</w:t>
      </w:r>
      <w:r>
        <w:rPr>
          <w:noProof/>
          <w:szCs w:val="19"/>
          <w:lang w:eastAsia="pl-PL"/>
        </w:rPr>
        <w:t xml:space="preserve"> tą formą ubóstwa było niecałe 5</w:t>
      </w:r>
      <w:r w:rsidRPr="00D300FF">
        <w:rPr>
          <w:noProof/>
          <w:szCs w:val="19"/>
          <w:lang w:eastAsia="pl-PL"/>
        </w:rPr>
        <w:t>% gospodarstw domowych, to w najmniejszych miastach (o</w:t>
      </w:r>
      <w:r w:rsidR="00563999">
        <w:rPr>
          <w:noProof/>
          <w:szCs w:val="19"/>
          <w:lang w:eastAsia="pl-PL"/>
        </w:rPr>
        <w:t> </w:t>
      </w:r>
      <w:r w:rsidRPr="00D300FF">
        <w:rPr>
          <w:noProof/>
          <w:szCs w:val="19"/>
          <w:lang w:eastAsia="pl-PL"/>
        </w:rPr>
        <w:t xml:space="preserve">liczbie mieszkańców </w:t>
      </w:r>
      <w:r w:rsidR="003C545C">
        <w:rPr>
          <w:noProof/>
          <w:szCs w:val="19"/>
          <w:lang w:eastAsia="pl-PL"/>
        </w:rPr>
        <w:t>poniżej</w:t>
      </w:r>
      <w:r w:rsidRPr="00D300FF">
        <w:rPr>
          <w:noProof/>
          <w:szCs w:val="19"/>
          <w:lang w:eastAsia="pl-PL"/>
        </w:rPr>
        <w:t xml:space="preserve"> 20 tys.) wskaźnik ten osiągnął wartość niemal 1</w:t>
      </w:r>
      <w:r>
        <w:rPr>
          <w:noProof/>
          <w:szCs w:val="19"/>
          <w:lang w:eastAsia="pl-PL"/>
        </w:rPr>
        <w:t xml:space="preserve">3%, natomiast na wsi ok. 21%. </w:t>
      </w:r>
    </w:p>
    <w:p w:rsidR="00EF2482" w:rsidRDefault="00EF2482" w:rsidP="00EF2482">
      <w:pPr>
        <w:spacing w:before="0" w:line="240" w:lineRule="auto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 xml:space="preserve">Również w kontekście złych warunków życia najczęściej ubóstwa doświadczali mieszkańcy wsi, przy czym zróżnicowania pomiędzy poszczególnymi klasami miejscowości nie były w tym przypadku aż tak wyraźne, jak w przypadku </w:t>
      </w:r>
      <w:r w:rsidR="002B47CD">
        <w:rPr>
          <w:noProof/>
          <w:szCs w:val="19"/>
          <w:lang w:eastAsia="pl-PL"/>
        </w:rPr>
        <w:t xml:space="preserve">relatywnego </w:t>
      </w:r>
      <w:r>
        <w:rPr>
          <w:noProof/>
          <w:szCs w:val="19"/>
          <w:lang w:eastAsia="pl-PL"/>
        </w:rPr>
        <w:t xml:space="preserve">ubóstwa dochodowego. W 2018 r. wskaźnik ubóstwa złych warunków życia osiągnął na wsi niecałe 6%, podczas gdy w największych miastach, liczących </w:t>
      </w:r>
      <w:r w:rsidR="002B47CD">
        <w:rPr>
          <w:noProof/>
          <w:szCs w:val="19"/>
          <w:lang w:eastAsia="pl-PL"/>
        </w:rPr>
        <w:t xml:space="preserve">nie mniej niż </w:t>
      </w:r>
      <w:r>
        <w:rPr>
          <w:noProof/>
          <w:szCs w:val="19"/>
          <w:lang w:eastAsia="pl-PL"/>
        </w:rPr>
        <w:t>500 tys. mieszkańców było to ok. 3%</w:t>
      </w:r>
      <w:r w:rsidR="00897C5C">
        <w:rPr>
          <w:noProof/>
          <w:szCs w:val="19"/>
          <w:lang w:eastAsia="pl-PL"/>
        </w:rPr>
        <w:t>.</w:t>
      </w:r>
      <w:r>
        <w:rPr>
          <w:noProof/>
          <w:szCs w:val="19"/>
          <w:lang w:eastAsia="pl-PL"/>
        </w:rPr>
        <w:t xml:space="preserve"> </w:t>
      </w:r>
      <w:r w:rsidR="00897C5C">
        <w:rPr>
          <w:noProof/>
          <w:szCs w:val="19"/>
          <w:lang w:eastAsia="pl-PL"/>
        </w:rPr>
        <w:t>W</w:t>
      </w:r>
      <w:r>
        <w:rPr>
          <w:noProof/>
          <w:szCs w:val="19"/>
          <w:lang w:eastAsia="pl-PL"/>
        </w:rPr>
        <w:t>e</w:t>
      </w:r>
      <w:r w:rsidR="00563999">
        <w:rPr>
          <w:noProof/>
          <w:szCs w:val="19"/>
          <w:lang w:eastAsia="pl-PL"/>
        </w:rPr>
        <w:t> </w:t>
      </w:r>
      <w:r>
        <w:rPr>
          <w:noProof/>
          <w:szCs w:val="19"/>
          <w:lang w:eastAsia="pl-PL"/>
        </w:rPr>
        <w:t xml:space="preserve">wszystkich pozostałych klasach miejscowości (tj. miastach poniżej 20 tys., 20-100 tys. oraz 100-500 tys. mieszkańców) </w:t>
      </w:r>
      <w:r w:rsidR="003C545C">
        <w:rPr>
          <w:noProof/>
          <w:szCs w:val="19"/>
          <w:lang w:eastAsia="pl-PL"/>
        </w:rPr>
        <w:t>wskaźnik warunków życia wyniósł</w:t>
      </w:r>
      <w:r>
        <w:rPr>
          <w:noProof/>
          <w:szCs w:val="19"/>
          <w:lang w:eastAsia="pl-PL"/>
        </w:rPr>
        <w:t xml:space="preserve"> ok. 5%.</w:t>
      </w:r>
    </w:p>
    <w:p w:rsidR="00EF2482" w:rsidRDefault="00EF2482" w:rsidP="00EF2482">
      <w:pPr>
        <w:spacing w:before="0" w:line="240" w:lineRule="auto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>Najmniej jednoznaczne wnioski wyciągnąć można analizując zasięg ubóstwa braku równowagi budżetowej. Najwyższą wartość wskaźnika odnotowano w przypadku średnich miast, liczących 100-500 tys. oraz 20-100 tys. mieszkańców (po ok. 9%)</w:t>
      </w:r>
      <w:r w:rsidR="009905E7">
        <w:rPr>
          <w:noProof/>
          <w:szCs w:val="19"/>
          <w:lang w:eastAsia="pl-PL"/>
        </w:rPr>
        <w:t xml:space="preserve">. W </w:t>
      </w:r>
      <w:r>
        <w:rPr>
          <w:noProof/>
          <w:szCs w:val="19"/>
          <w:lang w:eastAsia="pl-PL"/>
        </w:rPr>
        <w:t xml:space="preserve">małych miastach, poniżej 20 tys. mieszkańców </w:t>
      </w:r>
      <w:r w:rsidR="009905E7">
        <w:rPr>
          <w:noProof/>
          <w:szCs w:val="19"/>
          <w:lang w:eastAsia="pl-PL"/>
        </w:rPr>
        <w:t>tą for</w:t>
      </w:r>
      <w:r w:rsidR="00C46D79">
        <w:rPr>
          <w:noProof/>
          <w:szCs w:val="19"/>
          <w:lang w:eastAsia="pl-PL"/>
        </w:rPr>
        <w:t>m</w:t>
      </w:r>
      <w:r w:rsidR="009905E7">
        <w:rPr>
          <w:noProof/>
          <w:szCs w:val="19"/>
          <w:lang w:eastAsia="pl-PL"/>
        </w:rPr>
        <w:t xml:space="preserve">ą ubóstwa dotkniętych </w:t>
      </w:r>
      <w:r>
        <w:rPr>
          <w:noProof/>
          <w:szCs w:val="19"/>
          <w:lang w:eastAsia="pl-PL"/>
        </w:rPr>
        <w:t>było ok. 8%</w:t>
      </w:r>
      <w:r w:rsidR="009905E7">
        <w:rPr>
          <w:noProof/>
          <w:szCs w:val="19"/>
          <w:lang w:eastAsia="pl-PL"/>
        </w:rPr>
        <w:t xml:space="preserve"> gospod</w:t>
      </w:r>
      <w:r w:rsidR="00C46D79">
        <w:rPr>
          <w:noProof/>
          <w:szCs w:val="19"/>
          <w:lang w:eastAsia="pl-PL"/>
        </w:rPr>
        <w:t>a</w:t>
      </w:r>
      <w:r w:rsidR="009905E7">
        <w:rPr>
          <w:noProof/>
          <w:szCs w:val="19"/>
          <w:lang w:eastAsia="pl-PL"/>
        </w:rPr>
        <w:t>rstw domowych</w:t>
      </w:r>
      <w:r>
        <w:rPr>
          <w:noProof/>
          <w:szCs w:val="19"/>
          <w:lang w:eastAsia="pl-PL"/>
        </w:rPr>
        <w:t xml:space="preserve">, na wsi – ok. 7%, natomiast w miastach o liczbie ludności </w:t>
      </w:r>
      <w:r w:rsidR="002B47CD">
        <w:rPr>
          <w:noProof/>
          <w:szCs w:val="19"/>
          <w:lang w:eastAsia="pl-PL"/>
        </w:rPr>
        <w:t xml:space="preserve">liczącej co najmniej </w:t>
      </w:r>
      <w:r>
        <w:rPr>
          <w:noProof/>
          <w:szCs w:val="19"/>
          <w:lang w:eastAsia="pl-PL"/>
        </w:rPr>
        <w:t>500 tys. – niecałe 6%.</w:t>
      </w:r>
    </w:p>
    <w:p w:rsidR="00EF2482" w:rsidRDefault="003F617A" w:rsidP="00EF2482">
      <w:pPr>
        <w:spacing w:before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82550</wp:posOffset>
                </wp:positionV>
                <wp:extent cx="1758315" cy="1158240"/>
                <wp:effectExtent l="0" t="0" r="0" b="0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E4C" w:rsidRPr="00330E56" w:rsidRDefault="00296E4C" w:rsidP="00EF2482">
                            <w:pPr>
                              <w:rPr>
                                <w:color w:val="001D77"/>
                                <w:sz w:val="18"/>
                              </w:rPr>
                            </w:pPr>
                            <w:r>
                              <w:rPr>
                                <w:color w:val="001D77"/>
                                <w:sz w:val="18"/>
                              </w:rPr>
                              <w:t>W 2018 r.</w:t>
                            </w:r>
                            <w:r w:rsidRPr="007B6AA8">
                              <w:rPr>
                                <w:color w:val="001D77"/>
                                <w:sz w:val="18"/>
                              </w:rPr>
                              <w:t xml:space="preserve"> we wszystkich klas</w:t>
                            </w:r>
                            <w:r w:rsidR="00C06FBA">
                              <w:rPr>
                                <w:color w:val="001D77"/>
                                <w:sz w:val="18"/>
                              </w:rPr>
                              <w:t>ach miejscowości</w:t>
                            </w:r>
                            <w:r w:rsidR="00522F20">
                              <w:rPr>
                                <w:color w:val="001D77"/>
                                <w:sz w:val="18"/>
                              </w:rPr>
                              <w:t xml:space="preserve"> i</w:t>
                            </w:r>
                            <w:r w:rsidR="00C06FBA">
                              <w:rPr>
                                <w:color w:val="001D77"/>
                                <w:sz w:val="18"/>
                              </w:rPr>
                              <w:t xml:space="preserve"> w </w:t>
                            </w:r>
                            <w:r w:rsidR="00DC6070">
                              <w:rPr>
                                <w:color w:val="001D77"/>
                                <w:sz w:val="18"/>
                              </w:rPr>
                              <w:t>odniesieniu do</w:t>
                            </w:r>
                            <w:r w:rsidR="00C06FBA">
                              <w:rPr>
                                <w:color w:val="001D77"/>
                                <w:sz w:val="18"/>
                              </w:rPr>
                              <w:t xml:space="preserve"> trzech</w:t>
                            </w:r>
                            <w:r w:rsidRPr="007B6AA8">
                              <w:rPr>
                                <w:color w:val="001D77"/>
                                <w:sz w:val="18"/>
                              </w:rPr>
                              <w:t xml:space="preserve"> branych pod uwagę form ubóstwa zaobserwowano poprawę sytuacji gospodarstw domowych.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10.75pt;margin-top:6.5pt;width:138.45pt;height:91.2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" filled="f" stroked="f">
                <v:textbox style="mso-fit-shape-to-text:t">
                  <w:txbxContent>
                    <w:p w:rsidR="00296E4C" w:rsidRPr="00330E56" w:rsidRDefault="00296E4C" w:rsidP="00EF2482">
                      <w:pPr>
                        <w:rPr>
                          <w:color w:val="001D77"/>
                          <w:sz w:val="18"/>
                        </w:rPr>
                      </w:pPr>
                      <w:r>
                        <w:rPr>
                          <w:color w:val="001D77"/>
                          <w:sz w:val="18"/>
                        </w:rPr>
                        <w:t>W 2018 r.</w:t>
                      </w:r>
                      <w:r w:rsidRPr="007B6AA8">
                        <w:rPr>
                          <w:color w:val="001D77"/>
                          <w:sz w:val="18"/>
                        </w:rPr>
                        <w:t xml:space="preserve"> we wszystkich klas</w:t>
                      </w:r>
                      <w:r w:rsidR="00C06FBA">
                        <w:rPr>
                          <w:color w:val="001D77"/>
                          <w:sz w:val="18"/>
                        </w:rPr>
                        <w:t>ach miejscowości</w:t>
                      </w:r>
                      <w:r w:rsidR="00522F20">
                        <w:rPr>
                          <w:color w:val="001D77"/>
                          <w:sz w:val="18"/>
                        </w:rPr>
                        <w:t xml:space="preserve"> i</w:t>
                      </w:r>
                      <w:r w:rsidR="00C06FBA">
                        <w:rPr>
                          <w:color w:val="001D77"/>
                          <w:sz w:val="18"/>
                        </w:rPr>
                        <w:t xml:space="preserve"> w </w:t>
                      </w:r>
                      <w:r w:rsidR="00DC6070">
                        <w:rPr>
                          <w:color w:val="001D77"/>
                          <w:sz w:val="18"/>
                        </w:rPr>
                        <w:t>odniesieniu do</w:t>
                      </w:r>
                      <w:r w:rsidR="00C06FBA">
                        <w:rPr>
                          <w:color w:val="001D77"/>
                          <w:sz w:val="18"/>
                        </w:rPr>
                        <w:t xml:space="preserve"> trzech</w:t>
                      </w:r>
                      <w:r w:rsidRPr="007B6AA8">
                        <w:rPr>
                          <w:color w:val="001D77"/>
                          <w:sz w:val="18"/>
                        </w:rPr>
                        <w:t xml:space="preserve"> branych pod uwagę form ubóstwa zaobserwowano poprawę sytuacji gospodarstw domowych.</w:t>
                      </w:r>
                    </w:p>
                  </w:txbxContent>
                </v:textbox>
              </v:shape>
            </w:pict>
          </mc:Fallback>
        </mc:AlternateContent>
      </w:r>
      <w:r w:rsidR="008A1EB4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Jak zmienił się zasięg</w:t>
      </w:r>
      <w:r w:rsidR="00EF2482" w:rsidRPr="00D93A56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zasięgu ubóstwa w różnych klasach miejscowości?</w:t>
      </w:r>
    </w:p>
    <w:p w:rsidR="00EF2482" w:rsidRDefault="00EF2482" w:rsidP="00C06FBA">
      <w:pPr>
        <w:spacing w:before="0" w:line="240" w:lineRule="auto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>Zaobserwowany w 2018 r. w porównaniu z 2015 r. spadek zasięgu poszczególnych form ubóstwa dotyczył w zasadzie wszystkich branych pod uwagę klas miejscowości zamieszkania, przy czym skala tych zmian była różna</w:t>
      </w:r>
      <w:r w:rsidRPr="00206A6F">
        <w:rPr>
          <w:noProof/>
          <w:szCs w:val="19"/>
          <w:lang w:eastAsia="pl-PL"/>
        </w:rPr>
        <w:t>.</w:t>
      </w:r>
      <w:r>
        <w:rPr>
          <w:noProof/>
          <w:szCs w:val="19"/>
          <w:lang w:eastAsia="pl-PL"/>
        </w:rPr>
        <w:t xml:space="preserve"> W przypadku </w:t>
      </w:r>
      <w:r w:rsidR="00CE2E6D">
        <w:rPr>
          <w:noProof/>
          <w:szCs w:val="19"/>
          <w:lang w:eastAsia="pl-PL"/>
        </w:rPr>
        <w:t xml:space="preserve">relatywnego </w:t>
      </w:r>
      <w:r>
        <w:rPr>
          <w:noProof/>
          <w:szCs w:val="19"/>
          <w:lang w:eastAsia="pl-PL"/>
        </w:rPr>
        <w:t>ubóstwa dochodowego</w:t>
      </w:r>
      <w:r w:rsidRPr="00206A6F">
        <w:rPr>
          <w:noProof/>
          <w:szCs w:val="19"/>
          <w:lang w:eastAsia="pl-PL"/>
        </w:rPr>
        <w:t xml:space="preserve"> najbardziej wyraźną poprawę odnotowano</w:t>
      </w:r>
      <w:r>
        <w:rPr>
          <w:noProof/>
          <w:szCs w:val="19"/>
          <w:lang w:eastAsia="pl-PL"/>
        </w:rPr>
        <w:t xml:space="preserve"> </w:t>
      </w:r>
      <w:r w:rsidRPr="00206A6F">
        <w:rPr>
          <w:noProof/>
          <w:szCs w:val="19"/>
          <w:lang w:eastAsia="pl-PL"/>
        </w:rPr>
        <w:t xml:space="preserve">wśród gospodarstw domowych </w:t>
      </w:r>
      <w:r w:rsidR="009905E7">
        <w:rPr>
          <w:noProof/>
          <w:szCs w:val="19"/>
          <w:lang w:eastAsia="pl-PL"/>
        </w:rPr>
        <w:t>w</w:t>
      </w:r>
      <w:r w:rsidRPr="00206A6F">
        <w:rPr>
          <w:noProof/>
          <w:szCs w:val="19"/>
          <w:lang w:eastAsia="pl-PL"/>
        </w:rPr>
        <w:t xml:space="preserve"> mał</w:t>
      </w:r>
      <w:r w:rsidR="009905E7">
        <w:rPr>
          <w:noProof/>
          <w:szCs w:val="19"/>
          <w:lang w:eastAsia="pl-PL"/>
        </w:rPr>
        <w:t>ych</w:t>
      </w:r>
      <w:r w:rsidRPr="00206A6F">
        <w:rPr>
          <w:noProof/>
          <w:szCs w:val="19"/>
          <w:lang w:eastAsia="pl-PL"/>
        </w:rPr>
        <w:t xml:space="preserve"> miasta</w:t>
      </w:r>
      <w:r w:rsidR="009905E7">
        <w:rPr>
          <w:noProof/>
          <w:szCs w:val="19"/>
          <w:lang w:eastAsia="pl-PL"/>
        </w:rPr>
        <w:t>ch</w:t>
      </w:r>
      <w:r w:rsidRPr="00206A6F">
        <w:rPr>
          <w:noProof/>
          <w:szCs w:val="19"/>
          <w:lang w:eastAsia="pl-PL"/>
        </w:rPr>
        <w:t>, poniżej 20 tys. mieszkańców (</w:t>
      </w:r>
      <w:r>
        <w:rPr>
          <w:noProof/>
          <w:szCs w:val="19"/>
          <w:lang w:eastAsia="pl-PL"/>
        </w:rPr>
        <w:t xml:space="preserve">spadek </w:t>
      </w:r>
      <w:r w:rsidRPr="00206A6F">
        <w:rPr>
          <w:noProof/>
          <w:szCs w:val="19"/>
          <w:lang w:eastAsia="pl-PL"/>
        </w:rPr>
        <w:t>o ok. 3 p. proc.)</w:t>
      </w:r>
      <w:r w:rsidR="00F9775C">
        <w:rPr>
          <w:noProof/>
          <w:szCs w:val="19"/>
          <w:lang w:eastAsia="pl-PL"/>
        </w:rPr>
        <w:t>,</w:t>
      </w:r>
      <w:r>
        <w:rPr>
          <w:noProof/>
          <w:szCs w:val="19"/>
          <w:lang w:eastAsia="pl-PL"/>
        </w:rPr>
        <w:t xml:space="preserve"> natomiast</w:t>
      </w:r>
      <w:r w:rsidRPr="00206A6F">
        <w:rPr>
          <w:noProof/>
          <w:szCs w:val="19"/>
          <w:lang w:eastAsia="pl-PL"/>
        </w:rPr>
        <w:t xml:space="preserve"> w przypadku ubóstwa warunków życia – wśród mieszkańców wsi (spadek o ok. 5 p. proc.)</w:t>
      </w:r>
      <w:r>
        <w:rPr>
          <w:noProof/>
          <w:szCs w:val="19"/>
          <w:lang w:eastAsia="pl-PL"/>
        </w:rPr>
        <w:t>. W</w:t>
      </w:r>
      <w:r w:rsidRPr="00206A6F">
        <w:rPr>
          <w:noProof/>
          <w:szCs w:val="19"/>
          <w:lang w:eastAsia="pl-PL"/>
        </w:rPr>
        <w:t xml:space="preserve"> </w:t>
      </w:r>
      <w:r w:rsidR="00DC6070">
        <w:rPr>
          <w:noProof/>
          <w:szCs w:val="19"/>
          <w:lang w:eastAsia="pl-PL"/>
        </w:rPr>
        <w:t>odniesieniu do</w:t>
      </w:r>
      <w:r w:rsidRPr="00206A6F">
        <w:rPr>
          <w:noProof/>
          <w:szCs w:val="19"/>
          <w:lang w:eastAsia="pl-PL"/>
        </w:rPr>
        <w:t xml:space="preserve"> ubóstwa braku równowagi budżetowej –</w:t>
      </w:r>
      <w:r>
        <w:rPr>
          <w:noProof/>
          <w:szCs w:val="19"/>
          <w:lang w:eastAsia="pl-PL"/>
        </w:rPr>
        <w:t xml:space="preserve"> największy spadek </w:t>
      </w:r>
      <w:r w:rsidRPr="00206A6F">
        <w:rPr>
          <w:noProof/>
          <w:szCs w:val="19"/>
          <w:lang w:eastAsia="pl-PL"/>
        </w:rPr>
        <w:t>(o ok. 5 p. proc.)</w:t>
      </w:r>
      <w:r>
        <w:rPr>
          <w:noProof/>
          <w:szCs w:val="19"/>
          <w:lang w:eastAsia="pl-PL"/>
        </w:rPr>
        <w:t xml:space="preserve"> nastąpił</w:t>
      </w:r>
      <w:r w:rsidRPr="00206A6F">
        <w:rPr>
          <w:noProof/>
          <w:szCs w:val="19"/>
          <w:lang w:eastAsia="pl-PL"/>
        </w:rPr>
        <w:t xml:space="preserve"> wśród gospodarstw zamieszkujących średnie miasta</w:t>
      </w:r>
      <w:r w:rsidR="008A1EB4">
        <w:rPr>
          <w:noProof/>
          <w:szCs w:val="19"/>
          <w:lang w:eastAsia="pl-PL"/>
        </w:rPr>
        <w:t xml:space="preserve"> licząc</w:t>
      </w:r>
      <w:r w:rsidR="00563999">
        <w:rPr>
          <w:noProof/>
          <w:szCs w:val="19"/>
          <w:lang w:eastAsia="pl-PL"/>
        </w:rPr>
        <w:t>e</w:t>
      </w:r>
      <w:r w:rsidR="00C06FBA">
        <w:rPr>
          <w:noProof/>
          <w:szCs w:val="19"/>
          <w:lang w:eastAsia="pl-PL"/>
        </w:rPr>
        <w:t xml:space="preserve"> od 20 do 100 tys. mieszkańców.</w:t>
      </w:r>
      <w:r>
        <w:rPr>
          <w:noProof/>
          <w:szCs w:val="19"/>
          <w:lang w:eastAsia="pl-PL"/>
        </w:rPr>
        <w:br w:type="page"/>
      </w:r>
    </w:p>
    <w:p w:rsidR="00EF2482" w:rsidRDefault="00EF2482" w:rsidP="00EF2482">
      <w:pPr>
        <w:spacing w:before="0" w:line="240" w:lineRule="auto"/>
        <w:rPr>
          <w:b/>
          <w:noProof/>
          <w:sz w:val="18"/>
          <w:szCs w:val="19"/>
          <w:lang w:eastAsia="pl-PL"/>
        </w:rPr>
      </w:pPr>
      <w:r>
        <w:rPr>
          <w:b/>
          <w:noProof/>
          <w:sz w:val="18"/>
          <w:szCs w:val="19"/>
          <w:lang w:eastAsia="pl-PL"/>
        </w:rPr>
        <w:lastRenderedPageBreak/>
        <w:t>Wykres 2</w:t>
      </w:r>
      <w:r w:rsidRPr="00E63984">
        <w:rPr>
          <w:b/>
          <w:noProof/>
          <w:sz w:val="18"/>
          <w:szCs w:val="19"/>
          <w:lang w:eastAsia="pl-PL"/>
        </w:rPr>
        <w:t xml:space="preserve">. Zasięg </w:t>
      </w:r>
      <w:r>
        <w:rPr>
          <w:b/>
          <w:noProof/>
          <w:sz w:val="18"/>
          <w:szCs w:val="19"/>
          <w:lang w:eastAsia="pl-PL"/>
        </w:rPr>
        <w:t>ubóstwa dochodowego w 2015 r. i 2018</w:t>
      </w:r>
      <w:r w:rsidRPr="00E63984">
        <w:rPr>
          <w:b/>
          <w:noProof/>
          <w:sz w:val="18"/>
          <w:szCs w:val="19"/>
          <w:lang w:eastAsia="pl-PL"/>
        </w:rPr>
        <w:t xml:space="preserve"> r.</w:t>
      </w:r>
      <w:r>
        <w:rPr>
          <w:b/>
          <w:noProof/>
          <w:sz w:val="18"/>
          <w:szCs w:val="19"/>
          <w:lang w:eastAsia="pl-PL"/>
        </w:rPr>
        <w:t xml:space="preserve"> wg klas miejscowości zamieszkania</w:t>
      </w:r>
    </w:p>
    <w:p w:rsidR="00EF2482" w:rsidRDefault="00EF2482" w:rsidP="00EF2482">
      <w:pPr>
        <w:spacing w:before="0" w:line="240" w:lineRule="auto"/>
        <w:rPr>
          <w:b/>
          <w:noProof/>
          <w:sz w:val="18"/>
          <w:szCs w:val="19"/>
          <w:lang w:eastAsia="pl-PL"/>
        </w:rPr>
      </w:pPr>
      <w:r>
        <w:rPr>
          <w:b/>
          <w:noProof/>
          <w:sz w:val="18"/>
          <w:szCs w:val="19"/>
          <w:lang w:eastAsia="pl-PL"/>
        </w:rPr>
        <w:drawing>
          <wp:inline distT="0" distB="0" distL="0" distR="0">
            <wp:extent cx="5047615" cy="239014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482" w:rsidRDefault="00EF2482" w:rsidP="00EF2482">
      <w:pPr>
        <w:spacing w:before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EF2482" w:rsidRDefault="00EF2482" w:rsidP="00EF2482">
      <w:pPr>
        <w:spacing w:before="0" w:line="240" w:lineRule="auto"/>
        <w:rPr>
          <w:b/>
          <w:noProof/>
          <w:sz w:val="18"/>
          <w:szCs w:val="19"/>
          <w:lang w:eastAsia="pl-PL"/>
        </w:rPr>
      </w:pPr>
      <w:r>
        <w:rPr>
          <w:b/>
          <w:noProof/>
          <w:sz w:val="18"/>
          <w:szCs w:val="19"/>
          <w:lang w:eastAsia="pl-PL"/>
        </w:rPr>
        <w:t>Wykres 3</w:t>
      </w:r>
      <w:r w:rsidRPr="00E63984">
        <w:rPr>
          <w:b/>
          <w:noProof/>
          <w:sz w:val="18"/>
          <w:szCs w:val="19"/>
          <w:lang w:eastAsia="pl-PL"/>
        </w:rPr>
        <w:t xml:space="preserve">. Zasięg </w:t>
      </w:r>
      <w:r>
        <w:rPr>
          <w:b/>
          <w:noProof/>
          <w:sz w:val="18"/>
          <w:szCs w:val="19"/>
          <w:lang w:eastAsia="pl-PL"/>
        </w:rPr>
        <w:t>ubóstwa warunków życia w 2015 r. i 2018</w:t>
      </w:r>
      <w:r w:rsidRPr="00E63984">
        <w:rPr>
          <w:b/>
          <w:noProof/>
          <w:sz w:val="18"/>
          <w:szCs w:val="19"/>
          <w:lang w:eastAsia="pl-PL"/>
        </w:rPr>
        <w:t xml:space="preserve"> r.</w:t>
      </w:r>
      <w:r>
        <w:rPr>
          <w:b/>
          <w:noProof/>
          <w:sz w:val="18"/>
          <w:szCs w:val="19"/>
          <w:lang w:eastAsia="pl-PL"/>
        </w:rPr>
        <w:t xml:space="preserve"> wg klas miejscowości zamieszkania</w:t>
      </w:r>
    </w:p>
    <w:p w:rsidR="00EF2482" w:rsidRDefault="00EF2482" w:rsidP="00EF2482">
      <w:pPr>
        <w:spacing w:before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>
        <w:rPr>
          <w:rFonts w:ascii="Fira Sans SemiBold" w:eastAsia="Times New Roman" w:hAnsi="Fira Sans SemiBold" w:cs="Times New Roman"/>
          <w:bCs/>
          <w:noProof/>
          <w:color w:val="001D77"/>
          <w:szCs w:val="24"/>
          <w:shd w:val="clear" w:color="auto" w:fill="FFFFFF"/>
          <w:lang w:eastAsia="pl-PL"/>
        </w:rPr>
        <w:drawing>
          <wp:inline distT="0" distB="0" distL="0" distR="0">
            <wp:extent cx="5041900" cy="238379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482" w:rsidRDefault="00EF2482" w:rsidP="00EF2482">
      <w:pPr>
        <w:spacing w:before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EF2482" w:rsidRDefault="00EF2482" w:rsidP="00EF2482">
      <w:pPr>
        <w:spacing w:before="0" w:line="240" w:lineRule="auto"/>
        <w:rPr>
          <w:b/>
          <w:noProof/>
          <w:sz w:val="18"/>
          <w:szCs w:val="19"/>
          <w:lang w:eastAsia="pl-PL"/>
        </w:rPr>
      </w:pPr>
      <w:r>
        <w:rPr>
          <w:b/>
          <w:noProof/>
          <w:sz w:val="18"/>
          <w:szCs w:val="19"/>
          <w:lang w:eastAsia="pl-PL"/>
        </w:rPr>
        <w:t>Wykres 4</w:t>
      </w:r>
      <w:r w:rsidRPr="00E63984">
        <w:rPr>
          <w:b/>
          <w:noProof/>
          <w:sz w:val="18"/>
          <w:szCs w:val="19"/>
          <w:lang w:eastAsia="pl-PL"/>
        </w:rPr>
        <w:t xml:space="preserve">. Zasięg </w:t>
      </w:r>
      <w:r>
        <w:rPr>
          <w:b/>
          <w:noProof/>
          <w:sz w:val="18"/>
          <w:szCs w:val="19"/>
          <w:lang w:eastAsia="pl-PL"/>
        </w:rPr>
        <w:t>ubóstwa braku równowagi budżetowej w 2015 r. i 2018</w:t>
      </w:r>
      <w:r w:rsidRPr="00E63984">
        <w:rPr>
          <w:b/>
          <w:noProof/>
          <w:sz w:val="18"/>
          <w:szCs w:val="19"/>
          <w:lang w:eastAsia="pl-PL"/>
        </w:rPr>
        <w:t xml:space="preserve"> r.</w:t>
      </w:r>
      <w:r>
        <w:rPr>
          <w:b/>
          <w:noProof/>
          <w:sz w:val="18"/>
          <w:szCs w:val="19"/>
          <w:lang w:eastAsia="pl-PL"/>
        </w:rPr>
        <w:t xml:space="preserve"> wg klas miejscowości zamieszkania</w:t>
      </w:r>
    </w:p>
    <w:p w:rsidR="00EF2482" w:rsidRDefault="00EF2482" w:rsidP="00EF2482">
      <w:pPr>
        <w:spacing w:before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>
        <w:rPr>
          <w:rFonts w:ascii="Fira Sans SemiBold" w:eastAsia="Times New Roman" w:hAnsi="Fira Sans SemiBold" w:cs="Times New Roman"/>
          <w:bCs/>
          <w:noProof/>
          <w:color w:val="001D77"/>
          <w:szCs w:val="24"/>
          <w:shd w:val="clear" w:color="auto" w:fill="FFFFFF"/>
          <w:lang w:eastAsia="pl-PL"/>
        </w:rPr>
        <w:drawing>
          <wp:inline distT="0" distB="0" distL="0" distR="0">
            <wp:extent cx="5047615" cy="239014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482" w:rsidRDefault="00EF2482" w:rsidP="00EF2482">
      <w:pPr>
        <w:spacing w:before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EF2482" w:rsidRDefault="00EF2482" w:rsidP="00EF2482">
      <w:pPr>
        <w:spacing w:before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2624CE" w:rsidRDefault="002624CE" w:rsidP="00EF2482">
      <w:pPr>
        <w:pStyle w:val="tytuinformacji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AC7890" w:rsidRPr="00F9775C" w:rsidRDefault="00AC7890" w:rsidP="001A0E4B">
      <w:pPr>
        <w:spacing w:before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  <w:sectPr w:rsidR="00AC7890" w:rsidRPr="00F9775C" w:rsidSect="00EF7B36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AC7890" w:rsidRDefault="00AC7890" w:rsidP="00AC7890">
      <w:pPr>
        <w:spacing w:before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AC7890" w:rsidRDefault="00AC7890" w:rsidP="00AC7890">
      <w:pPr>
        <w:spacing w:before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AC7890" w:rsidRPr="009E0842" w:rsidTr="00D14AA2">
        <w:trPr>
          <w:trHeight w:val="1912"/>
        </w:trPr>
        <w:tc>
          <w:tcPr>
            <w:tcW w:w="4248" w:type="dxa"/>
          </w:tcPr>
          <w:p w:rsidR="00AC7890" w:rsidRPr="008F3638" w:rsidRDefault="00AC7890" w:rsidP="00D14AA2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AC7890" w:rsidRDefault="00AC7890" w:rsidP="00D14AA2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Departament Badań Społecznych</w:t>
            </w:r>
          </w:p>
          <w:p w:rsidR="000F1266" w:rsidRPr="000F1266" w:rsidRDefault="000F1266" w:rsidP="000F126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F1266">
              <w:rPr>
                <w:rFonts w:cs="Arial"/>
                <w:b/>
                <w:color w:val="000000" w:themeColor="text1"/>
                <w:sz w:val="20"/>
              </w:rPr>
              <w:t>Wydział Badań i Analiz Jakości Życia</w:t>
            </w:r>
          </w:p>
          <w:p w:rsidR="000F1266" w:rsidRPr="000F1266" w:rsidRDefault="000F1266" w:rsidP="000F1266">
            <w:pPr>
              <w:pStyle w:val="Nagwek3"/>
              <w:spacing w:before="0" w:line="240" w:lineRule="auto"/>
              <w:rPr>
                <w:rFonts w:ascii="Fira Sans" w:eastAsiaTheme="minorHAnsi" w:hAnsi="Fira Sans" w:cs="Arial"/>
                <w:b/>
                <w:color w:val="000000" w:themeColor="text1"/>
                <w:sz w:val="20"/>
                <w:szCs w:val="22"/>
              </w:rPr>
            </w:pPr>
            <w:r w:rsidRPr="000F1266">
              <w:rPr>
                <w:rFonts w:ascii="Fira Sans" w:eastAsiaTheme="minorHAnsi" w:hAnsi="Fira Sans" w:cs="Arial"/>
                <w:b/>
                <w:color w:val="000000" w:themeColor="text1"/>
                <w:sz w:val="20"/>
                <w:szCs w:val="22"/>
              </w:rPr>
              <w:t>i Kapitału Społecznego</w:t>
            </w:r>
          </w:p>
          <w:p w:rsidR="00AC7890" w:rsidRPr="00F93B25" w:rsidRDefault="00AC7890" w:rsidP="000F126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93B25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Anna B</w:t>
            </w: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ieńkuńska</w:t>
            </w:r>
          </w:p>
          <w:p w:rsidR="00AC7890" w:rsidRPr="008F3638" w:rsidRDefault="00AC7890" w:rsidP="00D14AA2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608 35 21</w:t>
            </w:r>
          </w:p>
          <w:p w:rsidR="00AC7890" w:rsidRPr="008F3638" w:rsidRDefault="00AC7890" w:rsidP="00D14AA2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EE07F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Pr="00F93B25">
                <w:rPr>
                  <w:rStyle w:val="Hipercze"/>
                  <w:rFonts w:ascii="Fira Sans" w:hAnsi="Fira Sans" w:cs="Arial"/>
                  <w:sz w:val="20"/>
                  <w:szCs w:val="20"/>
                  <w:lang w:val="en-US"/>
                </w:rPr>
                <w:t>a.bienkunska@stat.gov.pl</w:t>
              </w:r>
            </w:hyperlink>
          </w:p>
        </w:tc>
        <w:tc>
          <w:tcPr>
            <w:tcW w:w="3819" w:type="dxa"/>
          </w:tcPr>
          <w:p w:rsidR="00AC7890" w:rsidRDefault="00AC7890" w:rsidP="00D14AA2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AC7890" w:rsidRPr="008F3638" w:rsidRDefault="00AC7890" w:rsidP="00D14AA2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AC7890" w:rsidRPr="008F3638" w:rsidRDefault="00AC7890" w:rsidP="00D14AA2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AC7890" w:rsidRPr="008F3638" w:rsidRDefault="00AC7890" w:rsidP="00D14AA2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AC7890" w:rsidRPr="008F3638" w:rsidRDefault="00AC7890" w:rsidP="00D14AA2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Pr="00F93B25">
                <w:rPr>
                  <w:rStyle w:val="Hipercze"/>
                  <w:rFonts w:ascii="Fira Sans" w:hAnsi="Fira Sans" w:cs="Arial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AC7890" w:rsidRPr="00F9775C" w:rsidRDefault="00AC7890" w:rsidP="00AC7890">
      <w:pPr>
        <w:spacing w:before="0" w:after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7"/>
        <w:gridCol w:w="675"/>
        <w:gridCol w:w="3493"/>
      </w:tblGrid>
      <w:tr w:rsidR="00AC7890" w:rsidTr="00D14AA2">
        <w:trPr>
          <w:trHeight w:val="610"/>
        </w:trPr>
        <w:tc>
          <w:tcPr>
            <w:tcW w:w="2721" w:type="pct"/>
            <w:vMerge w:val="restart"/>
            <w:vAlign w:val="center"/>
          </w:tcPr>
          <w:p w:rsidR="00AC7890" w:rsidRPr="00C91687" w:rsidRDefault="00AC7890" w:rsidP="00D14AA2">
            <w:pPr>
              <w:ind w:left="142"/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AC7890" w:rsidRPr="00C91687" w:rsidRDefault="00AC7890" w:rsidP="00D14AA2">
            <w:pPr>
              <w:ind w:left="142"/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AC7890" w:rsidRPr="00685123" w:rsidRDefault="00AC7890" w:rsidP="00D14AA2">
            <w:pPr>
              <w:ind w:left="142"/>
              <w:rPr>
                <w:sz w:val="20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faks:</w:t>
            </w:r>
            <w:r w:rsidRPr="00685123">
              <w:rPr>
                <w:sz w:val="20"/>
                <w:lang w:val="en-US"/>
              </w:rPr>
              <w:t xml:space="preserve"> 22 608 38 86 </w:t>
            </w:r>
          </w:p>
          <w:p w:rsidR="00AC7890" w:rsidRPr="00685123" w:rsidRDefault="00AC7890" w:rsidP="00D14AA2">
            <w:pPr>
              <w:ind w:left="142"/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685123">
              <w:rPr>
                <w:sz w:val="20"/>
                <w:lang w:val="en-US"/>
              </w:rPr>
              <w:t xml:space="preserve"> </w:t>
            </w:r>
            <w:hyperlink r:id="rId21" w:history="1">
              <w:r w:rsidRPr="00685123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AC7890" w:rsidRPr="00685123" w:rsidRDefault="00AC7890" w:rsidP="00D14AA2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6240" behindDoc="0" locked="0" layoutInCell="1" allowOverlap="1" wp14:anchorId="7B2B1051" wp14:editId="3E1DF2A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AC7890" w:rsidRDefault="008936D7" w:rsidP="00D14AA2">
            <w:pPr>
              <w:rPr>
                <w:sz w:val="18"/>
              </w:rPr>
            </w:pPr>
            <w:hyperlink r:id="rId23" w:history="1">
              <w:r w:rsidR="00AC7890" w:rsidRPr="00EA72F4">
                <w:rPr>
                  <w:rStyle w:val="Hipercze"/>
                  <w:rFonts w:cstheme="minorBidi"/>
                  <w:sz w:val="20"/>
                </w:rPr>
                <w:t>www.stat.gov.pl</w:t>
              </w:r>
            </w:hyperlink>
          </w:p>
        </w:tc>
      </w:tr>
      <w:tr w:rsidR="00AC7890" w:rsidTr="00D14AA2">
        <w:trPr>
          <w:trHeight w:val="436"/>
        </w:trPr>
        <w:tc>
          <w:tcPr>
            <w:tcW w:w="2721" w:type="pct"/>
            <w:vMerge/>
            <w:vAlign w:val="center"/>
          </w:tcPr>
          <w:p w:rsidR="00AC7890" w:rsidRDefault="00AC7890" w:rsidP="00D14AA2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AC7890" w:rsidRDefault="00AC7890" w:rsidP="00D14AA2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8288" behindDoc="0" locked="0" layoutInCell="1" allowOverlap="1" wp14:anchorId="1DF2DAFE" wp14:editId="08C8127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AC7890" w:rsidRDefault="00AC7890" w:rsidP="00D14AA2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C7890" w:rsidTr="00D14AA2">
        <w:trPr>
          <w:trHeight w:val="436"/>
        </w:trPr>
        <w:tc>
          <w:tcPr>
            <w:tcW w:w="2721" w:type="pct"/>
            <w:vMerge/>
            <w:vAlign w:val="center"/>
          </w:tcPr>
          <w:p w:rsidR="00AC7890" w:rsidRDefault="00AC7890" w:rsidP="00D14AA2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AC7890" w:rsidRDefault="00AC7890" w:rsidP="00D14AA2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7264" behindDoc="0" locked="0" layoutInCell="1" allowOverlap="1" wp14:anchorId="7E7886E3" wp14:editId="70DBACB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AC7890" w:rsidRDefault="00AC7890" w:rsidP="00D14AA2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AC7890" w:rsidRPr="00F9775C" w:rsidRDefault="00AC7890" w:rsidP="00AC7890">
      <w:pPr>
        <w:spacing w:before="0" w:after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367F0603" wp14:editId="421666D9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5085080" cy="2619375"/>
                <wp:effectExtent l="0" t="0" r="20320" b="28575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5080" cy="2619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890" w:rsidRDefault="00AC7890" w:rsidP="00AC7890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AC7890" w:rsidRPr="0040356A" w:rsidRDefault="008936D7" w:rsidP="00AC7890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</w:pPr>
                            <w:hyperlink r:id="rId26" w:history="1">
                              <w:r w:rsidR="00AC7890" w:rsidRPr="0040356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</w:rPr>
                                <w:t>Jakość życia w Polsce w 2015 r. Wyniki Badania spójności społecznej.</w:t>
                              </w:r>
                            </w:hyperlink>
                          </w:p>
                          <w:p w:rsidR="00AC7890" w:rsidRPr="00624752" w:rsidRDefault="00AC7890" w:rsidP="00AC7890">
                            <w:pPr>
                              <w:rPr>
                                <w:rStyle w:val="Hipercze"/>
                                <w:rFonts w:cstheme="minorBidi"/>
                                <w:color w:val="333399"/>
                                <w:sz w:val="18"/>
                              </w:rPr>
                            </w:pPr>
                            <w:r w:rsidRPr="00624752">
                              <w:rPr>
                                <w:rStyle w:val="Hipercze"/>
                                <w:rFonts w:cstheme="minorBidi"/>
                                <w:color w:val="333399"/>
                                <w:sz w:val="18"/>
                              </w:rPr>
                              <w:fldChar w:fldCharType="begin"/>
                            </w:r>
                            <w:r w:rsidRPr="00624752">
                              <w:rPr>
                                <w:rStyle w:val="Hipercze"/>
                                <w:rFonts w:cstheme="minorBidi"/>
                                <w:color w:val="333399"/>
                                <w:sz w:val="18"/>
                              </w:rPr>
                              <w:instrText xml:space="preserve"> HYPERLINK "https://stat.gov.pl/obszary-tematyczne/warunki-zycia/dochody-wydatki-i-warunki-zycia-ludnosci/terytorialne-zroznicowanie-jakosci-zycia-w-polsce-w-2015-r-,25,1.html" </w:instrText>
                            </w:r>
                            <w:r w:rsidRPr="00624752">
                              <w:rPr>
                                <w:rStyle w:val="Hipercze"/>
                                <w:rFonts w:cstheme="minorBidi"/>
                                <w:color w:val="333399"/>
                                <w:sz w:val="18"/>
                              </w:rPr>
                              <w:fldChar w:fldCharType="separate"/>
                            </w:r>
                            <w:r w:rsidRPr="00624752">
                              <w:rPr>
                                <w:rStyle w:val="Hipercze"/>
                                <w:rFonts w:cstheme="minorBidi"/>
                                <w:color w:val="333399"/>
                                <w:sz w:val="18"/>
                              </w:rPr>
                              <w:t>Terytorialne zróżnicowanie jakości życia w Polsce w 2015 r.</w:t>
                            </w:r>
                          </w:p>
                          <w:p w:rsidR="00AC7890" w:rsidRPr="003B5E1C" w:rsidRDefault="00AC7890" w:rsidP="00AC7890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</w:pPr>
                            <w:r w:rsidRPr="00624752">
                              <w:rPr>
                                <w:rStyle w:val="Hipercze"/>
                                <w:rFonts w:cstheme="minorBidi"/>
                                <w:color w:val="333399"/>
                                <w:sz w:val="18"/>
                              </w:rPr>
                              <w:fldChar w:fldCharType="end"/>
                            </w:r>
                            <w:hyperlink r:id="rId27" w:history="1">
                              <w:r w:rsidRPr="003B5E1C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</w:rPr>
                                <w:t>Informacja sygnalna „</w:t>
                              </w:r>
                              <w:r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</w:rPr>
                                <w:t>Zasięg ubóstwa ekonomicznego w Polsce w 2017 r.</w:t>
                              </w:r>
                              <w:r w:rsidRPr="003B5E1C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</w:rPr>
                                <w:t>”</w:t>
                              </w:r>
                            </w:hyperlink>
                          </w:p>
                          <w:p w:rsidR="00AC7890" w:rsidRDefault="008936D7" w:rsidP="00AC7890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</w:pPr>
                            <w:hyperlink r:id="rId28" w:history="1">
                              <w:r w:rsidR="00AC7890" w:rsidRPr="003B5E1C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</w:rPr>
                                <w:t>Publikacja „Ubóstwo w Polsce w latach 2015 i 2016”</w:t>
                              </w:r>
                            </w:hyperlink>
                          </w:p>
                          <w:p w:rsidR="00AC7890" w:rsidRPr="003B5E1C" w:rsidRDefault="00AC7890" w:rsidP="00AC7890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</w:pPr>
                          </w:p>
                          <w:p w:rsidR="00AC7890" w:rsidRPr="00E233EA" w:rsidRDefault="00AC7890" w:rsidP="00AC7890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AC7890" w:rsidRDefault="008936D7" w:rsidP="00AC7890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</w:pPr>
                            <w:hyperlink r:id="rId29" w:history="1">
                              <w:r w:rsidR="00AC7890" w:rsidRPr="00393DB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</w:rPr>
                                <w:t>Bank Danych Lokalnych</w:t>
                              </w:r>
                            </w:hyperlink>
                          </w:p>
                          <w:p w:rsidR="00AC7890" w:rsidRDefault="008936D7" w:rsidP="00AC7890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</w:pPr>
                            <w:hyperlink r:id="rId30" w:history="1">
                              <w:r w:rsidR="00AC7890" w:rsidRPr="0022027D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</w:rPr>
                                <w:t>Dziedzinowe Bazy Wiedzy/Ubóstwo według grup społeczno-ekonomicznych</w:t>
                              </w:r>
                            </w:hyperlink>
                          </w:p>
                          <w:p w:rsidR="00AC7890" w:rsidRPr="000739C9" w:rsidRDefault="008936D7" w:rsidP="00AC7890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</w:pPr>
                            <w:hyperlink r:id="rId31" w:history="1">
                              <w:r w:rsidR="00AC7890" w:rsidRPr="0022027D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</w:rPr>
                                <w:t>Dziedzinowe Bazy Wiedzy/Ubóstwo według podziału kraju na miasto i wieś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F0603" id="_x0000_s1033" type="#_x0000_t202" style="position:absolute;margin-left:0;margin-top:20.95pt;width:400.4pt;height:206.25pt;z-index:251789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" fillcolor="#f2f2f2" strokecolor="window">
                <v:textbox>
                  <w:txbxContent>
                    <w:p w:rsidR="00AC7890" w:rsidRDefault="00AC7890" w:rsidP="00AC7890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AC7890" w:rsidRPr="0040356A" w:rsidRDefault="00AC7890" w:rsidP="00AC7890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</w:pPr>
                      <w:hyperlink r:id="rId32" w:history="1">
                        <w:r w:rsidRPr="0040356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Jakość życia w Polsce w 2015 r. Wyniki Badania spójności społecznej.</w:t>
                        </w:r>
                      </w:hyperlink>
                    </w:p>
                    <w:p w:rsidR="00AC7890" w:rsidRPr="00624752" w:rsidRDefault="00AC7890" w:rsidP="00AC7890">
                      <w:pPr>
                        <w:rPr>
                          <w:rStyle w:val="Hipercze"/>
                          <w:rFonts w:cstheme="minorBidi"/>
                          <w:color w:val="333399"/>
                          <w:sz w:val="18"/>
                        </w:rPr>
                      </w:pPr>
                      <w:r w:rsidRPr="00624752">
                        <w:rPr>
                          <w:rStyle w:val="Hipercze"/>
                          <w:rFonts w:cstheme="minorBidi"/>
                          <w:color w:val="333399"/>
                          <w:sz w:val="18"/>
                        </w:rPr>
                        <w:fldChar w:fldCharType="begin"/>
                      </w:r>
                      <w:r w:rsidRPr="00624752">
                        <w:rPr>
                          <w:rStyle w:val="Hipercze"/>
                          <w:rFonts w:cstheme="minorBidi"/>
                          <w:color w:val="333399"/>
                          <w:sz w:val="18"/>
                        </w:rPr>
                        <w:instrText xml:space="preserve"> HYPERLINK "https://stat.gov.pl/obszary-tematyczne/warunki-zycia/dochody-wydatki-i-warunki-zycia-ludnosci/terytorialne-zroznicowanie-jakosci-zycia-w-polsce-w-2015-r-,25,1.html" </w:instrText>
                      </w:r>
                      <w:r w:rsidRPr="00624752">
                        <w:rPr>
                          <w:rStyle w:val="Hipercze"/>
                          <w:rFonts w:cstheme="minorBidi"/>
                          <w:color w:val="333399"/>
                          <w:sz w:val="18"/>
                        </w:rPr>
                        <w:fldChar w:fldCharType="separate"/>
                      </w:r>
                      <w:r w:rsidRPr="00624752">
                        <w:rPr>
                          <w:rStyle w:val="Hipercze"/>
                          <w:rFonts w:cstheme="minorBidi"/>
                          <w:color w:val="333399"/>
                          <w:sz w:val="18"/>
                        </w:rPr>
                        <w:t>Terytorialne zróżnicowanie jakości życia w Polsce w 2015 r.</w:t>
                      </w:r>
                    </w:p>
                    <w:p w:rsidR="00AC7890" w:rsidRPr="003B5E1C" w:rsidRDefault="00AC7890" w:rsidP="00AC7890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</w:pPr>
                      <w:r w:rsidRPr="00624752">
                        <w:rPr>
                          <w:rStyle w:val="Hipercze"/>
                          <w:rFonts w:cstheme="minorBidi"/>
                          <w:color w:val="333399"/>
                          <w:sz w:val="18"/>
                        </w:rPr>
                        <w:fldChar w:fldCharType="end"/>
                      </w:r>
                      <w:hyperlink r:id="rId33" w:history="1">
                        <w:r w:rsidRPr="003B5E1C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Informacja sygnalna „</w:t>
                        </w:r>
                        <w:r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Zasięg ubóstwa ekonomicznego w Polsce w 2017 r.</w:t>
                        </w:r>
                        <w:r w:rsidRPr="003B5E1C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”</w:t>
                        </w:r>
                      </w:hyperlink>
                    </w:p>
                    <w:p w:rsidR="00AC7890" w:rsidRDefault="00AC7890" w:rsidP="00AC7890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</w:pPr>
                      <w:hyperlink r:id="rId34" w:history="1">
                        <w:r w:rsidRPr="003B5E1C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Publikacja „Ubóstwo w Polsce w latach 2015 i 2016”</w:t>
                        </w:r>
                      </w:hyperlink>
                    </w:p>
                    <w:p w:rsidR="00AC7890" w:rsidRPr="003B5E1C" w:rsidRDefault="00AC7890" w:rsidP="00AC7890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</w:pPr>
                    </w:p>
                    <w:p w:rsidR="00AC7890" w:rsidRPr="00E233EA" w:rsidRDefault="00AC7890" w:rsidP="00AC7890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AC7890" w:rsidRDefault="00AC7890" w:rsidP="00AC7890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</w:pPr>
                      <w:hyperlink r:id="rId35" w:history="1">
                        <w:r w:rsidRPr="00393DB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Bank Danych Lokalnych</w:t>
                        </w:r>
                      </w:hyperlink>
                    </w:p>
                    <w:p w:rsidR="00AC7890" w:rsidRDefault="00AC7890" w:rsidP="00AC7890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</w:pPr>
                      <w:hyperlink r:id="rId36" w:history="1">
                        <w:r w:rsidRPr="0022027D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Dziedzinowe Bazy Wiedzy/Ubóstwo według grup społeczno-ekonomicznych</w:t>
                        </w:r>
                      </w:hyperlink>
                    </w:p>
                    <w:p w:rsidR="00AC7890" w:rsidRPr="000739C9" w:rsidRDefault="00AC7890" w:rsidP="00AC7890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</w:pPr>
                      <w:hyperlink r:id="rId37" w:history="1">
                        <w:r w:rsidRPr="0022027D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Dziedzinowe Bazy Wiedzy/Ubóstwo według podziału kraju na miasto i wieś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7890" w:rsidRDefault="00AC7890" w:rsidP="00AC7890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p w:rsidR="002F5EEC" w:rsidRDefault="002F5EEC" w:rsidP="00AC7890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p w:rsidR="002F5EEC" w:rsidRDefault="002F5EEC" w:rsidP="00AC7890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p w:rsidR="002F5EEC" w:rsidRDefault="002F5EEC" w:rsidP="00AC7890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p w:rsidR="002F5EEC" w:rsidRDefault="002F5EEC" w:rsidP="00AC7890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p w:rsidR="002F5EEC" w:rsidRDefault="002F5EEC" w:rsidP="00AC7890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p w:rsidR="002F5EEC" w:rsidRDefault="002F5EEC" w:rsidP="00AC7890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p w:rsidR="002F5EEC" w:rsidRDefault="002F5EEC" w:rsidP="00AC7890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p w:rsidR="002F5EEC" w:rsidRDefault="002F5EEC" w:rsidP="00AC7890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p w:rsidR="002F5EEC" w:rsidRDefault="002F5EEC" w:rsidP="00AC7890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p w:rsidR="002F5EEC" w:rsidRDefault="002F5EEC" w:rsidP="00AC7890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p w:rsidR="002F5EEC" w:rsidRDefault="002F5EEC" w:rsidP="00AC7890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p w:rsidR="002F5EEC" w:rsidRDefault="002F5EEC" w:rsidP="00AC7890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p w:rsidR="001635D6" w:rsidRDefault="001635D6" w:rsidP="00AC7890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p w:rsidR="001635D6" w:rsidRDefault="001635D6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  <w: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  <w:br w:type="page"/>
      </w:r>
    </w:p>
    <w:p w:rsidR="001635D6" w:rsidRDefault="001635D6" w:rsidP="001635D6">
      <w:pPr>
        <w:ind w:left="851" w:hanging="851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lastRenderedPageBreak/>
        <w:t>Załącznik</w:t>
      </w:r>
    </w:p>
    <w:p w:rsidR="001635D6" w:rsidRPr="00C56EA9" w:rsidRDefault="001635D6" w:rsidP="001635D6">
      <w:pPr>
        <w:ind w:left="851" w:hanging="851"/>
        <w:jc w:val="both"/>
        <w:rPr>
          <w:rFonts w:cs="Arial"/>
          <w:b/>
          <w:sz w:val="18"/>
          <w:szCs w:val="18"/>
        </w:rPr>
      </w:pPr>
      <w:r w:rsidRPr="00C56EA9">
        <w:rPr>
          <w:rFonts w:cs="Arial"/>
          <w:b/>
          <w:bCs/>
          <w:sz w:val="18"/>
          <w:szCs w:val="18"/>
        </w:rPr>
        <w:t xml:space="preserve">Tabl. 1. Symptomy ubóstwa warunków życia </w:t>
      </w:r>
      <w:r>
        <w:rPr>
          <w:rFonts w:cs="Arial"/>
          <w:b/>
          <w:bCs/>
          <w:sz w:val="18"/>
          <w:szCs w:val="18"/>
        </w:rPr>
        <w:t>w 2018 r.</w:t>
      </w:r>
    </w:p>
    <w:tbl>
      <w:tblPr>
        <w:tblW w:w="9106" w:type="dxa"/>
        <w:jc w:val="center"/>
        <w:tblBorders>
          <w:insideH w:val="single" w:sz="4" w:space="0" w:color="333399"/>
          <w:insideV w:val="single" w:sz="4" w:space="0" w:color="333399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56"/>
        <w:gridCol w:w="2250"/>
      </w:tblGrid>
      <w:tr w:rsidR="001635D6" w:rsidRPr="00C56EA9" w:rsidTr="00D14AA2">
        <w:trPr>
          <w:trHeight w:val="705"/>
          <w:jc w:val="center"/>
        </w:trPr>
        <w:tc>
          <w:tcPr>
            <w:tcW w:w="6856" w:type="dxa"/>
            <w:tcBorders>
              <w:bottom w:val="single" w:sz="12" w:space="0" w:color="333399"/>
            </w:tcBorders>
            <w:vAlign w:val="center"/>
          </w:tcPr>
          <w:p w:rsidR="001635D6" w:rsidRPr="00C56EA9" w:rsidRDefault="001635D6" w:rsidP="00D14AA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 xml:space="preserve">Elementy składowe wskaźnika </w:t>
            </w:r>
            <w:r>
              <w:rPr>
                <w:rFonts w:cs="Arial"/>
                <w:sz w:val="16"/>
                <w:szCs w:val="16"/>
              </w:rPr>
              <w:t>ubóstwa</w:t>
            </w:r>
            <w:r w:rsidRPr="00C56EA9">
              <w:rPr>
                <w:rFonts w:cs="Arial"/>
                <w:sz w:val="16"/>
                <w:szCs w:val="16"/>
              </w:rPr>
              <w:t xml:space="preserve"> warunków życia</w:t>
            </w:r>
          </w:p>
        </w:tc>
        <w:tc>
          <w:tcPr>
            <w:tcW w:w="2250" w:type="dxa"/>
            <w:tcBorders>
              <w:bottom w:val="single" w:sz="12" w:space="0" w:color="333399"/>
            </w:tcBorders>
            <w:vAlign w:val="center"/>
          </w:tcPr>
          <w:p w:rsidR="001635D6" w:rsidRPr="00C56EA9" w:rsidRDefault="001635D6" w:rsidP="00D14AA2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56EA9">
              <w:rPr>
                <w:rFonts w:cs="Arial"/>
                <w:bCs/>
                <w:sz w:val="16"/>
                <w:szCs w:val="16"/>
              </w:rPr>
              <w:t>% gospodarstw domowych, w których wystąpił dany symptom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tcBorders>
              <w:top w:val="single" w:sz="12" w:space="0" w:color="333399"/>
              <w:bottom w:val="single" w:sz="4" w:space="0" w:color="333399"/>
            </w:tcBorders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1.    Zły stan instalacji elektrycznej lub jej brak</w:t>
            </w:r>
          </w:p>
        </w:tc>
        <w:tc>
          <w:tcPr>
            <w:tcW w:w="2250" w:type="dxa"/>
            <w:tcBorders>
              <w:top w:val="single" w:sz="12" w:space="0" w:color="333399"/>
              <w:bottom w:val="single" w:sz="4" w:space="0" w:color="333399"/>
            </w:tcBorders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6,0</w:t>
            </w:r>
          </w:p>
        </w:tc>
      </w:tr>
      <w:tr w:rsidR="001635D6" w:rsidRPr="00C56EA9" w:rsidTr="00D14AA2">
        <w:trPr>
          <w:trHeight w:val="543"/>
          <w:jc w:val="center"/>
        </w:trPr>
        <w:tc>
          <w:tcPr>
            <w:tcW w:w="6856" w:type="dxa"/>
            <w:tcBorders>
              <w:top w:val="single" w:sz="4" w:space="0" w:color="333399"/>
            </w:tcBorders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2.    Brak zainstalowanego ogrzewania lub występowanie pieca na opał (na węgiel, drewno, trociny)</w:t>
            </w:r>
          </w:p>
        </w:tc>
        <w:tc>
          <w:tcPr>
            <w:tcW w:w="2250" w:type="dxa"/>
            <w:tcBorders>
              <w:top w:val="single" w:sz="4" w:space="0" w:color="333399"/>
            </w:tcBorders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9,1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3.    Złe warunki sanitarne (brak wody bieżącej, w tym ciepłej, łazienki, toalety)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7,8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4.    Mieszkanie ciemne, wilgotne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11,3</w:t>
            </w:r>
          </w:p>
        </w:tc>
      </w:tr>
      <w:tr w:rsidR="001635D6" w:rsidRPr="00C56EA9" w:rsidTr="00D14AA2">
        <w:trPr>
          <w:trHeight w:val="52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Pr="00C56EA9">
              <w:rPr>
                <w:rFonts w:cs="Arial"/>
                <w:sz w:val="16"/>
                <w:szCs w:val="16"/>
              </w:rPr>
              <w:t>.    </w:t>
            </w:r>
            <w:r>
              <w:rPr>
                <w:rFonts w:cs="Arial"/>
                <w:sz w:val="16"/>
                <w:szCs w:val="16"/>
              </w:rPr>
              <w:t>Narażenie na hałas, zanieczyszczenie powietrza lub nieprzyjemne zapachy w miejscu zamieszkania</w:t>
            </w:r>
          </w:p>
        </w:tc>
        <w:tc>
          <w:tcPr>
            <w:tcW w:w="2250" w:type="dxa"/>
            <w:vAlign w:val="center"/>
          </w:tcPr>
          <w:p w:rsidR="001635D6" w:rsidRPr="00C56EA9" w:rsidRDefault="003920D0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22,8</w:t>
            </w:r>
          </w:p>
        </w:tc>
      </w:tr>
      <w:tr w:rsidR="001635D6" w:rsidRPr="00C56EA9" w:rsidTr="00D14AA2">
        <w:trPr>
          <w:trHeight w:val="52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Pr="00C56EA9">
              <w:rPr>
                <w:rFonts w:cs="Arial"/>
                <w:sz w:val="16"/>
                <w:szCs w:val="16"/>
              </w:rPr>
              <w:t xml:space="preserve">.    Mieszkanie </w:t>
            </w:r>
            <w:r>
              <w:rPr>
                <w:rFonts w:cs="Arial"/>
                <w:sz w:val="16"/>
                <w:szCs w:val="16"/>
              </w:rPr>
              <w:t>zbyt małe (jak na potrzeby gospodarstwa) lub nie każda osoba dorosła ma samodzielny pokój lub wydzielone w mieszkaniu swoje stałe miejsce odpoczynku, nauki i pracy</w:t>
            </w:r>
          </w:p>
        </w:tc>
        <w:tc>
          <w:tcPr>
            <w:tcW w:w="2250" w:type="dxa"/>
            <w:vAlign w:val="center"/>
          </w:tcPr>
          <w:p w:rsidR="001635D6" w:rsidRPr="00C56EA9" w:rsidRDefault="003920D0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21,5</w:t>
            </w:r>
          </w:p>
        </w:tc>
      </w:tr>
      <w:tr w:rsidR="001635D6" w:rsidRPr="00C56EA9" w:rsidTr="00D14AA2">
        <w:trPr>
          <w:trHeight w:val="52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7.    Brak możliwości utrzymania odpowiedniej temperatury w mieszkaniu (niewystarczająco ciepłe w zimie, niewystarczająco chłodne w lecie)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26,5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8.    Złe warunki mieszkaniowe — ogólna ocena (subiektywna)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2,8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9.    Brak pralki z przyczyn finansowych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1,4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10.  Brak lodówki, chłodziarki z przyczyn finansowych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0,2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 xml:space="preserve">11.  Brak kuchenki mikrofalowej lub wielofunkcyjnego robota kuchennego </w:t>
            </w:r>
            <w:r w:rsidRPr="00C56EA9">
              <w:rPr>
                <w:rFonts w:cs="Arial"/>
                <w:sz w:val="16"/>
                <w:szCs w:val="16"/>
              </w:rPr>
              <w:br/>
              <w:t>z przyczyn finansowych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9,2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12.  Brak odkurzacza z przyczyn finansowych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1,2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13.  Brak radia lub telewizora z przyczyn finansowych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2,2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 xml:space="preserve">14.  Brak odtwarzacza CD, DVD, MP3, telewizji kablowej lub satelitarnej </w:t>
            </w:r>
            <w:r w:rsidRPr="00C56EA9">
              <w:rPr>
                <w:rFonts w:cs="Arial"/>
                <w:sz w:val="16"/>
                <w:szCs w:val="16"/>
              </w:rPr>
              <w:br/>
              <w:t>z przyczyn finansowych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2,8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15.  Brak telefonu (stacjonarnego, komórkowego) z przyczyn finansowych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0,5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16.  Brak komputera z przyczyn finansowych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3,1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17.  Brak dostępu do Internetu z przyczyn finansowych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3,4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18.  Złe wyposażenie gospodarstwa w dobra trwałe — ogólna ocena (subiektywna)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2,4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19.  Brak samochodu z przyczyn finansowych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6,1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20.  Brak pieniędzy na rozrywkę (wyjście do kina, teatru, restauracji, na koncert itp.)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22,9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>21.  Brak pieniędzy na przynajmniej jeden tydzień wakacji raz w roku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28,4</w:t>
            </w:r>
          </w:p>
        </w:tc>
      </w:tr>
      <w:tr w:rsidR="001635D6" w:rsidRPr="00C56EA9" w:rsidTr="00D14AA2">
        <w:trPr>
          <w:trHeight w:val="543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22.  Gospodarstwo nie może sobie pozwolić na zaproszenie raz w miesiącu swojej rodziny lub przyjaciół na obiad, kolację lub inny poczęstunek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8,0</w:t>
            </w:r>
          </w:p>
        </w:tc>
      </w:tr>
      <w:tr w:rsidR="001635D6" w:rsidRPr="00C56EA9" w:rsidTr="00D14AA2">
        <w:trPr>
          <w:trHeight w:val="52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23.  Gospodarstwo nie może sobie pozwolić na ofiarowanie swoim najbliższym (rodzicom, rodzeństwu, dorosłym dzieciom) prezentów przynajmniej raz w roku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5,8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24.  Brak pieniędzy na zakup książek lub prasy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7,2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25.  Brak pieniędzy na zakup leków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6,5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26.  Brak pieniędzy na wizyty u lekarzy specjalistów lub lekarza dentysty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16,9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27.  Brak pieniędzy na zakup obuwia, odzieży, pościeli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5,7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28.  Brak pieniędzy na wymianę zużytych mebli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15,9</w:t>
            </w:r>
          </w:p>
        </w:tc>
      </w:tr>
      <w:tr w:rsidR="001635D6" w:rsidRPr="00C56EA9" w:rsidTr="00D14AA2">
        <w:trPr>
          <w:trHeight w:val="317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29.  Brak pieniędzy na żywność (rezygnacja z jedzenia mięsa, świeżych owoców, warzyw)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3,7</w:t>
            </w:r>
          </w:p>
        </w:tc>
      </w:tr>
      <w:tr w:rsidR="001635D6" w:rsidRPr="00C56EA9" w:rsidTr="00D14AA2">
        <w:trPr>
          <w:trHeight w:val="543"/>
          <w:jc w:val="center"/>
        </w:trPr>
        <w:tc>
          <w:tcPr>
            <w:tcW w:w="6856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left="373" w:hanging="373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30.  Konieczność rezygnacji ze względu na brak pieniędzy z któregoś z podstawowych posiłków (śniadania, obiadu lub kolacji)</w:t>
            </w:r>
          </w:p>
        </w:tc>
        <w:tc>
          <w:tcPr>
            <w:tcW w:w="2250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819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1,0</w:t>
            </w:r>
          </w:p>
        </w:tc>
      </w:tr>
    </w:tbl>
    <w:p w:rsidR="001635D6" w:rsidRPr="00C56EA9" w:rsidRDefault="001635D6" w:rsidP="001635D6">
      <w:pPr>
        <w:spacing w:before="240" w:after="0" w:line="240" w:lineRule="auto"/>
        <w:ind w:left="595" w:hanging="595"/>
        <w:jc w:val="both"/>
        <w:rPr>
          <w:spacing w:val="-6"/>
          <w:sz w:val="16"/>
          <w:szCs w:val="16"/>
        </w:rPr>
      </w:pPr>
    </w:p>
    <w:p w:rsidR="001635D6" w:rsidRPr="00C56EA9" w:rsidRDefault="001635D6" w:rsidP="001635D6">
      <w:pPr>
        <w:spacing w:after="160" w:line="259" w:lineRule="auto"/>
        <w:rPr>
          <w:spacing w:val="-6"/>
          <w:sz w:val="16"/>
          <w:szCs w:val="16"/>
        </w:rPr>
      </w:pPr>
      <w:r w:rsidRPr="00C56EA9">
        <w:rPr>
          <w:spacing w:val="-6"/>
          <w:sz w:val="16"/>
          <w:szCs w:val="16"/>
        </w:rPr>
        <w:br w:type="page"/>
      </w:r>
    </w:p>
    <w:p w:rsidR="001635D6" w:rsidRPr="00C27A90" w:rsidRDefault="001635D6" w:rsidP="001635D6">
      <w:pPr>
        <w:ind w:left="851" w:hanging="851"/>
        <w:jc w:val="both"/>
        <w:rPr>
          <w:rFonts w:cs="Arial"/>
          <w:b/>
          <w:sz w:val="16"/>
          <w:szCs w:val="16"/>
        </w:rPr>
      </w:pPr>
      <w:r w:rsidRPr="00C27A90">
        <w:rPr>
          <w:b/>
          <w:spacing w:val="-6"/>
          <w:sz w:val="16"/>
          <w:szCs w:val="16"/>
        </w:rPr>
        <w:lastRenderedPageBreak/>
        <w:t>Tabl. 2. S</w:t>
      </w:r>
      <w:r w:rsidRPr="00C27A90">
        <w:rPr>
          <w:rFonts w:cs="Arial"/>
          <w:b/>
          <w:bCs/>
          <w:sz w:val="16"/>
          <w:szCs w:val="16"/>
        </w:rPr>
        <w:t xml:space="preserve">ymptomy ubóstwa braku równowagi budżetowej </w:t>
      </w:r>
      <w:r>
        <w:rPr>
          <w:rFonts w:cs="Arial"/>
          <w:b/>
          <w:bCs/>
          <w:sz w:val="16"/>
          <w:szCs w:val="16"/>
        </w:rPr>
        <w:t>w 2018 r.</w:t>
      </w:r>
    </w:p>
    <w:tbl>
      <w:tblPr>
        <w:tblW w:w="8781" w:type="dxa"/>
        <w:tblBorders>
          <w:insideH w:val="single" w:sz="4" w:space="0" w:color="333399"/>
          <w:insideV w:val="single" w:sz="4" w:space="0" w:color="333399"/>
        </w:tblBorders>
        <w:tblLook w:val="04A0" w:firstRow="1" w:lastRow="0" w:firstColumn="1" w:lastColumn="0" w:noHBand="0" w:noVBand="1"/>
      </w:tblPr>
      <w:tblGrid>
        <w:gridCol w:w="6516"/>
        <w:gridCol w:w="2265"/>
      </w:tblGrid>
      <w:tr w:rsidR="001635D6" w:rsidRPr="00C56EA9" w:rsidTr="00D14AA2">
        <w:trPr>
          <w:trHeight w:val="566"/>
        </w:trPr>
        <w:tc>
          <w:tcPr>
            <w:tcW w:w="6516" w:type="dxa"/>
            <w:tcBorders>
              <w:bottom w:val="single" w:sz="12" w:space="0" w:color="333399"/>
            </w:tcBorders>
            <w:vAlign w:val="center"/>
          </w:tcPr>
          <w:p w:rsidR="001635D6" w:rsidRPr="00C56EA9" w:rsidRDefault="001635D6" w:rsidP="00D14AA2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sz w:val="16"/>
                <w:szCs w:val="16"/>
              </w:rPr>
              <w:t xml:space="preserve">Elementy składowe wskaźnika </w:t>
            </w:r>
            <w:r>
              <w:rPr>
                <w:rFonts w:cs="Arial"/>
                <w:sz w:val="16"/>
                <w:szCs w:val="16"/>
              </w:rPr>
              <w:t xml:space="preserve">ubóstwa </w:t>
            </w:r>
            <w:r w:rsidRPr="00C56EA9">
              <w:rPr>
                <w:rFonts w:cs="Arial"/>
                <w:sz w:val="16"/>
                <w:szCs w:val="16"/>
              </w:rPr>
              <w:t xml:space="preserve">braku równowagi budżetowej </w:t>
            </w:r>
          </w:p>
        </w:tc>
        <w:tc>
          <w:tcPr>
            <w:tcW w:w="2265" w:type="dxa"/>
            <w:tcBorders>
              <w:bottom w:val="single" w:sz="12" w:space="0" w:color="333399"/>
            </w:tcBorders>
          </w:tcPr>
          <w:p w:rsidR="001635D6" w:rsidRPr="00C56EA9" w:rsidRDefault="001635D6" w:rsidP="00D14AA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56EA9">
              <w:rPr>
                <w:rFonts w:cs="Arial"/>
                <w:bCs/>
                <w:sz w:val="16"/>
                <w:szCs w:val="16"/>
              </w:rPr>
              <w:t>% gospodarstw domowych, w których wystąpił dany symptom</w:t>
            </w:r>
          </w:p>
        </w:tc>
      </w:tr>
      <w:tr w:rsidR="001635D6" w:rsidRPr="00C56EA9" w:rsidTr="00D14AA2">
        <w:trPr>
          <w:trHeight w:val="832"/>
        </w:trPr>
        <w:tc>
          <w:tcPr>
            <w:tcW w:w="6516" w:type="dxa"/>
            <w:tcBorders>
              <w:top w:val="single" w:sz="12" w:space="0" w:color="333399"/>
              <w:bottom w:val="single" w:sz="4" w:space="0" w:color="333399"/>
            </w:tcBorders>
          </w:tcPr>
          <w:p w:rsidR="001635D6" w:rsidRPr="00C56EA9" w:rsidRDefault="001635D6" w:rsidP="00D14AA2">
            <w:pPr>
              <w:spacing w:before="60" w:after="60"/>
              <w:ind w:left="320" w:hanging="262"/>
              <w:rPr>
                <w:rFonts w:cs="Arial"/>
                <w:bCs/>
                <w:iCs/>
                <w:sz w:val="16"/>
                <w:szCs w:val="16"/>
              </w:rPr>
            </w:pPr>
            <w:r w:rsidRPr="00C56EA9">
              <w:rPr>
                <w:rFonts w:cs="Arial"/>
                <w:bCs/>
                <w:iCs/>
                <w:sz w:val="16"/>
                <w:szCs w:val="16"/>
              </w:rPr>
              <w:t>Zaległości w opłatach czynszowych, za elektryczność, gaz lub w spłatach kredytu mieszkaniowego (co najmniej dwumiesięczne zaległości w opłatach lub miesięczne i</w:t>
            </w:r>
            <w:r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 w:rsidRPr="00C56EA9">
              <w:rPr>
                <w:rFonts w:cs="Arial"/>
                <w:bCs/>
                <w:iCs/>
                <w:sz w:val="16"/>
                <w:szCs w:val="16"/>
              </w:rPr>
              <w:t>dłuższe w spłacie kredytu mieszkaniowego)</w:t>
            </w:r>
          </w:p>
        </w:tc>
        <w:tc>
          <w:tcPr>
            <w:tcW w:w="2265" w:type="dxa"/>
            <w:tcBorders>
              <w:top w:val="single" w:sz="12" w:space="0" w:color="333399"/>
              <w:bottom w:val="single" w:sz="4" w:space="0" w:color="333399"/>
            </w:tcBorders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286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2,1</w:t>
            </w:r>
          </w:p>
        </w:tc>
      </w:tr>
      <w:tr w:rsidR="001635D6" w:rsidRPr="00C56EA9" w:rsidTr="00D14AA2">
        <w:trPr>
          <w:trHeight w:val="579"/>
        </w:trPr>
        <w:tc>
          <w:tcPr>
            <w:tcW w:w="6516" w:type="dxa"/>
            <w:tcBorders>
              <w:top w:val="single" w:sz="4" w:space="0" w:color="333399"/>
            </w:tcBorders>
          </w:tcPr>
          <w:p w:rsidR="001635D6" w:rsidRPr="00C56EA9" w:rsidRDefault="001635D6" w:rsidP="00D14AA2">
            <w:pPr>
              <w:spacing w:before="60" w:after="60"/>
              <w:ind w:left="320" w:hanging="262"/>
              <w:rPr>
                <w:rFonts w:cs="Arial"/>
                <w:bCs/>
                <w:iCs/>
                <w:sz w:val="16"/>
                <w:szCs w:val="16"/>
              </w:rPr>
            </w:pPr>
            <w:r w:rsidRPr="00C56EA9">
              <w:rPr>
                <w:rFonts w:cs="Arial"/>
                <w:bCs/>
                <w:iCs/>
                <w:sz w:val="16"/>
                <w:szCs w:val="16"/>
              </w:rPr>
              <w:t>Subiektywna opinia gospodarstwa dotycząca braku możliwości „związania końca z końcem” („wiązanie końca z końcem” z trudnością lub wielką trudnością)</w:t>
            </w:r>
          </w:p>
        </w:tc>
        <w:tc>
          <w:tcPr>
            <w:tcW w:w="2265" w:type="dxa"/>
            <w:tcBorders>
              <w:top w:val="single" w:sz="4" w:space="0" w:color="333399"/>
            </w:tcBorders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286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18,3</w:t>
            </w:r>
          </w:p>
        </w:tc>
      </w:tr>
      <w:tr w:rsidR="001635D6" w:rsidRPr="00C56EA9" w:rsidTr="00D14AA2">
        <w:trPr>
          <w:trHeight w:val="594"/>
        </w:trPr>
        <w:tc>
          <w:tcPr>
            <w:tcW w:w="6516" w:type="dxa"/>
          </w:tcPr>
          <w:p w:rsidR="001635D6" w:rsidRPr="00C56EA9" w:rsidRDefault="001635D6" w:rsidP="00D14AA2">
            <w:pPr>
              <w:spacing w:before="60" w:after="60"/>
              <w:ind w:left="320" w:hanging="262"/>
              <w:rPr>
                <w:rFonts w:cs="Arial"/>
                <w:bCs/>
                <w:iCs/>
                <w:sz w:val="16"/>
                <w:szCs w:val="16"/>
              </w:rPr>
            </w:pPr>
            <w:r w:rsidRPr="00C56EA9">
              <w:rPr>
                <w:rFonts w:cs="Arial"/>
                <w:bCs/>
                <w:iCs/>
                <w:sz w:val="16"/>
                <w:szCs w:val="16"/>
              </w:rPr>
              <w:t xml:space="preserve">Gospodarstwo musi na co dzień bardzo oszczędnie gospodarować pieniędzmi lub pieniędzy nie starcza nawet na </w:t>
            </w:r>
            <w:r>
              <w:rPr>
                <w:rFonts w:cs="Arial"/>
                <w:bCs/>
                <w:iCs/>
                <w:sz w:val="16"/>
                <w:szCs w:val="16"/>
              </w:rPr>
              <w:t>podstawowe potrzeby (samoocena)</w:t>
            </w:r>
          </w:p>
        </w:tc>
        <w:tc>
          <w:tcPr>
            <w:tcW w:w="2265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286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23,3</w:t>
            </w:r>
          </w:p>
        </w:tc>
      </w:tr>
      <w:tr w:rsidR="001635D6" w:rsidRPr="00C56EA9" w:rsidTr="00D14AA2">
        <w:trPr>
          <w:trHeight w:val="594"/>
        </w:trPr>
        <w:tc>
          <w:tcPr>
            <w:tcW w:w="6516" w:type="dxa"/>
          </w:tcPr>
          <w:p w:rsidR="001635D6" w:rsidRPr="00C56EA9" w:rsidRDefault="001635D6" w:rsidP="00D14AA2">
            <w:pPr>
              <w:spacing w:before="60" w:after="60"/>
              <w:ind w:left="320" w:hanging="262"/>
              <w:rPr>
                <w:rFonts w:cs="Arial"/>
                <w:bCs/>
                <w:iCs/>
                <w:sz w:val="16"/>
                <w:szCs w:val="16"/>
              </w:rPr>
            </w:pPr>
            <w:r w:rsidRPr="00C56EA9">
              <w:rPr>
                <w:rFonts w:cs="Arial"/>
                <w:bCs/>
                <w:iCs/>
                <w:sz w:val="16"/>
                <w:szCs w:val="16"/>
              </w:rPr>
              <w:t>Deklarowane dochody gospodarstwa domowego są niższe niż niezbędny (minimalny) poziom dochodów pozwalający „związać koniec z końcem”</w:t>
            </w:r>
          </w:p>
        </w:tc>
        <w:tc>
          <w:tcPr>
            <w:tcW w:w="2265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286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24,9</w:t>
            </w:r>
          </w:p>
        </w:tc>
      </w:tr>
      <w:tr w:rsidR="001635D6" w:rsidRPr="00C56EA9" w:rsidTr="00D14AA2">
        <w:trPr>
          <w:trHeight w:val="579"/>
        </w:trPr>
        <w:tc>
          <w:tcPr>
            <w:tcW w:w="6516" w:type="dxa"/>
          </w:tcPr>
          <w:p w:rsidR="001635D6" w:rsidRPr="00C56EA9" w:rsidRDefault="001635D6" w:rsidP="00D14AA2">
            <w:pPr>
              <w:spacing w:before="60" w:after="60"/>
              <w:ind w:left="320" w:hanging="262"/>
              <w:rPr>
                <w:rFonts w:cs="Arial"/>
                <w:bCs/>
                <w:iCs/>
                <w:sz w:val="16"/>
                <w:szCs w:val="16"/>
              </w:rPr>
            </w:pPr>
            <w:r w:rsidRPr="00C56EA9">
              <w:rPr>
                <w:rFonts w:cs="Arial"/>
                <w:bCs/>
                <w:iCs/>
                <w:sz w:val="16"/>
                <w:szCs w:val="16"/>
              </w:rPr>
              <w:t>Zaciągnięta pożyczka lub kredyt na bieżące wydatki konsumpcyjne (żywność, odzież, obuwie, stałe opłaty)</w:t>
            </w:r>
          </w:p>
        </w:tc>
        <w:tc>
          <w:tcPr>
            <w:tcW w:w="2265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286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3,5</w:t>
            </w:r>
          </w:p>
        </w:tc>
      </w:tr>
      <w:tr w:rsidR="001635D6" w:rsidRPr="00C56EA9" w:rsidTr="00D14AA2">
        <w:trPr>
          <w:trHeight w:val="594"/>
        </w:trPr>
        <w:tc>
          <w:tcPr>
            <w:tcW w:w="6516" w:type="dxa"/>
          </w:tcPr>
          <w:p w:rsidR="001635D6" w:rsidRPr="00C56EA9" w:rsidRDefault="001635D6" w:rsidP="00D14AA2">
            <w:pPr>
              <w:spacing w:before="60" w:after="60"/>
              <w:ind w:left="320" w:hanging="262"/>
              <w:rPr>
                <w:rFonts w:cs="Arial"/>
                <w:bCs/>
                <w:iCs/>
                <w:sz w:val="16"/>
                <w:szCs w:val="16"/>
              </w:rPr>
            </w:pPr>
            <w:r w:rsidRPr="00C56EA9">
              <w:rPr>
                <w:rFonts w:cs="Arial"/>
                <w:bCs/>
                <w:iCs/>
                <w:sz w:val="16"/>
                <w:szCs w:val="16"/>
              </w:rPr>
              <w:t>Odczuwanie przez gospodarstwo domowe dużych trudności w dokonywaniu bieżących wydatków z powodu spłat pożyczek/kredytów</w:t>
            </w:r>
          </w:p>
        </w:tc>
        <w:tc>
          <w:tcPr>
            <w:tcW w:w="2265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286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4,5</w:t>
            </w:r>
          </w:p>
        </w:tc>
      </w:tr>
      <w:tr w:rsidR="001635D6" w:rsidRPr="00C56EA9" w:rsidTr="00D14AA2">
        <w:trPr>
          <w:trHeight w:val="817"/>
        </w:trPr>
        <w:tc>
          <w:tcPr>
            <w:tcW w:w="6516" w:type="dxa"/>
          </w:tcPr>
          <w:p w:rsidR="001635D6" w:rsidRPr="00C56EA9" w:rsidRDefault="001635D6" w:rsidP="00D14AA2">
            <w:pPr>
              <w:spacing w:before="60" w:after="60"/>
              <w:ind w:left="320" w:hanging="262"/>
              <w:rPr>
                <w:rFonts w:cs="Arial"/>
                <w:bCs/>
                <w:iCs/>
                <w:sz w:val="16"/>
                <w:szCs w:val="16"/>
              </w:rPr>
            </w:pPr>
            <w:r w:rsidRPr="00C56EA9">
              <w:rPr>
                <w:rFonts w:cs="Arial"/>
                <w:bCs/>
                <w:iCs/>
                <w:sz w:val="16"/>
                <w:szCs w:val="16"/>
              </w:rPr>
              <w:t>Deklaracja gospodarstwa domowego wskazująca na brak jakiejkolwiek swobody finansowej (brak możliwości pokrycia niespodziewanego wydatku w wysokości 400-500 zł)</w:t>
            </w:r>
          </w:p>
        </w:tc>
        <w:tc>
          <w:tcPr>
            <w:tcW w:w="2265" w:type="dxa"/>
            <w:vAlign w:val="center"/>
          </w:tcPr>
          <w:p w:rsidR="001635D6" w:rsidRPr="00C56EA9" w:rsidRDefault="001635D6" w:rsidP="00D14AA2">
            <w:pPr>
              <w:spacing w:after="0" w:line="240" w:lineRule="auto"/>
              <w:ind w:right="286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56EA9">
              <w:rPr>
                <w:rFonts w:cs="Arial"/>
                <w:color w:val="000000"/>
                <w:sz w:val="16"/>
                <w:szCs w:val="16"/>
              </w:rPr>
              <w:t>22,7</w:t>
            </w:r>
          </w:p>
        </w:tc>
      </w:tr>
    </w:tbl>
    <w:p w:rsidR="001635D6" w:rsidRPr="00C56EA9" w:rsidRDefault="001635D6" w:rsidP="001635D6">
      <w:pPr>
        <w:rPr>
          <w:sz w:val="16"/>
          <w:szCs w:val="16"/>
        </w:rPr>
      </w:pPr>
    </w:p>
    <w:p w:rsidR="00D261A2" w:rsidRPr="00F9775C" w:rsidRDefault="00D261A2" w:rsidP="00F9775C">
      <w:pPr>
        <w:rPr>
          <w:sz w:val="2"/>
          <w:szCs w:val="2"/>
        </w:rPr>
      </w:pPr>
    </w:p>
    <w:sectPr w:rsidR="00D261A2" w:rsidRPr="00F9775C" w:rsidSect="001635D6">
      <w:headerReference w:type="default" r:id="rId38"/>
      <w:footerReference w:type="default" r:id="rId39"/>
      <w:footnotePr>
        <w:numFmt w:val="lowerLetter"/>
      </w:footnotePr>
      <w:pgSz w:w="11906" w:h="16838" w:code="9"/>
      <w:pgMar w:top="720" w:right="2041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D7" w:rsidRDefault="008936D7" w:rsidP="000662E2">
      <w:pPr>
        <w:spacing w:after="0" w:line="240" w:lineRule="auto"/>
      </w:pPr>
      <w:r>
        <w:separator/>
      </w:r>
    </w:p>
  </w:endnote>
  <w:endnote w:type="continuationSeparator" w:id="0">
    <w:p w:rsidR="008936D7" w:rsidRDefault="008936D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altName w:val="Cambria Math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altName w:val="Cambria Math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altName w:val="Corbe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63806"/>
      <w:docPartObj>
        <w:docPartGallery w:val="Page Numbers (Bottom of Page)"/>
        <w:docPartUnique/>
      </w:docPartObj>
    </w:sdtPr>
    <w:sdtEndPr/>
    <w:sdtContent>
      <w:p w:rsidR="00296E4C" w:rsidRDefault="0016159C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296E4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30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171752"/>
      <w:docPartObj>
        <w:docPartGallery w:val="Page Numbers (Bottom of Page)"/>
        <w:docPartUnique/>
      </w:docPartObj>
    </w:sdtPr>
    <w:sdtEndPr/>
    <w:sdtContent>
      <w:p w:rsidR="00296E4C" w:rsidRDefault="0016159C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296E4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30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296E4C" w:rsidRDefault="0016159C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296E4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30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D7" w:rsidRDefault="008936D7" w:rsidP="000662E2">
      <w:pPr>
        <w:spacing w:after="0" w:line="240" w:lineRule="auto"/>
      </w:pPr>
      <w:r>
        <w:separator/>
      </w:r>
    </w:p>
  </w:footnote>
  <w:footnote w:type="continuationSeparator" w:id="0">
    <w:p w:rsidR="008936D7" w:rsidRDefault="008936D7" w:rsidP="000662E2">
      <w:pPr>
        <w:spacing w:after="0" w:line="240" w:lineRule="auto"/>
      </w:pPr>
      <w:r>
        <w:continuationSeparator/>
      </w:r>
    </w:p>
  </w:footnote>
  <w:footnote w:id="1">
    <w:p w:rsidR="00296E4C" w:rsidRPr="00C06FBA" w:rsidRDefault="00296E4C" w:rsidP="004C5D38">
      <w:pPr>
        <w:pStyle w:val="Tekstprzypisudolnego"/>
        <w:tabs>
          <w:tab w:val="left" w:pos="284"/>
        </w:tabs>
        <w:jc w:val="both"/>
        <w:rPr>
          <w:sz w:val="15"/>
          <w:szCs w:val="15"/>
        </w:rPr>
      </w:pPr>
      <w:r w:rsidRPr="00C06FBA">
        <w:rPr>
          <w:rStyle w:val="Odwoanieprzypisudolnego"/>
          <w:sz w:val="15"/>
          <w:szCs w:val="15"/>
        </w:rPr>
        <w:footnoteRef/>
      </w:r>
      <w:r w:rsidRPr="00C06FBA">
        <w:rPr>
          <w:sz w:val="15"/>
          <w:szCs w:val="15"/>
        </w:rPr>
        <w:t xml:space="preserve"> </w:t>
      </w:r>
      <w:r w:rsidRPr="00C06FBA">
        <w:rPr>
          <w:rFonts w:cs="Arial"/>
          <w:sz w:val="15"/>
          <w:szCs w:val="15"/>
        </w:rPr>
        <w:t>Uwzględniono tzw. zmodyfikowaną skalę ekwiwalentności OECD, która przyjmuje następujące wartości jednostek ekwiwalentnych przypisanych poszczególnym osobom w gospodarstwie: pierwsza osoba dorosła – 1; każdy następny członek gospodarstwa domowego w wieku co najmniej 14 lat – 0,5; każde dziecko w wieku poniżej 14 lat – 0,3. W 2018 r. granica ubóstwa dochodowego dla gospodarstwa jednoosobowego wyniosła 1.280 zł, a dla gospodarstwa domowego złożonego z 2 osób dorosłych i 2 dzieci do lat 14 – 2.688 zł (dochód miesięczny).</w:t>
      </w:r>
    </w:p>
  </w:footnote>
  <w:footnote w:id="2">
    <w:p w:rsidR="00296E4C" w:rsidRPr="00C06FBA" w:rsidRDefault="00296E4C">
      <w:pPr>
        <w:pStyle w:val="Tekstprzypisudolnego"/>
        <w:rPr>
          <w:sz w:val="15"/>
          <w:szCs w:val="15"/>
        </w:rPr>
      </w:pPr>
      <w:r w:rsidRPr="00C06FBA">
        <w:rPr>
          <w:rStyle w:val="Odwoanieprzypisudolnego"/>
          <w:sz w:val="15"/>
          <w:szCs w:val="15"/>
        </w:rPr>
        <w:footnoteRef/>
      </w:r>
      <w:r w:rsidRPr="00C06FBA">
        <w:rPr>
          <w:sz w:val="15"/>
          <w:szCs w:val="15"/>
        </w:rPr>
        <w:t xml:space="preserve"> Dla przykładu - próg relatywnego ubóstwa dochodowego dla gospodarstwa jednoosobowego wzrósł z 1</w:t>
      </w:r>
      <w:r w:rsidR="00AC7890" w:rsidRPr="00C06FBA">
        <w:rPr>
          <w:sz w:val="15"/>
          <w:szCs w:val="15"/>
        </w:rPr>
        <w:t>.</w:t>
      </w:r>
      <w:r w:rsidRPr="00C06FBA">
        <w:rPr>
          <w:sz w:val="15"/>
          <w:szCs w:val="15"/>
        </w:rPr>
        <w:t>043 zł. w</w:t>
      </w:r>
      <w:r w:rsidR="00C06FBA">
        <w:rPr>
          <w:sz w:val="15"/>
          <w:szCs w:val="15"/>
        </w:rPr>
        <w:t> </w:t>
      </w:r>
      <w:r w:rsidRPr="00C06FBA">
        <w:rPr>
          <w:sz w:val="15"/>
          <w:szCs w:val="15"/>
        </w:rPr>
        <w:t>2015</w:t>
      </w:r>
      <w:r w:rsidR="00C06FBA">
        <w:rPr>
          <w:sz w:val="15"/>
          <w:szCs w:val="15"/>
        </w:rPr>
        <w:t> </w:t>
      </w:r>
      <w:r w:rsidRPr="00C06FBA">
        <w:rPr>
          <w:sz w:val="15"/>
          <w:szCs w:val="15"/>
        </w:rPr>
        <w:t>r. do 1</w:t>
      </w:r>
      <w:r w:rsidR="00AC7890" w:rsidRPr="00C06FBA">
        <w:rPr>
          <w:sz w:val="15"/>
          <w:szCs w:val="15"/>
        </w:rPr>
        <w:t>.</w:t>
      </w:r>
      <w:r w:rsidRPr="00C06FBA">
        <w:rPr>
          <w:sz w:val="15"/>
          <w:szCs w:val="15"/>
        </w:rPr>
        <w:t>280 zł w 2018 r. (dochód miesięczny netto).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E4C" w:rsidRDefault="003F617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A8780C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296E4C" w:rsidRDefault="00296E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E4C" w:rsidRDefault="003F617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2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96E4C" w:rsidRPr="003C6C8D" w:rsidRDefault="00296E4C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IrflGEkG&#10;AAAj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296E4C" w:rsidRPr="003C6C8D" w:rsidRDefault="00296E4C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718016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" fillcolor="#f2f2f2" stroked="f" strokeweight="1pt">
              <v:path arrowok="t"/>
              <w10:wrap type="tight"/>
            </v:rect>
          </w:pict>
        </mc:Fallback>
      </mc:AlternateContent>
    </w:r>
    <w:r w:rsidR="00296E4C">
      <w:rPr>
        <w:noProof/>
        <w:lang w:eastAsia="pl-PL"/>
      </w:rPr>
      <w:drawing>
        <wp:inline distT="0" distB="0" distL="0" distR="0">
          <wp:extent cx="2210137" cy="720000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6E4C" w:rsidRDefault="00296E4C">
    <w:pPr>
      <w:pStyle w:val="Nagwek"/>
      <w:rPr>
        <w:noProof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E4C" w:rsidRDefault="00296E4C">
    <w:pPr>
      <w:pStyle w:val="Nagwek"/>
    </w:pPr>
  </w:p>
  <w:p w:rsidR="00296E4C" w:rsidRDefault="00296E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1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01C64004"/>
    <w:multiLevelType w:val="hybridMultilevel"/>
    <w:tmpl w:val="1E5C1A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B09AA"/>
    <w:multiLevelType w:val="hybridMultilevel"/>
    <w:tmpl w:val="43A0AF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47"/>
    <w:rsid w:val="00001C5B"/>
    <w:rsid w:val="00003437"/>
    <w:rsid w:val="0000709F"/>
    <w:rsid w:val="000108B8"/>
    <w:rsid w:val="00010D21"/>
    <w:rsid w:val="000152F5"/>
    <w:rsid w:val="00015BD6"/>
    <w:rsid w:val="00016161"/>
    <w:rsid w:val="00017C2E"/>
    <w:rsid w:val="000212F4"/>
    <w:rsid w:val="00034160"/>
    <w:rsid w:val="00034A71"/>
    <w:rsid w:val="00037021"/>
    <w:rsid w:val="000417D5"/>
    <w:rsid w:val="000430F0"/>
    <w:rsid w:val="0004582E"/>
    <w:rsid w:val="00045A3D"/>
    <w:rsid w:val="0004646A"/>
    <w:rsid w:val="000470AA"/>
    <w:rsid w:val="00057CA1"/>
    <w:rsid w:val="00062F53"/>
    <w:rsid w:val="0006547E"/>
    <w:rsid w:val="000662E2"/>
    <w:rsid w:val="00066883"/>
    <w:rsid w:val="000730CD"/>
    <w:rsid w:val="000739C9"/>
    <w:rsid w:val="00074DD8"/>
    <w:rsid w:val="000806F7"/>
    <w:rsid w:val="00093343"/>
    <w:rsid w:val="00097840"/>
    <w:rsid w:val="000A6963"/>
    <w:rsid w:val="000A7F1A"/>
    <w:rsid w:val="000B0727"/>
    <w:rsid w:val="000C135D"/>
    <w:rsid w:val="000C584A"/>
    <w:rsid w:val="000D06E0"/>
    <w:rsid w:val="000D1D43"/>
    <w:rsid w:val="000D225C"/>
    <w:rsid w:val="000D2A5C"/>
    <w:rsid w:val="000D3477"/>
    <w:rsid w:val="000D3CDA"/>
    <w:rsid w:val="000E0918"/>
    <w:rsid w:val="000E0C5A"/>
    <w:rsid w:val="000E1349"/>
    <w:rsid w:val="000E1FB6"/>
    <w:rsid w:val="000E3DF4"/>
    <w:rsid w:val="000F1266"/>
    <w:rsid w:val="000F1BAE"/>
    <w:rsid w:val="000F704F"/>
    <w:rsid w:val="001011C3"/>
    <w:rsid w:val="00102C97"/>
    <w:rsid w:val="0010516A"/>
    <w:rsid w:val="00106181"/>
    <w:rsid w:val="00106279"/>
    <w:rsid w:val="00110C64"/>
    <w:rsid w:val="00110D87"/>
    <w:rsid w:val="00113010"/>
    <w:rsid w:val="001149A1"/>
    <w:rsid w:val="00114DB9"/>
    <w:rsid w:val="00116087"/>
    <w:rsid w:val="00130296"/>
    <w:rsid w:val="00130FEE"/>
    <w:rsid w:val="00135B65"/>
    <w:rsid w:val="00142037"/>
    <w:rsid w:val="001423B6"/>
    <w:rsid w:val="001448A7"/>
    <w:rsid w:val="00146621"/>
    <w:rsid w:val="0015067A"/>
    <w:rsid w:val="0016159C"/>
    <w:rsid w:val="00162325"/>
    <w:rsid w:val="001635D6"/>
    <w:rsid w:val="00167B8C"/>
    <w:rsid w:val="00171411"/>
    <w:rsid w:val="00186576"/>
    <w:rsid w:val="0019051C"/>
    <w:rsid w:val="00190B99"/>
    <w:rsid w:val="00191656"/>
    <w:rsid w:val="00191DA6"/>
    <w:rsid w:val="00193D72"/>
    <w:rsid w:val="001951DA"/>
    <w:rsid w:val="00197B38"/>
    <w:rsid w:val="001A0E4B"/>
    <w:rsid w:val="001B4364"/>
    <w:rsid w:val="001C3269"/>
    <w:rsid w:val="001C3F17"/>
    <w:rsid w:val="001C792F"/>
    <w:rsid w:val="001D1206"/>
    <w:rsid w:val="001D1DB4"/>
    <w:rsid w:val="001D7C73"/>
    <w:rsid w:val="001E1D94"/>
    <w:rsid w:val="001E3688"/>
    <w:rsid w:val="001E7DBB"/>
    <w:rsid w:val="00206A6F"/>
    <w:rsid w:val="0022027D"/>
    <w:rsid w:val="00224478"/>
    <w:rsid w:val="00231946"/>
    <w:rsid w:val="00250196"/>
    <w:rsid w:val="002574F9"/>
    <w:rsid w:val="002624CE"/>
    <w:rsid w:val="00262B61"/>
    <w:rsid w:val="002669C0"/>
    <w:rsid w:val="002761E5"/>
    <w:rsid w:val="00276811"/>
    <w:rsid w:val="00276C9A"/>
    <w:rsid w:val="00282699"/>
    <w:rsid w:val="002926DF"/>
    <w:rsid w:val="00296697"/>
    <w:rsid w:val="0029670E"/>
    <w:rsid w:val="00296E4C"/>
    <w:rsid w:val="002A1CFD"/>
    <w:rsid w:val="002A43C4"/>
    <w:rsid w:val="002A4D80"/>
    <w:rsid w:val="002B0472"/>
    <w:rsid w:val="002B2CB0"/>
    <w:rsid w:val="002B47CD"/>
    <w:rsid w:val="002B6B12"/>
    <w:rsid w:val="002D0020"/>
    <w:rsid w:val="002D08A0"/>
    <w:rsid w:val="002E2E99"/>
    <w:rsid w:val="002E6140"/>
    <w:rsid w:val="002E6985"/>
    <w:rsid w:val="002E71B6"/>
    <w:rsid w:val="002F5EEC"/>
    <w:rsid w:val="002F670A"/>
    <w:rsid w:val="002F77C8"/>
    <w:rsid w:val="00304F22"/>
    <w:rsid w:val="00305162"/>
    <w:rsid w:val="00306C7C"/>
    <w:rsid w:val="00310E05"/>
    <w:rsid w:val="00320DCE"/>
    <w:rsid w:val="00322EDD"/>
    <w:rsid w:val="003241AD"/>
    <w:rsid w:val="003279D3"/>
    <w:rsid w:val="00330E56"/>
    <w:rsid w:val="00332320"/>
    <w:rsid w:val="00343187"/>
    <w:rsid w:val="00347D72"/>
    <w:rsid w:val="00357611"/>
    <w:rsid w:val="00367237"/>
    <w:rsid w:val="0037077F"/>
    <w:rsid w:val="00372411"/>
    <w:rsid w:val="00373882"/>
    <w:rsid w:val="003742A8"/>
    <w:rsid w:val="00374CF5"/>
    <w:rsid w:val="00377C55"/>
    <w:rsid w:val="003843DB"/>
    <w:rsid w:val="003901AC"/>
    <w:rsid w:val="00390A37"/>
    <w:rsid w:val="00391B62"/>
    <w:rsid w:val="003920D0"/>
    <w:rsid w:val="00393761"/>
    <w:rsid w:val="00393DB9"/>
    <w:rsid w:val="00397D18"/>
    <w:rsid w:val="003A1B36"/>
    <w:rsid w:val="003A440F"/>
    <w:rsid w:val="003A5E88"/>
    <w:rsid w:val="003B1454"/>
    <w:rsid w:val="003B18B6"/>
    <w:rsid w:val="003B5E1C"/>
    <w:rsid w:val="003B7ABF"/>
    <w:rsid w:val="003C2499"/>
    <w:rsid w:val="003C545C"/>
    <w:rsid w:val="003C59E0"/>
    <w:rsid w:val="003C6C8D"/>
    <w:rsid w:val="003D4F95"/>
    <w:rsid w:val="003D5F42"/>
    <w:rsid w:val="003D60A9"/>
    <w:rsid w:val="003D7A3D"/>
    <w:rsid w:val="003E725E"/>
    <w:rsid w:val="003F4C97"/>
    <w:rsid w:val="003F5245"/>
    <w:rsid w:val="003F617A"/>
    <w:rsid w:val="003F650D"/>
    <w:rsid w:val="003F7FE6"/>
    <w:rsid w:val="00400193"/>
    <w:rsid w:val="0040356A"/>
    <w:rsid w:val="00407DF7"/>
    <w:rsid w:val="00410FC6"/>
    <w:rsid w:val="00411D1D"/>
    <w:rsid w:val="00416B42"/>
    <w:rsid w:val="004212E7"/>
    <w:rsid w:val="0042446D"/>
    <w:rsid w:val="00426ECB"/>
    <w:rsid w:val="00427212"/>
    <w:rsid w:val="00427BF8"/>
    <w:rsid w:val="00431C02"/>
    <w:rsid w:val="004343C9"/>
    <w:rsid w:val="00437395"/>
    <w:rsid w:val="004416B7"/>
    <w:rsid w:val="00445047"/>
    <w:rsid w:val="00451822"/>
    <w:rsid w:val="00452C67"/>
    <w:rsid w:val="004566AB"/>
    <w:rsid w:val="004601AC"/>
    <w:rsid w:val="00463E39"/>
    <w:rsid w:val="004657FC"/>
    <w:rsid w:val="004733F6"/>
    <w:rsid w:val="00474276"/>
    <w:rsid w:val="00474E69"/>
    <w:rsid w:val="0049197E"/>
    <w:rsid w:val="0049621B"/>
    <w:rsid w:val="004B025F"/>
    <w:rsid w:val="004B4B29"/>
    <w:rsid w:val="004C1895"/>
    <w:rsid w:val="004C5D38"/>
    <w:rsid w:val="004C6D40"/>
    <w:rsid w:val="004F0C3C"/>
    <w:rsid w:val="004F529E"/>
    <w:rsid w:val="004F63FC"/>
    <w:rsid w:val="004F738F"/>
    <w:rsid w:val="00502E6F"/>
    <w:rsid w:val="00505A92"/>
    <w:rsid w:val="00506C14"/>
    <w:rsid w:val="0051646A"/>
    <w:rsid w:val="00516A50"/>
    <w:rsid w:val="005203F1"/>
    <w:rsid w:val="0052058B"/>
    <w:rsid w:val="00521BC3"/>
    <w:rsid w:val="00522F20"/>
    <w:rsid w:val="00526A58"/>
    <w:rsid w:val="00530F6F"/>
    <w:rsid w:val="00532DCE"/>
    <w:rsid w:val="00533632"/>
    <w:rsid w:val="0053648F"/>
    <w:rsid w:val="00541E6E"/>
    <w:rsid w:val="0054251F"/>
    <w:rsid w:val="00551A0B"/>
    <w:rsid w:val="005520D8"/>
    <w:rsid w:val="00556CF1"/>
    <w:rsid w:val="00563999"/>
    <w:rsid w:val="00571703"/>
    <w:rsid w:val="005762A7"/>
    <w:rsid w:val="005861D7"/>
    <w:rsid w:val="005877DE"/>
    <w:rsid w:val="005916D7"/>
    <w:rsid w:val="00594608"/>
    <w:rsid w:val="005A698C"/>
    <w:rsid w:val="005B4FA3"/>
    <w:rsid w:val="005C1AF8"/>
    <w:rsid w:val="005D170A"/>
    <w:rsid w:val="005D470D"/>
    <w:rsid w:val="005E0799"/>
    <w:rsid w:val="005E2988"/>
    <w:rsid w:val="005E7F12"/>
    <w:rsid w:val="005F5A80"/>
    <w:rsid w:val="00600E5C"/>
    <w:rsid w:val="00602CEB"/>
    <w:rsid w:val="006039C0"/>
    <w:rsid w:val="006044FF"/>
    <w:rsid w:val="00607CC5"/>
    <w:rsid w:val="00611336"/>
    <w:rsid w:val="00616596"/>
    <w:rsid w:val="006220DA"/>
    <w:rsid w:val="00622953"/>
    <w:rsid w:val="00624752"/>
    <w:rsid w:val="0063167C"/>
    <w:rsid w:val="00633014"/>
    <w:rsid w:val="0063437B"/>
    <w:rsid w:val="00637C1E"/>
    <w:rsid w:val="00643236"/>
    <w:rsid w:val="00650320"/>
    <w:rsid w:val="006619BD"/>
    <w:rsid w:val="006673CA"/>
    <w:rsid w:val="00673C26"/>
    <w:rsid w:val="00674A8B"/>
    <w:rsid w:val="00675B16"/>
    <w:rsid w:val="006812AF"/>
    <w:rsid w:val="0068327D"/>
    <w:rsid w:val="00685123"/>
    <w:rsid w:val="00691225"/>
    <w:rsid w:val="00693CA3"/>
    <w:rsid w:val="00694AF0"/>
    <w:rsid w:val="006A07DC"/>
    <w:rsid w:val="006A4686"/>
    <w:rsid w:val="006B0E9E"/>
    <w:rsid w:val="006B208D"/>
    <w:rsid w:val="006B5AE4"/>
    <w:rsid w:val="006D1507"/>
    <w:rsid w:val="006D4054"/>
    <w:rsid w:val="006D6B72"/>
    <w:rsid w:val="006E02EC"/>
    <w:rsid w:val="006E2976"/>
    <w:rsid w:val="006E73D7"/>
    <w:rsid w:val="006F4F57"/>
    <w:rsid w:val="007059D5"/>
    <w:rsid w:val="0070644E"/>
    <w:rsid w:val="00711013"/>
    <w:rsid w:val="007162EB"/>
    <w:rsid w:val="007211B1"/>
    <w:rsid w:val="00733D55"/>
    <w:rsid w:val="00735B04"/>
    <w:rsid w:val="0074249C"/>
    <w:rsid w:val="00743679"/>
    <w:rsid w:val="00746187"/>
    <w:rsid w:val="007464A5"/>
    <w:rsid w:val="00752A67"/>
    <w:rsid w:val="00757DDA"/>
    <w:rsid w:val="00761070"/>
    <w:rsid w:val="0076254F"/>
    <w:rsid w:val="007801F5"/>
    <w:rsid w:val="007824C9"/>
    <w:rsid w:val="00783CA4"/>
    <w:rsid w:val="007842FB"/>
    <w:rsid w:val="00786124"/>
    <w:rsid w:val="0078756B"/>
    <w:rsid w:val="00792854"/>
    <w:rsid w:val="0079372F"/>
    <w:rsid w:val="0079514B"/>
    <w:rsid w:val="007A0AB2"/>
    <w:rsid w:val="007A2DC1"/>
    <w:rsid w:val="007B632D"/>
    <w:rsid w:val="007B6AA8"/>
    <w:rsid w:val="007B74D8"/>
    <w:rsid w:val="007B7847"/>
    <w:rsid w:val="007B7CDB"/>
    <w:rsid w:val="007D3319"/>
    <w:rsid w:val="007D335D"/>
    <w:rsid w:val="007D4522"/>
    <w:rsid w:val="007D72C9"/>
    <w:rsid w:val="007E1DB6"/>
    <w:rsid w:val="007E2552"/>
    <w:rsid w:val="007E3314"/>
    <w:rsid w:val="007E4B03"/>
    <w:rsid w:val="007F324B"/>
    <w:rsid w:val="00802A9A"/>
    <w:rsid w:val="0080320F"/>
    <w:rsid w:val="0080553C"/>
    <w:rsid w:val="00805B46"/>
    <w:rsid w:val="00812A2D"/>
    <w:rsid w:val="00816BC7"/>
    <w:rsid w:val="0082035F"/>
    <w:rsid w:val="00820B10"/>
    <w:rsid w:val="008219F7"/>
    <w:rsid w:val="0082498D"/>
    <w:rsid w:val="00825DC2"/>
    <w:rsid w:val="00831172"/>
    <w:rsid w:val="00831DEF"/>
    <w:rsid w:val="00834AD3"/>
    <w:rsid w:val="00843795"/>
    <w:rsid w:val="00845061"/>
    <w:rsid w:val="00846193"/>
    <w:rsid w:val="00847F0F"/>
    <w:rsid w:val="00852448"/>
    <w:rsid w:val="00853FF8"/>
    <w:rsid w:val="00860B06"/>
    <w:rsid w:val="00865967"/>
    <w:rsid w:val="0088202A"/>
    <w:rsid w:val="0088258A"/>
    <w:rsid w:val="008832C4"/>
    <w:rsid w:val="00883763"/>
    <w:rsid w:val="00886332"/>
    <w:rsid w:val="00890792"/>
    <w:rsid w:val="00890C39"/>
    <w:rsid w:val="008936D7"/>
    <w:rsid w:val="008956C3"/>
    <w:rsid w:val="00897C5C"/>
    <w:rsid w:val="008A1EB4"/>
    <w:rsid w:val="008A2173"/>
    <w:rsid w:val="008A26D9"/>
    <w:rsid w:val="008A720C"/>
    <w:rsid w:val="008B6EF8"/>
    <w:rsid w:val="008C0C29"/>
    <w:rsid w:val="008C7A01"/>
    <w:rsid w:val="008D357B"/>
    <w:rsid w:val="008E6EF2"/>
    <w:rsid w:val="008F2CC2"/>
    <w:rsid w:val="008F3638"/>
    <w:rsid w:val="008F4441"/>
    <w:rsid w:val="008F6F31"/>
    <w:rsid w:val="008F74DF"/>
    <w:rsid w:val="00900361"/>
    <w:rsid w:val="00900B0D"/>
    <w:rsid w:val="00906608"/>
    <w:rsid w:val="009127BA"/>
    <w:rsid w:val="00916782"/>
    <w:rsid w:val="00920915"/>
    <w:rsid w:val="009227A6"/>
    <w:rsid w:val="00923FCE"/>
    <w:rsid w:val="00931CDD"/>
    <w:rsid w:val="00933B26"/>
    <w:rsid w:val="00933EC1"/>
    <w:rsid w:val="009346A1"/>
    <w:rsid w:val="00942057"/>
    <w:rsid w:val="009530DB"/>
    <w:rsid w:val="00953632"/>
    <w:rsid w:val="00953676"/>
    <w:rsid w:val="00964694"/>
    <w:rsid w:val="009705EE"/>
    <w:rsid w:val="00973CBF"/>
    <w:rsid w:val="00973D79"/>
    <w:rsid w:val="00977927"/>
    <w:rsid w:val="0098135C"/>
    <w:rsid w:val="0098156A"/>
    <w:rsid w:val="009839B5"/>
    <w:rsid w:val="00985747"/>
    <w:rsid w:val="00990133"/>
    <w:rsid w:val="009905E7"/>
    <w:rsid w:val="00991BAC"/>
    <w:rsid w:val="00994D51"/>
    <w:rsid w:val="00995216"/>
    <w:rsid w:val="009A1D47"/>
    <w:rsid w:val="009A284B"/>
    <w:rsid w:val="009A6EA0"/>
    <w:rsid w:val="009B0655"/>
    <w:rsid w:val="009B1399"/>
    <w:rsid w:val="009C1335"/>
    <w:rsid w:val="009C156D"/>
    <w:rsid w:val="009C1AB2"/>
    <w:rsid w:val="009C5407"/>
    <w:rsid w:val="009C7251"/>
    <w:rsid w:val="009D2E4A"/>
    <w:rsid w:val="009D50E2"/>
    <w:rsid w:val="009E0842"/>
    <w:rsid w:val="009E2E91"/>
    <w:rsid w:val="009E3BF4"/>
    <w:rsid w:val="009F5815"/>
    <w:rsid w:val="00A036A8"/>
    <w:rsid w:val="00A07F00"/>
    <w:rsid w:val="00A12435"/>
    <w:rsid w:val="00A139F5"/>
    <w:rsid w:val="00A2136A"/>
    <w:rsid w:val="00A221A2"/>
    <w:rsid w:val="00A2475E"/>
    <w:rsid w:val="00A25CCA"/>
    <w:rsid w:val="00A33F84"/>
    <w:rsid w:val="00A34C24"/>
    <w:rsid w:val="00A365F4"/>
    <w:rsid w:val="00A37CE0"/>
    <w:rsid w:val="00A460E6"/>
    <w:rsid w:val="00A46BD5"/>
    <w:rsid w:val="00A47D80"/>
    <w:rsid w:val="00A51E49"/>
    <w:rsid w:val="00A53132"/>
    <w:rsid w:val="00A563F2"/>
    <w:rsid w:val="00A566E8"/>
    <w:rsid w:val="00A70AFB"/>
    <w:rsid w:val="00A74C00"/>
    <w:rsid w:val="00A76691"/>
    <w:rsid w:val="00A810F9"/>
    <w:rsid w:val="00A86ECC"/>
    <w:rsid w:val="00A86FCC"/>
    <w:rsid w:val="00A95FA7"/>
    <w:rsid w:val="00AA710D"/>
    <w:rsid w:val="00AB6D25"/>
    <w:rsid w:val="00AC367C"/>
    <w:rsid w:val="00AC3A14"/>
    <w:rsid w:val="00AC7890"/>
    <w:rsid w:val="00AD4947"/>
    <w:rsid w:val="00AE20FD"/>
    <w:rsid w:val="00AE2D4B"/>
    <w:rsid w:val="00AE3075"/>
    <w:rsid w:val="00AE47A1"/>
    <w:rsid w:val="00AE4F99"/>
    <w:rsid w:val="00AF38BA"/>
    <w:rsid w:val="00B11B69"/>
    <w:rsid w:val="00B14952"/>
    <w:rsid w:val="00B31E5A"/>
    <w:rsid w:val="00B322EC"/>
    <w:rsid w:val="00B353D3"/>
    <w:rsid w:val="00B609CE"/>
    <w:rsid w:val="00B653AB"/>
    <w:rsid w:val="00B65F9E"/>
    <w:rsid w:val="00B66B19"/>
    <w:rsid w:val="00B71282"/>
    <w:rsid w:val="00B7305F"/>
    <w:rsid w:val="00B815E0"/>
    <w:rsid w:val="00B844DE"/>
    <w:rsid w:val="00B914E9"/>
    <w:rsid w:val="00B939B5"/>
    <w:rsid w:val="00B93CB1"/>
    <w:rsid w:val="00B94737"/>
    <w:rsid w:val="00B956EE"/>
    <w:rsid w:val="00B97152"/>
    <w:rsid w:val="00BA1326"/>
    <w:rsid w:val="00BA2BA1"/>
    <w:rsid w:val="00BA3562"/>
    <w:rsid w:val="00BA5009"/>
    <w:rsid w:val="00BA5A42"/>
    <w:rsid w:val="00BB4F09"/>
    <w:rsid w:val="00BC4FA0"/>
    <w:rsid w:val="00BD4E33"/>
    <w:rsid w:val="00BE145F"/>
    <w:rsid w:val="00BE5495"/>
    <w:rsid w:val="00BE778D"/>
    <w:rsid w:val="00BE7831"/>
    <w:rsid w:val="00BF49E5"/>
    <w:rsid w:val="00BF4ABF"/>
    <w:rsid w:val="00BF6F12"/>
    <w:rsid w:val="00C00EDA"/>
    <w:rsid w:val="00C030DE"/>
    <w:rsid w:val="00C04FEC"/>
    <w:rsid w:val="00C06FBA"/>
    <w:rsid w:val="00C123F4"/>
    <w:rsid w:val="00C22105"/>
    <w:rsid w:val="00C244B6"/>
    <w:rsid w:val="00C27D75"/>
    <w:rsid w:val="00C32F2B"/>
    <w:rsid w:val="00C3702F"/>
    <w:rsid w:val="00C43656"/>
    <w:rsid w:val="00C4500A"/>
    <w:rsid w:val="00C45C42"/>
    <w:rsid w:val="00C46D79"/>
    <w:rsid w:val="00C52267"/>
    <w:rsid w:val="00C55C91"/>
    <w:rsid w:val="00C64A37"/>
    <w:rsid w:val="00C66FAD"/>
    <w:rsid w:val="00C67619"/>
    <w:rsid w:val="00C7158E"/>
    <w:rsid w:val="00C7250B"/>
    <w:rsid w:val="00C7346B"/>
    <w:rsid w:val="00C764A1"/>
    <w:rsid w:val="00C77C0E"/>
    <w:rsid w:val="00C77DAE"/>
    <w:rsid w:val="00C8000E"/>
    <w:rsid w:val="00C8596C"/>
    <w:rsid w:val="00C90542"/>
    <w:rsid w:val="00C90979"/>
    <w:rsid w:val="00C91687"/>
    <w:rsid w:val="00C924A8"/>
    <w:rsid w:val="00C92E3A"/>
    <w:rsid w:val="00C92F37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8B7"/>
    <w:rsid w:val="00CE2E6D"/>
    <w:rsid w:val="00CF4099"/>
    <w:rsid w:val="00CF415B"/>
    <w:rsid w:val="00CF686E"/>
    <w:rsid w:val="00D00796"/>
    <w:rsid w:val="00D014A0"/>
    <w:rsid w:val="00D02D2C"/>
    <w:rsid w:val="00D223DE"/>
    <w:rsid w:val="00D2483A"/>
    <w:rsid w:val="00D261A2"/>
    <w:rsid w:val="00D300FF"/>
    <w:rsid w:val="00D36211"/>
    <w:rsid w:val="00D44B4B"/>
    <w:rsid w:val="00D478C0"/>
    <w:rsid w:val="00D538E4"/>
    <w:rsid w:val="00D616D2"/>
    <w:rsid w:val="00D63B5F"/>
    <w:rsid w:val="00D65135"/>
    <w:rsid w:val="00D7066F"/>
    <w:rsid w:val="00D70EF7"/>
    <w:rsid w:val="00D72BB0"/>
    <w:rsid w:val="00D75ADE"/>
    <w:rsid w:val="00D815F5"/>
    <w:rsid w:val="00D8397C"/>
    <w:rsid w:val="00D85239"/>
    <w:rsid w:val="00D87084"/>
    <w:rsid w:val="00D93A56"/>
    <w:rsid w:val="00D94EED"/>
    <w:rsid w:val="00D96026"/>
    <w:rsid w:val="00DA0243"/>
    <w:rsid w:val="00DA433C"/>
    <w:rsid w:val="00DA56D1"/>
    <w:rsid w:val="00DA7C1C"/>
    <w:rsid w:val="00DB147A"/>
    <w:rsid w:val="00DB1B7A"/>
    <w:rsid w:val="00DB65D4"/>
    <w:rsid w:val="00DC6070"/>
    <w:rsid w:val="00DC6708"/>
    <w:rsid w:val="00DD3249"/>
    <w:rsid w:val="00DF712D"/>
    <w:rsid w:val="00E005DC"/>
    <w:rsid w:val="00E01436"/>
    <w:rsid w:val="00E0173C"/>
    <w:rsid w:val="00E045BD"/>
    <w:rsid w:val="00E11099"/>
    <w:rsid w:val="00E128FE"/>
    <w:rsid w:val="00E17A9F"/>
    <w:rsid w:val="00E17B77"/>
    <w:rsid w:val="00E23337"/>
    <w:rsid w:val="00E259EA"/>
    <w:rsid w:val="00E25C1F"/>
    <w:rsid w:val="00E27E85"/>
    <w:rsid w:val="00E3022C"/>
    <w:rsid w:val="00E30793"/>
    <w:rsid w:val="00E32061"/>
    <w:rsid w:val="00E41FCF"/>
    <w:rsid w:val="00E42FF9"/>
    <w:rsid w:val="00E44FA9"/>
    <w:rsid w:val="00E4714C"/>
    <w:rsid w:val="00E51AEB"/>
    <w:rsid w:val="00E522A7"/>
    <w:rsid w:val="00E52681"/>
    <w:rsid w:val="00E54452"/>
    <w:rsid w:val="00E5790D"/>
    <w:rsid w:val="00E57C17"/>
    <w:rsid w:val="00E63984"/>
    <w:rsid w:val="00E651E3"/>
    <w:rsid w:val="00E65FFC"/>
    <w:rsid w:val="00E664C5"/>
    <w:rsid w:val="00E671A2"/>
    <w:rsid w:val="00E75E7E"/>
    <w:rsid w:val="00E76D26"/>
    <w:rsid w:val="00E80F67"/>
    <w:rsid w:val="00EA0A5B"/>
    <w:rsid w:val="00EA166D"/>
    <w:rsid w:val="00EB02C9"/>
    <w:rsid w:val="00EB1390"/>
    <w:rsid w:val="00EB2C71"/>
    <w:rsid w:val="00EB4340"/>
    <w:rsid w:val="00EB556D"/>
    <w:rsid w:val="00EB5A7D"/>
    <w:rsid w:val="00EB7A2F"/>
    <w:rsid w:val="00EC2A4B"/>
    <w:rsid w:val="00ED26F2"/>
    <w:rsid w:val="00ED55C0"/>
    <w:rsid w:val="00ED619B"/>
    <w:rsid w:val="00ED682B"/>
    <w:rsid w:val="00EE07FB"/>
    <w:rsid w:val="00EE41D5"/>
    <w:rsid w:val="00EE696D"/>
    <w:rsid w:val="00EE7EE6"/>
    <w:rsid w:val="00EF2482"/>
    <w:rsid w:val="00EF301E"/>
    <w:rsid w:val="00EF7B36"/>
    <w:rsid w:val="00F037A4"/>
    <w:rsid w:val="00F12FEC"/>
    <w:rsid w:val="00F16CA6"/>
    <w:rsid w:val="00F17C38"/>
    <w:rsid w:val="00F20448"/>
    <w:rsid w:val="00F26013"/>
    <w:rsid w:val="00F27C8F"/>
    <w:rsid w:val="00F30A0C"/>
    <w:rsid w:val="00F32749"/>
    <w:rsid w:val="00F37172"/>
    <w:rsid w:val="00F4477E"/>
    <w:rsid w:val="00F45717"/>
    <w:rsid w:val="00F472F8"/>
    <w:rsid w:val="00F50C9C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86DF5"/>
    <w:rsid w:val="00F90BB1"/>
    <w:rsid w:val="00F9358F"/>
    <w:rsid w:val="00F93B25"/>
    <w:rsid w:val="00F9775C"/>
    <w:rsid w:val="00FA5128"/>
    <w:rsid w:val="00FA5BDD"/>
    <w:rsid w:val="00FB13F8"/>
    <w:rsid w:val="00FB42D4"/>
    <w:rsid w:val="00FB5906"/>
    <w:rsid w:val="00FB762F"/>
    <w:rsid w:val="00FC2AED"/>
    <w:rsid w:val="00FC6342"/>
    <w:rsid w:val="00FD5EA7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C51EE-321E-4A4E-A67A-98F4EBE3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693CA3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NormalnyWeb">
    <w:name w:val="Normal (Web)"/>
    <w:basedOn w:val="Normalny"/>
    <w:uiPriority w:val="99"/>
    <w:semiHidden/>
    <w:unhideWhenUsed/>
    <w:rsid w:val="009D50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E78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26" Type="http://schemas.openxmlformats.org/officeDocument/2006/relationships/hyperlink" Target="https://stat.gov.pl/obszary-tematyczne/warunki-zycia/dochody-wydatki-i-warunki-zycia-ludnosci/jakosc-zycia-w-polsce-w-2015-roku-wyniki-badania-spojnosci-spolecznej,4,2.html" TargetMode="External"/><Relationship Id="rId39" Type="http://schemas.openxmlformats.org/officeDocument/2006/relationships/footer" Target="footer3.xm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s://stat.gov.pl/obszary-tematyczne/warunki-zycia/ubostwo-pomoc-spoleczna/ubostwo-w-polsce-w-latach-2015-i-2016,1,8.htm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rzecznik@stat.gov.pl" TargetMode="External"/><Relationship Id="rId29" Type="http://schemas.openxmlformats.org/officeDocument/2006/relationships/hyperlink" Target="https://bdl.stat.gov.pl/BDL/metadane/cechy/2713?back=Tru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hyperlink" Target="https://stat.gov.pl/obszary-tematyczne/warunki-zycia/dochody-wydatki-i-warunki-zycia-ludnosci/jakosc-zycia-w-polsce-w-2015-roku-wyniki-badania-spojnosci-spolecznej,4,2.html" TargetMode="External"/><Relationship Id="rId37" Type="http://schemas.openxmlformats.org/officeDocument/2006/relationships/hyperlink" Target="http://swaid.stat.gov.pl/WarunkiZyciaLudnosci_dashboards/Raporty_predefiniowane/RAP_DBD_WZL_11.aspx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www.stat.gov.pl" TargetMode="External"/><Relationship Id="rId28" Type="http://schemas.openxmlformats.org/officeDocument/2006/relationships/hyperlink" Target="https://stat.gov.pl/obszary-tematyczne/warunki-zycia/ubostwo-pomoc-spoleczna/ubostwo-w-polsce-w-latach-2015-i-2016,1,8.html" TargetMode="External"/><Relationship Id="rId36" Type="http://schemas.openxmlformats.org/officeDocument/2006/relationships/hyperlink" Target="http://swaid.stat.gov.pl/WarunkiZyciaLudnosci_dashboards/Raporty_predefiniowane/RAP_DBD_WZL_10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.bienkunska@stat.gov.pl" TargetMode="External"/><Relationship Id="rId31" Type="http://schemas.openxmlformats.org/officeDocument/2006/relationships/hyperlink" Target="http://swaid.stat.gov.pl/WarunkiZyciaLudnosci_dashboards/Raporty_predefiniowane/RAP_DBD_WZL_11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image" Target="media/image8.png"/><Relationship Id="rId27" Type="http://schemas.openxmlformats.org/officeDocument/2006/relationships/hyperlink" Target="http://stat.gov.pl/obszary-tematyczne/warunki-zycia/dochody-wydatki-i-warunki-zycia-ludnosci/sytuacja-gospodarstw-domowych-w-2017-r-w-swietle-wynikow-badania-budzetow-gospodarstw-domowych,3,17.html" TargetMode="External"/><Relationship Id="rId30" Type="http://schemas.openxmlformats.org/officeDocument/2006/relationships/hyperlink" Target="http://swaid.stat.gov.pl/WarunkiZyciaLudnosci_dashboards/Raporty_predefiniowane/RAP_DBD_WZL_10.aspx" TargetMode="External"/><Relationship Id="rId35" Type="http://schemas.openxmlformats.org/officeDocument/2006/relationships/hyperlink" Target="https://bdl.stat.gov.pl/BDL/metadane/cechy/2713?back=True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openxmlformats.org/officeDocument/2006/relationships/image" Target="media/image10.png"/><Relationship Id="rId33" Type="http://schemas.openxmlformats.org/officeDocument/2006/relationships/hyperlink" Target="http://stat.gov.pl/obszary-tematyczne/warunki-zycia/dochody-wydatki-i-warunki-zycia-ludnosci/sytuacja-gospodarstw-domowych-w-2017-r-w-swietle-wynikow-badania-budzetow-gospodarstw-domowych,3,17.html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A9A3DEAC-BB47-413B-8E23-25C9FB1D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1611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Różne oblicza ubóstwa w Polsce w 2015 r. i 2018 r. na podstawie Badania spójności społecznej</dc:title>
  <dc:subject>Różne oblicza ubóstwa w Polsce w 2015 r. i 2018 r. na podstawie Badania spójności społecznej</dc:subject>
  <cp:revision>2</cp:revision>
  <cp:lastPrinted>2018-10-16T09:37:00Z</cp:lastPrinted>
  <dcterms:created xsi:type="dcterms:W3CDTF">2018-10-16T09:58:00Z</dcterms:created>
  <dcterms:modified xsi:type="dcterms:W3CDTF">2018-10-16T09:58:00Z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