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F510DE" w:rsidRDefault="00BA0188" w:rsidP="00D07E4A">
      <w:pPr>
        <w:pStyle w:val="tytuinformacji"/>
        <w:spacing w:before="0"/>
        <w:rPr>
          <w:color w:val="auto"/>
          <w:sz w:val="20"/>
          <w:szCs w:val="20"/>
        </w:rPr>
      </w:pPr>
      <w:r>
        <w:rPr>
          <w:noProof/>
          <w:szCs w:val="19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0.7pt;margin-top:-1.8pt;width:138.45pt;height:44.3pt;z-index:2517760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" filled="f" stroked="f">
            <v:textbox>
              <w:txbxContent>
                <w:p w:rsidR="00456775" w:rsidRPr="00330E56" w:rsidRDefault="000866F3">
                  <w:pPr>
                    <w:rPr>
                      <w:rFonts w:ascii="Fira Sans SemiBold" w:hAnsi="Fira Sans SemiBold"/>
                      <w:color w:val="001D77"/>
                    </w:rPr>
                  </w:pPr>
                  <w:r>
                    <w:rPr>
                      <w:rFonts w:ascii="Fira Sans SemiBold" w:hAnsi="Fira Sans SemiBold"/>
                      <w:color w:val="001D77"/>
                    </w:rPr>
                    <w:t>28</w:t>
                  </w:r>
                  <w:r w:rsidR="00456775" w:rsidRPr="00330E56">
                    <w:rPr>
                      <w:rFonts w:ascii="Fira Sans SemiBold" w:hAnsi="Fira Sans SemiBold"/>
                      <w:color w:val="001D77"/>
                    </w:rPr>
                    <w:t>.0</w:t>
                  </w:r>
                  <w:r>
                    <w:rPr>
                      <w:rFonts w:ascii="Fira Sans SemiBold" w:hAnsi="Fira Sans SemiBold"/>
                      <w:color w:val="001D77"/>
                    </w:rPr>
                    <w:t>6</w:t>
                  </w:r>
                  <w:r w:rsidR="00456775" w:rsidRPr="00330E56">
                    <w:rPr>
                      <w:rFonts w:ascii="Fira Sans SemiBold" w:hAnsi="Fira Sans SemiBold"/>
                      <w:color w:val="001D77"/>
                    </w:rPr>
                    <w:t>.201</w:t>
                  </w:r>
                  <w:r w:rsidR="00456775">
                    <w:rPr>
                      <w:rFonts w:ascii="Fira Sans SemiBold" w:hAnsi="Fira Sans SemiBold"/>
                      <w:color w:val="001D77"/>
                    </w:rPr>
                    <w:t>9</w:t>
                  </w:r>
                  <w:r w:rsidR="00456775" w:rsidRPr="00330E56">
                    <w:rPr>
                      <w:rFonts w:ascii="Fira Sans SemiBold" w:hAnsi="Fira Sans SemiBold"/>
                      <w:color w:val="001D77"/>
                    </w:rPr>
                    <w:t xml:space="preserve"> r.</w:t>
                  </w:r>
                </w:p>
                <w:p w:rsidR="00D07E4A" w:rsidRDefault="00D07E4A"/>
              </w:txbxContent>
            </v:textbox>
          </v:shape>
        </w:pict>
      </w:r>
      <w:r>
        <w:rPr>
          <w:noProof/>
          <w:szCs w:val="19"/>
          <w:lang w:eastAsia="pl-PL"/>
        </w:rPr>
        <w:pict>
          <v:shape id="Pole tekstowe 2" o:spid="_x0000_s1026" type="#_x0000_t202" style="position:absolute;margin-left:410.9pt;margin-top:35.65pt;width:138.45pt;height:91.2pt;z-index:2517780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" filled="f" stroked="f">
            <v:textbox style="mso-fit-shape-to-text:t">
              <w:txbxContent>
                <w:p w:rsidR="00456775" w:rsidRPr="00330E56" w:rsidRDefault="00456775" w:rsidP="00330E56">
                  <w:pPr>
                    <w:rPr>
                      <w:color w:val="001D77"/>
                      <w:sz w:val="18"/>
                    </w:rPr>
                  </w:pPr>
                  <w:r w:rsidRPr="00A221A2">
                    <w:rPr>
                      <w:color w:val="001D77"/>
                      <w:sz w:val="18"/>
                    </w:rPr>
                    <w:t>W 201</w:t>
                  </w:r>
                  <w:r w:rsidR="00021239">
                    <w:rPr>
                      <w:color w:val="001D77"/>
                      <w:sz w:val="18"/>
                    </w:rPr>
                    <w:t>8</w:t>
                  </w:r>
                  <w:r w:rsidRPr="00A221A2">
                    <w:rPr>
                      <w:color w:val="001D77"/>
                      <w:sz w:val="18"/>
                    </w:rPr>
                    <w:t xml:space="preserve"> r. odnotowano </w:t>
                  </w:r>
                  <w:r w:rsidR="00021239">
                    <w:rPr>
                      <w:color w:val="001D77"/>
                      <w:sz w:val="18"/>
                    </w:rPr>
                    <w:t xml:space="preserve">zahamowanie tendencji spadkowej zasięgu </w:t>
                  </w:r>
                  <w:r w:rsidRPr="00A221A2">
                    <w:rPr>
                      <w:color w:val="001D77"/>
                      <w:sz w:val="18"/>
                    </w:rPr>
                    <w:t xml:space="preserve">ubóstwa ekonomicznego szacowanego </w:t>
                  </w:r>
                  <w:r w:rsidR="00021239">
                    <w:rPr>
                      <w:color w:val="001D77"/>
                      <w:sz w:val="18"/>
                    </w:rPr>
                    <w:t>w oparciu o wydatki gospodarstw domowych.</w:t>
                  </w:r>
                </w:p>
              </w:txbxContent>
            </v:textbox>
          </v:shape>
        </w:pict>
      </w:r>
      <w:r w:rsidR="00F93B25" w:rsidRPr="00F93B25">
        <w:t>Zasięg ubóstwa ekonomicznego w Polsce w 201</w:t>
      </w:r>
      <w:r w:rsidR="00AB1A9B">
        <w:t>8</w:t>
      </w:r>
      <w:r w:rsidR="00F93B25" w:rsidRPr="00F93B25">
        <w:t xml:space="preserve"> r.</w:t>
      </w:r>
      <w:r w:rsidR="009C156D">
        <w:br/>
      </w:r>
      <w:r w:rsidR="00650F9C" w:rsidRPr="00F510DE">
        <w:rPr>
          <w:sz w:val="20"/>
          <w:szCs w:val="20"/>
        </w:rPr>
        <w:t xml:space="preserve">(na podstawie wyników badania </w:t>
      </w:r>
      <w:r w:rsidR="00650F9C" w:rsidRPr="00F510DE">
        <w:rPr>
          <w:color w:val="auto"/>
          <w:sz w:val="20"/>
          <w:szCs w:val="20"/>
        </w:rPr>
        <w:t>budżetów gospodarstw domowych)</w:t>
      </w:r>
    </w:p>
    <w:p w:rsidR="006A07DC" w:rsidRPr="00F510DE" w:rsidRDefault="00BA0188" w:rsidP="00FA5BDD">
      <w:pPr>
        <w:pStyle w:val="LID"/>
      </w:pPr>
      <w:r>
        <w:pict>
          <v:shape id="_x0000_s1028" type="#_x0000_t202" style="position:absolute;margin-left:0;margin-top:6.55pt;width:102.2pt;height:111.9pt;z-index:-251543552;visibility:visible;mso-wrap-distance-top:3.6pt;mso-wrap-distance-bottom:3.6pt;mso-position-horizontal:left;mso-position-horizontal-relative:margin;mso-width-relative:margin;mso-height-relative:margin" wrapcoords="-159 0 -159 21455 21600 21455 21600 0 -15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" fillcolor="#001d77" stroked="f">
            <v:textbox>
              <w:txbxContent>
                <w:p w:rsidR="00456775" w:rsidRPr="00D538E4" w:rsidRDefault="00456775" w:rsidP="004F529E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D538E4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5,4%</w:t>
                  </w:r>
                </w:p>
                <w:p w:rsidR="00456775" w:rsidRPr="00D538E4" w:rsidRDefault="00456775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Zasięg u</w:t>
                  </w:r>
                  <w:r w:rsidR="008957B5">
                    <w:t>bóstwa skrajnego w Polsce w 2018</w:t>
                  </w:r>
                  <w:r>
                    <w:t xml:space="preserve"> r.</w:t>
                  </w:r>
                  <w:r w:rsidRPr="00D538E4">
                    <w:t xml:space="preserve"> </w:t>
                  </w:r>
                </w:p>
              </w:txbxContent>
            </v:textbox>
            <w10:wrap type="tight" anchorx="margin"/>
          </v:shape>
        </w:pict>
      </w:r>
      <w:r w:rsidR="00167B8C" w:rsidRPr="00F510DE">
        <w:t xml:space="preserve">W </w:t>
      </w:r>
      <w:r w:rsidR="00564730" w:rsidRPr="00F510DE">
        <w:t xml:space="preserve">2018 r. odnotowano zahamowanie tendencji spadkowej zasięgu ubóstwa ekonomicznego szacowanego w oparciu o wydatki gospodarstw domowych. W porównaniu z </w:t>
      </w:r>
      <w:r w:rsidR="00167B8C" w:rsidRPr="00F510DE">
        <w:t xml:space="preserve">2017 r. </w:t>
      </w:r>
      <w:r w:rsidR="00057831" w:rsidRPr="00F510DE">
        <w:t>wzrósł</w:t>
      </w:r>
      <w:r w:rsidR="00564730" w:rsidRPr="00F510DE">
        <w:t xml:space="preserve"> zasięg ubóstwa skraj</w:t>
      </w:r>
      <w:r w:rsidR="00AD2387">
        <w:t>n</w:t>
      </w:r>
      <w:r w:rsidR="00564730" w:rsidRPr="00F510DE">
        <w:t>ego (z ok.</w:t>
      </w:r>
      <w:r w:rsidR="00F510DE" w:rsidRPr="00F510DE">
        <w:t xml:space="preserve"> </w:t>
      </w:r>
      <w:r w:rsidR="00564730" w:rsidRPr="00F510DE">
        <w:t>4% osób do ok.</w:t>
      </w:r>
      <w:r w:rsidR="00F510DE" w:rsidRPr="00F510DE">
        <w:t xml:space="preserve"> </w:t>
      </w:r>
      <w:r w:rsidR="00564730" w:rsidRPr="00F510DE">
        <w:t>5% osób) oraz relatywnego (z ok.</w:t>
      </w:r>
      <w:r w:rsidR="00F510DE" w:rsidRPr="00F510DE">
        <w:t xml:space="preserve"> </w:t>
      </w:r>
      <w:r w:rsidR="00564730" w:rsidRPr="00F510DE">
        <w:t>13% osób do ok.</w:t>
      </w:r>
      <w:r w:rsidR="00F510DE" w:rsidRPr="00F510DE">
        <w:t xml:space="preserve"> </w:t>
      </w:r>
      <w:r w:rsidR="00564730" w:rsidRPr="00F510DE">
        <w:t>14% osób).</w:t>
      </w:r>
      <w:r w:rsidR="00AD1BBD" w:rsidRPr="00F510DE">
        <w:t xml:space="preserve"> </w:t>
      </w:r>
      <w:r w:rsidR="00057831" w:rsidRPr="00F510DE">
        <w:t>Wzrost ubóstwa dotyczył w większym stopniu mieszkańców wsi niż miast.</w:t>
      </w:r>
      <w:r w:rsidR="00F510DE" w:rsidRPr="00F510DE">
        <w:t xml:space="preserve"> </w:t>
      </w:r>
      <w:r w:rsidR="00AD1BBD" w:rsidRPr="00F510DE">
        <w:t>Znacząco zwiększył</w:t>
      </w:r>
      <w:r w:rsidR="00AE32EA" w:rsidRPr="00F510DE">
        <w:t xml:space="preserve">o się </w:t>
      </w:r>
      <w:r w:rsidR="00AD1BBD" w:rsidRPr="00F510DE">
        <w:t>ubóstw</w:t>
      </w:r>
      <w:r w:rsidR="00017329" w:rsidRPr="00F510DE">
        <w:t>o</w:t>
      </w:r>
      <w:r w:rsidR="00AD1BBD" w:rsidRPr="00F510DE">
        <w:t xml:space="preserve"> </w:t>
      </w:r>
      <w:r w:rsidR="00AE32EA" w:rsidRPr="00F510DE">
        <w:t>wś</w:t>
      </w:r>
      <w:r w:rsidR="00AD1BBD" w:rsidRPr="00F510DE">
        <w:t>ród gospodarstw domowych utrzymujących się głównie ze świadczeń społecznych (innych niż emerytury i renty</w:t>
      </w:r>
      <w:r w:rsidR="00AE32EA" w:rsidRPr="00F510DE">
        <w:t xml:space="preserve">). Odnotowano </w:t>
      </w:r>
      <w:r w:rsidR="00057831" w:rsidRPr="00F510DE">
        <w:t xml:space="preserve">także </w:t>
      </w:r>
      <w:r w:rsidR="00AE32EA" w:rsidRPr="00F510DE">
        <w:t xml:space="preserve">wzrost zasięgu ubóstwa wśród </w:t>
      </w:r>
      <w:r w:rsidR="000A1A1A" w:rsidRPr="00F510DE">
        <w:t xml:space="preserve">gospodarstw domowych z </w:t>
      </w:r>
      <w:r w:rsidR="00AE32EA" w:rsidRPr="00F510DE">
        <w:t>dzie</w:t>
      </w:r>
      <w:r w:rsidR="000A1A1A" w:rsidRPr="00F510DE">
        <w:t>ćmi</w:t>
      </w:r>
      <w:r w:rsidR="006E31FE">
        <w:t>.</w:t>
      </w:r>
    </w:p>
    <w:p w:rsidR="003279D3" w:rsidRPr="00AE3918" w:rsidRDefault="00B841AF" w:rsidP="00A221A2">
      <w:pPr>
        <w:spacing w:before="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Z</w:t>
      </w:r>
      <w:r w:rsidR="00693CA3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as</w:t>
      </w:r>
      <w:r w:rsidR="00E651E3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ięg ubóstwa ekonomicznego w 201</w:t>
      </w:r>
      <w:r w:rsidR="00D4466E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8</w:t>
      </w:r>
      <w:r w:rsidR="00693CA3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r. Czy nastąpiły istotne zmiany w porównaniu </w:t>
      </w:r>
      <w:r w:rsidR="00C77D75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               </w:t>
      </w:r>
      <w:r w:rsidR="00693CA3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z rokiem poprzednim?</w:t>
      </w:r>
    </w:p>
    <w:p w:rsidR="00D4466E" w:rsidRDefault="00D4466E" w:rsidP="00D4466E">
      <w:pPr>
        <w:spacing w:after="0"/>
        <w:rPr>
          <w:noProof/>
          <w:szCs w:val="19"/>
          <w:lang w:eastAsia="pl-PL"/>
        </w:rPr>
      </w:pPr>
      <w:r w:rsidRPr="00693CA3">
        <w:rPr>
          <w:noProof/>
          <w:szCs w:val="19"/>
          <w:lang w:eastAsia="pl-PL"/>
        </w:rPr>
        <w:t>GUS regularn</w:t>
      </w:r>
      <w:r>
        <w:rPr>
          <w:noProof/>
          <w:szCs w:val="19"/>
          <w:lang w:eastAsia="pl-PL"/>
        </w:rPr>
        <w:t>ie, co rok,</w:t>
      </w:r>
      <w:r w:rsidRPr="00693CA3">
        <w:rPr>
          <w:noProof/>
          <w:szCs w:val="19"/>
          <w:lang w:eastAsia="pl-PL"/>
        </w:rPr>
        <w:t xml:space="preserve"> oblicza i publikuje wskaźniki dotyczące zasięgu ubóstwa ekonomicznego w Polsce</w:t>
      </w:r>
      <w:r w:rsidRPr="008A2173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o</w:t>
      </w:r>
      <w:r w:rsidRPr="00693CA3">
        <w:rPr>
          <w:noProof/>
          <w:szCs w:val="19"/>
          <w:lang w:eastAsia="pl-PL"/>
        </w:rPr>
        <w:t xml:space="preserve">pierając się na wynikach badań budżetów gospodarstw domowych. Prezentowane wskaźniki </w:t>
      </w:r>
      <w:r>
        <w:rPr>
          <w:noProof/>
          <w:szCs w:val="19"/>
          <w:lang w:eastAsia="pl-PL"/>
        </w:rPr>
        <w:t>są danymi średniorocznymi</w:t>
      </w:r>
      <w:r w:rsidRPr="00693CA3">
        <w:rPr>
          <w:noProof/>
          <w:szCs w:val="19"/>
          <w:lang w:eastAsia="pl-PL"/>
        </w:rPr>
        <w:t>. W obliczeniach uwzględ</w:t>
      </w:r>
      <w:r>
        <w:rPr>
          <w:noProof/>
          <w:szCs w:val="19"/>
          <w:lang w:eastAsia="pl-PL"/>
        </w:rPr>
        <w:t>nione zostały trzy różne granice: granica ubóstwa skrajnego, ubóstwa relatywnego oraz granica ubóstwa ustawowego.</w:t>
      </w:r>
      <w:r w:rsidRPr="00693CA3">
        <w:rPr>
          <w:noProof/>
          <w:szCs w:val="19"/>
          <w:lang w:eastAsia="pl-PL"/>
        </w:rPr>
        <w:t xml:space="preserve"> </w:t>
      </w:r>
      <w:r w:rsidR="000E480F">
        <w:rPr>
          <w:noProof/>
          <w:szCs w:val="19"/>
          <w:lang w:eastAsia="pl-PL"/>
        </w:rPr>
        <w:t xml:space="preserve">Po obserwowanym od </w:t>
      </w:r>
      <w:r>
        <w:rPr>
          <w:noProof/>
          <w:szCs w:val="19"/>
          <w:lang w:eastAsia="pl-PL"/>
        </w:rPr>
        <w:t>2015</w:t>
      </w:r>
      <w:r w:rsidR="00650F9C">
        <w:rPr>
          <w:noProof/>
          <w:szCs w:val="19"/>
          <w:lang w:eastAsia="pl-PL"/>
        </w:rPr>
        <w:t xml:space="preserve"> do 2017 r. </w:t>
      </w:r>
      <w:r>
        <w:rPr>
          <w:noProof/>
          <w:szCs w:val="19"/>
          <w:lang w:eastAsia="pl-PL"/>
        </w:rPr>
        <w:t>stopniowym zmniejszaniu się,</w:t>
      </w:r>
      <w:r w:rsidR="000A1A1A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szacowanego w oparciu o wydatki gospodarstw domowych</w:t>
      </w:r>
      <w:r w:rsidR="00E41CA5">
        <w:rPr>
          <w:noProof/>
          <w:szCs w:val="19"/>
          <w:lang w:eastAsia="pl-PL"/>
        </w:rPr>
        <w:t>,</w:t>
      </w:r>
      <w:r>
        <w:rPr>
          <w:noProof/>
          <w:szCs w:val="19"/>
          <w:lang w:eastAsia="pl-PL"/>
        </w:rPr>
        <w:t xml:space="preserve"> zasięgu ubóstwa ekonomicznego, w 2018 r. nastąpiło zahamowanie tej tendencji. W zależności od przyjętej granicy, zasięg ubóstwa kształtował się na zbliżonym lub </w:t>
      </w:r>
      <w:r w:rsidR="001A253B">
        <w:rPr>
          <w:noProof/>
          <w:szCs w:val="19"/>
          <w:lang w:eastAsia="pl-PL"/>
        </w:rPr>
        <w:t xml:space="preserve">nieco </w:t>
      </w:r>
      <w:r>
        <w:rPr>
          <w:noProof/>
          <w:szCs w:val="19"/>
          <w:lang w:eastAsia="pl-PL"/>
        </w:rPr>
        <w:t>wyższym poziomie niż w</w:t>
      </w:r>
      <w:r w:rsidR="0009696C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2017 r. Naj</w:t>
      </w:r>
      <w:r w:rsidR="000E480F">
        <w:rPr>
          <w:noProof/>
          <w:szCs w:val="19"/>
          <w:lang w:eastAsia="pl-PL"/>
        </w:rPr>
        <w:t>wyraźniej</w:t>
      </w:r>
      <w:r>
        <w:rPr>
          <w:noProof/>
          <w:szCs w:val="19"/>
          <w:lang w:eastAsia="pl-PL"/>
        </w:rPr>
        <w:t xml:space="preserve"> wzrosła stopa ubóstwa skrajnego</w:t>
      </w:r>
      <w:r w:rsidR="001A253B">
        <w:rPr>
          <w:noProof/>
          <w:szCs w:val="19"/>
          <w:lang w:eastAsia="pl-PL"/>
        </w:rPr>
        <w:t xml:space="preserve"> – o ok. 1 p</w:t>
      </w:r>
      <w:r>
        <w:rPr>
          <w:noProof/>
          <w:szCs w:val="19"/>
          <w:lang w:eastAsia="pl-PL"/>
        </w:rPr>
        <w:t xml:space="preserve">. </w:t>
      </w:r>
      <w:r w:rsidR="001A253B">
        <w:rPr>
          <w:noProof/>
          <w:szCs w:val="19"/>
          <w:lang w:eastAsia="pl-PL"/>
        </w:rPr>
        <w:t>proc.</w:t>
      </w:r>
    </w:p>
    <w:p w:rsidR="00685123" w:rsidRDefault="0029077F" w:rsidP="00A221A2">
      <w:pPr>
        <w:spacing w:before="240" w:after="0"/>
        <w:rPr>
          <w:b/>
          <w:noProof/>
          <w:sz w:val="18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585685</wp:posOffset>
            </wp:positionV>
            <wp:extent cx="5040000" cy="2472691"/>
            <wp:effectExtent l="0" t="0" r="8255" b="3810"/>
            <wp:wrapTopAndBottom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BA0188">
        <w:rPr>
          <w:noProof/>
          <w:szCs w:val="19"/>
          <w:lang w:eastAsia="pl-PL"/>
        </w:rPr>
        <w:pict>
          <v:shape id="_x0000_s1029" type="#_x0000_t202" style="position:absolute;margin-left:410.95pt;margin-top:38.1pt;width:138.45pt;height:91.2pt;z-index:25180569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" filled="f" stroked="f">
            <v:textbox style="mso-fit-shape-to-text:t">
              <w:txbxContent>
                <w:p w:rsidR="00456775" w:rsidRPr="00330E56" w:rsidRDefault="00456775" w:rsidP="00427212">
                  <w:pPr>
                    <w:rPr>
                      <w:color w:val="001D77"/>
                      <w:sz w:val="18"/>
                    </w:rPr>
                  </w:pPr>
                  <w:r w:rsidRPr="00330E56">
                    <w:rPr>
                      <w:color w:val="001D77"/>
                      <w:sz w:val="18"/>
                    </w:rPr>
                    <w:t>W 201</w:t>
                  </w:r>
                  <w:r w:rsidR="007F6D53">
                    <w:rPr>
                      <w:color w:val="001D77"/>
                      <w:sz w:val="18"/>
                    </w:rPr>
                    <w:t>8</w:t>
                  </w:r>
                  <w:r w:rsidRPr="00330E56">
                    <w:rPr>
                      <w:color w:val="001D77"/>
                      <w:sz w:val="18"/>
                    </w:rPr>
                    <w:t xml:space="preserve"> r. </w:t>
                  </w:r>
                  <w:r>
                    <w:rPr>
                      <w:color w:val="001D77"/>
                      <w:sz w:val="18"/>
                    </w:rPr>
                    <w:t>z</w:t>
                  </w:r>
                  <w:r w:rsidR="00903547">
                    <w:rPr>
                      <w:color w:val="001D77"/>
                      <w:sz w:val="18"/>
                    </w:rPr>
                    <w:t xml:space="preserve">większył się </w:t>
                  </w:r>
                  <w:r w:rsidRPr="00427212">
                    <w:rPr>
                      <w:color w:val="001D77"/>
                      <w:sz w:val="18"/>
                    </w:rPr>
                    <w:t xml:space="preserve">zasięg </w:t>
                  </w:r>
                  <w:r w:rsidR="00903547">
                    <w:rPr>
                      <w:color w:val="001D77"/>
                      <w:sz w:val="18"/>
                    </w:rPr>
                    <w:t>ubóstwa skrajnego oraz relatywnego. Na zbliżonym poziomie, co w 2017 r. kształtował się poziom ubóstw</w:t>
                  </w:r>
                  <w:r w:rsidR="000A1A1A">
                    <w:rPr>
                      <w:color w:val="001D77"/>
                      <w:sz w:val="18"/>
                    </w:rPr>
                    <w:t>a</w:t>
                  </w:r>
                  <w:r w:rsidR="00903547">
                    <w:rPr>
                      <w:color w:val="001D77"/>
                      <w:sz w:val="18"/>
                    </w:rPr>
                    <w:t xml:space="preserve"> ustawowego. </w:t>
                  </w:r>
                </w:p>
              </w:txbxContent>
            </v:textbox>
          </v:shape>
        </w:pict>
      </w:r>
      <w:r w:rsidR="00D87084" w:rsidRPr="00A2475E">
        <w:rPr>
          <w:b/>
          <w:noProof/>
          <w:sz w:val="18"/>
          <w:szCs w:val="19"/>
          <w:lang w:eastAsia="pl-PL"/>
        </w:rPr>
        <w:t xml:space="preserve">Wykres 1. </w:t>
      </w:r>
      <w:r w:rsidR="00F93B25" w:rsidRPr="00A2475E">
        <w:rPr>
          <w:b/>
          <w:noProof/>
          <w:sz w:val="18"/>
          <w:szCs w:val="19"/>
          <w:lang w:eastAsia="pl-PL"/>
        </w:rPr>
        <w:t>Zasięg ubóstwa w Polsce w latach 2008 – 201</w:t>
      </w:r>
      <w:r w:rsidR="00AB1A9B">
        <w:rPr>
          <w:b/>
          <w:noProof/>
          <w:sz w:val="18"/>
          <w:szCs w:val="19"/>
          <w:lang w:eastAsia="pl-PL"/>
        </w:rPr>
        <w:t>8</w:t>
      </w:r>
      <w:r w:rsidR="00F93B25" w:rsidRPr="00A2475E">
        <w:rPr>
          <w:b/>
          <w:noProof/>
          <w:sz w:val="18"/>
          <w:szCs w:val="19"/>
          <w:lang w:eastAsia="pl-PL"/>
        </w:rPr>
        <w:t xml:space="preserve"> według przyjętych w danym roku granic ubóstwa (w % osób w gospodarstwach domowych)</w:t>
      </w:r>
    </w:p>
    <w:p w:rsidR="00051119" w:rsidRPr="00CC2DA3" w:rsidRDefault="00BA0188" w:rsidP="00051119">
      <w:pPr>
        <w:pStyle w:val="Akapitzlist"/>
        <w:numPr>
          <w:ilvl w:val="0"/>
          <w:numId w:val="5"/>
        </w:numPr>
        <w:spacing w:before="240"/>
        <w:rPr>
          <w:noProof/>
          <w:szCs w:val="19"/>
          <w:lang w:eastAsia="pl-PL"/>
        </w:rPr>
      </w:pPr>
      <w:r>
        <w:rPr>
          <w:noProof/>
          <w:lang w:eastAsia="pl-PL"/>
        </w:rPr>
        <w:pict>
          <v:shape id="_x0000_s1030" type="#_x0000_t202" style="position:absolute;left:0;text-align:left;margin-left:410.95pt;margin-top:218.95pt;width:138.45pt;height:79.2pt;z-index:2518200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" filled="f" stroked="f">
            <v:textbox style="mso-fit-shape-to-text:t">
              <w:txbxContent>
                <w:p w:rsidR="00456775" w:rsidRPr="00330E56" w:rsidRDefault="00456775" w:rsidP="00051119">
                  <w:pPr>
                    <w:rPr>
                      <w:color w:val="001D77"/>
                      <w:sz w:val="18"/>
                    </w:rPr>
                  </w:pPr>
                  <w:r w:rsidRPr="00330E56">
                    <w:rPr>
                      <w:color w:val="001D77"/>
                      <w:sz w:val="18"/>
                    </w:rPr>
                    <w:t>W 201</w:t>
                  </w:r>
                  <w:r w:rsidR="00A55280">
                    <w:rPr>
                      <w:color w:val="001D77"/>
                      <w:sz w:val="18"/>
                    </w:rPr>
                    <w:t>8</w:t>
                  </w:r>
                  <w:r w:rsidRPr="00330E56">
                    <w:rPr>
                      <w:color w:val="001D77"/>
                      <w:sz w:val="18"/>
                    </w:rPr>
                    <w:t xml:space="preserve"> r. stopa ubóstwa skrajnego wyniosła </w:t>
                  </w:r>
                  <w:r w:rsidR="00A55280">
                    <w:rPr>
                      <w:color w:val="001D77"/>
                      <w:sz w:val="18"/>
                    </w:rPr>
                    <w:t>5,4</w:t>
                  </w:r>
                  <w:r w:rsidR="00903547">
                    <w:rPr>
                      <w:color w:val="001D77"/>
                      <w:sz w:val="18"/>
                    </w:rPr>
                    <w:t>%</w:t>
                  </w:r>
                  <w:r w:rsidR="000A1A1A">
                    <w:rPr>
                      <w:color w:val="001D77"/>
                      <w:sz w:val="18"/>
                    </w:rPr>
                    <w:t>,</w:t>
                  </w:r>
                  <w:r w:rsidRPr="00330E56">
                    <w:rPr>
                      <w:color w:val="001D77"/>
                      <w:sz w:val="18"/>
                    </w:rPr>
                    <w:t xml:space="preserve"> co</w:t>
                  </w:r>
                  <w:r w:rsidR="00A34A3F">
                    <w:rPr>
                      <w:color w:val="001D77"/>
                      <w:sz w:val="18"/>
                    </w:rPr>
                    <w:t> </w:t>
                  </w:r>
                  <w:r w:rsidRPr="00330E56">
                    <w:rPr>
                      <w:color w:val="001D77"/>
                      <w:sz w:val="18"/>
                    </w:rPr>
                    <w:t xml:space="preserve">oznacza </w:t>
                  </w:r>
                  <w:r w:rsidR="00A55280">
                    <w:rPr>
                      <w:color w:val="001D77"/>
                      <w:sz w:val="18"/>
                    </w:rPr>
                    <w:t xml:space="preserve">wzrost </w:t>
                  </w:r>
                  <w:r w:rsidRPr="00330E56">
                    <w:rPr>
                      <w:color w:val="001D77"/>
                      <w:sz w:val="18"/>
                    </w:rPr>
                    <w:t xml:space="preserve">wskaźnika </w:t>
                  </w:r>
                  <w:r>
                    <w:rPr>
                      <w:color w:val="001D77"/>
                      <w:sz w:val="18"/>
                    </w:rPr>
                    <w:t>w odniesieniu do 201</w:t>
                  </w:r>
                  <w:r w:rsidR="00A55280">
                    <w:rPr>
                      <w:color w:val="001D77"/>
                      <w:sz w:val="18"/>
                    </w:rPr>
                    <w:t>7</w:t>
                  </w:r>
                  <w:r>
                    <w:rPr>
                      <w:color w:val="001D77"/>
                      <w:sz w:val="18"/>
                    </w:rPr>
                    <w:t xml:space="preserve"> r. o</w:t>
                  </w:r>
                  <w:r w:rsidR="00A34A3F">
                    <w:rPr>
                      <w:color w:val="001D77"/>
                      <w:sz w:val="18"/>
                    </w:rPr>
                    <w:t> </w:t>
                  </w:r>
                  <w:r w:rsidR="009E0FB6">
                    <w:rPr>
                      <w:color w:val="001D77"/>
                      <w:sz w:val="18"/>
                    </w:rPr>
                    <w:t>o</w:t>
                  </w:r>
                  <w:r w:rsidR="00333DD0">
                    <w:rPr>
                      <w:color w:val="001D77"/>
                      <w:sz w:val="18"/>
                    </w:rPr>
                    <w:t>koło</w:t>
                  </w:r>
                  <w:r w:rsidR="009E0FB6">
                    <w:rPr>
                      <w:color w:val="001D77"/>
                      <w:sz w:val="18"/>
                    </w:rPr>
                    <w:t xml:space="preserve"> 1 </w:t>
                  </w:r>
                  <w:r w:rsidR="00903547">
                    <w:rPr>
                      <w:color w:val="001D77"/>
                      <w:sz w:val="18"/>
                    </w:rPr>
                    <w:t>p</w:t>
                  </w:r>
                  <w:r>
                    <w:rPr>
                      <w:color w:val="001D77"/>
                      <w:sz w:val="18"/>
                    </w:rPr>
                    <w:t>.</w:t>
                  </w:r>
                  <w:r w:rsidR="00414018">
                    <w:rPr>
                      <w:color w:val="001D77"/>
                      <w:sz w:val="18"/>
                    </w:rPr>
                    <w:t xml:space="preserve"> </w:t>
                  </w:r>
                  <w:r w:rsidRPr="00330E56">
                    <w:rPr>
                      <w:color w:val="001D77"/>
                      <w:sz w:val="18"/>
                    </w:rPr>
                    <w:t>proc.</w:t>
                  </w:r>
                </w:p>
              </w:txbxContent>
            </v:textbox>
          </v:shape>
        </w:pict>
      </w:r>
      <w:r w:rsidR="00051119">
        <w:rPr>
          <w:noProof/>
          <w:szCs w:val="19"/>
          <w:lang w:eastAsia="pl-PL"/>
        </w:rPr>
        <w:t xml:space="preserve">Podstawę wyznaczania granicy ubóstwa skrajnego stanowi minimum egzystencji szacowane przez Instytut Pracy i Spraw Socjalnych (IPiSS). </w:t>
      </w:r>
      <w:r w:rsidR="00051119" w:rsidRPr="00CC2DA3">
        <w:rPr>
          <w:noProof/>
          <w:szCs w:val="19"/>
          <w:lang w:eastAsia="pl-PL"/>
        </w:rPr>
        <w:t>Kategoria minimum egzystencji wyznacza bardzo niski poziom zaspokojenia potrzeb.</w:t>
      </w:r>
      <w:r w:rsidR="000F5B9D">
        <w:rPr>
          <w:noProof/>
          <w:szCs w:val="19"/>
          <w:lang w:eastAsia="pl-PL"/>
        </w:rPr>
        <w:t xml:space="preserve"> </w:t>
      </w:r>
      <w:r w:rsidR="00051119" w:rsidRPr="00CC2DA3">
        <w:rPr>
          <w:noProof/>
          <w:szCs w:val="19"/>
          <w:lang w:eastAsia="pl-PL"/>
        </w:rPr>
        <w:t>Ko</w:t>
      </w:r>
      <w:r w:rsidR="000F5B9D">
        <w:rPr>
          <w:noProof/>
          <w:szCs w:val="19"/>
          <w:lang w:eastAsia="pl-PL"/>
        </w:rPr>
        <w:t>n</w:t>
      </w:r>
      <w:r w:rsidR="00051119" w:rsidRPr="00CC2DA3">
        <w:rPr>
          <w:noProof/>
          <w:szCs w:val="19"/>
          <w:lang w:eastAsia="pl-PL"/>
        </w:rPr>
        <w:t>sumpcja poniżej tego poziomu utrudnia przeżycie i stanowi zagrożenie dla psychofizycznego rozwoju człowieka. W 2018 r. stopa ubóstwa skrajnego wyniosła 5,</w:t>
      </w:r>
      <w:r w:rsidR="00051119">
        <w:rPr>
          <w:noProof/>
          <w:szCs w:val="19"/>
          <w:lang w:eastAsia="pl-PL"/>
        </w:rPr>
        <w:t>4</w:t>
      </w:r>
      <w:r w:rsidR="00051119" w:rsidRPr="00CC2DA3">
        <w:rPr>
          <w:noProof/>
          <w:szCs w:val="19"/>
          <w:lang w:eastAsia="pl-PL"/>
        </w:rPr>
        <w:t>%, czyli o 1</w:t>
      </w:r>
      <w:r w:rsidR="00A9718A">
        <w:rPr>
          <w:noProof/>
          <w:szCs w:val="19"/>
          <w:lang w:eastAsia="pl-PL"/>
        </w:rPr>
        <w:t>,1</w:t>
      </w:r>
      <w:r w:rsidR="00051119" w:rsidRPr="00CC2DA3">
        <w:rPr>
          <w:noProof/>
          <w:szCs w:val="19"/>
          <w:lang w:eastAsia="pl-PL"/>
        </w:rPr>
        <w:t xml:space="preserve"> p.</w:t>
      </w:r>
      <w:r w:rsidR="007E6CBB">
        <w:rPr>
          <w:noProof/>
          <w:szCs w:val="19"/>
          <w:lang w:eastAsia="pl-PL"/>
        </w:rPr>
        <w:t xml:space="preserve"> </w:t>
      </w:r>
      <w:r w:rsidR="00051119" w:rsidRPr="00CC2DA3">
        <w:rPr>
          <w:noProof/>
          <w:szCs w:val="19"/>
          <w:lang w:eastAsia="pl-PL"/>
        </w:rPr>
        <w:t>proc</w:t>
      </w:r>
      <w:r w:rsidR="00554B53">
        <w:rPr>
          <w:noProof/>
          <w:szCs w:val="19"/>
          <w:lang w:eastAsia="pl-PL"/>
        </w:rPr>
        <w:t>.</w:t>
      </w:r>
      <w:r w:rsidR="00051119" w:rsidRPr="00CC2DA3">
        <w:rPr>
          <w:noProof/>
          <w:szCs w:val="19"/>
          <w:lang w:eastAsia="pl-PL"/>
        </w:rPr>
        <w:t xml:space="preserve"> więcej niż w 2017 r</w:t>
      </w:r>
      <w:r w:rsidR="00051119">
        <w:rPr>
          <w:noProof/>
          <w:szCs w:val="19"/>
          <w:lang w:eastAsia="pl-PL"/>
        </w:rPr>
        <w:t>.</w:t>
      </w:r>
    </w:p>
    <w:p w:rsidR="00051119" w:rsidRPr="008A720C" w:rsidRDefault="00051119" w:rsidP="00051119">
      <w:pPr>
        <w:pStyle w:val="Akapitzlist"/>
        <w:numPr>
          <w:ilvl w:val="0"/>
          <w:numId w:val="5"/>
        </w:numPr>
        <w:rPr>
          <w:noProof/>
          <w:szCs w:val="19"/>
          <w:lang w:eastAsia="pl-PL"/>
        </w:rPr>
      </w:pPr>
      <w:r w:rsidRPr="00CC2DA3">
        <w:rPr>
          <w:noProof/>
          <w:szCs w:val="19"/>
          <w:lang w:eastAsia="pl-PL"/>
        </w:rPr>
        <w:t xml:space="preserve">Uwzględnienie tzw. granicy ustawowej wskazuje na grupę osób, które zgodnie z obowiązującymi przepisami są </w:t>
      </w:r>
      <w:r>
        <w:rPr>
          <w:noProof/>
          <w:szCs w:val="19"/>
          <w:lang w:eastAsia="pl-PL"/>
        </w:rPr>
        <w:t xml:space="preserve">potencjalnie </w:t>
      </w:r>
      <w:r w:rsidRPr="00CC2DA3">
        <w:rPr>
          <w:noProof/>
          <w:szCs w:val="19"/>
          <w:lang w:eastAsia="pl-PL"/>
        </w:rPr>
        <w:t xml:space="preserve">uprawnione do ubiegania się o przyznanie świadczenia pieniężnego z pomocy społecznej. W analizowanym okresie zasięg ubóstwa ustawowego </w:t>
      </w:r>
      <w:r>
        <w:rPr>
          <w:noProof/>
          <w:szCs w:val="19"/>
          <w:lang w:eastAsia="pl-PL"/>
        </w:rPr>
        <w:t>kształtował się na zbliżonym poziomie i wynosił ok.</w:t>
      </w:r>
      <w:r w:rsidR="000A1A1A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11% (10,9% w 2018 r</w:t>
      </w:r>
      <w:r w:rsidR="000A1A1A">
        <w:rPr>
          <w:noProof/>
          <w:szCs w:val="19"/>
          <w:lang w:eastAsia="pl-PL"/>
        </w:rPr>
        <w:t>.</w:t>
      </w:r>
      <w:r>
        <w:rPr>
          <w:noProof/>
          <w:szCs w:val="19"/>
          <w:lang w:eastAsia="pl-PL"/>
        </w:rPr>
        <w:t xml:space="preserve"> wobec 10,7% w 2017 r.).</w:t>
      </w:r>
      <w:r w:rsidRPr="00CC2DA3">
        <w:rPr>
          <w:noProof/>
          <w:szCs w:val="19"/>
          <w:lang w:eastAsia="pl-PL"/>
        </w:rPr>
        <w:t xml:space="preserve"> </w:t>
      </w:r>
    </w:p>
    <w:p w:rsidR="00051119" w:rsidRDefault="00051119" w:rsidP="00051119">
      <w:pPr>
        <w:pStyle w:val="Akapitzlist"/>
        <w:numPr>
          <w:ilvl w:val="0"/>
          <w:numId w:val="5"/>
        </w:numPr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Z</w:t>
      </w:r>
      <w:r w:rsidRPr="008A720C">
        <w:rPr>
          <w:noProof/>
          <w:szCs w:val="19"/>
          <w:lang w:eastAsia="pl-PL"/>
        </w:rPr>
        <w:t>astosowanie relatywnej granicy ubóstwa na poziomie 50% kwoty, którą przeciętnie miesięcznie wydają gospodarstwa domowe w Polsce umożliwia wyodrębnienie tych, których poziom konsumpcji znacząco odbiega od poziomu przeciętnego. W 201</w:t>
      </w:r>
      <w:r>
        <w:rPr>
          <w:noProof/>
          <w:szCs w:val="19"/>
          <w:lang w:eastAsia="pl-PL"/>
        </w:rPr>
        <w:t>8</w:t>
      </w:r>
      <w:r w:rsidRPr="008A720C">
        <w:rPr>
          <w:noProof/>
          <w:szCs w:val="19"/>
          <w:lang w:eastAsia="pl-PL"/>
        </w:rPr>
        <w:t xml:space="preserve"> r. </w:t>
      </w:r>
      <w:r w:rsidRPr="008A720C">
        <w:rPr>
          <w:noProof/>
          <w:szCs w:val="19"/>
          <w:lang w:eastAsia="pl-PL"/>
        </w:rPr>
        <w:lastRenderedPageBreak/>
        <w:t>ubóstwa relatywnego doświadczało 1</w:t>
      </w:r>
      <w:r>
        <w:rPr>
          <w:noProof/>
          <w:szCs w:val="19"/>
          <w:lang w:eastAsia="pl-PL"/>
        </w:rPr>
        <w:t>4,2</w:t>
      </w:r>
      <w:r w:rsidRPr="008A720C">
        <w:rPr>
          <w:noProof/>
          <w:szCs w:val="19"/>
          <w:lang w:eastAsia="pl-PL"/>
        </w:rPr>
        <w:t xml:space="preserve">% osób w gospodarstwach domowych. Wartość ta była </w:t>
      </w:r>
      <w:r>
        <w:rPr>
          <w:noProof/>
          <w:szCs w:val="19"/>
          <w:lang w:eastAsia="pl-PL"/>
        </w:rPr>
        <w:t xml:space="preserve">wyższa </w:t>
      </w:r>
      <w:r w:rsidRPr="008A720C">
        <w:rPr>
          <w:noProof/>
          <w:szCs w:val="19"/>
          <w:lang w:eastAsia="pl-PL"/>
        </w:rPr>
        <w:t>o 0,</w:t>
      </w:r>
      <w:r>
        <w:rPr>
          <w:noProof/>
          <w:szCs w:val="19"/>
          <w:lang w:eastAsia="pl-PL"/>
        </w:rPr>
        <w:t>8</w:t>
      </w:r>
      <w:r w:rsidRPr="008A720C">
        <w:rPr>
          <w:noProof/>
          <w:szCs w:val="19"/>
          <w:lang w:eastAsia="pl-PL"/>
        </w:rPr>
        <w:t xml:space="preserve"> p. proc. niż w roku poprzednim.</w:t>
      </w:r>
    </w:p>
    <w:p w:rsidR="00145302" w:rsidRPr="00145302" w:rsidRDefault="00145302" w:rsidP="00145302">
      <w:pPr>
        <w:spacing w:line="240" w:lineRule="auto"/>
        <w:rPr>
          <w:noProof/>
          <w:szCs w:val="19"/>
          <w:lang w:eastAsia="pl-PL"/>
        </w:rPr>
      </w:pPr>
      <w:r w:rsidRPr="00145302">
        <w:rPr>
          <w:noProof/>
          <w:szCs w:val="19"/>
          <w:lang w:eastAsia="pl-PL"/>
        </w:rPr>
        <w:t>Jak wskazują wyniki badania budżetów gospodarstw domowych,</w:t>
      </w:r>
      <w:r w:rsidR="007E2E61">
        <w:rPr>
          <w:noProof/>
          <w:szCs w:val="19"/>
          <w:lang w:eastAsia="pl-PL"/>
        </w:rPr>
        <w:t xml:space="preserve"> </w:t>
      </w:r>
      <w:r w:rsidRPr="00145302">
        <w:rPr>
          <w:noProof/>
          <w:szCs w:val="19"/>
          <w:lang w:eastAsia="pl-PL"/>
        </w:rPr>
        <w:t>zaobserwowany w 2018 r. w</w:t>
      </w:r>
      <w:r w:rsidR="007E2E61">
        <w:rPr>
          <w:noProof/>
          <w:szCs w:val="19"/>
          <w:lang w:eastAsia="pl-PL"/>
        </w:rPr>
        <w:t> </w:t>
      </w:r>
      <w:r w:rsidRPr="00145302">
        <w:rPr>
          <w:noProof/>
          <w:szCs w:val="19"/>
          <w:lang w:eastAsia="pl-PL"/>
        </w:rPr>
        <w:t>porównaniu z 2017 r.</w:t>
      </w:r>
      <w:r w:rsidR="000F5B9D">
        <w:rPr>
          <w:noProof/>
          <w:szCs w:val="19"/>
          <w:lang w:eastAsia="pl-PL"/>
        </w:rPr>
        <w:t>,</w:t>
      </w:r>
      <w:r w:rsidRPr="00145302">
        <w:rPr>
          <w:noProof/>
          <w:szCs w:val="19"/>
          <w:lang w:eastAsia="pl-PL"/>
        </w:rPr>
        <w:t xml:space="preserve"> wzrost zasięgu ubóstwa ekonomicznego miał miejsce w sytuacji poprawy przeciętnej sytuacji dochodowej gospodarstw domowych. Jednocześnie jednak w</w:t>
      </w:r>
      <w:r w:rsidR="007E2E61">
        <w:rPr>
          <w:noProof/>
          <w:szCs w:val="19"/>
          <w:lang w:eastAsia="pl-PL"/>
        </w:rPr>
        <w:t> </w:t>
      </w:r>
      <w:r w:rsidRPr="00145302">
        <w:rPr>
          <w:noProof/>
          <w:szCs w:val="19"/>
          <w:lang w:eastAsia="pl-PL"/>
        </w:rPr>
        <w:t xml:space="preserve">tym czasie zaobserwowano nieco wyższe wartości </w:t>
      </w:r>
      <w:r w:rsidR="00613DB1">
        <w:rPr>
          <w:noProof/>
          <w:szCs w:val="19"/>
          <w:lang w:eastAsia="pl-PL"/>
        </w:rPr>
        <w:t xml:space="preserve">niektórych </w:t>
      </w:r>
      <w:r w:rsidRPr="00145302">
        <w:rPr>
          <w:noProof/>
          <w:szCs w:val="19"/>
          <w:lang w:eastAsia="pl-PL"/>
        </w:rPr>
        <w:t>wskaźników zróżnicowania dochodów oraz nieznaczne obniżenie wartości realnych (czyli po uwzględnieniu wzrostu cen) wydatków gospodarstw domowych</w:t>
      </w:r>
      <w:r>
        <w:rPr>
          <w:rStyle w:val="Odwoanieprzypisudolnego"/>
          <w:noProof/>
          <w:szCs w:val="19"/>
          <w:lang w:eastAsia="pl-PL"/>
        </w:rPr>
        <w:footnoteReference w:id="1"/>
      </w:r>
      <w:r w:rsidRPr="00145302">
        <w:rPr>
          <w:noProof/>
          <w:szCs w:val="19"/>
          <w:lang w:eastAsia="pl-PL"/>
        </w:rPr>
        <w:t>. Na oceny zasięgu ubóstwa skrajnego i ustawowego wpływ miały także obowiązujące progi ubóstwa. W 2018 r. odnotowano wyższy, niż wynikałoby to z dynamiki ogólnego wskaźnika cen towarów i usług konsumpcyjnych, wzrost poziomu minimum egzystencji stanowiącego podstawę wyznaczania granic ubóstwa skrajnego</w:t>
      </w:r>
      <w:r>
        <w:rPr>
          <w:rStyle w:val="Odwoanieprzypisudolnego"/>
          <w:noProof/>
          <w:szCs w:val="19"/>
          <w:lang w:eastAsia="pl-PL"/>
        </w:rPr>
        <w:footnoteReference w:id="2"/>
      </w:r>
      <w:r w:rsidRPr="00145302">
        <w:rPr>
          <w:noProof/>
          <w:szCs w:val="19"/>
          <w:lang w:eastAsia="pl-PL"/>
        </w:rPr>
        <w:t>. Od</w:t>
      </w:r>
      <w:r w:rsidR="0084642E">
        <w:rPr>
          <w:noProof/>
          <w:szCs w:val="19"/>
          <w:lang w:eastAsia="pl-PL"/>
        </w:rPr>
        <w:t> </w:t>
      </w:r>
      <w:r w:rsidRPr="00145302">
        <w:rPr>
          <w:noProof/>
          <w:szCs w:val="19"/>
          <w:lang w:eastAsia="pl-PL"/>
        </w:rPr>
        <w:t>października 2018 r. (po trzech latach obowiązywania poprzednich progów) wyższy był także poziom granic ubóstwa ustawowego (patrz Tabl.</w:t>
      </w:r>
      <w:r w:rsidR="00533150">
        <w:rPr>
          <w:noProof/>
          <w:szCs w:val="19"/>
          <w:lang w:eastAsia="pl-PL"/>
        </w:rPr>
        <w:t xml:space="preserve"> </w:t>
      </w:r>
      <w:r w:rsidRPr="00145302">
        <w:rPr>
          <w:noProof/>
          <w:szCs w:val="19"/>
          <w:lang w:eastAsia="pl-PL"/>
        </w:rPr>
        <w:t>1).</w:t>
      </w:r>
    </w:p>
    <w:p w:rsidR="00410FC6" w:rsidRPr="00AE3918" w:rsidRDefault="00B841AF" w:rsidP="00A221A2">
      <w:pPr>
        <w:spacing w:before="240"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Zmiany stopy ubóstwa skrajnego w 2018 r. </w:t>
      </w:r>
      <w:r w:rsidR="00A221A2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Jak zmienił się</w:t>
      </w:r>
      <w:r w:rsidR="00410FC6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zasięg ubóstwa wśród różnych grup ludności</w:t>
      </w:r>
      <w:r w:rsidR="00C32F2B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?</w:t>
      </w:r>
    </w:p>
    <w:p w:rsidR="00BC5C8D" w:rsidRDefault="00BA0188" w:rsidP="00EE07FB">
      <w:pPr>
        <w:spacing w:before="24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pict>
          <v:shape id="_x0000_s1031" type="#_x0000_t202" style="position:absolute;margin-left:411.4pt;margin-top:6.7pt;width:142.1pt;height:67.2pt;z-index:2518077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" filled="f" stroked="f">
            <v:textbox style="mso-fit-shape-to-text:t">
              <w:txbxContent>
                <w:p w:rsidR="00456775" w:rsidRPr="00330E56" w:rsidRDefault="00456775" w:rsidP="00410FC6">
                  <w:pPr>
                    <w:rPr>
                      <w:color w:val="001D77"/>
                      <w:sz w:val="18"/>
                    </w:rPr>
                  </w:pPr>
                  <w:r w:rsidRPr="00330E56">
                    <w:rPr>
                      <w:color w:val="001D77"/>
                      <w:sz w:val="18"/>
                    </w:rPr>
                    <w:t>Obserwowany w 20</w:t>
                  </w:r>
                  <w:r>
                    <w:rPr>
                      <w:color w:val="001D77"/>
                      <w:sz w:val="18"/>
                    </w:rPr>
                    <w:t xml:space="preserve">18 </w:t>
                  </w:r>
                  <w:r w:rsidRPr="00330E56">
                    <w:rPr>
                      <w:color w:val="001D77"/>
                      <w:sz w:val="18"/>
                    </w:rPr>
                    <w:t xml:space="preserve">r. </w:t>
                  </w:r>
                  <w:r w:rsidR="003F0EA8">
                    <w:rPr>
                      <w:color w:val="001D77"/>
                      <w:sz w:val="18"/>
                    </w:rPr>
                    <w:t xml:space="preserve">wzrost </w:t>
                  </w:r>
                  <w:r w:rsidRPr="00330E56">
                    <w:rPr>
                      <w:color w:val="001D77"/>
                      <w:sz w:val="18"/>
                    </w:rPr>
                    <w:t xml:space="preserve">zasięgu ubóstwa skrajnego dotyczył większości </w:t>
                  </w:r>
                  <w:r>
                    <w:rPr>
                      <w:color w:val="001D77"/>
                      <w:sz w:val="18"/>
                    </w:rPr>
                    <w:t>branych pod uwagę grup ludności.</w:t>
                  </w:r>
                </w:p>
              </w:txbxContent>
            </v:textbox>
          </v:shape>
        </w:pict>
      </w:r>
      <w:r w:rsidR="00410FC6" w:rsidRPr="00410FC6">
        <w:rPr>
          <w:noProof/>
          <w:szCs w:val="19"/>
          <w:lang w:eastAsia="pl-PL"/>
        </w:rPr>
        <w:t>Obserwowany w 201</w:t>
      </w:r>
      <w:r w:rsidR="009F661F">
        <w:rPr>
          <w:noProof/>
          <w:szCs w:val="19"/>
          <w:lang w:eastAsia="pl-PL"/>
        </w:rPr>
        <w:t>8</w:t>
      </w:r>
      <w:r w:rsidR="00410FC6" w:rsidRPr="00410FC6">
        <w:rPr>
          <w:noProof/>
          <w:szCs w:val="19"/>
          <w:lang w:eastAsia="pl-PL"/>
        </w:rPr>
        <w:t xml:space="preserve"> r.</w:t>
      </w:r>
      <w:r w:rsidR="009F661F">
        <w:rPr>
          <w:noProof/>
          <w:szCs w:val="19"/>
          <w:lang w:eastAsia="pl-PL"/>
        </w:rPr>
        <w:t>, w oparciu o wydatki gospodarstw domowych</w:t>
      </w:r>
      <w:r w:rsidR="00533150">
        <w:rPr>
          <w:noProof/>
          <w:szCs w:val="19"/>
          <w:lang w:eastAsia="pl-PL"/>
        </w:rPr>
        <w:t>,</w:t>
      </w:r>
      <w:r w:rsidR="009F661F">
        <w:rPr>
          <w:noProof/>
          <w:szCs w:val="19"/>
          <w:lang w:eastAsia="pl-PL"/>
        </w:rPr>
        <w:t xml:space="preserve"> wzrost</w:t>
      </w:r>
      <w:r w:rsidR="00410FC6" w:rsidRPr="00410FC6">
        <w:rPr>
          <w:noProof/>
          <w:szCs w:val="19"/>
          <w:lang w:eastAsia="pl-PL"/>
        </w:rPr>
        <w:t xml:space="preserve"> zasięgu ubóstwa skrajnego dotyczył większości branych pod uwagę grup ludności</w:t>
      </w:r>
      <w:r w:rsidR="00141D35">
        <w:rPr>
          <w:noProof/>
          <w:szCs w:val="19"/>
          <w:lang w:eastAsia="pl-PL"/>
        </w:rPr>
        <w:t>, przy czym poziom zmian był zróżnicowany</w:t>
      </w:r>
      <w:r w:rsidR="00410FC6" w:rsidRPr="00410FC6">
        <w:rPr>
          <w:noProof/>
          <w:szCs w:val="19"/>
          <w:lang w:eastAsia="pl-PL"/>
        </w:rPr>
        <w:t xml:space="preserve">. </w:t>
      </w:r>
      <w:r w:rsidR="00F268A5">
        <w:rPr>
          <w:noProof/>
          <w:szCs w:val="19"/>
          <w:lang w:eastAsia="pl-PL"/>
        </w:rPr>
        <w:t>W porównaniu z 2017 r. w</w:t>
      </w:r>
      <w:r w:rsidR="0065082D">
        <w:rPr>
          <w:noProof/>
          <w:szCs w:val="19"/>
          <w:lang w:eastAsia="pl-PL"/>
        </w:rPr>
        <w:t xml:space="preserve">yraźnie zwiększył się odsetek osób wydających na swoje utrzymanie mniej niż zakłada minimum egzystencji wśród gospodarstw domowych utrzymujacych się </w:t>
      </w:r>
      <w:r w:rsidR="00141D35">
        <w:rPr>
          <w:noProof/>
          <w:szCs w:val="19"/>
          <w:lang w:eastAsia="pl-PL"/>
        </w:rPr>
        <w:t xml:space="preserve">głównie </w:t>
      </w:r>
      <w:r w:rsidR="0065082D">
        <w:rPr>
          <w:noProof/>
          <w:szCs w:val="19"/>
          <w:lang w:eastAsia="pl-PL"/>
        </w:rPr>
        <w:t xml:space="preserve">z niezarobkowych źródeł utrzymania innych niż emerytury i renty (o </w:t>
      </w:r>
      <w:r w:rsidR="00706F0E">
        <w:rPr>
          <w:noProof/>
          <w:szCs w:val="19"/>
          <w:lang w:eastAsia="pl-PL"/>
        </w:rPr>
        <w:t>prawie</w:t>
      </w:r>
      <w:r w:rsidR="0065082D">
        <w:rPr>
          <w:noProof/>
          <w:szCs w:val="19"/>
          <w:lang w:eastAsia="pl-PL"/>
        </w:rPr>
        <w:t xml:space="preserve"> 4 p.</w:t>
      </w:r>
      <w:r w:rsidR="00533150">
        <w:rPr>
          <w:noProof/>
          <w:szCs w:val="19"/>
          <w:lang w:eastAsia="pl-PL"/>
        </w:rPr>
        <w:t xml:space="preserve"> </w:t>
      </w:r>
      <w:r w:rsidR="000A1A1A">
        <w:rPr>
          <w:noProof/>
          <w:szCs w:val="19"/>
          <w:lang w:eastAsia="pl-PL"/>
        </w:rPr>
        <w:t>p</w:t>
      </w:r>
      <w:r w:rsidR="0065082D">
        <w:rPr>
          <w:noProof/>
          <w:szCs w:val="19"/>
          <w:lang w:eastAsia="pl-PL"/>
        </w:rPr>
        <w:t>roc</w:t>
      </w:r>
      <w:r w:rsidR="00607C1F">
        <w:rPr>
          <w:noProof/>
          <w:szCs w:val="19"/>
          <w:lang w:eastAsia="pl-PL"/>
        </w:rPr>
        <w:t>.</w:t>
      </w:r>
      <w:r w:rsidR="00F268A5">
        <w:rPr>
          <w:noProof/>
          <w:szCs w:val="19"/>
          <w:lang w:eastAsia="pl-PL"/>
        </w:rPr>
        <w:t>). O ponad 1 p.</w:t>
      </w:r>
      <w:r w:rsidR="004C3CB2">
        <w:rPr>
          <w:noProof/>
          <w:szCs w:val="19"/>
          <w:lang w:eastAsia="pl-PL"/>
        </w:rPr>
        <w:t xml:space="preserve"> </w:t>
      </w:r>
      <w:r w:rsidR="00F268A5">
        <w:rPr>
          <w:noProof/>
          <w:szCs w:val="19"/>
          <w:lang w:eastAsia="pl-PL"/>
        </w:rPr>
        <w:t xml:space="preserve">proc. zwiększył się zasięg ubóstwa skrajnego wśród gospodarstw utrzymujących się </w:t>
      </w:r>
      <w:r w:rsidR="00756E62">
        <w:rPr>
          <w:noProof/>
          <w:szCs w:val="19"/>
          <w:lang w:eastAsia="pl-PL"/>
        </w:rPr>
        <w:t xml:space="preserve">głównie </w:t>
      </w:r>
      <w:r w:rsidR="00F268A5">
        <w:rPr>
          <w:noProof/>
          <w:szCs w:val="19"/>
          <w:lang w:eastAsia="pl-PL"/>
        </w:rPr>
        <w:t>z pracy najemnej, gospodarstw rolników oraz rencistów.</w:t>
      </w:r>
    </w:p>
    <w:p w:rsidR="00BC5C8D" w:rsidRDefault="00756E62" w:rsidP="00EE07FB">
      <w:pPr>
        <w:spacing w:before="24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Obserwowany wzrost ubóstwa wśród gospodarstw domowych z osobami niepełnosprawnymi relatywnie najczę</w:t>
      </w:r>
      <w:r w:rsidR="000A1A1A">
        <w:rPr>
          <w:noProof/>
          <w:szCs w:val="19"/>
          <w:lang w:eastAsia="pl-PL"/>
        </w:rPr>
        <w:t>ś</w:t>
      </w:r>
      <w:r>
        <w:rPr>
          <w:noProof/>
          <w:szCs w:val="19"/>
          <w:lang w:eastAsia="pl-PL"/>
        </w:rPr>
        <w:t xml:space="preserve">ciej dotyczył gospodarstw, w których </w:t>
      </w:r>
      <w:r w:rsidR="0074479C">
        <w:rPr>
          <w:noProof/>
          <w:szCs w:val="19"/>
          <w:lang w:eastAsia="pl-PL"/>
        </w:rPr>
        <w:t xml:space="preserve">niepełnosprawna była </w:t>
      </w:r>
      <w:r>
        <w:rPr>
          <w:noProof/>
          <w:szCs w:val="19"/>
          <w:lang w:eastAsia="pl-PL"/>
        </w:rPr>
        <w:t>głow</w:t>
      </w:r>
      <w:r w:rsidR="0074479C">
        <w:rPr>
          <w:noProof/>
          <w:szCs w:val="19"/>
          <w:lang w:eastAsia="pl-PL"/>
        </w:rPr>
        <w:t>a</w:t>
      </w:r>
      <w:r w:rsidR="00EA1451">
        <w:rPr>
          <w:rStyle w:val="Odwoanieprzypisudolnego"/>
          <w:noProof/>
          <w:szCs w:val="19"/>
          <w:lang w:eastAsia="pl-PL"/>
        </w:rPr>
        <w:footnoteReference w:id="3"/>
      </w:r>
      <w:r>
        <w:rPr>
          <w:noProof/>
          <w:szCs w:val="19"/>
          <w:lang w:eastAsia="pl-PL"/>
        </w:rPr>
        <w:t xml:space="preserve"> gospodarstwa domowego (wzrost o ok. 2 p.</w:t>
      </w:r>
      <w:r w:rsidR="00BD49C9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proc</w:t>
      </w:r>
      <w:r w:rsidR="00EA1451">
        <w:rPr>
          <w:noProof/>
          <w:szCs w:val="19"/>
          <w:lang w:eastAsia="pl-PL"/>
        </w:rPr>
        <w:t>.</w:t>
      </w:r>
      <w:r>
        <w:rPr>
          <w:noProof/>
          <w:szCs w:val="19"/>
          <w:lang w:eastAsia="pl-PL"/>
        </w:rPr>
        <w:t>). O ok. 2 p.</w:t>
      </w:r>
      <w:r w:rsidR="00BD49C9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 xml:space="preserve">proc. </w:t>
      </w:r>
      <w:r w:rsidR="00452E99">
        <w:rPr>
          <w:noProof/>
          <w:szCs w:val="19"/>
          <w:lang w:eastAsia="pl-PL"/>
        </w:rPr>
        <w:t xml:space="preserve">wyższą stopę ubóstwa skrajnego odnotowano </w:t>
      </w:r>
      <w:r w:rsidR="00B15058">
        <w:rPr>
          <w:noProof/>
          <w:szCs w:val="19"/>
          <w:lang w:eastAsia="pl-PL"/>
        </w:rPr>
        <w:t>też</w:t>
      </w:r>
      <w:r w:rsidR="004B5F1D">
        <w:rPr>
          <w:noProof/>
          <w:szCs w:val="19"/>
          <w:lang w:eastAsia="pl-PL"/>
        </w:rPr>
        <w:t xml:space="preserve"> </w:t>
      </w:r>
      <w:r w:rsidR="00452E99">
        <w:rPr>
          <w:noProof/>
          <w:szCs w:val="19"/>
          <w:lang w:eastAsia="pl-PL"/>
        </w:rPr>
        <w:t>w przypadku gospodarstw, w których głowa legitymowała się niskim poziomem wykształcenia (co najwyzej gimnazjalnym</w:t>
      </w:r>
      <w:r w:rsidR="004B5F1D">
        <w:rPr>
          <w:noProof/>
          <w:szCs w:val="19"/>
          <w:lang w:eastAsia="pl-PL"/>
        </w:rPr>
        <w:t xml:space="preserve"> lub</w:t>
      </w:r>
      <w:r w:rsidR="00452E99">
        <w:rPr>
          <w:noProof/>
          <w:szCs w:val="19"/>
          <w:lang w:eastAsia="pl-PL"/>
        </w:rPr>
        <w:t xml:space="preserve"> zasadniczym zawodowym).</w:t>
      </w:r>
    </w:p>
    <w:p w:rsidR="00452E99" w:rsidRDefault="00BC5C8D" w:rsidP="00EE07FB">
      <w:pPr>
        <w:spacing w:before="24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W 2018 r. odnotowano także wzrost odsetka osób ubogich wśród gospodarstw domowych z</w:t>
      </w:r>
      <w:r w:rsidR="00BD49C9">
        <w:rPr>
          <w:noProof/>
          <w:szCs w:val="19"/>
          <w:lang w:eastAsia="pl-PL"/>
        </w:rPr>
        <w:t> </w:t>
      </w:r>
      <w:r>
        <w:rPr>
          <w:noProof/>
          <w:szCs w:val="19"/>
          <w:lang w:eastAsia="pl-PL"/>
        </w:rPr>
        <w:t>dziećmi do lat 18. Naj</w:t>
      </w:r>
      <w:r w:rsidR="00AD2BA7">
        <w:rPr>
          <w:noProof/>
          <w:szCs w:val="19"/>
          <w:lang w:eastAsia="pl-PL"/>
        </w:rPr>
        <w:t>bardzie</w:t>
      </w:r>
      <w:r w:rsidR="00533150">
        <w:rPr>
          <w:noProof/>
          <w:szCs w:val="19"/>
          <w:lang w:eastAsia="pl-PL"/>
        </w:rPr>
        <w:t>j</w:t>
      </w:r>
      <w:r>
        <w:rPr>
          <w:noProof/>
          <w:szCs w:val="19"/>
          <w:lang w:eastAsia="pl-PL"/>
        </w:rPr>
        <w:t xml:space="preserve"> (o ok.</w:t>
      </w:r>
      <w:r w:rsidR="00AD2BA7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2 p.</w:t>
      </w:r>
      <w:r w:rsidR="00ED41E6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>proc</w:t>
      </w:r>
      <w:r w:rsidR="00ED41E6">
        <w:rPr>
          <w:noProof/>
          <w:szCs w:val="19"/>
          <w:lang w:eastAsia="pl-PL"/>
        </w:rPr>
        <w:t>.</w:t>
      </w:r>
      <w:r>
        <w:rPr>
          <w:noProof/>
          <w:szCs w:val="19"/>
          <w:lang w:eastAsia="pl-PL"/>
        </w:rPr>
        <w:t>) wzrosła stopa ubóstwa w przypadku gospodarstw wielodzietnych (z co najmniej 3 dzieci) oraz z 1 dzieckiem. W konsekwencji zasięg ubóstwa dzieci</w:t>
      </w:r>
      <w:r w:rsidR="0081116C">
        <w:rPr>
          <w:noProof/>
          <w:szCs w:val="19"/>
          <w:lang w:eastAsia="pl-PL"/>
        </w:rPr>
        <w:t xml:space="preserve"> i młodzieży poniżej 18 roku życia zwiększył się z niecały</w:t>
      </w:r>
      <w:r w:rsidR="00AD2BA7">
        <w:rPr>
          <w:noProof/>
          <w:szCs w:val="19"/>
          <w:lang w:eastAsia="pl-PL"/>
        </w:rPr>
        <w:t>c</w:t>
      </w:r>
      <w:r w:rsidR="0081116C">
        <w:rPr>
          <w:noProof/>
          <w:szCs w:val="19"/>
          <w:lang w:eastAsia="pl-PL"/>
        </w:rPr>
        <w:t>h 5% w 2017 r. do 6% w 2018 r.</w:t>
      </w:r>
    </w:p>
    <w:p w:rsidR="002172EF" w:rsidRDefault="001571B5" w:rsidP="00EE07FB">
      <w:pPr>
        <w:spacing w:before="24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 xml:space="preserve">Niekorzystne zmiany skali ubóstwa skrajnego </w:t>
      </w:r>
      <w:r w:rsidR="002172EF">
        <w:rPr>
          <w:noProof/>
          <w:szCs w:val="19"/>
          <w:lang w:eastAsia="pl-PL"/>
        </w:rPr>
        <w:t xml:space="preserve">w 2018 r. </w:t>
      </w:r>
      <w:r>
        <w:rPr>
          <w:noProof/>
          <w:szCs w:val="19"/>
          <w:lang w:eastAsia="pl-PL"/>
        </w:rPr>
        <w:t xml:space="preserve">dotyczyły w wiekszym stopniu mieszkańców wsi niż miast. </w:t>
      </w:r>
      <w:r w:rsidR="002172EF">
        <w:rPr>
          <w:noProof/>
          <w:szCs w:val="19"/>
          <w:lang w:eastAsia="pl-PL"/>
        </w:rPr>
        <w:t>Na wsi stopa ubóstwa skrajnego zwiększyła się o ok.</w:t>
      </w:r>
      <w:r w:rsidR="0084642E">
        <w:rPr>
          <w:noProof/>
          <w:szCs w:val="19"/>
          <w:lang w:eastAsia="pl-PL"/>
        </w:rPr>
        <w:t xml:space="preserve"> </w:t>
      </w:r>
      <w:r w:rsidR="002172EF">
        <w:rPr>
          <w:noProof/>
          <w:szCs w:val="19"/>
          <w:lang w:eastAsia="pl-PL"/>
        </w:rPr>
        <w:t>2 p.</w:t>
      </w:r>
      <w:r w:rsidR="00ED41E6">
        <w:rPr>
          <w:noProof/>
          <w:szCs w:val="19"/>
          <w:lang w:eastAsia="pl-PL"/>
        </w:rPr>
        <w:t xml:space="preserve"> </w:t>
      </w:r>
      <w:r w:rsidR="002172EF">
        <w:rPr>
          <w:noProof/>
          <w:szCs w:val="19"/>
          <w:lang w:eastAsia="pl-PL"/>
        </w:rPr>
        <w:t>proc. W</w:t>
      </w:r>
      <w:r w:rsidR="00BD49C9">
        <w:rPr>
          <w:noProof/>
          <w:szCs w:val="19"/>
          <w:lang w:eastAsia="pl-PL"/>
        </w:rPr>
        <w:t> </w:t>
      </w:r>
      <w:r w:rsidR="002172EF">
        <w:rPr>
          <w:noProof/>
          <w:szCs w:val="19"/>
          <w:lang w:eastAsia="pl-PL"/>
        </w:rPr>
        <w:t>przypadku największych ośrodków miejskich, o populacji liczącej co najmniej 500 tys.</w:t>
      </w:r>
      <w:r w:rsidR="00923104">
        <w:rPr>
          <w:noProof/>
          <w:szCs w:val="19"/>
          <w:lang w:eastAsia="pl-PL"/>
        </w:rPr>
        <w:t>,</w:t>
      </w:r>
      <w:r w:rsidR="0034677A">
        <w:rPr>
          <w:noProof/>
          <w:szCs w:val="19"/>
          <w:lang w:eastAsia="pl-PL"/>
        </w:rPr>
        <w:t xml:space="preserve"> odsetek osób </w:t>
      </w:r>
      <w:r w:rsidR="002172EF">
        <w:rPr>
          <w:noProof/>
          <w:szCs w:val="19"/>
          <w:lang w:eastAsia="pl-PL"/>
        </w:rPr>
        <w:t>skrajn</w:t>
      </w:r>
      <w:r w:rsidR="0034677A">
        <w:rPr>
          <w:noProof/>
          <w:szCs w:val="19"/>
          <w:lang w:eastAsia="pl-PL"/>
        </w:rPr>
        <w:t>i</w:t>
      </w:r>
      <w:r w:rsidR="002172EF">
        <w:rPr>
          <w:noProof/>
          <w:szCs w:val="19"/>
          <w:lang w:eastAsia="pl-PL"/>
        </w:rPr>
        <w:t>e</w:t>
      </w:r>
      <w:r w:rsidR="0034677A">
        <w:rPr>
          <w:noProof/>
          <w:szCs w:val="19"/>
          <w:lang w:eastAsia="pl-PL"/>
        </w:rPr>
        <w:t xml:space="preserve"> ubogich</w:t>
      </w:r>
      <w:r w:rsidR="002172EF">
        <w:rPr>
          <w:noProof/>
          <w:szCs w:val="19"/>
          <w:lang w:eastAsia="pl-PL"/>
        </w:rPr>
        <w:t xml:space="preserve"> był nawet nieco niższy niż przed rokiem, a w pozostałych grupach miast </w:t>
      </w:r>
      <w:r w:rsidR="009E4892">
        <w:rPr>
          <w:noProof/>
          <w:szCs w:val="19"/>
          <w:lang w:eastAsia="pl-PL"/>
        </w:rPr>
        <w:t>wzrost zasięgu ubóstwa nie przekroczył 1 p.</w:t>
      </w:r>
      <w:r w:rsidR="00ED41E6">
        <w:rPr>
          <w:noProof/>
          <w:szCs w:val="19"/>
          <w:lang w:eastAsia="pl-PL"/>
        </w:rPr>
        <w:t xml:space="preserve"> </w:t>
      </w:r>
      <w:r w:rsidR="009E4892">
        <w:rPr>
          <w:noProof/>
          <w:szCs w:val="19"/>
          <w:lang w:eastAsia="pl-PL"/>
        </w:rPr>
        <w:t>proc.</w:t>
      </w:r>
    </w:p>
    <w:p w:rsidR="00C303F7" w:rsidRPr="00AE3918" w:rsidRDefault="00BA0188" w:rsidP="003C2499">
      <w:pPr>
        <w:spacing w:before="24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bookmarkStart w:id="0" w:name="_GoBack"/>
      <w:r w:rsidRPr="00AE3918">
        <w:rPr>
          <w:noProof/>
          <w:szCs w:val="19"/>
          <w:lang w:eastAsia="pl-PL"/>
        </w:rPr>
        <w:pict>
          <v:shape id="_x0000_s1032" type="#_x0000_t202" style="position:absolute;margin-left:410.4pt;margin-top:11.75pt;width:144.45pt;height:103.2pt;z-index:2517821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" filled="f" stroked="f">
            <v:textbox style="mso-fit-shape-to-text:t">
              <w:txbxContent>
                <w:p w:rsidR="00456775" w:rsidRPr="00330E56" w:rsidRDefault="00456775" w:rsidP="00330E56">
                  <w:pPr>
                    <w:rPr>
                      <w:color w:val="001D77"/>
                      <w:sz w:val="18"/>
                    </w:rPr>
                  </w:pPr>
                  <w:r w:rsidRPr="00330E56">
                    <w:rPr>
                      <w:color w:val="001D77"/>
                      <w:sz w:val="18"/>
                    </w:rPr>
                    <w:t>Ubóstwo w różnym stopniu dotyka poszczególne gru</w:t>
                  </w:r>
                  <w:r>
                    <w:rPr>
                      <w:color w:val="001D77"/>
                      <w:sz w:val="18"/>
                    </w:rPr>
                    <w:t xml:space="preserve">py ludności, </w:t>
                  </w:r>
                  <w:r w:rsidR="003F0EA8">
                    <w:rPr>
                      <w:color w:val="001D77"/>
                      <w:sz w:val="18"/>
                    </w:rPr>
                    <w:t xml:space="preserve">przy czym w ciągu ostatnich kilku lat nie odnotowano istotnych zmian w społecznej mapie </w:t>
                  </w:r>
                  <w:r w:rsidRPr="00330E56">
                    <w:rPr>
                      <w:color w:val="001D77"/>
                      <w:sz w:val="18"/>
                    </w:rPr>
                    <w:t xml:space="preserve">zagrożenia ubóstwem </w:t>
                  </w:r>
                  <w:r w:rsidR="00A55280">
                    <w:rPr>
                      <w:color w:val="001D77"/>
                      <w:sz w:val="18"/>
                    </w:rPr>
                    <w:t xml:space="preserve">skrajnym </w:t>
                  </w:r>
                  <w:r w:rsidRPr="00330E56">
                    <w:rPr>
                      <w:color w:val="001D77"/>
                      <w:sz w:val="18"/>
                    </w:rPr>
                    <w:t>w Polsce</w:t>
                  </w:r>
                  <w:r w:rsidR="003F0EA8">
                    <w:rPr>
                      <w:color w:val="001D77"/>
                      <w:sz w:val="18"/>
                    </w:rPr>
                    <w:t>.</w:t>
                  </w:r>
                  <w:r w:rsidRPr="00330E56">
                    <w:rPr>
                      <w:color w:val="001D77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 w:rsidR="00C303F7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Zróżnicowanie zasięgu ubóstwa </w:t>
      </w:r>
      <w:r w:rsidR="00A036A8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skrajnego w 201</w:t>
      </w:r>
      <w:r w:rsidR="00C303F7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8</w:t>
      </w:r>
      <w:r w:rsidR="00A036A8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r.</w:t>
      </w:r>
      <w:r w:rsidR="00C303F7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</w:t>
      </w:r>
      <w:r w:rsidR="00B841AF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K</w:t>
      </w:r>
      <w:r w:rsidR="00C303F7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to najczęściej</w:t>
      </w:r>
      <w:r w:rsidR="006E5A5D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i najrzadziej </w:t>
      </w:r>
      <w:r w:rsidR="00C303F7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doświadczał ubóstwa</w:t>
      </w:r>
      <w:r w:rsidR="00A036A8" w:rsidRPr="00AE3918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?</w:t>
      </w:r>
    </w:p>
    <w:bookmarkEnd w:id="0"/>
    <w:p w:rsidR="00150BC9" w:rsidRDefault="003C0256" w:rsidP="00920915">
      <w:pPr>
        <w:spacing w:before="240" w:after="8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Wyciągając wnioski dotyczące zróżnicowania</w:t>
      </w:r>
      <w:r w:rsidR="00C303F7">
        <w:rPr>
          <w:noProof/>
          <w:szCs w:val="19"/>
          <w:lang w:eastAsia="pl-PL"/>
        </w:rPr>
        <w:t xml:space="preserve"> zasięg</w:t>
      </w:r>
      <w:r w:rsidR="00E52E39">
        <w:rPr>
          <w:noProof/>
          <w:szCs w:val="19"/>
          <w:lang w:eastAsia="pl-PL"/>
        </w:rPr>
        <w:t>u</w:t>
      </w:r>
      <w:r w:rsidR="00C303F7">
        <w:rPr>
          <w:noProof/>
          <w:szCs w:val="19"/>
          <w:lang w:eastAsia="pl-PL"/>
        </w:rPr>
        <w:t xml:space="preserve"> ubóstwa ze względu na różne charakterystyki gospodarstw domowych należy pamiętać, że w praktyce mamy do czynienia nie z jedną determinantą ubóstwa, ale ze współwystępowaniem wielu czynników jednocześnie. </w:t>
      </w:r>
      <w:r>
        <w:rPr>
          <w:noProof/>
          <w:szCs w:val="19"/>
          <w:lang w:eastAsia="pl-PL"/>
        </w:rPr>
        <w:t xml:space="preserve">Na przykład zróżnicowanie zasięgu ubóstwa według </w:t>
      </w:r>
      <w:r w:rsidR="00AD2BA7">
        <w:rPr>
          <w:noProof/>
          <w:szCs w:val="19"/>
          <w:lang w:eastAsia="pl-PL"/>
        </w:rPr>
        <w:t>grup społeczno-ekonomicznych</w:t>
      </w:r>
      <w:r>
        <w:rPr>
          <w:noProof/>
          <w:szCs w:val="19"/>
          <w:lang w:eastAsia="pl-PL"/>
        </w:rPr>
        <w:t xml:space="preserve"> zależy m.in. od aktywności ekonomicznej członków gospodarstwa domowego oraz ich statusu na rynku pracy, co z kolei uzależnione jest chociażby od wieku i poziomu wykształcenia osób tworzących gospodarstwo domowe.</w:t>
      </w:r>
      <w:r w:rsidR="008E7FA8">
        <w:rPr>
          <w:noProof/>
          <w:szCs w:val="19"/>
          <w:lang w:eastAsia="pl-PL"/>
        </w:rPr>
        <w:t xml:space="preserve"> </w:t>
      </w:r>
      <w:r w:rsidR="00AD2BA7">
        <w:rPr>
          <w:noProof/>
          <w:szCs w:val="19"/>
          <w:lang w:eastAsia="pl-PL"/>
        </w:rPr>
        <w:t>S</w:t>
      </w:r>
      <w:r w:rsidR="008E7FA8">
        <w:rPr>
          <w:noProof/>
          <w:szCs w:val="19"/>
          <w:lang w:eastAsia="pl-PL"/>
        </w:rPr>
        <w:t>zczególnie narażon</w:t>
      </w:r>
      <w:r w:rsidR="00AD2BA7">
        <w:rPr>
          <w:noProof/>
          <w:szCs w:val="19"/>
          <w:lang w:eastAsia="pl-PL"/>
        </w:rPr>
        <w:t>e</w:t>
      </w:r>
      <w:r w:rsidR="008E7FA8">
        <w:rPr>
          <w:noProof/>
          <w:szCs w:val="19"/>
          <w:lang w:eastAsia="pl-PL"/>
        </w:rPr>
        <w:t xml:space="preserve"> na ubóstw</w:t>
      </w:r>
      <w:r w:rsidR="00AD2BA7">
        <w:rPr>
          <w:noProof/>
          <w:szCs w:val="19"/>
          <w:lang w:eastAsia="pl-PL"/>
        </w:rPr>
        <w:t>o</w:t>
      </w:r>
      <w:r w:rsidR="008E7FA8">
        <w:rPr>
          <w:noProof/>
          <w:szCs w:val="19"/>
          <w:lang w:eastAsia="pl-PL"/>
        </w:rPr>
        <w:t xml:space="preserve"> skrajne w 2018 r. były gospodarstwa utrzymując</w:t>
      </w:r>
      <w:r w:rsidR="00AD2BA7">
        <w:rPr>
          <w:noProof/>
          <w:szCs w:val="19"/>
          <w:lang w:eastAsia="pl-PL"/>
        </w:rPr>
        <w:t>e</w:t>
      </w:r>
      <w:r w:rsidR="008E7FA8">
        <w:rPr>
          <w:noProof/>
          <w:szCs w:val="19"/>
          <w:lang w:eastAsia="pl-PL"/>
        </w:rPr>
        <w:t xml:space="preserve"> się głównie </w:t>
      </w:r>
      <w:r w:rsidR="008E7FA8" w:rsidRPr="00A036A8">
        <w:rPr>
          <w:noProof/>
          <w:szCs w:val="19"/>
          <w:lang w:eastAsia="pl-PL"/>
        </w:rPr>
        <w:t>z tzw. niezarobkowych źródeł</w:t>
      </w:r>
      <w:r w:rsidR="008E7FA8">
        <w:rPr>
          <w:noProof/>
          <w:szCs w:val="19"/>
          <w:lang w:eastAsia="pl-PL"/>
        </w:rPr>
        <w:t xml:space="preserve">, </w:t>
      </w:r>
      <w:r w:rsidR="008E7FA8" w:rsidRPr="00A036A8">
        <w:rPr>
          <w:noProof/>
          <w:szCs w:val="19"/>
          <w:lang w:eastAsia="pl-PL"/>
        </w:rPr>
        <w:t>w</w:t>
      </w:r>
      <w:r w:rsidR="00F031E7">
        <w:rPr>
          <w:noProof/>
          <w:szCs w:val="19"/>
          <w:lang w:eastAsia="pl-PL"/>
        </w:rPr>
        <w:t> </w:t>
      </w:r>
      <w:r w:rsidR="008E7FA8" w:rsidRPr="00A036A8">
        <w:rPr>
          <w:noProof/>
          <w:szCs w:val="19"/>
          <w:lang w:eastAsia="pl-PL"/>
        </w:rPr>
        <w:t xml:space="preserve">tym przede wszystkim </w:t>
      </w:r>
      <w:r w:rsidR="00145302">
        <w:rPr>
          <w:noProof/>
          <w:szCs w:val="19"/>
          <w:lang w:eastAsia="pl-PL"/>
        </w:rPr>
        <w:t xml:space="preserve">ze </w:t>
      </w:r>
      <w:r w:rsidR="008E7FA8" w:rsidRPr="00A036A8">
        <w:rPr>
          <w:noProof/>
          <w:szCs w:val="19"/>
          <w:lang w:eastAsia="pl-PL"/>
        </w:rPr>
        <w:t>świadczeń społecznych innych niż emerytury i renty (</w:t>
      </w:r>
      <w:r w:rsidR="008E7FA8">
        <w:rPr>
          <w:noProof/>
          <w:szCs w:val="19"/>
          <w:lang w:eastAsia="pl-PL"/>
        </w:rPr>
        <w:t xml:space="preserve">stopa </w:t>
      </w:r>
      <w:r w:rsidR="008E7FA8">
        <w:rPr>
          <w:noProof/>
          <w:szCs w:val="19"/>
          <w:lang w:eastAsia="pl-PL"/>
        </w:rPr>
        <w:lastRenderedPageBreak/>
        <w:t xml:space="preserve">ubóstwa na poziomie </w:t>
      </w:r>
      <w:r w:rsidR="008E7FA8" w:rsidRPr="00A036A8">
        <w:rPr>
          <w:noProof/>
          <w:szCs w:val="19"/>
          <w:lang w:eastAsia="pl-PL"/>
        </w:rPr>
        <w:t>ok. 1</w:t>
      </w:r>
      <w:r w:rsidR="008E7FA8">
        <w:rPr>
          <w:noProof/>
          <w:szCs w:val="19"/>
          <w:lang w:eastAsia="pl-PL"/>
        </w:rPr>
        <w:t>4</w:t>
      </w:r>
      <w:r w:rsidR="008E7FA8" w:rsidRPr="00A036A8">
        <w:rPr>
          <w:noProof/>
          <w:szCs w:val="19"/>
          <w:lang w:eastAsia="pl-PL"/>
        </w:rPr>
        <w:t>%), gospodarstwa domowe rolników (ok. 1</w:t>
      </w:r>
      <w:r w:rsidR="008E7FA8">
        <w:rPr>
          <w:noProof/>
          <w:szCs w:val="19"/>
          <w:lang w:eastAsia="pl-PL"/>
        </w:rPr>
        <w:t>1</w:t>
      </w:r>
      <w:r w:rsidR="008E7FA8" w:rsidRPr="00A036A8">
        <w:rPr>
          <w:noProof/>
          <w:szCs w:val="19"/>
          <w:lang w:eastAsia="pl-PL"/>
        </w:rPr>
        <w:t xml:space="preserve">%) i rencistów (ok. </w:t>
      </w:r>
      <w:r w:rsidR="008E7FA8">
        <w:rPr>
          <w:noProof/>
          <w:szCs w:val="19"/>
          <w:lang w:eastAsia="pl-PL"/>
        </w:rPr>
        <w:t>8</w:t>
      </w:r>
      <w:r w:rsidR="008E7FA8" w:rsidRPr="00A036A8">
        <w:rPr>
          <w:noProof/>
          <w:szCs w:val="19"/>
          <w:lang w:eastAsia="pl-PL"/>
        </w:rPr>
        <w:t>%)</w:t>
      </w:r>
      <w:r w:rsidR="008E7FA8">
        <w:rPr>
          <w:noProof/>
          <w:szCs w:val="19"/>
          <w:lang w:eastAsia="pl-PL"/>
        </w:rPr>
        <w:t>.</w:t>
      </w:r>
      <w:r w:rsidR="00AD2BA7">
        <w:rPr>
          <w:noProof/>
          <w:szCs w:val="19"/>
          <w:lang w:eastAsia="pl-PL"/>
        </w:rPr>
        <w:t xml:space="preserve"> </w:t>
      </w:r>
      <w:r w:rsidR="00E93515">
        <w:rPr>
          <w:noProof/>
          <w:szCs w:val="19"/>
          <w:lang w:eastAsia="pl-PL"/>
        </w:rPr>
        <w:t>Ubóstwem skrajnym dotknięte były przede wszystkim gospodarstwa domowe osób maj</w:t>
      </w:r>
      <w:r w:rsidR="007874A9">
        <w:rPr>
          <w:noProof/>
          <w:szCs w:val="19"/>
          <w:lang w:eastAsia="pl-PL"/>
        </w:rPr>
        <w:t>ą</w:t>
      </w:r>
      <w:r w:rsidR="00E93515">
        <w:rPr>
          <w:noProof/>
          <w:szCs w:val="19"/>
          <w:lang w:eastAsia="pl-PL"/>
        </w:rPr>
        <w:t>cych niski poziom wykształcenia.</w:t>
      </w:r>
      <w:r w:rsidR="00071D41">
        <w:rPr>
          <w:noProof/>
          <w:szCs w:val="19"/>
          <w:lang w:eastAsia="pl-PL"/>
        </w:rPr>
        <w:t xml:space="preserve"> </w:t>
      </w:r>
      <w:r w:rsidR="00E93515">
        <w:rPr>
          <w:noProof/>
          <w:szCs w:val="19"/>
          <w:lang w:eastAsia="pl-PL"/>
        </w:rPr>
        <w:t>Stopa ubóstwa</w:t>
      </w:r>
      <w:r w:rsidR="00B3255C">
        <w:rPr>
          <w:noProof/>
          <w:szCs w:val="19"/>
          <w:lang w:eastAsia="pl-PL"/>
        </w:rPr>
        <w:t xml:space="preserve"> wśród gospodarstw</w:t>
      </w:r>
      <w:r w:rsidR="00E93515">
        <w:rPr>
          <w:noProof/>
          <w:szCs w:val="19"/>
          <w:lang w:eastAsia="pl-PL"/>
        </w:rPr>
        <w:t>, których głowa posiadała wykształcenie co najwyżej gimnazjalne była ponad dwukrotnie wyższa niż przeciętnie i</w:t>
      </w:r>
      <w:r w:rsidR="00071D41">
        <w:rPr>
          <w:noProof/>
          <w:szCs w:val="19"/>
          <w:lang w:eastAsia="pl-PL"/>
        </w:rPr>
        <w:t> </w:t>
      </w:r>
      <w:r w:rsidR="00E93515">
        <w:rPr>
          <w:noProof/>
          <w:szCs w:val="19"/>
          <w:lang w:eastAsia="pl-PL"/>
        </w:rPr>
        <w:t>wyniosła ok.</w:t>
      </w:r>
      <w:r w:rsidR="00071D41">
        <w:rPr>
          <w:noProof/>
          <w:szCs w:val="19"/>
          <w:lang w:eastAsia="pl-PL"/>
        </w:rPr>
        <w:t xml:space="preserve"> </w:t>
      </w:r>
      <w:r w:rsidR="00E93515">
        <w:rPr>
          <w:noProof/>
          <w:szCs w:val="19"/>
          <w:lang w:eastAsia="pl-PL"/>
        </w:rPr>
        <w:t>12%. Wyższy od przeciętnej był również odsetek ubogich w przypadku gospodarstw osób z wykształceniem zasadniczym zawodowym (ponad 8%).</w:t>
      </w:r>
      <w:r w:rsidR="00E52E39">
        <w:rPr>
          <w:noProof/>
          <w:szCs w:val="19"/>
          <w:lang w:eastAsia="pl-PL"/>
        </w:rPr>
        <w:t xml:space="preserve"> Do czynników zwiększających zagrożenie ubóstwe</w:t>
      </w:r>
      <w:r w:rsidR="001778BA">
        <w:rPr>
          <w:noProof/>
          <w:szCs w:val="19"/>
          <w:lang w:eastAsia="pl-PL"/>
        </w:rPr>
        <w:t xml:space="preserve">m należy także zaliczyć obecność osoby niepełnosprawnej w gospodarstwie domowym. Stopa ubóstwa skrajnego </w:t>
      </w:r>
      <w:r w:rsidR="00E1284C">
        <w:rPr>
          <w:noProof/>
          <w:szCs w:val="19"/>
          <w:lang w:eastAsia="pl-PL"/>
        </w:rPr>
        <w:t>w</w:t>
      </w:r>
      <w:r w:rsidR="00CA7A1E">
        <w:rPr>
          <w:noProof/>
          <w:szCs w:val="19"/>
          <w:lang w:eastAsia="pl-PL"/>
        </w:rPr>
        <w:t xml:space="preserve"> </w:t>
      </w:r>
      <w:r w:rsidR="00E1284C">
        <w:rPr>
          <w:noProof/>
          <w:szCs w:val="19"/>
          <w:lang w:eastAsia="pl-PL"/>
        </w:rPr>
        <w:t xml:space="preserve">gospodarstwach domowych </w:t>
      </w:r>
      <w:r w:rsidR="001778BA">
        <w:rPr>
          <w:noProof/>
          <w:szCs w:val="19"/>
          <w:lang w:eastAsia="pl-PL"/>
        </w:rPr>
        <w:t>z co najmniej jedną osobą niepełnosprawną wyniosła ok. 8%, w tym z przynajmniej 1 dzieckiem do lat 16 posiadającym orzeczenie o niepełnosprawności – ok.</w:t>
      </w:r>
      <w:r w:rsidR="00786AE8">
        <w:rPr>
          <w:noProof/>
          <w:szCs w:val="19"/>
          <w:lang w:eastAsia="pl-PL"/>
        </w:rPr>
        <w:t xml:space="preserve"> </w:t>
      </w:r>
      <w:r w:rsidR="001778BA">
        <w:rPr>
          <w:noProof/>
          <w:szCs w:val="19"/>
          <w:lang w:eastAsia="pl-PL"/>
        </w:rPr>
        <w:t>6%.</w:t>
      </w:r>
    </w:p>
    <w:p w:rsidR="008D53FF" w:rsidRDefault="00C05CCE" w:rsidP="00920915">
      <w:pPr>
        <w:spacing w:before="240" w:after="8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Wyższą od średni</w:t>
      </w:r>
      <w:r w:rsidR="001B09A2">
        <w:rPr>
          <w:noProof/>
          <w:szCs w:val="19"/>
          <w:lang w:eastAsia="pl-PL"/>
        </w:rPr>
        <w:t>e</w:t>
      </w:r>
      <w:r>
        <w:rPr>
          <w:noProof/>
          <w:szCs w:val="19"/>
          <w:lang w:eastAsia="pl-PL"/>
        </w:rPr>
        <w:t>j dla Polski stopą ubóstwa skrajnego charakteryzowały się gospodarstwa z</w:t>
      </w:r>
      <w:r w:rsidR="00CB12B9">
        <w:rPr>
          <w:noProof/>
          <w:szCs w:val="19"/>
          <w:lang w:eastAsia="pl-PL"/>
        </w:rPr>
        <w:t> </w:t>
      </w:r>
      <w:r>
        <w:rPr>
          <w:noProof/>
          <w:szCs w:val="19"/>
          <w:lang w:eastAsia="pl-PL"/>
        </w:rPr>
        <w:t>dziećmi. Stopa ubóstwa wśród gospodartw domowych z co najmniej jednym dzieckiem poniżej 18 roku życia wyniosła ponad 6%. W najgorszej sytuacji były gospodarstwa domowe z</w:t>
      </w:r>
      <w:r w:rsidR="00CB12B9">
        <w:rPr>
          <w:noProof/>
          <w:szCs w:val="19"/>
          <w:lang w:eastAsia="pl-PL"/>
        </w:rPr>
        <w:t> </w:t>
      </w:r>
      <w:r>
        <w:rPr>
          <w:noProof/>
          <w:szCs w:val="19"/>
          <w:lang w:eastAsia="pl-PL"/>
        </w:rPr>
        <w:t>co najmniej trójką dzieci (ok.</w:t>
      </w:r>
      <w:r w:rsidR="00CB12B9">
        <w:rPr>
          <w:noProof/>
          <w:szCs w:val="19"/>
          <w:lang w:eastAsia="pl-PL"/>
        </w:rPr>
        <w:t xml:space="preserve"> </w:t>
      </w:r>
      <w:r>
        <w:rPr>
          <w:noProof/>
          <w:szCs w:val="19"/>
          <w:lang w:eastAsia="pl-PL"/>
        </w:rPr>
        <w:t xml:space="preserve">10% osób ubogich). </w:t>
      </w:r>
      <w:r w:rsidR="00B22193">
        <w:rPr>
          <w:noProof/>
          <w:szCs w:val="19"/>
          <w:lang w:eastAsia="pl-PL"/>
        </w:rPr>
        <w:t>W 2018 r. stopa ubóstwa skrajnego wsród dzieci do lat 18 wyniosła 6%.</w:t>
      </w:r>
      <w:r>
        <w:rPr>
          <w:noProof/>
          <w:szCs w:val="19"/>
          <w:lang w:eastAsia="pl-PL"/>
        </w:rPr>
        <w:t xml:space="preserve"> </w:t>
      </w:r>
      <w:r w:rsidR="00B3255C">
        <w:rPr>
          <w:noProof/>
          <w:szCs w:val="19"/>
          <w:lang w:eastAsia="pl-PL"/>
        </w:rPr>
        <w:t>W</w:t>
      </w:r>
      <w:r w:rsidR="00150BC9">
        <w:rPr>
          <w:noProof/>
          <w:szCs w:val="19"/>
          <w:lang w:eastAsia="pl-PL"/>
        </w:rPr>
        <w:t>y</w:t>
      </w:r>
      <w:r w:rsidR="008D53FF">
        <w:rPr>
          <w:noProof/>
          <w:szCs w:val="19"/>
          <w:lang w:eastAsia="pl-PL"/>
        </w:rPr>
        <w:t>datkami niższymi od granicy ubóstwa skrajnego częściej od mieszkańców miast odznaczali się mieszkańcy wsi, gdzie stopa ubóstwa skrajnego osiągnęła w 2018 r. poziom ponad 9% (dla porównania w miastach, w zależności od wielkości</w:t>
      </w:r>
      <w:r w:rsidR="00B3255C">
        <w:rPr>
          <w:noProof/>
          <w:szCs w:val="19"/>
          <w:lang w:eastAsia="pl-PL"/>
        </w:rPr>
        <w:t xml:space="preserve"> </w:t>
      </w:r>
      <w:r w:rsidR="00F74926">
        <w:rPr>
          <w:noProof/>
          <w:szCs w:val="19"/>
          <w:lang w:eastAsia="pl-PL"/>
        </w:rPr>
        <w:t>–</w:t>
      </w:r>
      <w:r w:rsidR="008D53FF">
        <w:rPr>
          <w:noProof/>
          <w:szCs w:val="19"/>
          <w:lang w:eastAsia="pl-PL"/>
        </w:rPr>
        <w:t xml:space="preserve"> od ok.</w:t>
      </w:r>
      <w:r w:rsidR="00CB12B9">
        <w:rPr>
          <w:noProof/>
          <w:szCs w:val="19"/>
          <w:lang w:eastAsia="pl-PL"/>
        </w:rPr>
        <w:t> </w:t>
      </w:r>
      <w:r w:rsidR="008D53FF">
        <w:rPr>
          <w:noProof/>
          <w:szCs w:val="19"/>
          <w:lang w:eastAsia="pl-PL"/>
        </w:rPr>
        <w:t xml:space="preserve">1% do </w:t>
      </w:r>
      <w:r w:rsidR="00B3255C">
        <w:rPr>
          <w:noProof/>
          <w:szCs w:val="19"/>
          <w:lang w:eastAsia="pl-PL"/>
        </w:rPr>
        <w:t xml:space="preserve">ok. </w:t>
      </w:r>
      <w:r w:rsidR="008D53FF">
        <w:rPr>
          <w:noProof/>
          <w:szCs w:val="19"/>
          <w:lang w:eastAsia="pl-PL"/>
        </w:rPr>
        <w:t>5%).</w:t>
      </w:r>
    </w:p>
    <w:p w:rsidR="00A036A8" w:rsidRDefault="00003EB5" w:rsidP="00920915">
      <w:pPr>
        <w:spacing w:before="20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 xml:space="preserve">W 2018 r. najniższe stopy ubóstwa skrajnego </w:t>
      </w:r>
      <w:r w:rsidR="00327420">
        <w:rPr>
          <w:noProof/>
          <w:szCs w:val="19"/>
          <w:lang w:eastAsia="pl-PL"/>
        </w:rPr>
        <w:t>ze względu na gł</w:t>
      </w:r>
      <w:r w:rsidR="001B09A2">
        <w:rPr>
          <w:noProof/>
          <w:szCs w:val="19"/>
          <w:lang w:eastAsia="pl-PL"/>
        </w:rPr>
        <w:t>ó</w:t>
      </w:r>
      <w:r w:rsidR="00327420">
        <w:rPr>
          <w:noProof/>
          <w:szCs w:val="19"/>
          <w:lang w:eastAsia="pl-PL"/>
        </w:rPr>
        <w:t xml:space="preserve">wne źródło utrzymania </w:t>
      </w:r>
      <w:r>
        <w:rPr>
          <w:noProof/>
          <w:szCs w:val="19"/>
          <w:lang w:eastAsia="pl-PL"/>
        </w:rPr>
        <w:t xml:space="preserve">odnotowano natomiast wśród gospodarstw domowych </w:t>
      </w:r>
      <w:r w:rsidR="00A036A8" w:rsidRPr="00A036A8">
        <w:rPr>
          <w:noProof/>
          <w:szCs w:val="19"/>
          <w:lang w:eastAsia="pl-PL"/>
        </w:rPr>
        <w:t>utrzymując</w:t>
      </w:r>
      <w:r w:rsidR="00145302">
        <w:rPr>
          <w:noProof/>
          <w:szCs w:val="19"/>
          <w:lang w:eastAsia="pl-PL"/>
        </w:rPr>
        <w:t xml:space="preserve">ych </w:t>
      </w:r>
      <w:r w:rsidR="00A036A8" w:rsidRPr="00A036A8">
        <w:rPr>
          <w:noProof/>
          <w:szCs w:val="19"/>
          <w:lang w:eastAsia="pl-PL"/>
        </w:rPr>
        <w:t>się z pracy na własny rachunek (ok. 3%)</w:t>
      </w:r>
      <w:r w:rsidR="00327420">
        <w:rPr>
          <w:noProof/>
          <w:szCs w:val="19"/>
          <w:lang w:eastAsia="pl-PL"/>
        </w:rPr>
        <w:t xml:space="preserve">. </w:t>
      </w:r>
      <w:r w:rsidR="00150BC9">
        <w:rPr>
          <w:noProof/>
          <w:szCs w:val="19"/>
          <w:lang w:eastAsia="pl-PL"/>
        </w:rPr>
        <w:t>U</w:t>
      </w:r>
      <w:r w:rsidR="00327420">
        <w:rPr>
          <w:noProof/>
          <w:szCs w:val="19"/>
          <w:lang w:eastAsia="pl-PL"/>
        </w:rPr>
        <w:t xml:space="preserve">bóstwa skrajnego najrzadziej </w:t>
      </w:r>
      <w:r w:rsidR="00150BC9">
        <w:rPr>
          <w:noProof/>
          <w:szCs w:val="19"/>
          <w:lang w:eastAsia="pl-PL"/>
        </w:rPr>
        <w:t>doświadczały</w:t>
      </w:r>
      <w:r w:rsidR="00327420">
        <w:rPr>
          <w:noProof/>
          <w:szCs w:val="19"/>
          <w:lang w:eastAsia="pl-PL"/>
        </w:rPr>
        <w:t xml:space="preserve"> osoby z gospodarstw domowych</w:t>
      </w:r>
      <w:r w:rsidR="00A036A8" w:rsidRPr="00A036A8">
        <w:rPr>
          <w:noProof/>
          <w:szCs w:val="19"/>
          <w:lang w:eastAsia="pl-PL"/>
        </w:rPr>
        <w:t>,</w:t>
      </w:r>
      <w:r w:rsidR="00327420" w:rsidRPr="00327420">
        <w:rPr>
          <w:noProof/>
          <w:szCs w:val="19"/>
          <w:lang w:eastAsia="pl-PL"/>
        </w:rPr>
        <w:t xml:space="preserve"> </w:t>
      </w:r>
      <w:r w:rsidR="00327420" w:rsidRPr="00A036A8">
        <w:rPr>
          <w:noProof/>
          <w:szCs w:val="19"/>
          <w:lang w:eastAsia="pl-PL"/>
        </w:rPr>
        <w:t>w których głowa gospodarstwa posiadała wykształcenie wyższe (ok. 1%)</w:t>
      </w:r>
      <w:r w:rsidR="00327420">
        <w:rPr>
          <w:noProof/>
          <w:szCs w:val="19"/>
          <w:lang w:eastAsia="pl-PL"/>
        </w:rPr>
        <w:t xml:space="preserve">. </w:t>
      </w:r>
      <w:r w:rsidR="00C7499C">
        <w:rPr>
          <w:noProof/>
          <w:szCs w:val="19"/>
          <w:lang w:eastAsia="pl-PL"/>
        </w:rPr>
        <w:t>Niskim poziomem ubóstwa skrajnego (po ok. 2 % osób ubogich) charakteryzowały się też gospodarstwa 1-osobowe, małzeństwa</w:t>
      </w:r>
      <w:r w:rsidR="00ED71DD">
        <w:rPr>
          <w:rStyle w:val="Odwoanieprzypisudolnego"/>
          <w:noProof/>
          <w:szCs w:val="19"/>
          <w:lang w:eastAsia="pl-PL"/>
        </w:rPr>
        <w:footnoteReference w:id="4"/>
      </w:r>
      <w:r w:rsidR="00C7499C">
        <w:rPr>
          <w:noProof/>
          <w:szCs w:val="19"/>
          <w:lang w:eastAsia="pl-PL"/>
        </w:rPr>
        <w:t xml:space="preserve"> bez dzieci lub z 1 dzieckiem na utrzymaniu</w:t>
      </w:r>
      <w:r w:rsidR="00380C23">
        <w:rPr>
          <w:rStyle w:val="Odwoanieprzypisudolnego"/>
          <w:noProof/>
          <w:szCs w:val="19"/>
          <w:lang w:eastAsia="pl-PL"/>
        </w:rPr>
        <w:footnoteReference w:id="5"/>
      </w:r>
      <w:r w:rsidR="00C7499C">
        <w:rPr>
          <w:noProof/>
          <w:szCs w:val="19"/>
          <w:lang w:eastAsia="pl-PL"/>
        </w:rPr>
        <w:t xml:space="preserve">. </w:t>
      </w:r>
      <w:r w:rsidR="00A036A8" w:rsidRPr="00A036A8">
        <w:rPr>
          <w:noProof/>
          <w:szCs w:val="19"/>
          <w:lang w:eastAsia="pl-PL"/>
        </w:rPr>
        <w:t>Niską</w:t>
      </w:r>
      <w:r w:rsidR="00675B16">
        <w:rPr>
          <w:noProof/>
          <w:szCs w:val="19"/>
          <w:lang w:eastAsia="pl-PL"/>
        </w:rPr>
        <w:t> </w:t>
      </w:r>
      <w:r w:rsidR="00A036A8" w:rsidRPr="00A036A8">
        <w:rPr>
          <w:noProof/>
          <w:szCs w:val="19"/>
          <w:lang w:eastAsia="pl-PL"/>
        </w:rPr>
        <w:t>stopę ubóstwa odnotowano wśród mieszkańców dużych miast</w:t>
      </w:r>
      <w:r w:rsidR="00673D6D">
        <w:rPr>
          <w:noProof/>
          <w:szCs w:val="19"/>
          <w:lang w:eastAsia="pl-PL"/>
        </w:rPr>
        <w:t xml:space="preserve">. W miastach liczących co najmniej 500 tys. oraz w miastach </w:t>
      </w:r>
      <w:r w:rsidR="00A036A8" w:rsidRPr="00A036A8">
        <w:rPr>
          <w:noProof/>
          <w:szCs w:val="19"/>
          <w:lang w:eastAsia="pl-PL"/>
        </w:rPr>
        <w:t>o liczbie ludności wynosz</w:t>
      </w:r>
      <w:r w:rsidR="0060333C">
        <w:rPr>
          <w:noProof/>
          <w:szCs w:val="19"/>
          <w:lang w:eastAsia="pl-PL"/>
        </w:rPr>
        <w:t>ą</w:t>
      </w:r>
      <w:r w:rsidR="00A036A8" w:rsidRPr="00A036A8">
        <w:rPr>
          <w:noProof/>
          <w:szCs w:val="19"/>
          <w:lang w:eastAsia="pl-PL"/>
        </w:rPr>
        <w:t xml:space="preserve">cej 200-500 tys. </w:t>
      </w:r>
      <w:r w:rsidR="00673D6D">
        <w:rPr>
          <w:noProof/>
          <w:szCs w:val="19"/>
          <w:lang w:eastAsia="pl-PL"/>
        </w:rPr>
        <w:t xml:space="preserve">skrajnym ubóstwem dotknięta była co setna osoba </w:t>
      </w:r>
      <w:r w:rsidR="00A036A8" w:rsidRPr="00A036A8">
        <w:rPr>
          <w:noProof/>
          <w:szCs w:val="19"/>
          <w:lang w:eastAsia="pl-PL"/>
        </w:rPr>
        <w:t>(ok. 1%)</w:t>
      </w:r>
      <w:r w:rsidR="00673D6D">
        <w:rPr>
          <w:noProof/>
          <w:szCs w:val="19"/>
          <w:lang w:eastAsia="pl-PL"/>
        </w:rPr>
        <w:t>.</w:t>
      </w:r>
    </w:p>
    <w:p w:rsidR="00C54E5E" w:rsidRDefault="00C54E5E" w:rsidP="00920915">
      <w:pPr>
        <w:spacing w:before="200" w:line="240" w:lineRule="auto"/>
        <w:rPr>
          <w:noProof/>
          <w:szCs w:val="19"/>
          <w:lang w:eastAsia="pl-PL"/>
        </w:rPr>
      </w:pPr>
    </w:p>
    <w:p w:rsidR="00334B55" w:rsidRPr="00A036A8" w:rsidRDefault="00334B55" w:rsidP="00920915">
      <w:pPr>
        <w:spacing w:before="200" w:line="240" w:lineRule="auto"/>
        <w:rPr>
          <w:noProof/>
          <w:szCs w:val="19"/>
          <w:lang w:eastAsia="pl-PL"/>
        </w:rPr>
      </w:pPr>
    </w:p>
    <w:p w:rsidR="00E63984" w:rsidRPr="00E63984" w:rsidRDefault="00E63984" w:rsidP="00E63984">
      <w:pPr>
        <w:spacing w:before="240" w:line="240" w:lineRule="auto"/>
        <w:rPr>
          <w:noProof/>
          <w:sz w:val="18"/>
          <w:szCs w:val="19"/>
          <w:lang w:eastAsia="pl-PL"/>
        </w:rPr>
      </w:pPr>
      <w:r w:rsidRPr="00E63984">
        <w:rPr>
          <w:b/>
          <w:noProof/>
          <w:sz w:val="18"/>
          <w:szCs w:val="19"/>
          <w:lang w:eastAsia="pl-PL"/>
        </w:rPr>
        <w:t>Wykres 2. Zasięg ubóstwa skrajnego w 201</w:t>
      </w:r>
      <w:r w:rsidR="00AB1A9B">
        <w:rPr>
          <w:b/>
          <w:noProof/>
          <w:sz w:val="18"/>
          <w:szCs w:val="19"/>
          <w:lang w:eastAsia="pl-PL"/>
        </w:rPr>
        <w:t>7</w:t>
      </w:r>
      <w:r w:rsidRPr="00E63984">
        <w:rPr>
          <w:b/>
          <w:noProof/>
          <w:sz w:val="18"/>
          <w:szCs w:val="19"/>
          <w:lang w:eastAsia="pl-PL"/>
        </w:rPr>
        <w:t xml:space="preserve"> r. i 201</w:t>
      </w:r>
      <w:r w:rsidR="00AB1A9B">
        <w:rPr>
          <w:b/>
          <w:noProof/>
          <w:sz w:val="18"/>
          <w:szCs w:val="19"/>
          <w:lang w:eastAsia="pl-PL"/>
        </w:rPr>
        <w:t>8</w:t>
      </w:r>
      <w:r w:rsidRPr="00E63984">
        <w:rPr>
          <w:b/>
          <w:noProof/>
          <w:sz w:val="18"/>
          <w:szCs w:val="19"/>
          <w:lang w:eastAsia="pl-PL"/>
        </w:rPr>
        <w:t xml:space="preserve"> r. wg grup społeczno-ekonomicznych</w:t>
      </w:r>
    </w:p>
    <w:p w:rsidR="00B15BF3" w:rsidRDefault="00BA0188" w:rsidP="00E63984">
      <w:pPr>
        <w:spacing w:before="240" w:line="240" w:lineRule="auto"/>
        <w:rPr>
          <w:b/>
          <w:noProof/>
          <w:sz w:val="18"/>
          <w:szCs w:val="19"/>
          <w:lang w:eastAsia="pl-PL"/>
        </w:rPr>
      </w:pPr>
      <w:r>
        <w:rPr>
          <w:noProof/>
          <w:szCs w:val="19"/>
          <w:lang w:eastAsia="pl-PL"/>
        </w:rPr>
        <w:pict>
          <v:shape id="_x0000_s1033" type="#_x0000_t202" style="position:absolute;margin-left:414.7pt;margin-top:20.4pt;width:138.45pt;height:115.2pt;z-index:251791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" filled="f" stroked="f">
            <v:textbox style="mso-fit-shape-to-text:t">
              <w:txbxContent>
                <w:p w:rsidR="00456775" w:rsidRPr="00330E56" w:rsidRDefault="00456775" w:rsidP="009D50E2">
                  <w:pPr>
                    <w:rPr>
                      <w:color w:val="001D77"/>
                      <w:sz w:val="18"/>
                    </w:rPr>
                  </w:pPr>
                  <w:r w:rsidRPr="00330E56">
                    <w:rPr>
                      <w:color w:val="001D77"/>
                      <w:sz w:val="18"/>
                    </w:rPr>
                    <w:t>W 201</w:t>
                  </w:r>
                  <w:r>
                    <w:rPr>
                      <w:color w:val="001D77"/>
                      <w:sz w:val="18"/>
                    </w:rPr>
                    <w:t>8</w:t>
                  </w:r>
                  <w:r w:rsidRPr="00330E56">
                    <w:rPr>
                      <w:color w:val="001D77"/>
                      <w:sz w:val="18"/>
                    </w:rPr>
                    <w:t xml:space="preserve"> r. </w:t>
                  </w:r>
                  <w:r>
                    <w:rPr>
                      <w:color w:val="001D77"/>
                      <w:sz w:val="18"/>
                    </w:rPr>
                    <w:t>zaobserwowano wyraźny wzrost wartości wskaźnika ubóstwa skrajnego wśród osób w gospodarstwach utrzymujących się z tzw. niezarobkowych źródeł. Ta grupa należy do najbardziej zagrożonych ubóstwem.</w:t>
                  </w:r>
                </w:p>
              </w:txbxContent>
            </v:textbox>
          </v:shape>
        </w:pict>
      </w:r>
      <w:r w:rsidR="00B15BF3">
        <w:rPr>
          <w:noProof/>
          <w:lang w:eastAsia="pl-PL"/>
        </w:rPr>
        <w:drawing>
          <wp:inline distT="0" distB="0" distL="0" distR="0">
            <wp:extent cx="5040000" cy="3093714"/>
            <wp:effectExtent l="0" t="0" r="8255" b="1206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7A1E" w:rsidRDefault="00CA7A1E" w:rsidP="00E63984">
      <w:pPr>
        <w:spacing w:before="240" w:line="240" w:lineRule="auto"/>
        <w:rPr>
          <w:b/>
          <w:noProof/>
          <w:sz w:val="18"/>
          <w:szCs w:val="19"/>
          <w:lang w:eastAsia="pl-PL"/>
        </w:rPr>
      </w:pPr>
    </w:p>
    <w:p w:rsidR="00E63984" w:rsidRPr="009B1280" w:rsidRDefault="00E63984" w:rsidP="00E63984">
      <w:pPr>
        <w:spacing w:before="240" w:line="240" w:lineRule="auto"/>
        <w:rPr>
          <w:noProof/>
          <w:szCs w:val="19"/>
          <w:vertAlign w:val="superscript"/>
          <w:lang w:eastAsia="pl-PL"/>
        </w:rPr>
      </w:pPr>
      <w:r w:rsidRPr="00E63984">
        <w:rPr>
          <w:b/>
          <w:noProof/>
          <w:sz w:val="18"/>
          <w:szCs w:val="19"/>
          <w:lang w:eastAsia="pl-PL"/>
        </w:rPr>
        <w:lastRenderedPageBreak/>
        <w:t>Wykres 3. Zasięg ubóstwa skrajnego w 201</w:t>
      </w:r>
      <w:r w:rsidR="00AB1A9B">
        <w:rPr>
          <w:b/>
          <w:noProof/>
          <w:sz w:val="18"/>
          <w:szCs w:val="19"/>
          <w:lang w:eastAsia="pl-PL"/>
        </w:rPr>
        <w:t>7 r. i 2018</w:t>
      </w:r>
      <w:r w:rsidRPr="00E63984">
        <w:rPr>
          <w:b/>
          <w:noProof/>
          <w:sz w:val="18"/>
          <w:szCs w:val="19"/>
          <w:lang w:eastAsia="pl-PL"/>
        </w:rPr>
        <w:t xml:space="preserve"> r. wg typów gospodarstw domowych</w:t>
      </w:r>
      <w:r w:rsidR="009B1280">
        <w:rPr>
          <w:b/>
          <w:noProof/>
          <w:sz w:val="18"/>
          <w:szCs w:val="19"/>
          <w:vertAlign w:val="superscript"/>
          <w:lang w:eastAsia="pl-PL"/>
        </w:rPr>
        <w:t>a</w:t>
      </w:r>
    </w:p>
    <w:p w:rsidR="009B1280" w:rsidRDefault="00BA0188" w:rsidP="00C54E5E">
      <w:pPr>
        <w:spacing w:before="240" w:line="240" w:lineRule="auto"/>
        <w:rPr>
          <w:b/>
          <w:noProof/>
          <w:sz w:val="18"/>
          <w:szCs w:val="19"/>
          <w:lang w:eastAsia="pl-PL"/>
        </w:rPr>
      </w:pPr>
      <w:r>
        <w:rPr>
          <w:noProof/>
          <w:szCs w:val="19"/>
          <w:lang w:eastAsia="pl-PL"/>
        </w:rPr>
        <w:pict>
          <v:shape id="_x0000_s1034" type="#_x0000_t202" style="position:absolute;margin-left:414.65pt;margin-top:41.1pt;width:138.45pt;height:79.2pt;z-index:251793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" filled="f" stroked="f">
            <v:textbox style="mso-fit-shape-to-text:t">
              <w:txbxContent>
                <w:p w:rsidR="00456775" w:rsidRPr="00330E56" w:rsidRDefault="00456775" w:rsidP="009D50E2">
                  <w:pPr>
                    <w:rPr>
                      <w:color w:val="001D77"/>
                      <w:sz w:val="18"/>
                    </w:rPr>
                  </w:pPr>
                  <w:r>
                    <w:rPr>
                      <w:color w:val="001D77"/>
                      <w:sz w:val="18"/>
                    </w:rPr>
                    <w:t xml:space="preserve">W porównaniu z 2017 r. odnotowano wzrost stopy ubóstwa skrajnego wśród gospodarstw domowych z dziećmi na utrzymaniu. </w:t>
                  </w:r>
                </w:p>
              </w:txbxContent>
            </v:textbox>
          </v:shape>
        </w:pict>
      </w:r>
      <w:r w:rsidR="00A27261">
        <w:rPr>
          <w:noProof/>
          <w:lang w:eastAsia="pl-PL"/>
        </w:rPr>
        <w:drawing>
          <wp:inline distT="0" distB="0" distL="0" distR="0">
            <wp:extent cx="5122545" cy="2776220"/>
            <wp:effectExtent l="0" t="0" r="1905" b="508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1280" w:rsidRDefault="009B1280" w:rsidP="009B1280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  <w:vertAlign w:val="superscript"/>
        </w:rPr>
        <w:t xml:space="preserve">a </w:t>
      </w:r>
      <w:r>
        <w:rPr>
          <w:sz w:val="14"/>
          <w:szCs w:val="14"/>
        </w:rPr>
        <w:t>Dziecko na utrzymaniu to osoba w wieku 0-14 lat będąca w składzie gospodarstwa domowego lub osoba w wieku 15-25 lat, o ile nie posiada własnego źródła utrzymania i nie pozostaje w związku małżeńskim lub związku nieformalnym.</w:t>
      </w:r>
    </w:p>
    <w:p w:rsidR="009D50E2" w:rsidRDefault="009B1280" w:rsidP="009B1280">
      <w:pPr>
        <w:spacing w:before="0" w:line="240" w:lineRule="auto"/>
        <w:rPr>
          <w:b/>
          <w:noProof/>
          <w:sz w:val="18"/>
          <w:szCs w:val="19"/>
          <w:lang w:eastAsia="pl-PL"/>
        </w:rPr>
      </w:pPr>
      <w:r w:rsidRPr="00574B48">
        <w:rPr>
          <w:sz w:val="14"/>
          <w:szCs w:val="14"/>
        </w:rPr>
        <w:t>W grupie małżeństw uwzględnione zostały także związki nieformalne.</w:t>
      </w:r>
    </w:p>
    <w:p w:rsidR="00E63984" w:rsidRPr="00E63984" w:rsidRDefault="00E63984" w:rsidP="009B1280">
      <w:pPr>
        <w:spacing w:before="360" w:after="160" w:line="259" w:lineRule="auto"/>
        <w:rPr>
          <w:b/>
          <w:noProof/>
          <w:sz w:val="18"/>
          <w:szCs w:val="19"/>
          <w:lang w:eastAsia="pl-PL"/>
        </w:rPr>
      </w:pPr>
      <w:r w:rsidRPr="00E63984">
        <w:rPr>
          <w:b/>
          <w:noProof/>
          <w:sz w:val="18"/>
          <w:szCs w:val="19"/>
          <w:lang w:eastAsia="pl-PL"/>
        </w:rPr>
        <w:t>Wykres 4. Zasięg ubóstwa skrajnego w 201</w:t>
      </w:r>
      <w:r w:rsidR="00AB1A9B">
        <w:rPr>
          <w:b/>
          <w:noProof/>
          <w:sz w:val="18"/>
          <w:szCs w:val="19"/>
          <w:lang w:eastAsia="pl-PL"/>
        </w:rPr>
        <w:t>7</w:t>
      </w:r>
      <w:r w:rsidRPr="00E63984">
        <w:rPr>
          <w:b/>
          <w:noProof/>
          <w:sz w:val="18"/>
          <w:szCs w:val="19"/>
          <w:lang w:eastAsia="pl-PL"/>
        </w:rPr>
        <w:t xml:space="preserve"> r. i 201</w:t>
      </w:r>
      <w:r w:rsidR="00AB1A9B">
        <w:rPr>
          <w:b/>
          <w:noProof/>
          <w:sz w:val="18"/>
          <w:szCs w:val="19"/>
          <w:lang w:eastAsia="pl-PL"/>
        </w:rPr>
        <w:t>8</w:t>
      </w:r>
      <w:r w:rsidRPr="00E63984">
        <w:rPr>
          <w:b/>
          <w:noProof/>
          <w:sz w:val="18"/>
          <w:szCs w:val="19"/>
          <w:lang w:eastAsia="pl-PL"/>
        </w:rPr>
        <w:t xml:space="preserve"> r. w gosp</w:t>
      </w:r>
      <w:r w:rsidR="00EE07FB">
        <w:rPr>
          <w:b/>
          <w:noProof/>
          <w:sz w:val="18"/>
          <w:szCs w:val="19"/>
          <w:lang w:eastAsia="pl-PL"/>
        </w:rPr>
        <w:t>odarstwach domowych z</w:t>
      </w:r>
      <w:r w:rsidR="00080209">
        <w:rPr>
          <w:b/>
          <w:noProof/>
          <w:sz w:val="18"/>
          <w:szCs w:val="19"/>
          <w:lang w:eastAsia="pl-PL"/>
        </w:rPr>
        <w:t xml:space="preserve"> </w:t>
      </w:r>
      <w:r w:rsidR="00EE07FB">
        <w:rPr>
          <w:b/>
          <w:noProof/>
          <w:sz w:val="18"/>
          <w:szCs w:val="19"/>
          <w:lang w:eastAsia="pl-PL"/>
        </w:rPr>
        <w:t>dziećmi w </w:t>
      </w:r>
      <w:r w:rsidRPr="00E63984">
        <w:rPr>
          <w:b/>
          <w:noProof/>
          <w:sz w:val="18"/>
          <w:szCs w:val="19"/>
          <w:lang w:eastAsia="pl-PL"/>
        </w:rPr>
        <w:t>wieku 0-17 lat</w:t>
      </w:r>
    </w:p>
    <w:p w:rsidR="00E63984" w:rsidRPr="00E63984" w:rsidRDefault="00B11721" w:rsidP="00E63984">
      <w:pPr>
        <w:spacing w:before="240" w:line="240" w:lineRule="auto"/>
        <w:rPr>
          <w:noProof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122545" cy="2704123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A0188">
        <w:rPr>
          <w:noProof/>
          <w:szCs w:val="19"/>
          <w:lang w:eastAsia="pl-PL"/>
        </w:rPr>
        <w:pict>
          <v:shape id="_x0000_s1035" type="#_x0000_t202" style="position:absolute;margin-left:410.25pt;margin-top:32.45pt;width:138.45pt;height:103.2pt;z-index:25179545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" filled="f" stroked="f">
            <v:textbox style="mso-fit-shape-to-text:t">
              <w:txbxContent>
                <w:p w:rsidR="00456775" w:rsidRPr="00330E56" w:rsidRDefault="00456775" w:rsidP="009D50E2">
                  <w:pPr>
                    <w:rPr>
                      <w:color w:val="001D77"/>
                      <w:sz w:val="18"/>
                    </w:rPr>
                  </w:pPr>
                  <w:r>
                    <w:rPr>
                      <w:color w:val="001D77"/>
                      <w:sz w:val="18"/>
                    </w:rPr>
                    <w:t>W 2018 zasięg ubóstwa skrajnego wśród gospodarstw domowych z 1 dzieckiem oraz z</w:t>
                  </w:r>
                  <w:r w:rsidR="00BD3992">
                    <w:rPr>
                      <w:color w:val="001D77"/>
                      <w:sz w:val="18"/>
                    </w:rPr>
                    <w:t> </w:t>
                  </w:r>
                  <w:r>
                    <w:rPr>
                      <w:color w:val="001D77"/>
                      <w:sz w:val="18"/>
                    </w:rPr>
                    <w:t>co najmniej 3 dzieci w wieku 0-17 lat zwiększył się po ok. 2 p. proc. i wyniósł odpowiednio 5,5% oraz niecałe 10%.</w:t>
                  </w:r>
                </w:p>
              </w:txbxContent>
            </v:textbox>
          </v:shape>
        </w:pict>
      </w:r>
    </w:p>
    <w:p w:rsidR="0079372F" w:rsidRPr="00A2475E" w:rsidRDefault="00BA0188" w:rsidP="00A27261">
      <w:pPr>
        <w:spacing w:before="240" w:after="160" w:line="259" w:lineRule="auto"/>
        <w:rPr>
          <w:noProof/>
          <w:sz w:val="18"/>
          <w:szCs w:val="19"/>
          <w:lang w:eastAsia="pl-PL"/>
        </w:rPr>
      </w:pPr>
      <w:r>
        <w:rPr>
          <w:noProof/>
          <w:szCs w:val="19"/>
          <w:lang w:eastAsia="pl-PL"/>
        </w:rPr>
        <w:pict>
          <v:shape id="_x0000_s1036" type="#_x0000_t202" style="position:absolute;margin-left:411.75pt;margin-top:27.35pt;width:138.45pt;height:2in;z-index:251797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" filled="f" stroked="f">
            <v:textbox style="mso-fit-shape-to-text:t">
              <w:txbxContent>
                <w:p w:rsidR="00456775" w:rsidRPr="00330E56" w:rsidRDefault="00456775" w:rsidP="00BD3992">
                  <w:pPr>
                    <w:spacing w:before="240" w:line="240" w:lineRule="auto"/>
                    <w:rPr>
                      <w:color w:val="001D77"/>
                      <w:sz w:val="18"/>
                    </w:rPr>
                  </w:pPr>
                  <w:r w:rsidRPr="00BD3992">
                    <w:rPr>
                      <w:color w:val="001D77"/>
                      <w:sz w:val="18"/>
                      <w:szCs w:val="18"/>
                    </w:rPr>
                    <w:t xml:space="preserve">Obserwowany w 2018 r. wzrost zasięgu ubóstwa skrajnego dotyczył różnych grup wieku, w tym dzieci. </w:t>
                  </w:r>
                  <w:r w:rsidRPr="00BD3992">
                    <w:rPr>
                      <w:noProof/>
                      <w:color w:val="001D77"/>
                      <w:sz w:val="18"/>
                      <w:szCs w:val="18"/>
                      <w:lang w:eastAsia="pl-PL"/>
                    </w:rPr>
                    <w:t>W</w:t>
                  </w:r>
                  <w:r w:rsidR="00BD3992" w:rsidRPr="00BD3992">
                    <w:rPr>
                      <w:noProof/>
                      <w:color w:val="001D77"/>
                      <w:sz w:val="18"/>
                      <w:szCs w:val="18"/>
                      <w:lang w:eastAsia="pl-PL"/>
                    </w:rPr>
                    <w:t> </w:t>
                  </w:r>
                  <w:r w:rsidRPr="00BD3992">
                    <w:rPr>
                      <w:noProof/>
                      <w:color w:val="001D77"/>
                      <w:sz w:val="18"/>
                      <w:szCs w:val="18"/>
                      <w:lang w:eastAsia="pl-PL"/>
                    </w:rPr>
                    <w:t>konsekwencji zasięg ubóstwa dzieci i młodzieży poniżej 18 roku życia zwiększył się z niecałych 5% w</w:t>
                  </w:r>
                  <w:r w:rsidR="00BD3992">
                    <w:rPr>
                      <w:noProof/>
                      <w:color w:val="001D77"/>
                      <w:sz w:val="18"/>
                      <w:szCs w:val="18"/>
                      <w:lang w:eastAsia="pl-PL"/>
                    </w:rPr>
                    <w:t> </w:t>
                  </w:r>
                  <w:r w:rsidRPr="00BD3992">
                    <w:rPr>
                      <w:noProof/>
                      <w:color w:val="001D77"/>
                      <w:sz w:val="18"/>
                      <w:szCs w:val="18"/>
                      <w:lang w:eastAsia="pl-PL"/>
                    </w:rPr>
                    <w:t>2017 r. do 6% w 2018 r.</w:t>
                  </w:r>
                </w:p>
              </w:txbxContent>
            </v:textbox>
          </v:shape>
        </w:pict>
      </w:r>
      <w:r w:rsidR="0079372F" w:rsidRPr="00A2475E">
        <w:rPr>
          <w:b/>
          <w:noProof/>
          <w:sz w:val="18"/>
          <w:szCs w:val="19"/>
          <w:lang w:eastAsia="pl-PL"/>
        </w:rPr>
        <w:t>Wykres 5. Zasięg ubóstwa skrajnego w 201</w:t>
      </w:r>
      <w:r w:rsidR="00AB1A9B">
        <w:rPr>
          <w:b/>
          <w:noProof/>
          <w:sz w:val="18"/>
          <w:szCs w:val="19"/>
          <w:lang w:eastAsia="pl-PL"/>
        </w:rPr>
        <w:t>7 r. i 2018</w:t>
      </w:r>
      <w:r w:rsidR="0079372F" w:rsidRPr="00A2475E">
        <w:rPr>
          <w:b/>
          <w:noProof/>
          <w:sz w:val="18"/>
          <w:szCs w:val="19"/>
          <w:lang w:eastAsia="pl-PL"/>
        </w:rPr>
        <w:t xml:space="preserve"> r. wg wieku</w:t>
      </w:r>
      <w:r w:rsidR="00080209">
        <w:rPr>
          <w:b/>
          <w:noProof/>
          <w:sz w:val="18"/>
          <w:szCs w:val="19"/>
          <w:lang w:eastAsia="pl-PL"/>
        </w:rPr>
        <w:t xml:space="preserve"> osób</w:t>
      </w:r>
    </w:p>
    <w:p w:rsidR="00F9358F" w:rsidRDefault="00EE447E" w:rsidP="0079372F">
      <w:pPr>
        <w:spacing w:before="240" w:line="240" w:lineRule="auto"/>
        <w:rPr>
          <w:b/>
          <w:noProof/>
          <w:sz w:val="18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3289</wp:posOffset>
            </wp:positionH>
            <wp:positionV relativeFrom="paragraph">
              <wp:posOffset>49123</wp:posOffset>
            </wp:positionV>
            <wp:extent cx="5040000" cy="2021205"/>
            <wp:effectExtent l="0" t="0" r="8255" b="0"/>
            <wp:wrapTopAndBottom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79372F" w:rsidRPr="00A2475E" w:rsidRDefault="0079372F" w:rsidP="0079372F">
      <w:pPr>
        <w:spacing w:before="240" w:line="240" w:lineRule="auto"/>
        <w:rPr>
          <w:noProof/>
          <w:sz w:val="18"/>
          <w:szCs w:val="19"/>
          <w:lang w:eastAsia="pl-PL"/>
        </w:rPr>
      </w:pPr>
      <w:r w:rsidRPr="00A2475E">
        <w:rPr>
          <w:b/>
          <w:noProof/>
          <w:sz w:val="18"/>
          <w:szCs w:val="19"/>
          <w:lang w:eastAsia="pl-PL"/>
        </w:rPr>
        <w:lastRenderedPageBreak/>
        <w:t>Wykres 6. Zasięg ubóstwa skrajnego w 201</w:t>
      </w:r>
      <w:r w:rsidR="00AB1A9B">
        <w:rPr>
          <w:b/>
          <w:noProof/>
          <w:sz w:val="18"/>
          <w:szCs w:val="19"/>
          <w:lang w:eastAsia="pl-PL"/>
        </w:rPr>
        <w:t>7</w:t>
      </w:r>
      <w:r w:rsidRPr="00A2475E">
        <w:rPr>
          <w:b/>
          <w:noProof/>
          <w:sz w:val="18"/>
          <w:szCs w:val="19"/>
          <w:lang w:eastAsia="pl-PL"/>
        </w:rPr>
        <w:t xml:space="preserve"> r. i 201</w:t>
      </w:r>
      <w:r w:rsidR="00AB1A9B">
        <w:rPr>
          <w:b/>
          <w:noProof/>
          <w:sz w:val="18"/>
          <w:szCs w:val="19"/>
          <w:lang w:eastAsia="pl-PL"/>
        </w:rPr>
        <w:t>8</w:t>
      </w:r>
      <w:r w:rsidRPr="00A2475E">
        <w:rPr>
          <w:b/>
          <w:noProof/>
          <w:sz w:val="18"/>
          <w:szCs w:val="19"/>
          <w:lang w:eastAsia="pl-PL"/>
        </w:rPr>
        <w:t xml:space="preserve"> r. wg obe</w:t>
      </w:r>
      <w:r w:rsidR="00EE07FB">
        <w:rPr>
          <w:b/>
          <w:noProof/>
          <w:sz w:val="18"/>
          <w:szCs w:val="19"/>
          <w:lang w:eastAsia="pl-PL"/>
        </w:rPr>
        <w:t xml:space="preserve">cności osób </w:t>
      </w:r>
      <w:r w:rsidR="00757DDA">
        <w:rPr>
          <w:b/>
          <w:noProof/>
          <w:sz w:val="18"/>
          <w:szCs w:val="19"/>
          <w:lang w:eastAsia="pl-PL"/>
        </w:rPr>
        <w:t>z orzeczeniem o niepełnosprawności</w:t>
      </w:r>
      <w:r w:rsidR="00EE07FB">
        <w:rPr>
          <w:b/>
          <w:noProof/>
          <w:sz w:val="18"/>
          <w:szCs w:val="19"/>
          <w:lang w:eastAsia="pl-PL"/>
        </w:rPr>
        <w:t xml:space="preserve"> w</w:t>
      </w:r>
      <w:r w:rsidR="0029416C">
        <w:rPr>
          <w:b/>
          <w:noProof/>
          <w:sz w:val="18"/>
          <w:szCs w:val="19"/>
          <w:lang w:eastAsia="pl-PL"/>
        </w:rPr>
        <w:t xml:space="preserve"> </w:t>
      </w:r>
      <w:r w:rsidRPr="00A2475E">
        <w:rPr>
          <w:b/>
          <w:noProof/>
          <w:sz w:val="18"/>
          <w:szCs w:val="19"/>
          <w:lang w:eastAsia="pl-PL"/>
        </w:rPr>
        <w:t>gospodarstwie domowym</w:t>
      </w:r>
    </w:p>
    <w:p w:rsidR="00F9358F" w:rsidRDefault="000C040F" w:rsidP="0079372F">
      <w:pPr>
        <w:spacing w:before="240" w:line="240" w:lineRule="auto"/>
        <w:rPr>
          <w:b/>
          <w:noProof/>
          <w:sz w:val="18"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040000" cy="2624329"/>
            <wp:effectExtent l="0" t="0" r="8255" b="508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A0188">
        <w:rPr>
          <w:noProof/>
          <w:szCs w:val="19"/>
          <w:lang w:eastAsia="pl-PL"/>
        </w:rPr>
        <w:pict>
          <v:shape id="_x0000_s1037" type="#_x0000_t202" style="position:absolute;margin-left:414pt;margin-top:37.35pt;width:138.45pt;height:103.2pt;z-index:25179955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" filled="f" stroked="f">
            <v:textbox style="mso-fit-shape-to-text:t">
              <w:txbxContent>
                <w:p w:rsidR="00456775" w:rsidRPr="00B921FC" w:rsidRDefault="00456775" w:rsidP="000E1349">
                  <w:pPr>
                    <w:rPr>
                      <w:color w:val="001D77"/>
                      <w:sz w:val="18"/>
                      <w:szCs w:val="18"/>
                    </w:rPr>
                  </w:pPr>
                  <w:r w:rsidRPr="00B921FC">
                    <w:rPr>
                      <w:color w:val="001D77"/>
                      <w:sz w:val="18"/>
                      <w:szCs w:val="18"/>
                    </w:rPr>
                    <w:t xml:space="preserve">Z nieco ponad 6% </w:t>
                  </w:r>
                  <w:r w:rsidR="00BC7D35" w:rsidRPr="00B921FC">
                    <w:rPr>
                      <w:color w:val="001D77"/>
                      <w:sz w:val="18"/>
                      <w:szCs w:val="18"/>
                    </w:rPr>
                    <w:t xml:space="preserve">w 2017 r. </w:t>
                  </w:r>
                  <w:r w:rsidRPr="00B921FC">
                    <w:rPr>
                      <w:color w:val="001D77"/>
                      <w:sz w:val="18"/>
                      <w:szCs w:val="18"/>
                    </w:rPr>
                    <w:t>do</w:t>
                  </w:r>
                  <w:r w:rsidR="00B921FC" w:rsidRPr="00B921FC">
                    <w:rPr>
                      <w:color w:val="001D77"/>
                      <w:sz w:val="18"/>
                      <w:szCs w:val="18"/>
                    </w:rPr>
                    <w:t> </w:t>
                  </w:r>
                  <w:r w:rsidRPr="00B921FC">
                    <w:rPr>
                      <w:color w:val="001D77"/>
                      <w:sz w:val="18"/>
                      <w:szCs w:val="18"/>
                    </w:rPr>
                    <w:t xml:space="preserve">8% </w:t>
                  </w:r>
                  <w:r w:rsidR="00BC7D35" w:rsidRPr="00B921FC">
                    <w:rPr>
                      <w:color w:val="001D77"/>
                      <w:sz w:val="18"/>
                      <w:szCs w:val="18"/>
                    </w:rPr>
                    <w:t xml:space="preserve">w 2018 r. </w:t>
                  </w:r>
                  <w:r w:rsidRPr="00B921FC">
                    <w:rPr>
                      <w:color w:val="001D77"/>
                      <w:sz w:val="18"/>
                      <w:szCs w:val="18"/>
                    </w:rPr>
                    <w:t xml:space="preserve">wzrosła stopa ubóstwa skrajnego wśród gospodarstw domowych, </w:t>
                  </w:r>
                  <w:r w:rsidRPr="00B921FC">
                    <w:rPr>
                      <w:noProof/>
                      <w:color w:val="001D77"/>
                      <w:sz w:val="18"/>
                      <w:szCs w:val="18"/>
                      <w:lang w:eastAsia="pl-PL"/>
                    </w:rPr>
                    <w:t>w</w:t>
                  </w:r>
                  <w:r w:rsidR="00B921FC" w:rsidRPr="00B921FC">
                    <w:rPr>
                      <w:noProof/>
                      <w:color w:val="001D77"/>
                      <w:sz w:val="18"/>
                      <w:szCs w:val="18"/>
                      <w:lang w:eastAsia="pl-PL"/>
                    </w:rPr>
                    <w:t> </w:t>
                  </w:r>
                  <w:r w:rsidRPr="00B921FC">
                    <w:rPr>
                      <w:noProof/>
                      <w:color w:val="001D77"/>
                      <w:sz w:val="18"/>
                      <w:szCs w:val="18"/>
                      <w:lang w:eastAsia="pl-PL"/>
                    </w:rPr>
                    <w:t>których niepełnosprawna była głowa gospodarstwa domowego.</w:t>
                  </w:r>
                  <w:r w:rsidRPr="00B921FC">
                    <w:rPr>
                      <w:color w:val="001D77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79372F" w:rsidRPr="00A2475E" w:rsidRDefault="0079372F" w:rsidP="0079372F">
      <w:pPr>
        <w:spacing w:before="240" w:line="240" w:lineRule="auto"/>
        <w:rPr>
          <w:noProof/>
          <w:sz w:val="18"/>
          <w:szCs w:val="19"/>
          <w:lang w:eastAsia="pl-PL"/>
        </w:rPr>
      </w:pPr>
      <w:r w:rsidRPr="00A2475E">
        <w:rPr>
          <w:b/>
          <w:noProof/>
          <w:sz w:val="18"/>
          <w:szCs w:val="19"/>
          <w:lang w:eastAsia="pl-PL"/>
        </w:rPr>
        <w:t>Wykres 7. Zasięg ubóstwa skrajnego w 201</w:t>
      </w:r>
      <w:r w:rsidR="00AB1A9B">
        <w:rPr>
          <w:b/>
          <w:noProof/>
          <w:sz w:val="18"/>
          <w:szCs w:val="19"/>
          <w:lang w:eastAsia="pl-PL"/>
        </w:rPr>
        <w:t>7</w:t>
      </w:r>
      <w:r w:rsidRPr="00A2475E">
        <w:rPr>
          <w:b/>
          <w:noProof/>
          <w:sz w:val="18"/>
          <w:szCs w:val="19"/>
          <w:lang w:eastAsia="pl-PL"/>
        </w:rPr>
        <w:t xml:space="preserve"> r. i 201</w:t>
      </w:r>
      <w:r w:rsidR="00AB1A9B">
        <w:rPr>
          <w:b/>
          <w:noProof/>
          <w:sz w:val="18"/>
          <w:szCs w:val="19"/>
          <w:lang w:eastAsia="pl-PL"/>
        </w:rPr>
        <w:t>8</w:t>
      </w:r>
      <w:r w:rsidRPr="00A2475E">
        <w:rPr>
          <w:b/>
          <w:noProof/>
          <w:sz w:val="18"/>
          <w:szCs w:val="19"/>
          <w:lang w:eastAsia="pl-PL"/>
        </w:rPr>
        <w:t xml:space="preserve"> r. wg wykształcenia głowy gospodarstwa domowego</w:t>
      </w:r>
    </w:p>
    <w:p w:rsidR="0079372F" w:rsidRDefault="00EE447E" w:rsidP="000C040F">
      <w:pPr>
        <w:spacing w:before="240" w:line="240" w:lineRule="auto"/>
        <w:rPr>
          <w:b/>
          <w:noProof/>
          <w:sz w:val="18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3289</wp:posOffset>
            </wp:positionH>
            <wp:positionV relativeFrom="paragraph">
              <wp:posOffset>74437</wp:posOffset>
            </wp:positionV>
            <wp:extent cx="5040000" cy="2192269"/>
            <wp:effectExtent l="0" t="0" r="8255" b="0"/>
            <wp:wrapTopAndBottom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BA0188">
        <w:rPr>
          <w:noProof/>
          <w:szCs w:val="19"/>
          <w:lang w:eastAsia="pl-PL"/>
        </w:rPr>
        <w:pict>
          <v:shape id="_x0000_s1038" type="#_x0000_t202" style="position:absolute;margin-left:410.25pt;margin-top:1.95pt;width:138.45pt;height:151.2pt;z-index:25180160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" filled="f" stroked="f">
            <v:textbox style="mso-fit-shape-to-text:t">
              <w:txbxContent>
                <w:p w:rsidR="00456775" w:rsidRPr="00330E56" w:rsidRDefault="00456775" w:rsidP="000E1349">
                  <w:pPr>
                    <w:rPr>
                      <w:color w:val="001D77"/>
                      <w:sz w:val="18"/>
                    </w:rPr>
                  </w:pPr>
                  <w:r>
                    <w:rPr>
                      <w:color w:val="001D77"/>
                      <w:sz w:val="18"/>
                    </w:rPr>
                    <w:t xml:space="preserve">Wykształcenie wyraźnie różnicuje zagrożenie ubóstwem. Najwyższym poziomem oraz najbardziej wyraźnym wzrostem stopy ubóstwa skrajnego charakteryzowały się </w:t>
                  </w:r>
                  <w:r w:rsidR="00BC7D35">
                    <w:rPr>
                      <w:color w:val="001D77"/>
                      <w:sz w:val="18"/>
                    </w:rPr>
                    <w:t>w</w:t>
                  </w:r>
                  <w:r w:rsidR="00095EE8">
                    <w:rPr>
                      <w:color w:val="001D77"/>
                      <w:sz w:val="18"/>
                    </w:rPr>
                    <w:t> </w:t>
                  </w:r>
                  <w:r w:rsidR="00BC7D35">
                    <w:rPr>
                      <w:color w:val="001D77"/>
                      <w:sz w:val="18"/>
                    </w:rPr>
                    <w:t xml:space="preserve">2018 r. </w:t>
                  </w:r>
                  <w:r>
                    <w:rPr>
                      <w:color w:val="001D77"/>
                      <w:sz w:val="18"/>
                    </w:rPr>
                    <w:t>gospodarstwa, w</w:t>
                  </w:r>
                  <w:r w:rsidR="00095EE8">
                    <w:rPr>
                      <w:color w:val="001D77"/>
                      <w:sz w:val="18"/>
                    </w:rPr>
                    <w:t> </w:t>
                  </w:r>
                  <w:r>
                    <w:rPr>
                      <w:color w:val="001D77"/>
                      <w:sz w:val="18"/>
                    </w:rPr>
                    <w:t>których głowa gospodarstwa posiadała wykształcenie co najwyżej gimnazjalne lub zasadnicze zawodowe.</w:t>
                  </w:r>
                </w:p>
              </w:txbxContent>
            </v:textbox>
          </v:shape>
        </w:pict>
      </w:r>
      <w:r w:rsidR="0079372F" w:rsidRPr="00A2475E">
        <w:rPr>
          <w:b/>
          <w:noProof/>
          <w:sz w:val="18"/>
          <w:szCs w:val="19"/>
          <w:lang w:eastAsia="pl-PL"/>
        </w:rPr>
        <w:t>Wykres 8. Zasięg ubóstwa skrajnego w 201</w:t>
      </w:r>
      <w:r w:rsidR="00AB1A9B">
        <w:rPr>
          <w:b/>
          <w:noProof/>
          <w:sz w:val="18"/>
          <w:szCs w:val="19"/>
          <w:lang w:eastAsia="pl-PL"/>
        </w:rPr>
        <w:t>7</w:t>
      </w:r>
      <w:r w:rsidR="0079372F" w:rsidRPr="00A2475E">
        <w:rPr>
          <w:b/>
          <w:noProof/>
          <w:sz w:val="18"/>
          <w:szCs w:val="19"/>
          <w:lang w:eastAsia="pl-PL"/>
        </w:rPr>
        <w:t xml:space="preserve"> r. i 201</w:t>
      </w:r>
      <w:r w:rsidR="00AB1A9B">
        <w:rPr>
          <w:b/>
          <w:noProof/>
          <w:sz w:val="18"/>
          <w:szCs w:val="19"/>
          <w:lang w:eastAsia="pl-PL"/>
        </w:rPr>
        <w:t>8</w:t>
      </w:r>
      <w:r w:rsidR="0079372F" w:rsidRPr="00A2475E">
        <w:rPr>
          <w:b/>
          <w:noProof/>
          <w:sz w:val="18"/>
          <w:szCs w:val="19"/>
          <w:lang w:eastAsia="pl-PL"/>
        </w:rPr>
        <w:t xml:space="preserve"> r. wg klasy miejscowości zamieszkania</w:t>
      </w:r>
    </w:p>
    <w:p w:rsidR="00B841AF" w:rsidRDefault="00BA0188" w:rsidP="0079372F">
      <w:pPr>
        <w:spacing w:before="240" w:line="240" w:lineRule="auto"/>
        <w:rPr>
          <w:noProof/>
          <w:sz w:val="18"/>
          <w:szCs w:val="19"/>
          <w:lang w:eastAsia="pl-PL"/>
        </w:rPr>
      </w:pPr>
      <w:r>
        <w:rPr>
          <w:noProof/>
          <w:szCs w:val="19"/>
          <w:lang w:eastAsia="pl-PL"/>
        </w:rPr>
        <w:pict>
          <v:shape id="_x0000_s1039" type="#_x0000_t202" style="position:absolute;margin-left:414.85pt;margin-top:40.5pt;width:141.5pt;height:115.2pt;z-index:2518036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" filled="f" stroked="f">
            <v:textbox style="mso-fit-shape-to-text:t">
              <w:txbxContent>
                <w:p w:rsidR="00456775" w:rsidRPr="00330E56" w:rsidRDefault="00456775" w:rsidP="000E1349">
                  <w:pPr>
                    <w:rPr>
                      <w:color w:val="001D77"/>
                      <w:sz w:val="18"/>
                    </w:rPr>
                  </w:pPr>
                  <w:r>
                    <w:rPr>
                      <w:color w:val="001D77"/>
                      <w:sz w:val="18"/>
                    </w:rPr>
                    <w:t>W 201</w:t>
                  </w:r>
                  <w:r w:rsidR="004808CA">
                    <w:rPr>
                      <w:color w:val="001D77"/>
                      <w:sz w:val="18"/>
                    </w:rPr>
                    <w:t>8</w:t>
                  </w:r>
                  <w:r>
                    <w:rPr>
                      <w:color w:val="001D77"/>
                      <w:sz w:val="18"/>
                    </w:rPr>
                    <w:t xml:space="preserve"> r. </w:t>
                  </w:r>
                  <w:r w:rsidR="004808CA">
                    <w:rPr>
                      <w:color w:val="001D77"/>
                      <w:sz w:val="18"/>
                    </w:rPr>
                    <w:t xml:space="preserve">wzrost </w:t>
                  </w:r>
                  <w:r>
                    <w:rPr>
                      <w:color w:val="001D77"/>
                      <w:sz w:val="18"/>
                    </w:rPr>
                    <w:t>stop</w:t>
                  </w:r>
                  <w:r w:rsidR="004808CA">
                    <w:rPr>
                      <w:color w:val="001D77"/>
                      <w:sz w:val="18"/>
                    </w:rPr>
                    <w:t>y</w:t>
                  </w:r>
                  <w:r>
                    <w:rPr>
                      <w:color w:val="001D77"/>
                      <w:sz w:val="18"/>
                    </w:rPr>
                    <w:t xml:space="preserve"> ubóstwa skrajnego </w:t>
                  </w:r>
                  <w:r w:rsidR="004808CA">
                    <w:rPr>
                      <w:color w:val="001D77"/>
                      <w:sz w:val="18"/>
                    </w:rPr>
                    <w:t>dotyczył głównie mieszkańców wsi. Wzrosło też ubóstwo w najmniejszych miastach.</w:t>
                  </w:r>
                  <w:r>
                    <w:rPr>
                      <w:color w:val="001D77"/>
                      <w:sz w:val="18"/>
                    </w:rPr>
                    <w:t xml:space="preserve"> </w:t>
                  </w:r>
                  <w:r w:rsidR="001A4EEA">
                    <w:rPr>
                      <w:color w:val="001D77"/>
                      <w:sz w:val="18"/>
                    </w:rPr>
                    <w:t>Nieznacznie zmniejszyła się natomiast stopa ubóstwa skrajnego</w:t>
                  </w:r>
                  <w:r>
                    <w:rPr>
                      <w:color w:val="001D77"/>
                      <w:sz w:val="18"/>
                    </w:rPr>
                    <w:t xml:space="preserve"> w</w:t>
                  </w:r>
                  <w:r w:rsidR="001A4EEA">
                    <w:rPr>
                      <w:color w:val="001D77"/>
                      <w:sz w:val="18"/>
                    </w:rPr>
                    <w:t xml:space="preserve"> </w:t>
                  </w:r>
                  <w:r>
                    <w:rPr>
                      <w:color w:val="001D77"/>
                      <w:sz w:val="18"/>
                    </w:rPr>
                    <w:t xml:space="preserve">największych </w:t>
                  </w:r>
                  <w:r w:rsidR="004808CA">
                    <w:rPr>
                      <w:color w:val="001D77"/>
                      <w:sz w:val="18"/>
                    </w:rPr>
                    <w:t>ośrodkach miejskich</w:t>
                  </w:r>
                  <w:r>
                    <w:rPr>
                      <w:color w:val="001D77"/>
                      <w:sz w:val="18"/>
                    </w:rPr>
                    <w:t>.</w:t>
                  </w:r>
                </w:p>
              </w:txbxContent>
            </v:textbox>
          </v:shape>
        </w:pict>
      </w:r>
      <w:r w:rsidR="000C040F">
        <w:rPr>
          <w:noProof/>
          <w:lang w:eastAsia="pl-PL"/>
        </w:rPr>
        <w:drawing>
          <wp:inline distT="0" distB="0" distL="0" distR="0">
            <wp:extent cx="5040000" cy="2870824"/>
            <wp:effectExtent l="0" t="0" r="8255" b="635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63984" w:rsidRPr="00A2475E" w:rsidRDefault="00E63984" w:rsidP="0079372F">
      <w:pPr>
        <w:spacing w:before="240" w:line="240" w:lineRule="auto"/>
        <w:rPr>
          <w:noProof/>
          <w:sz w:val="18"/>
          <w:szCs w:val="19"/>
          <w:lang w:eastAsia="pl-PL"/>
        </w:rPr>
      </w:pPr>
    </w:p>
    <w:tbl>
      <w:tblPr>
        <w:tblpPr w:leftFromText="141" w:rightFromText="141" w:vertAnchor="text" w:horzAnchor="margin" w:tblpY="47"/>
        <w:tblW w:w="5000" w:type="pct"/>
        <w:tblBorders>
          <w:insideH w:val="single" w:sz="4" w:space="0" w:color="001D77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666"/>
        <w:gridCol w:w="652"/>
        <w:gridCol w:w="653"/>
        <w:gridCol w:w="655"/>
        <w:gridCol w:w="653"/>
        <w:gridCol w:w="652"/>
        <w:gridCol w:w="652"/>
        <w:gridCol w:w="653"/>
        <w:gridCol w:w="657"/>
        <w:gridCol w:w="648"/>
      </w:tblGrid>
      <w:tr w:rsidR="006B4B96" w:rsidRPr="00497639" w:rsidTr="0065082D">
        <w:trPr>
          <w:trHeight w:val="72"/>
        </w:trPr>
        <w:tc>
          <w:tcPr>
            <w:tcW w:w="5000" w:type="pct"/>
            <w:gridSpan w:val="11"/>
            <w:tcBorders>
              <w:bottom w:val="nil"/>
            </w:tcBorders>
          </w:tcPr>
          <w:p w:rsidR="006B4B96" w:rsidRPr="00497639" w:rsidRDefault="006B4B96" w:rsidP="0065082D">
            <w:pPr>
              <w:spacing w:after="200" w:line="240" w:lineRule="atLeast"/>
              <w:rPr>
                <w:rFonts w:eastAsiaTheme="minorEastAsi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Theme="minorEastAsia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Tabl</w:t>
            </w:r>
            <w:r>
              <w:rPr>
                <w:rFonts w:eastAsiaTheme="minorEastAsia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ica </w:t>
            </w:r>
            <w:r w:rsidRPr="00497639">
              <w:rPr>
                <w:rFonts w:eastAsiaTheme="minorEastAsia" w:cs="Arial"/>
                <w:b/>
                <w:bCs/>
                <w:color w:val="000000"/>
                <w:sz w:val="16"/>
                <w:szCs w:val="16"/>
                <w:lang w:eastAsia="pl-PL"/>
              </w:rPr>
              <w:t>1. Granice ubóstwa dla wybranych typów gospodarstw w latach</w:t>
            </w:r>
            <w:r>
              <w:rPr>
                <w:rFonts w:eastAsiaTheme="minorEastAsia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Theme="minorEastAsia"/>
                <w:b/>
                <w:sz w:val="16"/>
                <w:szCs w:val="16"/>
                <w:lang w:eastAsia="pl-PL"/>
              </w:rPr>
              <w:t>2014-2018</w:t>
            </w:r>
            <w:r w:rsidRPr="00497639">
              <w:rPr>
                <w:rFonts w:eastAsiaTheme="minorEastAsia" w:cs="Arial"/>
                <w:b/>
                <w:bCs/>
                <w:i/>
                <w:color w:val="000000"/>
                <w:sz w:val="16"/>
                <w:szCs w:val="16"/>
                <w:vertAlign w:val="superscript"/>
                <w:lang w:eastAsia="pl-PL"/>
              </w:rPr>
              <w:t>a</w:t>
            </w:r>
          </w:p>
        </w:tc>
      </w:tr>
      <w:tr w:rsidR="00496001" w:rsidRPr="00497639" w:rsidTr="00053AA7">
        <w:trPr>
          <w:trHeight w:val="454"/>
        </w:trPr>
        <w:tc>
          <w:tcPr>
            <w:tcW w:w="1015" w:type="pct"/>
            <w:vMerge w:val="restart"/>
            <w:tcBorders>
              <w:top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96001" w:rsidRPr="00497639" w:rsidRDefault="000A0BAD" w:rsidP="00496001">
            <w:pPr>
              <w:spacing w:after="200" w:line="240" w:lineRule="atLeast"/>
              <w:jc w:val="center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Granice ubóstwa</w:t>
            </w:r>
          </w:p>
        </w:tc>
        <w:tc>
          <w:tcPr>
            <w:tcW w:w="1998" w:type="pct"/>
            <w:gridSpan w:val="5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96001" w:rsidRPr="00497639" w:rsidRDefault="00496001" w:rsidP="0065082D">
            <w:pPr>
              <w:spacing w:before="60" w:after="60" w:line="240" w:lineRule="atLeast"/>
              <w:jc w:val="center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Gospodarstwa 1- osobowe</w:t>
            </w:r>
          </w:p>
        </w:tc>
        <w:tc>
          <w:tcPr>
            <w:tcW w:w="1987" w:type="pct"/>
            <w:gridSpan w:val="5"/>
            <w:tcBorders>
              <w:top w:val="nil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496001" w:rsidRPr="00497639" w:rsidRDefault="00496001" w:rsidP="006B4B96">
            <w:pPr>
              <w:spacing w:before="60" w:after="60" w:line="240" w:lineRule="atLeast"/>
              <w:jc w:val="center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Gosp</w:t>
            </w: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odarstwa 4 – osobowe (2 osoby     do</w:t>
            </w: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rosłe + 2</w:t>
            </w: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dzieci do lat 14)</w:t>
            </w:r>
          </w:p>
        </w:tc>
      </w:tr>
      <w:tr w:rsidR="00496001" w:rsidRPr="00497639" w:rsidTr="00053AA7">
        <w:trPr>
          <w:trHeight w:val="454"/>
        </w:trPr>
        <w:tc>
          <w:tcPr>
            <w:tcW w:w="1015" w:type="pct"/>
            <w:vMerge/>
            <w:tcBorders>
              <w:top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96001" w:rsidRPr="00497639" w:rsidRDefault="00496001" w:rsidP="0065082D">
            <w:pPr>
              <w:spacing w:before="60" w:after="60" w:line="240" w:lineRule="atLeast"/>
              <w:jc w:val="center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96001" w:rsidRPr="00B20999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 w:rsidRPr="00B20999"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397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96001" w:rsidRPr="00B20999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 w:rsidRPr="00B20999"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398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96001" w:rsidRPr="00B20999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 w:rsidRPr="00B20999"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399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96001" w:rsidRPr="00B20999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398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96001" w:rsidRPr="00B20999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397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96001" w:rsidRPr="00B20999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 w:rsidRPr="00B20999"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397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96001" w:rsidRPr="00B20999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 w:rsidRPr="00B20999"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398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496001" w:rsidRPr="00B20999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 w:rsidRPr="00B20999"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400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496001" w:rsidRPr="00B20999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395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496001" w:rsidRDefault="00496001" w:rsidP="0065082D">
            <w:pPr>
              <w:spacing w:before="60" w:after="60" w:line="240" w:lineRule="atLeast"/>
              <w:jc w:val="center"/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Theme="minorEastAsia" w:cs="Arial"/>
                <w:color w:val="000000"/>
                <w:sz w:val="16"/>
                <w:szCs w:val="16"/>
                <w:lang w:eastAsia="pl-PL"/>
              </w:rPr>
              <w:t>2018</w:t>
            </w:r>
          </w:p>
        </w:tc>
      </w:tr>
      <w:tr w:rsidR="00496001" w:rsidRPr="00497639" w:rsidTr="00053AA7">
        <w:trPr>
          <w:trHeight w:val="454"/>
        </w:trPr>
        <w:tc>
          <w:tcPr>
            <w:tcW w:w="1015" w:type="pct"/>
            <w:vMerge/>
            <w:tcBorders>
              <w:top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496001" w:rsidRPr="00497639" w:rsidRDefault="00496001" w:rsidP="00954B54">
            <w:pPr>
              <w:spacing w:before="60" w:after="60" w:line="240" w:lineRule="atLeast"/>
              <w:ind w:left="57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85" w:type="pct"/>
            <w:gridSpan w:val="10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496001" w:rsidRPr="00E16821" w:rsidRDefault="00496001" w:rsidP="00496001">
            <w:pPr>
              <w:spacing w:before="60" w:after="60" w:line="240" w:lineRule="atLeast"/>
              <w:jc w:val="center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</w:tr>
      <w:tr w:rsidR="00053AA7" w:rsidRPr="00497639" w:rsidTr="00053AA7">
        <w:trPr>
          <w:trHeight w:val="454"/>
        </w:trPr>
        <w:tc>
          <w:tcPr>
            <w:tcW w:w="1015" w:type="pct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53AA7" w:rsidRPr="00497639" w:rsidRDefault="00053AA7" w:rsidP="00053AA7">
            <w:pPr>
              <w:spacing w:before="60" w:after="60" w:line="240" w:lineRule="atLeast"/>
              <w:ind w:left="170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Skrajnego (minimum egzystencji)</w:t>
            </w:r>
          </w:p>
        </w:tc>
        <w:tc>
          <w:tcPr>
            <w:tcW w:w="406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397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398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399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398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397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E16821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1458</w:t>
            </w:r>
          </w:p>
        </w:tc>
        <w:tc>
          <w:tcPr>
            <w:tcW w:w="397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E16821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1472</w:t>
            </w:r>
          </w:p>
        </w:tc>
        <w:tc>
          <w:tcPr>
            <w:tcW w:w="398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E16821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1486</w:t>
            </w:r>
          </w:p>
        </w:tc>
        <w:tc>
          <w:tcPr>
            <w:tcW w:w="400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1571</w:t>
            </w:r>
          </w:p>
        </w:tc>
        <w:tc>
          <w:tcPr>
            <w:tcW w:w="395" w:type="pct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1606</w:t>
            </w:r>
          </w:p>
        </w:tc>
      </w:tr>
      <w:tr w:rsidR="00053AA7" w:rsidRPr="00497639" w:rsidTr="00393B98">
        <w:trPr>
          <w:trHeight w:val="454"/>
        </w:trPr>
        <w:tc>
          <w:tcPr>
            <w:tcW w:w="1015" w:type="pct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53AA7" w:rsidRPr="00497639" w:rsidRDefault="00053AA7" w:rsidP="00053AA7">
            <w:pPr>
              <w:spacing w:before="60" w:after="60" w:line="240" w:lineRule="atLeast"/>
              <w:ind w:left="170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Relatywnego</w:t>
            </w:r>
          </w:p>
        </w:tc>
        <w:tc>
          <w:tcPr>
            <w:tcW w:w="406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397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398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399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398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397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E16821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1926</w:t>
            </w:r>
          </w:p>
        </w:tc>
        <w:tc>
          <w:tcPr>
            <w:tcW w:w="397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E16821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1982</w:t>
            </w:r>
          </w:p>
        </w:tc>
        <w:tc>
          <w:tcPr>
            <w:tcW w:w="398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E16821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2080</w:t>
            </w:r>
          </w:p>
        </w:tc>
        <w:tc>
          <w:tcPr>
            <w:tcW w:w="400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2157</w:t>
            </w:r>
          </w:p>
        </w:tc>
        <w:tc>
          <w:tcPr>
            <w:tcW w:w="395" w:type="pct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053AA7" w:rsidRPr="00E16821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2187</w:t>
            </w:r>
          </w:p>
        </w:tc>
      </w:tr>
      <w:tr w:rsidR="00053AA7" w:rsidRPr="00497639" w:rsidTr="00393B98">
        <w:trPr>
          <w:trHeight w:val="454"/>
        </w:trPr>
        <w:tc>
          <w:tcPr>
            <w:tcW w:w="1015" w:type="pct"/>
            <w:tcBorders>
              <w:top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:rsidR="00053AA7" w:rsidRPr="00497639" w:rsidRDefault="00053AA7" w:rsidP="00053AA7">
            <w:pPr>
              <w:spacing w:before="60" w:after="60" w:line="240" w:lineRule="atLeast"/>
              <w:ind w:left="170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Ustawowego</w:t>
            </w:r>
            <w:r w:rsidRPr="00E16821">
              <w:rPr>
                <w:rFonts w:eastAsia="Calibri" w:cs="Arial"/>
                <w:color w:val="000000"/>
                <w:sz w:val="16"/>
                <w:szCs w:val="16"/>
                <w:vertAlign w:val="superscript"/>
                <w:lang w:eastAsia="pl-PL"/>
              </w:rPr>
              <w:t>b</w:t>
            </w:r>
          </w:p>
        </w:tc>
        <w:tc>
          <w:tcPr>
            <w:tcW w:w="406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397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398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399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398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397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1824</w:t>
            </w:r>
          </w:p>
        </w:tc>
        <w:tc>
          <w:tcPr>
            <w:tcW w:w="397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2056</w:t>
            </w:r>
          </w:p>
        </w:tc>
        <w:tc>
          <w:tcPr>
            <w:tcW w:w="398" w:type="pct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2056</w:t>
            </w:r>
          </w:p>
        </w:tc>
        <w:tc>
          <w:tcPr>
            <w:tcW w:w="400" w:type="pct"/>
            <w:tcBorders>
              <w:top w:val="single" w:sz="4" w:space="0" w:color="001D77"/>
              <w:left w:val="single" w:sz="4" w:space="0" w:color="001D77"/>
              <w:bottom w:val="nil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2056</w:t>
            </w:r>
          </w:p>
        </w:tc>
        <w:tc>
          <w:tcPr>
            <w:tcW w:w="395" w:type="pct"/>
            <w:tcBorders>
              <w:top w:val="single" w:sz="4" w:space="0" w:color="001D77"/>
              <w:left w:val="single" w:sz="4" w:space="0" w:color="001D77"/>
              <w:bottom w:val="nil"/>
            </w:tcBorders>
            <w:shd w:val="clear" w:color="auto" w:fill="auto"/>
            <w:vAlign w:val="center"/>
          </w:tcPr>
          <w:p w:rsidR="00053AA7" w:rsidRPr="00497639" w:rsidRDefault="00053AA7" w:rsidP="00053AA7">
            <w:pPr>
              <w:spacing w:before="60" w:after="60" w:line="240" w:lineRule="atLeast"/>
              <w:jc w:val="right"/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>2112</w:t>
            </w:r>
          </w:p>
        </w:tc>
      </w:tr>
      <w:tr w:rsidR="006B4B96" w:rsidRPr="00497639" w:rsidTr="00393B98">
        <w:trPr>
          <w:trHeight w:val="947"/>
        </w:trPr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6B4B96" w:rsidRPr="00497639" w:rsidRDefault="006B4B96" w:rsidP="00393B98">
            <w:pPr>
              <w:spacing w:after="0" w:line="240" w:lineRule="atLeast"/>
              <w:jc w:val="both"/>
              <w:rPr>
                <w:rFonts w:eastAsia="Calibri" w:cs="Arial"/>
                <w:i/>
                <w:sz w:val="16"/>
                <w:szCs w:val="16"/>
                <w:lang w:eastAsia="pl-PL"/>
              </w:rPr>
            </w:pPr>
            <w:r w:rsidRPr="00497639">
              <w:rPr>
                <w:rFonts w:eastAsia="Calibri" w:cs="Arial"/>
                <w:i/>
                <w:sz w:val="16"/>
                <w:szCs w:val="16"/>
                <w:vertAlign w:val="superscript"/>
                <w:lang w:eastAsia="pl-PL"/>
              </w:rPr>
              <w:t>a</w:t>
            </w:r>
            <w:r w:rsidRPr="00497639">
              <w:rPr>
                <w:rFonts w:eastAsia="Calibri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497639">
              <w:rPr>
                <w:rFonts w:eastAsia="Calibri" w:cs="Arial"/>
                <w:sz w:val="16"/>
                <w:szCs w:val="16"/>
                <w:lang w:eastAsia="pl-PL"/>
              </w:rPr>
              <w:t>Poziom granic w IV kwartale.</w:t>
            </w:r>
          </w:p>
          <w:p w:rsidR="006B4B96" w:rsidRDefault="006B4B96" w:rsidP="00AF6A14">
            <w:pPr>
              <w:spacing w:after="0" w:line="240" w:lineRule="atLeast"/>
              <w:jc w:val="both"/>
              <w:rPr>
                <w:rFonts w:eastAsia="Calibri" w:cs="Arial"/>
                <w:i/>
                <w:sz w:val="16"/>
                <w:szCs w:val="16"/>
                <w:vertAlign w:val="superscript"/>
                <w:lang w:eastAsia="pl-PL"/>
              </w:rPr>
            </w:pPr>
            <w:r w:rsidRPr="00497639">
              <w:rPr>
                <w:rFonts w:eastAsia="Calibri" w:cs="Arial"/>
                <w:i/>
                <w:sz w:val="16"/>
                <w:szCs w:val="16"/>
                <w:vertAlign w:val="superscript"/>
                <w:lang w:eastAsia="pl-PL"/>
              </w:rPr>
              <w:t>b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 xml:space="preserve"> Dla osoby samotnie gospodarującej próg ubóstwa wynosił: od października 2012 r. do września 2015 r. </w:t>
            </w:r>
            <w:r w:rsidR="00A2273C">
              <w:rPr>
                <w:rFonts w:eastAsia="Calibri" w:cs="Arial"/>
                <w:sz w:val="16"/>
                <w:szCs w:val="16"/>
                <w:lang w:eastAsia="pl-PL"/>
              </w:rPr>
              <w:t xml:space="preserve">                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>–</w:t>
            </w:r>
            <w:r w:rsidR="00A2273C">
              <w:rPr>
                <w:rFonts w:eastAsia="Calibri" w:cs="Arial"/>
                <w:sz w:val="16"/>
                <w:szCs w:val="16"/>
                <w:lang w:eastAsia="pl-PL"/>
              </w:rPr>
              <w:t xml:space="preserve"> 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>542</w:t>
            </w:r>
            <w:r w:rsidR="00A2273C">
              <w:rPr>
                <w:rFonts w:eastAsia="Calibri" w:cs="Arial"/>
                <w:sz w:val="16"/>
                <w:szCs w:val="16"/>
                <w:lang w:eastAsia="pl-PL"/>
              </w:rPr>
              <w:t xml:space="preserve"> 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>zł</w:t>
            </w:r>
            <w:r w:rsidR="00057F3F">
              <w:rPr>
                <w:rFonts w:eastAsia="Calibri" w:cs="Arial"/>
                <w:sz w:val="16"/>
                <w:szCs w:val="16"/>
                <w:lang w:eastAsia="pl-PL"/>
              </w:rPr>
              <w:t>,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 xml:space="preserve"> od października 2015 r. </w:t>
            </w:r>
            <w:r w:rsidR="00057F3F">
              <w:rPr>
                <w:rFonts w:eastAsia="Calibri" w:cs="Arial"/>
                <w:sz w:val="16"/>
                <w:szCs w:val="16"/>
                <w:lang w:eastAsia="pl-PL"/>
              </w:rPr>
              <w:t>do września 2018 r.</w:t>
            </w:r>
            <w:r w:rsidR="00A2273C">
              <w:rPr>
                <w:rFonts w:eastAsia="Calibri" w:cs="Arial"/>
                <w:sz w:val="16"/>
                <w:szCs w:val="16"/>
                <w:lang w:eastAsia="pl-PL"/>
              </w:rPr>
              <w:t xml:space="preserve"> 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>– 634 zł</w:t>
            </w:r>
            <w:r w:rsidR="00057F3F">
              <w:rPr>
                <w:rFonts w:eastAsia="Calibri" w:cs="Arial"/>
                <w:sz w:val="16"/>
                <w:szCs w:val="16"/>
                <w:lang w:eastAsia="pl-PL"/>
              </w:rPr>
              <w:t xml:space="preserve">, a od października 2018 r. </w:t>
            </w:r>
            <w:r w:rsidR="00A2273C" w:rsidRPr="00497639">
              <w:rPr>
                <w:rFonts w:eastAsia="Calibri" w:cs="Arial"/>
                <w:sz w:val="16"/>
                <w:szCs w:val="16"/>
                <w:lang w:eastAsia="pl-PL"/>
              </w:rPr>
              <w:t>–</w:t>
            </w:r>
            <w:r w:rsidR="00A2273C">
              <w:rPr>
                <w:rFonts w:eastAsia="Calibri" w:cs="Arial"/>
                <w:sz w:val="16"/>
                <w:szCs w:val="16"/>
                <w:lang w:eastAsia="pl-PL"/>
              </w:rPr>
              <w:t xml:space="preserve"> </w:t>
            </w:r>
            <w:r w:rsidR="00057F3F">
              <w:rPr>
                <w:rFonts w:eastAsia="Calibri" w:cs="Arial"/>
                <w:sz w:val="16"/>
                <w:szCs w:val="16"/>
                <w:lang w:eastAsia="pl-PL"/>
              </w:rPr>
              <w:t>701 zł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>. Dla osoby</w:t>
            </w:r>
            <w:r w:rsidR="007874A9">
              <w:rPr>
                <w:rFonts w:eastAsia="Calibri" w:cs="Arial"/>
                <w:sz w:val="16"/>
                <w:szCs w:val="16"/>
                <w:lang w:eastAsia="pl-PL"/>
              </w:rPr>
              <w:t xml:space="preserve"> 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>w</w:t>
            </w:r>
            <w:r w:rsidR="007874A9">
              <w:rPr>
                <w:rFonts w:eastAsia="Calibri" w:cs="Arial"/>
                <w:sz w:val="16"/>
                <w:szCs w:val="16"/>
                <w:lang w:eastAsia="pl-PL"/>
              </w:rPr>
              <w:t> 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>gospodarstwie wieloosobowym próg ubóstwa wynosił: od października 2012 r. do września 2015 r. – 456</w:t>
            </w:r>
            <w:r w:rsidR="003D5C58">
              <w:rPr>
                <w:rFonts w:eastAsia="Calibri" w:cs="Arial"/>
                <w:sz w:val="16"/>
                <w:szCs w:val="16"/>
                <w:lang w:eastAsia="pl-PL"/>
              </w:rPr>
              <w:t xml:space="preserve"> zł.</w:t>
            </w:r>
            <w:r w:rsidR="00057F3F">
              <w:rPr>
                <w:rFonts w:eastAsia="Calibri" w:cs="Arial"/>
                <w:sz w:val="16"/>
                <w:szCs w:val="16"/>
                <w:lang w:eastAsia="pl-PL"/>
              </w:rPr>
              <w:t>,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 xml:space="preserve"> od</w:t>
            </w:r>
            <w:r w:rsidR="005574AD">
              <w:rPr>
                <w:rFonts w:eastAsia="Calibri" w:cs="Arial"/>
                <w:sz w:val="16"/>
                <w:szCs w:val="16"/>
                <w:lang w:eastAsia="pl-PL"/>
              </w:rPr>
              <w:t> 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 xml:space="preserve">października 2015 r. </w:t>
            </w:r>
            <w:r w:rsidR="00057F3F">
              <w:rPr>
                <w:rFonts w:eastAsia="Calibri" w:cs="Arial"/>
                <w:sz w:val="16"/>
                <w:szCs w:val="16"/>
                <w:lang w:eastAsia="pl-PL"/>
              </w:rPr>
              <w:t>do września 2018 r.</w:t>
            </w:r>
            <w:r w:rsidR="00A81781">
              <w:rPr>
                <w:rFonts w:eastAsia="Calibri" w:cs="Arial"/>
                <w:sz w:val="16"/>
                <w:szCs w:val="16"/>
                <w:lang w:eastAsia="pl-PL"/>
              </w:rPr>
              <w:t xml:space="preserve"> </w:t>
            </w:r>
            <w:r w:rsidR="00334B55" w:rsidRPr="00497639">
              <w:rPr>
                <w:rFonts w:eastAsia="Calibri" w:cs="Arial"/>
                <w:sz w:val="16"/>
                <w:szCs w:val="16"/>
                <w:lang w:eastAsia="pl-PL"/>
              </w:rPr>
              <w:t>–</w:t>
            </w:r>
            <w:r w:rsidR="00057F3F" w:rsidRPr="00497639">
              <w:rPr>
                <w:rFonts w:eastAsia="Calibri" w:cs="Arial"/>
                <w:sz w:val="16"/>
                <w:szCs w:val="16"/>
                <w:lang w:eastAsia="pl-PL"/>
              </w:rPr>
              <w:t xml:space="preserve"> 514 zł</w:t>
            </w:r>
            <w:r w:rsidR="00057F3F">
              <w:rPr>
                <w:rFonts w:eastAsia="Calibri" w:cs="Arial"/>
                <w:sz w:val="16"/>
                <w:szCs w:val="16"/>
                <w:lang w:eastAsia="pl-PL"/>
              </w:rPr>
              <w:t xml:space="preserve">, a od października 2018 r. </w:t>
            </w:r>
            <w:r w:rsidR="00334B55" w:rsidRPr="00497639">
              <w:rPr>
                <w:rFonts w:eastAsia="Calibri" w:cs="Arial"/>
                <w:sz w:val="16"/>
                <w:szCs w:val="16"/>
                <w:lang w:eastAsia="pl-PL"/>
              </w:rPr>
              <w:t>–</w:t>
            </w:r>
            <w:r w:rsidR="00334B55">
              <w:rPr>
                <w:rFonts w:eastAsia="Calibri" w:cs="Arial"/>
                <w:sz w:val="16"/>
                <w:szCs w:val="16"/>
                <w:lang w:eastAsia="pl-PL"/>
              </w:rPr>
              <w:t xml:space="preserve"> </w:t>
            </w:r>
            <w:r w:rsidR="00057F3F">
              <w:rPr>
                <w:rFonts w:eastAsia="Calibri" w:cs="Arial"/>
                <w:sz w:val="16"/>
                <w:szCs w:val="16"/>
                <w:lang w:eastAsia="pl-PL"/>
              </w:rPr>
              <w:t>528 zł.</w:t>
            </w:r>
          </w:p>
        </w:tc>
      </w:tr>
    </w:tbl>
    <w:p w:rsidR="00391B62" w:rsidRDefault="00391B62" w:rsidP="008A720C">
      <w:pPr>
        <w:spacing w:before="240" w:line="240" w:lineRule="auto"/>
        <w:rPr>
          <w:noProof/>
          <w:szCs w:val="19"/>
          <w:lang w:eastAsia="pl-PL"/>
        </w:rPr>
      </w:pPr>
    </w:p>
    <w:p w:rsidR="00391B62" w:rsidRPr="008A720C" w:rsidRDefault="00391B62" w:rsidP="008A720C">
      <w:pPr>
        <w:spacing w:before="240" w:line="240" w:lineRule="auto"/>
        <w:rPr>
          <w:noProof/>
          <w:szCs w:val="19"/>
          <w:lang w:eastAsia="pl-PL"/>
        </w:rPr>
        <w:sectPr w:rsidR="00391B62" w:rsidRPr="008A720C" w:rsidSect="00EF7B36">
          <w:headerReference w:type="default" r:id="rId19"/>
          <w:footerReference w:type="default" r:id="rId20"/>
          <w:headerReference w:type="first" r:id="rId21"/>
          <w:footerReference w:type="first" r:id="rId22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803892" w:rsidTr="00106181">
        <w:trPr>
          <w:trHeight w:val="1912"/>
        </w:trPr>
        <w:tc>
          <w:tcPr>
            <w:tcW w:w="4248" w:type="dxa"/>
          </w:tcPr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F93B25" w:rsidRDefault="00F93B25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Departament Badań Społecznych </w:t>
            </w:r>
          </w:p>
          <w:p w:rsidR="00883763" w:rsidRDefault="00F93B25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i Warunków życia</w:t>
            </w:r>
          </w:p>
          <w:p w:rsidR="00DB65D4" w:rsidRPr="008F3638" w:rsidRDefault="00DB65D4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Wydział </w:t>
            </w:r>
            <w:r w:rsidR="00C348B0">
              <w:rPr>
                <w:rFonts w:cs="Arial"/>
                <w:b/>
                <w:color w:val="000000" w:themeColor="text1"/>
                <w:sz w:val="20"/>
              </w:rPr>
              <w:t xml:space="preserve">Badań i Analiz Jakości Życia </w:t>
            </w:r>
            <w:r w:rsidR="005D5F71">
              <w:rPr>
                <w:rFonts w:cs="Arial"/>
                <w:b/>
                <w:color w:val="000000" w:themeColor="text1"/>
                <w:sz w:val="20"/>
              </w:rPr>
              <w:t xml:space="preserve">                    </w:t>
            </w:r>
            <w:r w:rsidR="00C348B0">
              <w:rPr>
                <w:rFonts w:cs="Arial"/>
                <w:b/>
                <w:color w:val="000000" w:themeColor="text1"/>
                <w:sz w:val="20"/>
              </w:rPr>
              <w:t>i Kapitału Społecznego</w:t>
            </w:r>
          </w:p>
          <w:p w:rsidR="00883763" w:rsidRPr="00F93B25" w:rsidRDefault="00C348B0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Kontakt: </w:t>
            </w:r>
            <w:r w:rsidR="00883763" w:rsidRPr="00F93B25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Anna B</w:t>
            </w:r>
            <w:r w:rsidR="00F93B25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ieńkuńska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D07E4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</w:t>
            </w:r>
            <w:r w:rsidR="00F93B2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21</w:t>
            </w:r>
          </w:p>
          <w:p w:rsidR="00883763" w:rsidRPr="008F363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03892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3" w:history="1">
              <w:r w:rsidR="00F93B25" w:rsidRPr="00803892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</w:rPr>
                <w:t>a.bienkunska@stat.gov.pl</w:t>
              </w:r>
            </w:hyperlink>
          </w:p>
        </w:tc>
        <w:tc>
          <w:tcPr>
            <w:tcW w:w="3819" w:type="dxa"/>
          </w:tcPr>
          <w:p w:rsidR="00102C97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8F363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883763" w:rsidRPr="008F363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267AB1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A33F84">
            <w:pPr>
              <w:ind w:left="142"/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D07E4A" w:rsidP="00A33F84">
            <w:pPr>
              <w:ind w:left="142"/>
              <w:rPr>
                <w:sz w:val="20"/>
              </w:rPr>
            </w:pPr>
            <w:r w:rsidRPr="00D07E4A"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097840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0470AA" w:rsidRPr="00C91687">
              <w:rPr>
                <w:sz w:val="20"/>
              </w:rPr>
              <w:t xml:space="preserve">04 </w:t>
            </w:r>
          </w:p>
          <w:p w:rsidR="000470AA" w:rsidRPr="00685123" w:rsidRDefault="000470AA" w:rsidP="00A33F84">
            <w:pPr>
              <w:ind w:left="142"/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5" w:history="1">
              <w:r w:rsidRPr="00267AB1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BA0188" w:rsidP="000470AA">
            <w:pPr>
              <w:rPr>
                <w:sz w:val="18"/>
              </w:rPr>
            </w:pPr>
            <w:hyperlink r:id="rId27" w:history="1">
              <w:r w:rsidR="00267AB1" w:rsidRPr="00783FEA">
                <w:rPr>
                  <w:sz w:val="20"/>
                  <w:szCs w:val="20"/>
                </w:rPr>
                <w:t>http://stat.gov.pl/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D07E4A" w:rsidP="000470AA">
            <w:pPr>
              <w:rPr>
                <w:sz w:val="18"/>
              </w:rPr>
            </w:pPr>
            <w:r>
              <w:rPr>
                <w:sz w:val="20"/>
              </w:rPr>
              <w:t>@GUS_STA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BA0188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40" type="#_x0000_t202" style="position:absolute;margin-left:1.25pt;margin-top:34.55pt;width:516.5pt;height:315.4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" fillcolor="#f2f2f2 [3052]" strokecolor="white [3212]">
            <v:textbox>
              <w:txbxContent>
                <w:p w:rsidR="00456775" w:rsidRPr="006761A7" w:rsidRDefault="00456775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456775" w:rsidRPr="00B1188B" w:rsidRDefault="005A14B0" w:rsidP="00883763">
                  <w:pPr>
                    <w:rPr>
                      <w:color w:val="001D77"/>
                      <w:u w:val="single"/>
                    </w:rPr>
                  </w:pPr>
                  <w:r w:rsidRPr="00B1188B">
                    <w:rPr>
                      <w:color w:val="001D77"/>
                      <w:u w:val="single"/>
                    </w:rPr>
                    <w:t>Informacja sygnalna „Sytuacja gospodarstw domowych w 2018 r. w świetle wyników badania budżetów gospodarstw domowych”</w:t>
                  </w:r>
                </w:p>
                <w:p w:rsidR="005A14B0" w:rsidRPr="000C040F" w:rsidRDefault="005A14B0" w:rsidP="005A14B0">
                  <w:pPr>
                    <w:rPr>
                      <w:color w:val="001D77"/>
                      <w:sz w:val="18"/>
                      <w:szCs w:val="18"/>
                    </w:rPr>
                  </w:pPr>
                  <w:r w:rsidRPr="00B1188B">
                    <w:rPr>
                      <w:color w:val="001D77"/>
                      <w:u w:val="single"/>
                    </w:rPr>
                    <w:t>Informacja o poziomie minimum</w:t>
                  </w:r>
                  <w:r w:rsidR="00496001" w:rsidRPr="00B1188B">
                    <w:rPr>
                      <w:color w:val="001D77"/>
                      <w:u w:val="single"/>
                    </w:rPr>
                    <w:t xml:space="preserve"> egzystencji </w:t>
                  </w:r>
                  <w:r w:rsidRPr="00B1188B">
                    <w:rPr>
                      <w:color w:val="001D77"/>
                      <w:u w:val="single"/>
                    </w:rPr>
                    <w:t>w 2018 r., Instytut Pracy i Spraw Socjalnych,</w:t>
                  </w:r>
                  <w:r w:rsidRPr="005A14B0">
                    <w:t xml:space="preserve"> </w:t>
                  </w:r>
                  <w:hyperlink r:id="rId30" w:history="1">
                    <w:r w:rsidRPr="000C040F">
                      <w:rPr>
                        <w:rStyle w:val="Hipercze"/>
                        <w:rFonts w:cstheme="minorBidi"/>
                        <w:color w:val="001D77"/>
                        <w:sz w:val="18"/>
                        <w:szCs w:val="18"/>
                      </w:rPr>
                      <w:t>https://www.ipiss.com.pl/?zaklady=minimum-egzystencji-2</w:t>
                    </w:r>
                  </w:hyperlink>
                </w:p>
                <w:p w:rsidR="00456775" w:rsidRDefault="00BA0188" w:rsidP="00883763">
                  <w:hyperlink r:id="rId31" w:history="1">
                    <w:r w:rsidR="00456775" w:rsidRPr="003B5E1C">
                      <w:rPr>
                        <w:rStyle w:val="Hipercze"/>
                        <w:rFonts w:cstheme="minorBidi"/>
                        <w:color w:val="001D77"/>
                        <w:sz w:val="18"/>
                      </w:rPr>
                      <w:t>Publikacja „Ubóstwo w Polsce w latach 2015 i 2016”</w:t>
                    </w:r>
                  </w:hyperlink>
                </w:p>
                <w:p w:rsidR="00017329" w:rsidRDefault="00017329" w:rsidP="00883763">
                  <w:pPr>
                    <w:rPr>
                      <w:rStyle w:val="Hipercze"/>
                      <w:rFonts w:cstheme="minorBidi"/>
                      <w:color w:val="001D77"/>
                      <w:sz w:val="18"/>
                    </w:rPr>
                  </w:pPr>
                  <w:r>
                    <w:rPr>
                      <w:rStyle w:val="Hipercze"/>
                      <w:rFonts w:cstheme="minorBidi"/>
                      <w:color w:val="001D77"/>
                      <w:sz w:val="18"/>
                    </w:rPr>
                    <w:t>Informacja sygnalna „Zasięg ubóstwa ekonomicznego w Polsce w 2017 r."</w:t>
                  </w:r>
                </w:p>
                <w:p w:rsidR="005A14B0" w:rsidRDefault="005A14B0" w:rsidP="00883763"/>
                <w:p w:rsidR="00456775" w:rsidRPr="00E233EA" w:rsidRDefault="0045677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456775" w:rsidRDefault="00BA0188" w:rsidP="00883763">
                  <w:pPr>
                    <w:rPr>
                      <w:rStyle w:val="Hipercze"/>
                      <w:rFonts w:cstheme="minorBidi"/>
                      <w:color w:val="001D77"/>
                      <w:sz w:val="18"/>
                    </w:rPr>
                  </w:pPr>
                  <w:hyperlink r:id="rId32" w:history="1">
                    <w:r w:rsidR="00456775" w:rsidRPr="00393DB9">
                      <w:rPr>
                        <w:rStyle w:val="Hipercze"/>
                        <w:rFonts w:cstheme="minorBidi"/>
                        <w:color w:val="001D77"/>
                        <w:sz w:val="18"/>
                      </w:rPr>
                      <w:t>Bank Danych Lokalnych</w:t>
                    </w:r>
                  </w:hyperlink>
                </w:p>
                <w:p w:rsidR="00456775" w:rsidRDefault="00BA0188" w:rsidP="00883763">
                  <w:pPr>
                    <w:rPr>
                      <w:rStyle w:val="Hipercze"/>
                      <w:rFonts w:cstheme="minorBidi"/>
                      <w:color w:val="001D77"/>
                      <w:sz w:val="18"/>
                    </w:rPr>
                  </w:pPr>
                  <w:hyperlink r:id="rId33" w:history="1">
                    <w:r w:rsidR="00456775" w:rsidRPr="0022027D">
                      <w:rPr>
                        <w:rStyle w:val="Hipercze"/>
                        <w:rFonts w:cstheme="minorBidi"/>
                        <w:color w:val="001D77"/>
                        <w:sz w:val="18"/>
                      </w:rPr>
                      <w:t>Dziedzinowe Bazy Wiedzy/Ubóstwo według grup społeczno-ekonomicznych</w:t>
                    </w:r>
                  </w:hyperlink>
                </w:p>
                <w:p w:rsidR="00456775" w:rsidRPr="0022027D" w:rsidRDefault="00BA0188" w:rsidP="00883763">
                  <w:pPr>
                    <w:rPr>
                      <w:rStyle w:val="Hipercze"/>
                      <w:rFonts w:cstheme="minorBidi"/>
                      <w:color w:val="001D77"/>
                      <w:sz w:val="18"/>
                    </w:rPr>
                  </w:pPr>
                  <w:hyperlink r:id="rId34" w:history="1">
                    <w:r w:rsidR="00456775" w:rsidRPr="0022027D">
                      <w:rPr>
                        <w:rStyle w:val="Hipercze"/>
                        <w:rFonts w:cstheme="minorBidi"/>
                        <w:color w:val="001D77"/>
                        <w:sz w:val="18"/>
                      </w:rPr>
                      <w:t>Dziedzinowe Bazy Wiedzy/Ubóstwo według podziału kraju na miasto i wieś</w:t>
                    </w:r>
                  </w:hyperlink>
                </w:p>
                <w:p w:rsidR="00456775" w:rsidRPr="006761A7" w:rsidRDefault="0045677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56775" w:rsidRDefault="00456775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456775" w:rsidRPr="000739C9" w:rsidRDefault="00BA0188" w:rsidP="00883763">
                  <w:pPr>
                    <w:rPr>
                      <w:rStyle w:val="Hipercze"/>
                      <w:rFonts w:cstheme="minorBidi"/>
                      <w:color w:val="001D77"/>
                      <w:sz w:val="18"/>
                    </w:rPr>
                  </w:pPr>
                  <w:hyperlink r:id="rId35" w:history="1">
                    <w:r w:rsidR="00456775" w:rsidRPr="000739C9">
                      <w:rPr>
                        <w:rStyle w:val="Hipercze"/>
                        <w:rFonts w:cstheme="minorBidi"/>
                        <w:color w:val="001D77"/>
                        <w:sz w:val="18"/>
                      </w:rPr>
                      <w:t>Wskaźnik zagrożenia ubóstwem skrajnym</w:t>
                    </w:r>
                  </w:hyperlink>
                </w:p>
                <w:p w:rsidR="00456775" w:rsidRPr="000739C9" w:rsidRDefault="00BA0188" w:rsidP="00883763">
                  <w:pPr>
                    <w:rPr>
                      <w:rStyle w:val="Hipercze"/>
                      <w:rFonts w:cstheme="minorBidi"/>
                      <w:color w:val="001D77"/>
                      <w:sz w:val="18"/>
                    </w:rPr>
                  </w:pPr>
                  <w:hyperlink r:id="rId36" w:history="1">
                    <w:r w:rsidR="00456775" w:rsidRPr="000739C9">
                      <w:rPr>
                        <w:rStyle w:val="Hipercze"/>
                        <w:rFonts w:cstheme="minorBidi"/>
                        <w:color w:val="001D77"/>
                        <w:sz w:val="18"/>
                      </w:rPr>
                      <w:t>Wskaźnik zagrożenia ubóstwem relatywnym</w:t>
                    </w:r>
                  </w:hyperlink>
                </w:p>
                <w:p w:rsidR="00456775" w:rsidRPr="000739C9" w:rsidRDefault="00BA0188" w:rsidP="00883763">
                  <w:pPr>
                    <w:rPr>
                      <w:rStyle w:val="Hipercze"/>
                      <w:rFonts w:cstheme="minorBidi"/>
                      <w:color w:val="001D77"/>
                      <w:sz w:val="18"/>
                    </w:rPr>
                  </w:pPr>
                  <w:hyperlink r:id="rId37" w:history="1">
                    <w:r w:rsidR="00456775" w:rsidRPr="000739C9">
                      <w:rPr>
                        <w:rStyle w:val="Hipercze"/>
                        <w:rFonts w:cstheme="minorBidi"/>
                        <w:color w:val="001D77"/>
                        <w:sz w:val="18"/>
                      </w:rPr>
                      <w:t>Wskaźnik zagrożenia ubóstwem ustawowym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01C5B" w:rsidSect="00EF7B36">
      <w:headerReference w:type="default" r:id="rId38"/>
      <w:footerReference w:type="default" r:id="rId39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88" w:rsidRDefault="00BA0188" w:rsidP="000662E2">
      <w:pPr>
        <w:spacing w:after="0" w:line="240" w:lineRule="auto"/>
      </w:pPr>
      <w:r>
        <w:separator/>
      </w:r>
    </w:p>
  </w:endnote>
  <w:endnote w:type="continuationSeparator" w:id="0">
    <w:p w:rsidR="00BA0188" w:rsidRDefault="00BA018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620116"/>
      <w:docPartObj>
        <w:docPartGallery w:val="Page Numbers (Bottom of Page)"/>
        <w:docPartUnique/>
      </w:docPartObj>
    </w:sdtPr>
    <w:sdtEndPr/>
    <w:sdtContent>
      <w:p w:rsidR="00456775" w:rsidRDefault="00FC0C31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724F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39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512466"/>
      <w:docPartObj>
        <w:docPartGallery w:val="Page Numbers (Bottom of Page)"/>
        <w:docPartUnique/>
      </w:docPartObj>
    </w:sdtPr>
    <w:sdtEndPr/>
    <w:sdtContent>
      <w:p w:rsidR="00456775" w:rsidRDefault="00FC0C31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724F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3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456775" w:rsidRDefault="00FC0C31" w:rsidP="003B18B6">
        <w:pPr>
          <w:pStyle w:val="Stopka"/>
          <w:jc w:val="center"/>
        </w:pPr>
        <w:r>
          <w:rPr>
            <w:noProof/>
          </w:rPr>
          <w:fldChar w:fldCharType="begin"/>
        </w:r>
        <w:r w:rsidR="00724F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39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88" w:rsidRDefault="00BA0188" w:rsidP="000662E2">
      <w:pPr>
        <w:spacing w:after="0" w:line="240" w:lineRule="auto"/>
      </w:pPr>
      <w:r>
        <w:separator/>
      </w:r>
    </w:p>
  </w:footnote>
  <w:footnote w:type="continuationSeparator" w:id="0">
    <w:p w:rsidR="00BA0188" w:rsidRDefault="00BA0188" w:rsidP="000662E2">
      <w:pPr>
        <w:spacing w:after="0" w:line="240" w:lineRule="auto"/>
      </w:pPr>
      <w:r>
        <w:continuationSeparator/>
      </w:r>
    </w:p>
  </w:footnote>
  <w:footnote w:id="1">
    <w:p w:rsidR="00145302" w:rsidRPr="00A0519C" w:rsidRDefault="00145302" w:rsidP="00145302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0519C">
        <w:rPr>
          <w:sz w:val="14"/>
          <w:szCs w:val="14"/>
        </w:rPr>
        <w:t>Więcej na ten temat w dostępnej na stronie internetowej GUS notatce sygnalne</w:t>
      </w:r>
      <w:r w:rsidR="00D230B7">
        <w:rPr>
          <w:sz w:val="14"/>
          <w:szCs w:val="14"/>
        </w:rPr>
        <w:t>j</w:t>
      </w:r>
      <w:r w:rsidRPr="00A0519C">
        <w:rPr>
          <w:sz w:val="14"/>
          <w:szCs w:val="14"/>
        </w:rPr>
        <w:t>:</w:t>
      </w:r>
      <w:r w:rsidR="00267AB1">
        <w:rPr>
          <w:sz w:val="14"/>
          <w:szCs w:val="14"/>
        </w:rPr>
        <w:t xml:space="preserve"> </w:t>
      </w:r>
      <w:r w:rsidR="00DD7785">
        <w:rPr>
          <w:sz w:val="14"/>
          <w:szCs w:val="14"/>
        </w:rPr>
        <w:t>”</w:t>
      </w:r>
      <w:r w:rsidRPr="00A0519C">
        <w:rPr>
          <w:sz w:val="14"/>
          <w:szCs w:val="14"/>
        </w:rPr>
        <w:t>Sytuacja gospodarstw domowych w 2018 r. w świetle wyników badania budżetów gospodarstw domowych</w:t>
      </w:r>
      <w:r w:rsidR="00DD7785">
        <w:rPr>
          <w:sz w:val="14"/>
          <w:szCs w:val="14"/>
        </w:rPr>
        <w:t>”</w:t>
      </w:r>
      <w:r w:rsidR="0007743F">
        <w:rPr>
          <w:sz w:val="14"/>
          <w:szCs w:val="14"/>
        </w:rPr>
        <w:t>.</w:t>
      </w:r>
    </w:p>
  </w:footnote>
  <w:footnote w:id="2">
    <w:p w:rsidR="00145302" w:rsidRPr="00A0519C" w:rsidRDefault="00145302" w:rsidP="00145302">
      <w:pPr>
        <w:pStyle w:val="Tekstprzypisudolnego"/>
        <w:rPr>
          <w:sz w:val="14"/>
          <w:szCs w:val="14"/>
        </w:rPr>
      </w:pPr>
      <w:r w:rsidRPr="00A0519C">
        <w:rPr>
          <w:rStyle w:val="Odwoanieprzypisudolnego"/>
          <w:sz w:val="14"/>
          <w:szCs w:val="14"/>
        </w:rPr>
        <w:footnoteRef/>
      </w:r>
      <w:r w:rsidRPr="00A0519C">
        <w:rPr>
          <w:sz w:val="14"/>
          <w:szCs w:val="14"/>
        </w:rPr>
        <w:t xml:space="preserve"> Z opracowania IPiSS</w:t>
      </w:r>
      <w:r>
        <w:rPr>
          <w:sz w:val="14"/>
          <w:szCs w:val="14"/>
        </w:rPr>
        <w:t xml:space="preserve"> (</w:t>
      </w:r>
      <w:r w:rsidR="00DD7785">
        <w:rPr>
          <w:sz w:val="14"/>
          <w:szCs w:val="14"/>
        </w:rPr>
        <w:t>„</w:t>
      </w:r>
      <w:r w:rsidRPr="00A0519C">
        <w:rPr>
          <w:sz w:val="14"/>
          <w:szCs w:val="14"/>
        </w:rPr>
        <w:t>Informacja o poziomie minimum egzystencji w 2018</w:t>
      </w:r>
      <w:r w:rsidR="00786328">
        <w:rPr>
          <w:sz w:val="14"/>
          <w:szCs w:val="14"/>
        </w:rPr>
        <w:t xml:space="preserve"> r.</w:t>
      </w:r>
      <w:r w:rsidR="00DD7785">
        <w:rPr>
          <w:sz w:val="14"/>
          <w:szCs w:val="14"/>
        </w:rPr>
        <w:t>”</w:t>
      </w:r>
      <w:r>
        <w:rPr>
          <w:sz w:val="14"/>
          <w:szCs w:val="14"/>
        </w:rPr>
        <w:t>)</w:t>
      </w:r>
      <w:r w:rsidRPr="00A0519C">
        <w:rPr>
          <w:sz w:val="14"/>
          <w:szCs w:val="14"/>
        </w:rPr>
        <w:t xml:space="preserve"> wynika, iż wartość minimum egzystencji wzrosła w 2018 r. w porównaniu z 2017 r. o ok. 3%, natomiast wskaźnik cen i towarów konsumpcyjnych o 1,6%. </w:t>
      </w:r>
      <w:r>
        <w:rPr>
          <w:sz w:val="14"/>
          <w:szCs w:val="14"/>
        </w:rPr>
        <w:t>Informacja dostępna na stronie internetowej IPiSS.</w:t>
      </w:r>
    </w:p>
  </w:footnote>
  <w:footnote w:id="3">
    <w:p w:rsidR="00EA1451" w:rsidRDefault="00EA1451" w:rsidP="00EA14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  <w:szCs w:val="14"/>
        </w:rPr>
        <w:t>Głowa gospodarstwa domowego (zwana również osobą odniesienia) jest to osoba, która ukończyła 16 lat i osiąga najwyższy, stały dochód spośród wszystkich członków gospodarstwa domowego.</w:t>
      </w:r>
    </w:p>
  </w:footnote>
  <w:footnote w:id="4">
    <w:p w:rsidR="00ED71DD" w:rsidRDefault="00ED71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4B48">
        <w:rPr>
          <w:sz w:val="14"/>
          <w:szCs w:val="14"/>
        </w:rPr>
        <w:t>W grupie małżeństw uwzględnione zostały także związki nieformalne.</w:t>
      </w:r>
    </w:p>
  </w:footnote>
  <w:footnote w:id="5">
    <w:p w:rsidR="00380C23" w:rsidRDefault="00380C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  <w:szCs w:val="14"/>
        </w:rPr>
        <w:t>Dziecko na utrzymaniu to osoba w wieku 0-14 lat będąca w składzie gospodarstwa domowego lub osoba w wieku 15-25 lat, o</w:t>
      </w:r>
      <w:r w:rsidR="00A27261">
        <w:rPr>
          <w:sz w:val="14"/>
          <w:szCs w:val="14"/>
        </w:rPr>
        <w:t> </w:t>
      </w:r>
      <w:r>
        <w:rPr>
          <w:sz w:val="14"/>
          <w:szCs w:val="14"/>
        </w:rPr>
        <w:t>ile nie posiada własnego źródła utrzymania i nie pozostaje w związku małżeńskim lub związku nieformalnym.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75" w:rsidRDefault="00BA0188">
    <w:pPr>
      <w:pStyle w:val="Nagwek"/>
    </w:pPr>
    <w:r>
      <w:rPr>
        <w:noProof/>
        <w:lang w:eastAsia="pl-PL"/>
      </w:rPr>
      <w:pict>
        <v:rect id="Prostokąt 24" o:spid="_x0000_s2051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456775" w:rsidRDefault="004567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E4A" w:rsidRDefault="00BA0188" w:rsidP="00D07E4A">
    <w:pPr>
      <w:pStyle w:val="Nagwek"/>
      <w:tabs>
        <w:tab w:val="clear" w:pos="4536"/>
        <w:tab w:val="clear" w:pos="9072"/>
        <w:tab w:val="left" w:pos="6695"/>
      </w:tabs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0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456775" w:rsidRPr="003C6C8D" w:rsidRDefault="00456775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49" style="position:absolute;margin-left:411.1pt;margin-top:40.3pt;width:147.4pt;height:1803.55pt;z-index:-251650048;visibility:visible;mso-position-horizontal:absolute;mso-width-relative:margin;mso-height-relative:margin;v-text-anchor:middle" wrapcoords="-110 0 -110 21591 21600 21591 21600 0 -110 0" fillcolor="#f2f2f2" stroked="f" strokeweight="1pt">
          <v:path arrowok="t"/>
        </v:rect>
      </w:pict>
    </w:r>
    <w:r w:rsidR="00456775">
      <w:rPr>
        <w:noProof/>
        <w:lang w:eastAsia="pl-PL"/>
      </w:rPr>
      <w:drawing>
        <wp:inline distT="0" distB="0" distL="0" distR="0">
          <wp:extent cx="1180123" cy="55987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naczek g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767" cy="596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7E4A">
      <w:rPr>
        <w:noProof/>
        <w:lang w:eastAsia="pl-PL"/>
      </w:rPr>
      <w:tab/>
    </w:r>
  </w:p>
  <w:p w:rsidR="00D07E4A" w:rsidRDefault="00D07E4A" w:rsidP="00D07E4A">
    <w:pPr>
      <w:pStyle w:val="Nagwek"/>
      <w:spacing w:before="0"/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75" w:rsidRDefault="00456775">
    <w:pPr>
      <w:pStyle w:val="Nagwek"/>
    </w:pPr>
  </w:p>
  <w:p w:rsidR="00456775" w:rsidRDefault="004567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4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9B09AA"/>
    <w:multiLevelType w:val="hybridMultilevel"/>
    <w:tmpl w:val="43A0AF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3EB5"/>
    <w:rsid w:val="00006366"/>
    <w:rsid w:val="0000709F"/>
    <w:rsid w:val="000108B8"/>
    <w:rsid w:val="000152F5"/>
    <w:rsid w:val="00015BD6"/>
    <w:rsid w:val="00016161"/>
    <w:rsid w:val="00017329"/>
    <w:rsid w:val="00021239"/>
    <w:rsid w:val="000212F4"/>
    <w:rsid w:val="00034160"/>
    <w:rsid w:val="00035665"/>
    <w:rsid w:val="000417D5"/>
    <w:rsid w:val="0004582E"/>
    <w:rsid w:val="0004646A"/>
    <w:rsid w:val="000470AA"/>
    <w:rsid w:val="00051119"/>
    <w:rsid w:val="00053AA7"/>
    <w:rsid w:val="00057831"/>
    <w:rsid w:val="00057CA1"/>
    <w:rsid w:val="00057F3F"/>
    <w:rsid w:val="0006547E"/>
    <w:rsid w:val="000662E2"/>
    <w:rsid w:val="00066883"/>
    <w:rsid w:val="00071D41"/>
    <w:rsid w:val="000730CD"/>
    <w:rsid w:val="000739C9"/>
    <w:rsid w:val="00074DD8"/>
    <w:rsid w:val="0007743F"/>
    <w:rsid w:val="00080209"/>
    <w:rsid w:val="000806F7"/>
    <w:rsid w:val="00085030"/>
    <w:rsid w:val="000866F3"/>
    <w:rsid w:val="00095EE8"/>
    <w:rsid w:val="0009696C"/>
    <w:rsid w:val="00097840"/>
    <w:rsid w:val="000A0BAD"/>
    <w:rsid w:val="000A1A1A"/>
    <w:rsid w:val="000A2E3E"/>
    <w:rsid w:val="000A6963"/>
    <w:rsid w:val="000A7F1A"/>
    <w:rsid w:val="000B0727"/>
    <w:rsid w:val="000C040F"/>
    <w:rsid w:val="000C135D"/>
    <w:rsid w:val="000D06E0"/>
    <w:rsid w:val="000D1D43"/>
    <w:rsid w:val="000D225C"/>
    <w:rsid w:val="000D2A5C"/>
    <w:rsid w:val="000D3477"/>
    <w:rsid w:val="000D3CDA"/>
    <w:rsid w:val="000E0918"/>
    <w:rsid w:val="000E1349"/>
    <w:rsid w:val="000E1F41"/>
    <w:rsid w:val="000E3DF4"/>
    <w:rsid w:val="000E480F"/>
    <w:rsid w:val="000E5691"/>
    <w:rsid w:val="000F5B9D"/>
    <w:rsid w:val="000F6476"/>
    <w:rsid w:val="000F704F"/>
    <w:rsid w:val="001011C3"/>
    <w:rsid w:val="00102C97"/>
    <w:rsid w:val="00106181"/>
    <w:rsid w:val="00110C64"/>
    <w:rsid w:val="00110D87"/>
    <w:rsid w:val="001149A1"/>
    <w:rsid w:val="00114DB9"/>
    <w:rsid w:val="00116087"/>
    <w:rsid w:val="00130296"/>
    <w:rsid w:val="00130FEE"/>
    <w:rsid w:val="00135B65"/>
    <w:rsid w:val="00141D35"/>
    <w:rsid w:val="00142037"/>
    <w:rsid w:val="001423B6"/>
    <w:rsid w:val="001445DE"/>
    <w:rsid w:val="001448A7"/>
    <w:rsid w:val="00145302"/>
    <w:rsid w:val="00146621"/>
    <w:rsid w:val="00150BC9"/>
    <w:rsid w:val="00153F1D"/>
    <w:rsid w:val="001571B5"/>
    <w:rsid w:val="00162325"/>
    <w:rsid w:val="00167B8C"/>
    <w:rsid w:val="001778BA"/>
    <w:rsid w:val="0018187B"/>
    <w:rsid w:val="00186576"/>
    <w:rsid w:val="0018675A"/>
    <w:rsid w:val="00191656"/>
    <w:rsid w:val="00191DA6"/>
    <w:rsid w:val="00193D72"/>
    <w:rsid w:val="001951DA"/>
    <w:rsid w:val="001A253B"/>
    <w:rsid w:val="001A4EEA"/>
    <w:rsid w:val="001B09A2"/>
    <w:rsid w:val="001B4364"/>
    <w:rsid w:val="001C3269"/>
    <w:rsid w:val="001C3F17"/>
    <w:rsid w:val="001D1206"/>
    <w:rsid w:val="001D1DB4"/>
    <w:rsid w:val="001D7C73"/>
    <w:rsid w:val="001E1D94"/>
    <w:rsid w:val="001E7DBB"/>
    <w:rsid w:val="001F3E2C"/>
    <w:rsid w:val="00202617"/>
    <w:rsid w:val="002172EF"/>
    <w:rsid w:val="002200F3"/>
    <w:rsid w:val="0022027D"/>
    <w:rsid w:val="00224478"/>
    <w:rsid w:val="00233288"/>
    <w:rsid w:val="002574F9"/>
    <w:rsid w:val="00257B3D"/>
    <w:rsid w:val="00262B61"/>
    <w:rsid w:val="002669C0"/>
    <w:rsid w:val="00267AB1"/>
    <w:rsid w:val="002761E5"/>
    <w:rsid w:val="00276811"/>
    <w:rsid w:val="00276C9A"/>
    <w:rsid w:val="00282699"/>
    <w:rsid w:val="0029077F"/>
    <w:rsid w:val="002926DF"/>
    <w:rsid w:val="0029416C"/>
    <w:rsid w:val="00296697"/>
    <w:rsid w:val="002A1CFD"/>
    <w:rsid w:val="002A43C4"/>
    <w:rsid w:val="002A4D80"/>
    <w:rsid w:val="002B0472"/>
    <w:rsid w:val="002B1B4A"/>
    <w:rsid w:val="002B6B12"/>
    <w:rsid w:val="002D0020"/>
    <w:rsid w:val="002E2E99"/>
    <w:rsid w:val="002E6140"/>
    <w:rsid w:val="002E6985"/>
    <w:rsid w:val="002E71B6"/>
    <w:rsid w:val="002F670A"/>
    <w:rsid w:val="002F77C8"/>
    <w:rsid w:val="00304F22"/>
    <w:rsid w:val="00305162"/>
    <w:rsid w:val="0030639F"/>
    <w:rsid w:val="00306C7C"/>
    <w:rsid w:val="00310E05"/>
    <w:rsid w:val="0031133C"/>
    <w:rsid w:val="0032271E"/>
    <w:rsid w:val="00322EDD"/>
    <w:rsid w:val="00327420"/>
    <w:rsid w:val="003279D3"/>
    <w:rsid w:val="00330E56"/>
    <w:rsid w:val="00331802"/>
    <w:rsid w:val="00332320"/>
    <w:rsid w:val="00333DD0"/>
    <w:rsid w:val="00334B55"/>
    <w:rsid w:val="00343187"/>
    <w:rsid w:val="0034677A"/>
    <w:rsid w:val="00347D72"/>
    <w:rsid w:val="00357611"/>
    <w:rsid w:val="00364F5C"/>
    <w:rsid w:val="00367237"/>
    <w:rsid w:val="0037077F"/>
    <w:rsid w:val="00372411"/>
    <w:rsid w:val="00373882"/>
    <w:rsid w:val="00380C23"/>
    <w:rsid w:val="003843DB"/>
    <w:rsid w:val="003901AC"/>
    <w:rsid w:val="00390A37"/>
    <w:rsid w:val="00391B62"/>
    <w:rsid w:val="00393761"/>
    <w:rsid w:val="00393B98"/>
    <w:rsid w:val="00393DB9"/>
    <w:rsid w:val="00397D18"/>
    <w:rsid w:val="003A1B36"/>
    <w:rsid w:val="003A440F"/>
    <w:rsid w:val="003B1454"/>
    <w:rsid w:val="003B18B6"/>
    <w:rsid w:val="003B5E1C"/>
    <w:rsid w:val="003C0256"/>
    <w:rsid w:val="003C2499"/>
    <w:rsid w:val="003C59E0"/>
    <w:rsid w:val="003C5C96"/>
    <w:rsid w:val="003C6C8D"/>
    <w:rsid w:val="003D4F95"/>
    <w:rsid w:val="003D5C58"/>
    <w:rsid w:val="003D5F42"/>
    <w:rsid w:val="003D60A9"/>
    <w:rsid w:val="003D7A3D"/>
    <w:rsid w:val="003F0EA8"/>
    <w:rsid w:val="003F360E"/>
    <w:rsid w:val="003F4C97"/>
    <w:rsid w:val="003F5245"/>
    <w:rsid w:val="003F650D"/>
    <w:rsid w:val="003F7FE6"/>
    <w:rsid w:val="00400193"/>
    <w:rsid w:val="00401184"/>
    <w:rsid w:val="004025F5"/>
    <w:rsid w:val="00410FC6"/>
    <w:rsid w:val="00411D1D"/>
    <w:rsid w:val="00414018"/>
    <w:rsid w:val="00416B42"/>
    <w:rsid w:val="004212E7"/>
    <w:rsid w:val="0042446D"/>
    <w:rsid w:val="00426ECB"/>
    <w:rsid w:val="00427212"/>
    <w:rsid w:val="00427BF8"/>
    <w:rsid w:val="00431C02"/>
    <w:rsid w:val="004343C9"/>
    <w:rsid w:val="00437395"/>
    <w:rsid w:val="00445047"/>
    <w:rsid w:val="00445261"/>
    <w:rsid w:val="00452E99"/>
    <w:rsid w:val="00456132"/>
    <w:rsid w:val="004566AB"/>
    <w:rsid w:val="00456775"/>
    <w:rsid w:val="004601AC"/>
    <w:rsid w:val="00461F98"/>
    <w:rsid w:val="00463E39"/>
    <w:rsid w:val="004657FC"/>
    <w:rsid w:val="004733F6"/>
    <w:rsid w:val="00474276"/>
    <w:rsid w:val="00474431"/>
    <w:rsid w:val="00474E69"/>
    <w:rsid w:val="004808CA"/>
    <w:rsid w:val="00480F69"/>
    <w:rsid w:val="00496001"/>
    <w:rsid w:val="0049621B"/>
    <w:rsid w:val="004A64B6"/>
    <w:rsid w:val="004B025F"/>
    <w:rsid w:val="004B4B29"/>
    <w:rsid w:val="004B5F1D"/>
    <w:rsid w:val="004C1895"/>
    <w:rsid w:val="004C3CB2"/>
    <w:rsid w:val="004C6D40"/>
    <w:rsid w:val="004F0C3C"/>
    <w:rsid w:val="004F529E"/>
    <w:rsid w:val="004F63FC"/>
    <w:rsid w:val="004F738F"/>
    <w:rsid w:val="00502E6F"/>
    <w:rsid w:val="00505A92"/>
    <w:rsid w:val="0051646A"/>
    <w:rsid w:val="00516A50"/>
    <w:rsid w:val="005203F1"/>
    <w:rsid w:val="0052058B"/>
    <w:rsid w:val="00521BC3"/>
    <w:rsid w:val="00526A58"/>
    <w:rsid w:val="00533150"/>
    <w:rsid w:val="00533632"/>
    <w:rsid w:val="0053648F"/>
    <w:rsid w:val="00541E6E"/>
    <w:rsid w:val="0054251F"/>
    <w:rsid w:val="005520D8"/>
    <w:rsid w:val="00554B53"/>
    <w:rsid w:val="00556CF1"/>
    <w:rsid w:val="005573EF"/>
    <w:rsid w:val="005574AD"/>
    <w:rsid w:val="00564730"/>
    <w:rsid w:val="00571703"/>
    <w:rsid w:val="005762A7"/>
    <w:rsid w:val="00583894"/>
    <w:rsid w:val="005861D7"/>
    <w:rsid w:val="005877DE"/>
    <w:rsid w:val="005916D7"/>
    <w:rsid w:val="00594608"/>
    <w:rsid w:val="005A14B0"/>
    <w:rsid w:val="005A698C"/>
    <w:rsid w:val="005C1AF8"/>
    <w:rsid w:val="005D470D"/>
    <w:rsid w:val="005D5F71"/>
    <w:rsid w:val="005E0799"/>
    <w:rsid w:val="005E2988"/>
    <w:rsid w:val="005F5A80"/>
    <w:rsid w:val="0060333C"/>
    <w:rsid w:val="006039C0"/>
    <w:rsid w:val="006044FF"/>
    <w:rsid w:val="00607C1F"/>
    <w:rsid w:val="00607CC5"/>
    <w:rsid w:val="00611336"/>
    <w:rsid w:val="00613DB1"/>
    <w:rsid w:val="006220DA"/>
    <w:rsid w:val="00622953"/>
    <w:rsid w:val="00626512"/>
    <w:rsid w:val="00633014"/>
    <w:rsid w:val="0063437B"/>
    <w:rsid w:val="00637C1E"/>
    <w:rsid w:val="00643236"/>
    <w:rsid w:val="00650320"/>
    <w:rsid w:val="0065082D"/>
    <w:rsid w:val="00650F9C"/>
    <w:rsid w:val="006619BD"/>
    <w:rsid w:val="006673CA"/>
    <w:rsid w:val="006677A2"/>
    <w:rsid w:val="00673C26"/>
    <w:rsid w:val="00673D6D"/>
    <w:rsid w:val="00674A8B"/>
    <w:rsid w:val="00675B16"/>
    <w:rsid w:val="006812AF"/>
    <w:rsid w:val="0068327D"/>
    <w:rsid w:val="006838EE"/>
    <w:rsid w:val="00685123"/>
    <w:rsid w:val="00691225"/>
    <w:rsid w:val="00693CA3"/>
    <w:rsid w:val="00694AF0"/>
    <w:rsid w:val="006978DE"/>
    <w:rsid w:val="006A07DC"/>
    <w:rsid w:val="006A4686"/>
    <w:rsid w:val="006B046A"/>
    <w:rsid w:val="006B0E9E"/>
    <w:rsid w:val="006B208D"/>
    <w:rsid w:val="006B4B96"/>
    <w:rsid w:val="006B5AE4"/>
    <w:rsid w:val="006D0EA2"/>
    <w:rsid w:val="006D1507"/>
    <w:rsid w:val="006D4054"/>
    <w:rsid w:val="006D6B72"/>
    <w:rsid w:val="006E00B6"/>
    <w:rsid w:val="006E02EC"/>
    <w:rsid w:val="006E2976"/>
    <w:rsid w:val="006E31FE"/>
    <w:rsid w:val="006E5A5D"/>
    <w:rsid w:val="006E73D7"/>
    <w:rsid w:val="006F4F57"/>
    <w:rsid w:val="007059D5"/>
    <w:rsid w:val="0070644E"/>
    <w:rsid w:val="00706F0E"/>
    <w:rsid w:val="007162EB"/>
    <w:rsid w:val="007211B1"/>
    <w:rsid w:val="00722F6B"/>
    <w:rsid w:val="00724F7E"/>
    <w:rsid w:val="00733D55"/>
    <w:rsid w:val="0074249C"/>
    <w:rsid w:val="0074479C"/>
    <w:rsid w:val="00746187"/>
    <w:rsid w:val="007464A5"/>
    <w:rsid w:val="00752A67"/>
    <w:rsid w:val="00756E62"/>
    <w:rsid w:val="00757DDA"/>
    <w:rsid w:val="00761070"/>
    <w:rsid w:val="0076254F"/>
    <w:rsid w:val="007801F5"/>
    <w:rsid w:val="007824C9"/>
    <w:rsid w:val="007828D6"/>
    <w:rsid w:val="00783CA4"/>
    <w:rsid w:val="007842FB"/>
    <w:rsid w:val="00786124"/>
    <w:rsid w:val="00786328"/>
    <w:rsid w:val="00786AE8"/>
    <w:rsid w:val="007874A9"/>
    <w:rsid w:val="0078756B"/>
    <w:rsid w:val="0079372F"/>
    <w:rsid w:val="0079514B"/>
    <w:rsid w:val="007A0AB2"/>
    <w:rsid w:val="007A2DC1"/>
    <w:rsid w:val="007B632D"/>
    <w:rsid w:val="007B74D8"/>
    <w:rsid w:val="007B7847"/>
    <w:rsid w:val="007C0655"/>
    <w:rsid w:val="007D3319"/>
    <w:rsid w:val="007D335D"/>
    <w:rsid w:val="007D4522"/>
    <w:rsid w:val="007E1DB6"/>
    <w:rsid w:val="007E2E61"/>
    <w:rsid w:val="007E3314"/>
    <w:rsid w:val="007E4B03"/>
    <w:rsid w:val="007E6CBB"/>
    <w:rsid w:val="007F324B"/>
    <w:rsid w:val="007F45AB"/>
    <w:rsid w:val="007F6D53"/>
    <w:rsid w:val="00802A9A"/>
    <w:rsid w:val="00803892"/>
    <w:rsid w:val="0080553C"/>
    <w:rsid w:val="00805B46"/>
    <w:rsid w:val="0081116C"/>
    <w:rsid w:val="00812A2D"/>
    <w:rsid w:val="00816BC7"/>
    <w:rsid w:val="00820B10"/>
    <w:rsid w:val="008219F7"/>
    <w:rsid w:val="0082498D"/>
    <w:rsid w:val="00825DC2"/>
    <w:rsid w:val="00831172"/>
    <w:rsid w:val="00831DEF"/>
    <w:rsid w:val="00834AD3"/>
    <w:rsid w:val="00843795"/>
    <w:rsid w:val="00846193"/>
    <w:rsid w:val="0084642E"/>
    <w:rsid w:val="00847F0F"/>
    <w:rsid w:val="00852448"/>
    <w:rsid w:val="00853FF8"/>
    <w:rsid w:val="00860B06"/>
    <w:rsid w:val="00865967"/>
    <w:rsid w:val="00875548"/>
    <w:rsid w:val="00875E9E"/>
    <w:rsid w:val="00877B12"/>
    <w:rsid w:val="0088258A"/>
    <w:rsid w:val="008832C4"/>
    <w:rsid w:val="00883763"/>
    <w:rsid w:val="00886332"/>
    <w:rsid w:val="008957B5"/>
    <w:rsid w:val="008A2173"/>
    <w:rsid w:val="008A26D9"/>
    <w:rsid w:val="008A720C"/>
    <w:rsid w:val="008C0C29"/>
    <w:rsid w:val="008C7A01"/>
    <w:rsid w:val="008D357B"/>
    <w:rsid w:val="008D53FF"/>
    <w:rsid w:val="008E6EF2"/>
    <w:rsid w:val="008E7FA8"/>
    <w:rsid w:val="008F2CC2"/>
    <w:rsid w:val="008F3638"/>
    <w:rsid w:val="008F4441"/>
    <w:rsid w:val="008F6F31"/>
    <w:rsid w:val="008F74DF"/>
    <w:rsid w:val="00903547"/>
    <w:rsid w:val="009127BA"/>
    <w:rsid w:val="00916782"/>
    <w:rsid w:val="00916C38"/>
    <w:rsid w:val="00920915"/>
    <w:rsid w:val="009227A6"/>
    <w:rsid w:val="00923104"/>
    <w:rsid w:val="00923FCE"/>
    <w:rsid w:val="00931CDD"/>
    <w:rsid w:val="00932B19"/>
    <w:rsid w:val="00933B26"/>
    <w:rsid w:val="00933EC1"/>
    <w:rsid w:val="00936AB7"/>
    <w:rsid w:val="009530DB"/>
    <w:rsid w:val="00953676"/>
    <w:rsid w:val="00954B54"/>
    <w:rsid w:val="009705EE"/>
    <w:rsid w:val="00977927"/>
    <w:rsid w:val="0098135C"/>
    <w:rsid w:val="0098156A"/>
    <w:rsid w:val="00985747"/>
    <w:rsid w:val="009876F2"/>
    <w:rsid w:val="00990133"/>
    <w:rsid w:val="00991BAC"/>
    <w:rsid w:val="00995216"/>
    <w:rsid w:val="009A0726"/>
    <w:rsid w:val="009A1D47"/>
    <w:rsid w:val="009A284B"/>
    <w:rsid w:val="009A427B"/>
    <w:rsid w:val="009A6EA0"/>
    <w:rsid w:val="009B1280"/>
    <w:rsid w:val="009B1399"/>
    <w:rsid w:val="009B2C6B"/>
    <w:rsid w:val="009B5ABC"/>
    <w:rsid w:val="009C1335"/>
    <w:rsid w:val="009C156D"/>
    <w:rsid w:val="009C1AB2"/>
    <w:rsid w:val="009C5407"/>
    <w:rsid w:val="009C7251"/>
    <w:rsid w:val="009D50E2"/>
    <w:rsid w:val="009E0FB6"/>
    <w:rsid w:val="009E2E91"/>
    <w:rsid w:val="009E3BF4"/>
    <w:rsid w:val="009E4892"/>
    <w:rsid w:val="009F5815"/>
    <w:rsid w:val="009F661F"/>
    <w:rsid w:val="00A02F67"/>
    <w:rsid w:val="00A036A8"/>
    <w:rsid w:val="00A0519C"/>
    <w:rsid w:val="00A07F00"/>
    <w:rsid w:val="00A12435"/>
    <w:rsid w:val="00A139F5"/>
    <w:rsid w:val="00A2136A"/>
    <w:rsid w:val="00A221A2"/>
    <w:rsid w:val="00A2273C"/>
    <w:rsid w:val="00A2475E"/>
    <w:rsid w:val="00A25CCA"/>
    <w:rsid w:val="00A26BCC"/>
    <w:rsid w:val="00A27261"/>
    <w:rsid w:val="00A33F84"/>
    <w:rsid w:val="00A34A3F"/>
    <w:rsid w:val="00A34C24"/>
    <w:rsid w:val="00A365F4"/>
    <w:rsid w:val="00A37CE0"/>
    <w:rsid w:val="00A460E6"/>
    <w:rsid w:val="00A46BD5"/>
    <w:rsid w:val="00A47D80"/>
    <w:rsid w:val="00A51E49"/>
    <w:rsid w:val="00A52D14"/>
    <w:rsid w:val="00A53132"/>
    <w:rsid w:val="00A55280"/>
    <w:rsid w:val="00A563F2"/>
    <w:rsid w:val="00A566E8"/>
    <w:rsid w:val="00A70AFB"/>
    <w:rsid w:val="00A76691"/>
    <w:rsid w:val="00A810F9"/>
    <w:rsid w:val="00A81781"/>
    <w:rsid w:val="00A86ECC"/>
    <w:rsid w:val="00A86FCC"/>
    <w:rsid w:val="00A9718A"/>
    <w:rsid w:val="00AA710D"/>
    <w:rsid w:val="00AB1A9B"/>
    <w:rsid w:val="00AB1E44"/>
    <w:rsid w:val="00AB6D25"/>
    <w:rsid w:val="00AC3A14"/>
    <w:rsid w:val="00AC7483"/>
    <w:rsid w:val="00AD1BBD"/>
    <w:rsid w:val="00AD2387"/>
    <w:rsid w:val="00AD2BA7"/>
    <w:rsid w:val="00AD4947"/>
    <w:rsid w:val="00AE20FD"/>
    <w:rsid w:val="00AE2D4B"/>
    <w:rsid w:val="00AE3075"/>
    <w:rsid w:val="00AE32EA"/>
    <w:rsid w:val="00AE3918"/>
    <w:rsid w:val="00AE4F99"/>
    <w:rsid w:val="00AF38BA"/>
    <w:rsid w:val="00AF6A14"/>
    <w:rsid w:val="00B11721"/>
    <w:rsid w:val="00B1188B"/>
    <w:rsid w:val="00B11B69"/>
    <w:rsid w:val="00B14952"/>
    <w:rsid w:val="00B15058"/>
    <w:rsid w:val="00B15BF3"/>
    <w:rsid w:val="00B22193"/>
    <w:rsid w:val="00B23259"/>
    <w:rsid w:val="00B23A98"/>
    <w:rsid w:val="00B24394"/>
    <w:rsid w:val="00B31E5A"/>
    <w:rsid w:val="00B322EC"/>
    <w:rsid w:val="00B3255C"/>
    <w:rsid w:val="00B609CE"/>
    <w:rsid w:val="00B653AB"/>
    <w:rsid w:val="00B65F9E"/>
    <w:rsid w:val="00B66B19"/>
    <w:rsid w:val="00B7305F"/>
    <w:rsid w:val="00B74BE2"/>
    <w:rsid w:val="00B834FA"/>
    <w:rsid w:val="00B841AF"/>
    <w:rsid w:val="00B85D58"/>
    <w:rsid w:val="00B914E9"/>
    <w:rsid w:val="00B921FC"/>
    <w:rsid w:val="00B939B5"/>
    <w:rsid w:val="00B93CB1"/>
    <w:rsid w:val="00B94737"/>
    <w:rsid w:val="00B956EE"/>
    <w:rsid w:val="00B97152"/>
    <w:rsid w:val="00BA0188"/>
    <w:rsid w:val="00BA1326"/>
    <w:rsid w:val="00BA2BA1"/>
    <w:rsid w:val="00BA3562"/>
    <w:rsid w:val="00BA495E"/>
    <w:rsid w:val="00BA5009"/>
    <w:rsid w:val="00BA5A42"/>
    <w:rsid w:val="00BB4F09"/>
    <w:rsid w:val="00BC4896"/>
    <w:rsid w:val="00BC5C8D"/>
    <w:rsid w:val="00BC7D35"/>
    <w:rsid w:val="00BD3992"/>
    <w:rsid w:val="00BD49C9"/>
    <w:rsid w:val="00BD4E33"/>
    <w:rsid w:val="00BE145F"/>
    <w:rsid w:val="00BE1CFB"/>
    <w:rsid w:val="00BE5495"/>
    <w:rsid w:val="00BE778D"/>
    <w:rsid w:val="00BE7831"/>
    <w:rsid w:val="00BF49E5"/>
    <w:rsid w:val="00BF4ABF"/>
    <w:rsid w:val="00BF68FE"/>
    <w:rsid w:val="00BF6F12"/>
    <w:rsid w:val="00C00EDA"/>
    <w:rsid w:val="00C030DE"/>
    <w:rsid w:val="00C04FEC"/>
    <w:rsid w:val="00C05CCE"/>
    <w:rsid w:val="00C123F4"/>
    <w:rsid w:val="00C141A0"/>
    <w:rsid w:val="00C22105"/>
    <w:rsid w:val="00C244B6"/>
    <w:rsid w:val="00C27D75"/>
    <w:rsid w:val="00C303F7"/>
    <w:rsid w:val="00C32F2B"/>
    <w:rsid w:val="00C348B0"/>
    <w:rsid w:val="00C3702F"/>
    <w:rsid w:val="00C40A97"/>
    <w:rsid w:val="00C413DD"/>
    <w:rsid w:val="00C43656"/>
    <w:rsid w:val="00C4500A"/>
    <w:rsid w:val="00C52267"/>
    <w:rsid w:val="00C52B9D"/>
    <w:rsid w:val="00C54E5E"/>
    <w:rsid w:val="00C55C91"/>
    <w:rsid w:val="00C56E8E"/>
    <w:rsid w:val="00C64A37"/>
    <w:rsid w:val="00C67619"/>
    <w:rsid w:val="00C7158E"/>
    <w:rsid w:val="00C7250B"/>
    <w:rsid w:val="00C7346B"/>
    <w:rsid w:val="00C7499C"/>
    <w:rsid w:val="00C77C0E"/>
    <w:rsid w:val="00C77D75"/>
    <w:rsid w:val="00C77DAE"/>
    <w:rsid w:val="00C8000E"/>
    <w:rsid w:val="00C8596C"/>
    <w:rsid w:val="00C90542"/>
    <w:rsid w:val="00C90979"/>
    <w:rsid w:val="00C91687"/>
    <w:rsid w:val="00C924A8"/>
    <w:rsid w:val="00C9296C"/>
    <w:rsid w:val="00C92F37"/>
    <w:rsid w:val="00C945FE"/>
    <w:rsid w:val="00C950B4"/>
    <w:rsid w:val="00C96FAA"/>
    <w:rsid w:val="00C97A04"/>
    <w:rsid w:val="00CA107B"/>
    <w:rsid w:val="00CA484D"/>
    <w:rsid w:val="00CA4FB6"/>
    <w:rsid w:val="00CA7A1E"/>
    <w:rsid w:val="00CB12B9"/>
    <w:rsid w:val="00CC739E"/>
    <w:rsid w:val="00CD1E2E"/>
    <w:rsid w:val="00CD58B7"/>
    <w:rsid w:val="00CF4099"/>
    <w:rsid w:val="00D00796"/>
    <w:rsid w:val="00D014A0"/>
    <w:rsid w:val="00D02D2C"/>
    <w:rsid w:val="00D07E4A"/>
    <w:rsid w:val="00D13BE7"/>
    <w:rsid w:val="00D22C4F"/>
    <w:rsid w:val="00D230B7"/>
    <w:rsid w:val="00D2483A"/>
    <w:rsid w:val="00D261A2"/>
    <w:rsid w:val="00D4466E"/>
    <w:rsid w:val="00D478C0"/>
    <w:rsid w:val="00D538E4"/>
    <w:rsid w:val="00D616D2"/>
    <w:rsid w:val="00D62BD2"/>
    <w:rsid w:val="00D63B5F"/>
    <w:rsid w:val="00D64849"/>
    <w:rsid w:val="00D7066F"/>
    <w:rsid w:val="00D70EF7"/>
    <w:rsid w:val="00D72BB0"/>
    <w:rsid w:val="00D7444B"/>
    <w:rsid w:val="00D75ADE"/>
    <w:rsid w:val="00D815F5"/>
    <w:rsid w:val="00D8397C"/>
    <w:rsid w:val="00D87084"/>
    <w:rsid w:val="00D94EED"/>
    <w:rsid w:val="00D96026"/>
    <w:rsid w:val="00DA0243"/>
    <w:rsid w:val="00DA433C"/>
    <w:rsid w:val="00DA56D1"/>
    <w:rsid w:val="00DA7C1C"/>
    <w:rsid w:val="00DB147A"/>
    <w:rsid w:val="00DB1B7A"/>
    <w:rsid w:val="00DB65D4"/>
    <w:rsid w:val="00DC6708"/>
    <w:rsid w:val="00DD3249"/>
    <w:rsid w:val="00DD7785"/>
    <w:rsid w:val="00DE341A"/>
    <w:rsid w:val="00DF712D"/>
    <w:rsid w:val="00DF7C13"/>
    <w:rsid w:val="00E005DC"/>
    <w:rsid w:val="00E01436"/>
    <w:rsid w:val="00E0173C"/>
    <w:rsid w:val="00E045BD"/>
    <w:rsid w:val="00E11099"/>
    <w:rsid w:val="00E1284C"/>
    <w:rsid w:val="00E17A9F"/>
    <w:rsid w:val="00E17B77"/>
    <w:rsid w:val="00E23337"/>
    <w:rsid w:val="00E2484A"/>
    <w:rsid w:val="00E259EA"/>
    <w:rsid w:val="00E25C1F"/>
    <w:rsid w:val="00E27E85"/>
    <w:rsid w:val="00E30793"/>
    <w:rsid w:val="00E32061"/>
    <w:rsid w:val="00E41CA5"/>
    <w:rsid w:val="00E41FCF"/>
    <w:rsid w:val="00E42FF9"/>
    <w:rsid w:val="00E44C7E"/>
    <w:rsid w:val="00E44FA9"/>
    <w:rsid w:val="00E4714C"/>
    <w:rsid w:val="00E51AEB"/>
    <w:rsid w:val="00E522A7"/>
    <w:rsid w:val="00E52681"/>
    <w:rsid w:val="00E52E39"/>
    <w:rsid w:val="00E54452"/>
    <w:rsid w:val="00E5790D"/>
    <w:rsid w:val="00E57C17"/>
    <w:rsid w:val="00E63984"/>
    <w:rsid w:val="00E651E3"/>
    <w:rsid w:val="00E65A0C"/>
    <w:rsid w:val="00E664C5"/>
    <w:rsid w:val="00E671A2"/>
    <w:rsid w:val="00E75E7E"/>
    <w:rsid w:val="00E76D26"/>
    <w:rsid w:val="00E80F67"/>
    <w:rsid w:val="00E82EDF"/>
    <w:rsid w:val="00E93515"/>
    <w:rsid w:val="00EA0F2D"/>
    <w:rsid w:val="00EA1451"/>
    <w:rsid w:val="00EB02C9"/>
    <w:rsid w:val="00EB09B0"/>
    <w:rsid w:val="00EB1390"/>
    <w:rsid w:val="00EB2C71"/>
    <w:rsid w:val="00EB4340"/>
    <w:rsid w:val="00EB556D"/>
    <w:rsid w:val="00EB5A7D"/>
    <w:rsid w:val="00EC5B0F"/>
    <w:rsid w:val="00ED41E6"/>
    <w:rsid w:val="00ED55C0"/>
    <w:rsid w:val="00ED619B"/>
    <w:rsid w:val="00ED682B"/>
    <w:rsid w:val="00ED71DD"/>
    <w:rsid w:val="00EE07FB"/>
    <w:rsid w:val="00EE41D5"/>
    <w:rsid w:val="00EE447E"/>
    <w:rsid w:val="00EE696D"/>
    <w:rsid w:val="00EF7B36"/>
    <w:rsid w:val="00F031E7"/>
    <w:rsid w:val="00F037A4"/>
    <w:rsid w:val="00F12FEC"/>
    <w:rsid w:val="00F161D3"/>
    <w:rsid w:val="00F16CA6"/>
    <w:rsid w:val="00F17C38"/>
    <w:rsid w:val="00F20448"/>
    <w:rsid w:val="00F26013"/>
    <w:rsid w:val="00F268A5"/>
    <w:rsid w:val="00F27C8F"/>
    <w:rsid w:val="00F30570"/>
    <w:rsid w:val="00F30A0C"/>
    <w:rsid w:val="00F32749"/>
    <w:rsid w:val="00F37172"/>
    <w:rsid w:val="00F4477E"/>
    <w:rsid w:val="00F45717"/>
    <w:rsid w:val="00F472F8"/>
    <w:rsid w:val="00F50C9C"/>
    <w:rsid w:val="00F510DE"/>
    <w:rsid w:val="00F65EEC"/>
    <w:rsid w:val="00F6637E"/>
    <w:rsid w:val="00F67D8F"/>
    <w:rsid w:val="00F739B3"/>
    <w:rsid w:val="00F74926"/>
    <w:rsid w:val="00F74B10"/>
    <w:rsid w:val="00F80247"/>
    <w:rsid w:val="00F802BE"/>
    <w:rsid w:val="00F80E93"/>
    <w:rsid w:val="00F86024"/>
    <w:rsid w:val="00F8611A"/>
    <w:rsid w:val="00F86C02"/>
    <w:rsid w:val="00F86DF5"/>
    <w:rsid w:val="00F90BB1"/>
    <w:rsid w:val="00F9121B"/>
    <w:rsid w:val="00F9358F"/>
    <w:rsid w:val="00F93B25"/>
    <w:rsid w:val="00FA5128"/>
    <w:rsid w:val="00FA5BDD"/>
    <w:rsid w:val="00FB13F8"/>
    <w:rsid w:val="00FB42D4"/>
    <w:rsid w:val="00FB5906"/>
    <w:rsid w:val="00FB762F"/>
    <w:rsid w:val="00FC0C31"/>
    <w:rsid w:val="00FC2AED"/>
    <w:rsid w:val="00FC6342"/>
    <w:rsid w:val="00FD5EA7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D7A1824-D675-4ED9-925F-6958D295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693CA3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NormalnyWeb">
    <w:name w:val="Normal (Web)"/>
    <w:basedOn w:val="Normalny"/>
    <w:uiPriority w:val="99"/>
    <w:semiHidden/>
    <w:unhideWhenUsed/>
    <w:rsid w:val="009D50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E7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image" Target="media/image4.png"/><Relationship Id="rId39" Type="http://schemas.openxmlformats.org/officeDocument/2006/relationships/footer" Target="footer3.xml"/><Relationship Id="rId21" Type="http://schemas.openxmlformats.org/officeDocument/2006/relationships/header" Target="header2.xml"/><Relationship Id="rId34" Type="http://schemas.openxmlformats.org/officeDocument/2006/relationships/hyperlink" Target="http://swaid.stat.gov.pl/WarunkiZyciaLudnosci_dashboards/Raporty_predefiniowane/RAP_DBD_WZL_11.asp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29" Type="http://schemas.openxmlformats.org/officeDocument/2006/relationships/image" Target="media/image6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s://bdl.stat.gov.pl/BDL/metadane/cechy/2713?back=True" TargetMode="External"/><Relationship Id="rId37" Type="http://schemas.openxmlformats.org/officeDocument/2006/relationships/hyperlink" Target="http://stat.gov.pl/metainformacje/slownik-pojec/pojecia-stosowane-w-statystyce-publicznej/3217,pojecie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hyperlink" Target="mailto:a.bienkunska@stat.gov.pl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://stat.gov.pl/metainformacje/slownik-pojec/pojecia-stosowane-w-statystyce-publicznej/3215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s://stat.gov.pl/obszary-tematyczne/warunki-zycia/ubostwo-pomoc-spoleczna/ubostwo-w-polsce-w-latach-2015-i-2016,1,8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oter" Target="footer2.xml"/><Relationship Id="rId27" Type="http://schemas.openxmlformats.org/officeDocument/2006/relationships/hyperlink" Target="http://stat.gov.pl/" TargetMode="External"/><Relationship Id="rId30" Type="http://schemas.openxmlformats.org/officeDocument/2006/relationships/hyperlink" Target="https://www.ipiss.com.pl/?zaklady=minimum-egzystencji-2" TargetMode="External"/><Relationship Id="rId35" Type="http://schemas.openxmlformats.org/officeDocument/2006/relationships/hyperlink" Target="http://stat.gov.pl/metainformacje/slownik-pojec/pojecia-stosowane-w-statystyce-publicznej/3214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waid.stat.gov.pl/WarunkiZyciaLudnosci_dashboards/Raporty_predefiniowane/RAP_DBD_WZL_10.aspx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Arkusz_programu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881761731003153E-2"/>
          <c:y val="6.6666588882367969E-2"/>
          <c:w val="0.88576051469176154"/>
          <c:h val="0.74233464905474578"/>
        </c:manualLayout>
      </c:layout>
      <c:lineChart>
        <c:grouping val="standard"/>
        <c:varyColors val="0"/>
        <c:ser>
          <c:idx val="0"/>
          <c:order val="0"/>
          <c:tx>
            <c:strRef>
              <c:f>Trend!$A$3</c:f>
              <c:strCache>
                <c:ptCount val="1"/>
                <c:pt idx="0">
                  <c:v>ubóstwo skrajne (minimum egzystencji)</c:v>
                </c:pt>
              </c:strCache>
            </c:strRef>
          </c:tx>
          <c:spPr>
            <a:ln>
              <a:solidFill>
                <a:srgbClr val="001D77"/>
              </a:solidFill>
            </a:ln>
          </c:spPr>
          <c:marker>
            <c:spPr>
              <a:solidFill>
                <a:srgbClr val="001D77"/>
              </a:solidFill>
              <a:ln>
                <a:solidFill>
                  <a:srgbClr val="001D77"/>
                </a:solidFill>
              </a:ln>
            </c:spPr>
          </c:marker>
          <c:dLbls>
            <c:dLbl>
              <c:idx val="3"/>
              <c:layout>
                <c:manualLayout>
                  <c:x val="-3.1880797484822858E-2"/>
                  <c:y val="-3.73122653316646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490109468023997E-2"/>
                  <c:y val="3.5499402740919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Trend!$B$2:$L$2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Trend!$B$3:$L$3</c:f>
              <c:numCache>
                <c:formatCode>General</c:formatCode>
                <c:ptCount val="11"/>
                <c:pt idx="0">
                  <c:v>5.6</c:v>
                </c:pt>
                <c:pt idx="1">
                  <c:v>5.7</c:v>
                </c:pt>
                <c:pt idx="2">
                  <c:v>5.8</c:v>
                </c:pt>
                <c:pt idx="3">
                  <c:v>6.8</c:v>
                </c:pt>
                <c:pt idx="4">
                  <c:v>6.8</c:v>
                </c:pt>
                <c:pt idx="5">
                  <c:v>7.4</c:v>
                </c:pt>
                <c:pt idx="6">
                  <c:v>7.4</c:v>
                </c:pt>
                <c:pt idx="7">
                  <c:v>6.5</c:v>
                </c:pt>
                <c:pt idx="8">
                  <c:v>4.9000000000000004</c:v>
                </c:pt>
                <c:pt idx="9">
                  <c:v>4.3</c:v>
                </c:pt>
                <c:pt idx="10">
                  <c:v>5.4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Trend!$A$4</c:f>
              <c:strCache>
                <c:ptCount val="1"/>
                <c:pt idx="0">
                  <c:v>ubóstwo relatywne</c:v>
                </c:pt>
              </c:strCache>
            </c:strRef>
          </c:tx>
          <c:spPr>
            <a:ln>
              <a:solidFill>
                <a:srgbClr val="754FAD"/>
              </a:solidFill>
            </a:ln>
          </c:spPr>
          <c:marker>
            <c:spPr>
              <a:solidFill>
                <a:srgbClr val="754FAD"/>
              </a:solidFill>
              <a:ln>
                <a:solidFill>
                  <a:srgbClr val="754FAD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Trend!$B$2:$L$2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Trend!$B$4:$L$4</c:f>
              <c:numCache>
                <c:formatCode>General</c:formatCode>
                <c:ptCount val="11"/>
                <c:pt idx="0">
                  <c:v>17.600000000000001</c:v>
                </c:pt>
                <c:pt idx="1">
                  <c:v>17.3</c:v>
                </c:pt>
                <c:pt idx="2">
                  <c:v>17.399999999999999</c:v>
                </c:pt>
                <c:pt idx="3">
                  <c:v>16.899999999999999</c:v>
                </c:pt>
                <c:pt idx="4">
                  <c:v>16.3</c:v>
                </c:pt>
                <c:pt idx="5">
                  <c:v>16.2</c:v>
                </c:pt>
                <c:pt idx="6">
                  <c:v>16.2</c:v>
                </c:pt>
                <c:pt idx="7">
                  <c:v>15.5</c:v>
                </c:pt>
                <c:pt idx="8">
                  <c:v>13.9</c:v>
                </c:pt>
                <c:pt idx="9">
                  <c:v>13.4</c:v>
                </c:pt>
                <c:pt idx="10">
                  <c:v>14.2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Trend!$A$5</c:f>
              <c:strCache>
                <c:ptCount val="1"/>
                <c:pt idx="0">
                  <c:v>ubóstwo ustawowe</c:v>
                </c:pt>
              </c:strCache>
            </c:strRef>
          </c:tx>
          <c:spPr>
            <a:ln>
              <a:solidFill>
                <a:srgbClr val="69BE28"/>
              </a:solidFill>
            </a:ln>
          </c:spPr>
          <c:marker>
            <c:spPr>
              <a:solidFill>
                <a:srgbClr val="69BE28"/>
              </a:solidFill>
              <a:ln>
                <a:solidFill>
                  <a:srgbClr val="69BE28"/>
                </a:solidFill>
              </a:ln>
            </c:spPr>
          </c:marker>
          <c:dLbls>
            <c:dLbl>
              <c:idx val="0"/>
              <c:layout>
                <c:manualLayout>
                  <c:x val="-3.7301869278535432E-2"/>
                  <c:y val="-4.0160034050632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116989949427068E-2"/>
                  <c:y val="-3.7046244917413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084469624223871E-2"/>
                  <c:y val="-3.7046244917413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489213238589247E-2"/>
                  <c:y val="-2.8302626959235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520837334357593E-2"/>
                  <c:y val="-3.4001106253273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028295243582348E-2"/>
                  <c:y val="-3.6339880626641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730875104026896E-2"/>
                  <c:y val="-3.6056452261444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Trend!$B$2:$L$2</c:f>
              <c:numCache>
                <c:formatCode>General</c:formatCod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</c:numCache>
            </c:numRef>
          </c:cat>
          <c:val>
            <c:numRef>
              <c:f>Trend!$B$5:$L$5</c:f>
              <c:numCache>
                <c:formatCode>General</c:formatCode>
                <c:ptCount val="11"/>
                <c:pt idx="0">
                  <c:v>10.6</c:v>
                </c:pt>
                <c:pt idx="1">
                  <c:v>8.3000000000000007</c:v>
                </c:pt>
                <c:pt idx="2">
                  <c:v>7.4</c:v>
                </c:pt>
                <c:pt idx="3">
                  <c:v>6.6</c:v>
                </c:pt>
                <c:pt idx="4">
                  <c:v>7.2</c:v>
                </c:pt>
                <c:pt idx="5">
                  <c:v>12.8</c:v>
                </c:pt>
                <c:pt idx="6">
                  <c:v>12.2</c:v>
                </c:pt>
                <c:pt idx="7">
                  <c:v>12.2</c:v>
                </c:pt>
                <c:pt idx="8">
                  <c:v>12.7</c:v>
                </c:pt>
                <c:pt idx="9">
                  <c:v>10.7</c:v>
                </c:pt>
                <c:pt idx="10">
                  <c:v>10.9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52293280"/>
        <c:axId val="-2052296000"/>
      </c:lineChart>
      <c:catAx>
        <c:axId val="-2052293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/>
                </a:pPr>
                <a:r>
                  <a:rPr lang="pl-PL" sz="800" b="0"/>
                  <a:t>rok</a:t>
                </a:r>
              </a:p>
            </c:rich>
          </c:tx>
          <c:layout>
            <c:manualLayout>
              <c:xMode val="edge"/>
              <c:yMode val="edge"/>
              <c:x val="0.51260242622111263"/>
              <c:y val="0.865007924225576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-2052296000"/>
        <c:crosses val="autoZero"/>
        <c:auto val="1"/>
        <c:lblAlgn val="ctr"/>
        <c:lblOffset val="100"/>
        <c:noMultiLvlLbl val="0"/>
      </c:catAx>
      <c:valAx>
        <c:axId val="-205229600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0"/>
                </a:pPr>
                <a:r>
                  <a:rPr lang="pl-PL" sz="800" b="0"/>
                  <a:t>%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-2052293280"/>
        <c:crosses val="autoZero"/>
        <c:crossBetween val="between"/>
        <c:majorUnit val="5"/>
      </c:valAx>
    </c:plotArea>
    <c:legend>
      <c:legendPos val="b"/>
      <c:legendEntry>
        <c:idx val="0"/>
        <c:txPr>
          <a:bodyPr/>
          <a:lstStyle/>
          <a:p>
            <a:pPr>
              <a:defRPr sz="800"/>
            </a:pPr>
            <a:endParaRPr lang="pl-PL"/>
          </a:p>
        </c:txPr>
      </c:legendEntry>
      <c:layout>
        <c:manualLayout>
          <c:xMode val="edge"/>
          <c:yMode val="edge"/>
          <c:x val="7.4025234797457703E-3"/>
          <c:y val="0.92090607831253224"/>
          <c:w val="0.98784255130759269"/>
          <c:h val="7.6148571383738484E-2"/>
        </c:manualLayout>
      </c:layout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268253968253982"/>
          <c:y val="5.1735498830291861E-2"/>
          <c:w val="0.59698511904761886"/>
          <c:h val="0.716694053102748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 społ-ekon'!$B$1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rgbClr val="D9E2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 społ-ekon'!$A$2:$A$7</c:f>
              <c:strCache>
                <c:ptCount val="6"/>
                <c:pt idx="0">
                  <c:v>utrzymujących się z innych 
niezarobkowych źródeł</c:v>
                </c:pt>
                <c:pt idx="1">
                  <c:v>rolników</c:v>
                </c:pt>
                <c:pt idx="2">
                  <c:v>rencistów</c:v>
                </c:pt>
                <c:pt idx="3">
                  <c:v>pracowników </c:v>
                </c:pt>
                <c:pt idx="4">
                  <c:v>emerytów</c:v>
                </c:pt>
                <c:pt idx="5">
                  <c:v>pracujących na
własny rachunek</c:v>
                </c:pt>
              </c:strCache>
            </c:strRef>
          </c:cat>
          <c:val>
            <c:numRef>
              <c:f>'Gr społ-ekon'!$B$2:$B$7</c:f>
              <c:numCache>
                <c:formatCode>0.0</c:formatCode>
                <c:ptCount val="6"/>
                <c:pt idx="0">
                  <c:v>10.4</c:v>
                </c:pt>
                <c:pt idx="1">
                  <c:v>9.7000000000000011</c:v>
                </c:pt>
                <c:pt idx="2">
                  <c:v>7.3</c:v>
                </c:pt>
                <c:pt idx="3">
                  <c:v>3.3</c:v>
                </c:pt>
                <c:pt idx="4" formatCode="General">
                  <c:v>4.4000000000000004</c:v>
                </c:pt>
                <c:pt idx="5" formatCode="General">
                  <c:v>2.6</c:v>
                </c:pt>
              </c:numCache>
            </c:numRef>
          </c:val>
        </c:ser>
        <c:ser>
          <c:idx val="1"/>
          <c:order val="1"/>
          <c:tx>
            <c:strRef>
              <c:f>'Gr społ-ekon'!$C$1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rgbClr val="001D77"/>
            </a:solidFill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'Gr społ-ekon'!$A$2:$A$7</c:f>
              <c:strCache>
                <c:ptCount val="6"/>
                <c:pt idx="0">
                  <c:v>utrzymujących się z innych 
niezarobkowych źródeł</c:v>
                </c:pt>
                <c:pt idx="1">
                  <c:v>rolników</c:v>
                </c:pt>
                <c:pt idx="2">
                  <c:v>rencistów</c:v>
                </c:pt>
                <c:pt idx="3">
                  <c:v>pracowników </c:v>
                </c:pt>
                <c:pt idx="4">
                  <c:v>emerytów</c:v>
                </c:pt>
                <c:pt idx="5">
                  <c:v>pracujących na
własny rachunek</c:v>
                </c:pt>
              </c:strCache>
            </c:strRef>
          </c:cat>
          <c:val>
            <c:numRef>
              <c:f>'Gr społ-ekon'!$C$2:$C$7</c:f>
              <c:numCache>
                <c:formatCode>0.0</c:formatCode>
                <c:ptCount val="6"/>
                <c:pt idx="0">
                  <c:v>14.1</c:v>
                </c:pt>
                <c:pt idx="1">
                  <c:v>11</c:v>
                </c:pt>
                <c:pt idx="2">
                  <c:v>8.4</c:v>
                </c:pt>
                <c:pt idx="3">
                  <c:v>4.7</c:v>
                </c:pt>
                <c:pt idx="4" formatCode="General">
                  <c:v>4.5999999999999996</c:v>
                </c:pt>
                <c:pt idx="5" formatCode="General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2052297088"/>
        <c:axId val="-2052292192"/>
      </c:barChart>
      <c:catAx>
        <c:axId val="-2052297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2052292192"/>
        <c:crosses val="autoZero"/>
        <c:auto val="0"/>
        <c:lblAlgn val="ctr"/>
        <c:lblOffset val="100"/>
        <c:noMultiLvlLbl val="0"/>
      </c:catAx>
      <c:valAx>
        <c:axId val="-205229219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pl-PL" b="0"/>
                  <a:t>% osób w gospodarstwach domowych</a:t>
                </a:r>
              </a:p>
            </c:rich>
          </c:tx>
          <c:layout>
            <c:manualLayout>
              <c:xMode val="edge"/>
              <c:yMode val="edge"/>
              <c:x val="0.46615158730158734"/>
              <c:y val="0.8284524695105736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-20522970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512301587301586"/>
          <c:y val="6.4113503336368435E-2"/>
          <c:w val="0.60958432539682539"/>
          <c:h val="0.724133839053867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'Typ biol'!$B$1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rgbClr val="D9E2FF"/>
            </a:solidFill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'Typ biol'!$A$2:$A$7</c:f>
              <c:strCache>
                <c:ptCount val="6"/>
                <c:pt idx="0">
                  <c:v>Matka lub ojciec z dziećmi 
na utrzymaniu</c:v>
                </c:pt>
                <c:pt idx="1">
                  <c:v>z co najmniej 3 dzieci
na utrzymaniu</c:v>
                </c:pt>
                <c:pt idx="2">
                  <c:v>z 2 dzieci</c:v>
                </c:pt>
                <c:pt idx="3">
                  <c:v>z 1 dzieckiem</c:v>
                </c:pt>
                <c:pt idx="4">
                  <c:v>bez dzieci na utrzymaniu</c:v>
                </c:pt>
                <c:pt idx="5">
                  <c:v>Gospodarstwa 1-osobowe</c:v>
                </c:pt>
              </c:strCache>
            </c:strRef>
          </c:cat>
          <c:val>
            <c:numRef>
              <c:f>'Typ biol'!$B$2:$B$7</c:f>
              <c:numCache>
                <c:formatCode>0.0</c:formatCode>
                <c:ptCount val="6"/>
                <c:pt idx="0">
                  <c:v>2.5</c:v>
                </c:pt>
                <c:pt idx="1">
                  <c:v>6.4</c:v>
                </c:pt>
                <c:pt idx="2">
                  <c:v>2.2000000000000002</c:v>
                </c:pt>
                <c:pt idx="3">
                  <c:v>1.3</c:v>
                </c:pt>
                <c:pt idx="4">
                  <c:v>1.7</c:v>
                </c:pt>
                <c:pt idx="5">
                  <c:v>2.1</c:v>
                </c:pt>
              </c:numCache>
            </c:numRef>
          </c:val>
        </c:ser>
        <c:ser>
          <c:idx val="1"/>
          <c:order val="1"/>
          <c:tx>
            <c:strRef>
              <c:f>'Typ biol'!$C$1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'Typ biol'!$A$2:$A$7</c:f>
              <c:strCache>
                <c:ptCount val="6"/>
                <c:pt idx="0">
                  <c:v>Matka lub ojciec z dziećmi 
na utrzymaniu</c:v>
                </c:pt>
                <c:pt idx="1">
                  <c:v>z co najmniej 3 dzieci
na utrzymaniu</c:v>
                </c:pt>
                <c:pt idx="2">
                  <c:v>z 2 dzieci</c:v>
                </c:pt>
                <c:pt idx="3">
                  <c:v>z 1 dzieckiem</c:v>
                </c:pt>
                <c:pt idx="4">
                  <c:v>bez dzieci na utrzymaniu</c:v>
                </c:pt>
                <c:pt idx="5">
                  <c:v>Gospodarstwa 1-osobowe</c:v>
                </c:pt>
              </c:strCache>
            </c:strRef>
          </c:cat>
          <c:val>
            <c:numRef>
              <c:f>'Typ biol'!$C$2:$C$7</c:f>
              <c:numCache>
                <c:formatCode>0.0</c:formatCode>
                <c:ptCount val="6"/>
                <c:pt idx="0">
                  <c:v>2.9</c:v>
                </c:pt>
                <c:pt idx="1">
                  <c:v>7</c:v>
                </c:pt>
                <c:pt idx="2">
                  <c:v>2.5</c:v>
                </c:pt>
                <c:pt idx="3">
                  <c:v>1.9000000000000001</c:v>
                </c:pt>
                <c:pt idx="4">
                  <c:v>1.8</c:v>
                </c:pt>
                <c:pt idx="5">
                  <c:v>1.9000000000000001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2052293824"/>
        <c:axId val="-2052297632"/>
      </c:barChart>
      <c:catAx>
        <c:axId val="-20522938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2052297632"/>
        <c:crosses val="autoZero"/>
        <c:auto val="0"/>
        <c:lblAlgn val="ctr"/>
        <c:lblOffset val="100"/>
        <c:noMultiLvlLbl val="0"/>
      </c:catAx>
      <c:valAx>
        <c:axId val="-205229763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pl-PL" b="0"/>
                  <a:t>% osób w gospodarstwach domowych</a:t>
                </a:r>
              </a:p>
            </c:rich>
          </c:tx>
          <c:layout>
            <c:manualLayout>
              <c:xMode val="edge"/>
              <c:yMode val="edge"/>
              <c:x val="0.48632599206349231"/>
              <c:y val="0.8475956959033967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-2052293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263908730158736"/>
          <c:y val="0.92043618714204867"/>
          <c:w val="0.21472182539682541"/>
          <c:h val="6.7442554461354817E-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496428571428598"/>
          <c:y val="5.5141505285560978E-2"/>
          <c:w val="0.64486210317460313"/>
          <c:h val="0.7207528186727174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'Do 18 lat'!$D$8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rgbClr val="D9E2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'Do 18 lat'!$A$10:$C$13</c:f>
              <c:strCache>
                <c:ptCount val="4"/>
                <c:pt idx="0">
                  <c:v>z co najmniej 3 dzieci 
w wieku 0-17 lat</c:v>
                </c:pt>
                <c:pt idx="1">
                  <c:v>z dokładnie 2 dzieci 
w wieku 0-17 lat</c:v>
                </c:pt>
                <c:pt idx="2">
                  <c:v>z dokładnie 1 dzieckiem
 w wieku 0-17 lat</c:v>
                </c:pt>
                <c:pt idx="3">
                  <c:v>z co najmniej 1 dzieckiem 
w wieku 0-17 lat</c:v>
                </c:pt>
              </c:strCache>
            </c:strRef>
          </c:cat>
          <c:val>
            <c:numRef>
              <c:f>'Do 18 lat'!$D$10:$D$13</c:f>
              <c:numCache>
                <c:formatCode>General</c:formatCode>
                <c:ptCount val="4"/>
                <c:pt idx="0">
                  <c:v>7.6</c:v>
                </c:pt>
                <c:pt idx="1">
                  <c:v>4.5</c:v>
                </c:pt>
                <c:pt idx="2">
                  <c:v>3.8</c:v>
                </c:pt>
                <c:pt idx="3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'Do 18 lat'!$E$8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rgbClr val="001D77"/>
            </a:solidFill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'Do 18 lat'!$A$10:$C$13</c:f>
              <c:strCache>
                <c:ptCount val="4"/>
                <c:pt idx="0">
                  <c:v>z co najmniej 3 dzieci 
w wieku 0-17 lat</c:v>
                </c:pt>
                <c:pt idx="1">
                  <c:v>z dokładnie 2 dzieci 
w wieku 0-17 lat</c:v>
                </c:pt>
                <c:pt idx="2">
                  <c:v>z dokładnie 1 dzieckiem
 w wieku 0-17 lat</c:v>
                </c:pt>
                <c:pt idx="3">
                  <c:v>z co najmniej 1 dzieckiem 
w wieku 0-17 lat</c:v>
                </c:pt>
              </c:strCache>
            </c:strRef>
          </c:cat>
          <c:val>
            <c:numRef>
              <c:f>'Do 18 lat'!$E$10:$E$13</c:f>
              <c:numCache>
                <c:formatCode>General</c:formatCode>
                <c:ptCount val="4"/>
                <c:pt idx="0">
                  <c:v>9.7000000000000011</c:v>
                </c:pt>
                <c:pt idx="1">
                  <c:v>5.6</c:v>
                </c:pt>
                <c:pt idx="2">
                  <c:v>5.5</c:v>
                </c:pt>
                <c:pt idx="3">
                  <c:v>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2052295456"/>
        <c:axId val="-2052294912"/>
      </c:barChart>
      <c:catAx>
        <c:axId val="-20522954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2052294912"/>
        <c:crosses val="autoZero"/>
        <c:auto val="0"/>
        <c:lblAlgn val="ctr"/>
        <c:lblOffset val="100"/>
        <c:noMultiLvlLbl val="0"/>
      </c:catAx>
      <c:valAx>
        <c:axId val="-205229491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pl-PL" b="0"/>
                  <a:t>% osób w gospodarstwach domowych</a:t>
                </a:r>
              </a:p>
            </c:rich>
          </c:tx>
          <c:layout>
            <c:manualLayout>
              <c:xMode val="edge"/>
              <c:yMode val="edge"/>
              <c:x val="0.49638968253968269"/>
              <c:y val="0.835099994723233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-2052295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0476468253968267"/>
          <c:y val="0.91202293634460829"/>
          <c:w val="0.21472182539682541"/>
          <c:h val="8.3669378313169396E-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821170634920641"/>
          <c:y val="6.2777401693566826E-2"/>
          <c:w val="0.71373769841269863"/>
          <c:h val="0.634737861731698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Wiek!$C$1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rgbClr val="D9E2FF"/>
            </a:solidFill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Wiek!$B$2:$B$4</c:f>
              <c:strCache>
                <c:ptCount val="3"/>
                <c:pt idx="0">
                  <c:v>65 i więcej lat</c:v>
                </c:pt>
                <c:pt idx="1">
                  <c:v>18-64 lat</c:v>
                </c:pt>
                <c:pt idx="2">
                  <c:v>0-17 lat</c:v>
                </c:pt>
              </c:strCache>
            </c:strRef>
          </c:cat>
          <c:val>
            <c:numRef>
              <c:f>Wiek!$C$2:$C$4</c:f>
              <c:numCache>
                <c:formatCode>0.0</c:formatCode>
                <c:ptCount val="3"/>
                <c:pt idx="0">
                  <c:v>3.6</c:v>
                </c:pt>
                <c:pt idx="1">
                  <c:v>4.4000000000000004</c:v>
                </c:pt>
                <c:pt idx="2">
                  <c:v>4.7</c:v>
                </c:pt>
              </c:numCache>
            </c:numRef>
          </c:val>
        </c:ser>
        <c:ser>
          <c:idx val="1"/>
          <c:order val="1"/>
          <c:tx>
            <c:strRef>
              <c:f>Wiek!$D$1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rgbClr val="001D77"/>
            </a:solidFill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Wiek!$B$2:$B$4</c:f>
              <c:strCache>
                <c:ptCount val="3"/>
                <c:pt idx="0">
                  <c:v>65 i więcej lat</c:v>
                </c:pt>
                <c:pt idx="1">
                  <c:v>18-64 lat</c:v>
                </c:pt>
                <c:pt idx="2">
                  <c:v>0-17 lat</c:v>
                </c:pt>
              </c:strCache>
            </c:strRef>
          </c:cat>
          <c:val>
            <c:numRef>
              <c:f>Wiek!$D$2:$D$4</c:f>
              <c:numCache>
                <c:formatCode>0.0</c:formatCode>
                <c:ptCount val="3"/>
                <c:pt idx="0">
                  <c:v>4.0999999999999996</c:v>
                </c:pt>
                <c:pt idx="1">
                  <c:v>5.5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2052294368"/>
        <c:axId val="-2052292736"/>
      </c:barChart>
      <c:catAx>
        <c:axId val="-20522943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2052292736"/>
        <c:crosses val="autoZero"/>
        <c:auto val="0"/>
        <c:lblAlgn val="ctr"/>
        <c:lblOffset val="100"/>
        <c:noMultiLvlLbl val="0"/>
      </c:catAx>
      <c:valAx>
        <c:axId val="-205229273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pl-PL" b="0"/>
                  <a:t>% osób w gospodarstwach domowych</a:t>
                </a:r>
              </a:p>
            </c:rich>
          </c:tx>
          <c:layout>
            <c:manualLayout>
              <c:xMode val="edge"/>
              <c:yMode val="edge"/>
              <c:x val="0.37763214285714286"/>
              <c:y val="0.7774349473284185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-2052294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1689027777777943"/>
          <c:y val="0.88722794266101368"/>
          <c:w val="0.21472182539682541"/>
          <c:h val="0.1007056923314450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275218253968252"/>
          <c:y val="7.4468044162851799E-2"/>
          <c:w val="0.52350873015873012"/>
          <c:h val="0.671608482828531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Niepełnospr!$C$1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rgbClr val="D9E2FF"/>
            </a:solidFill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(Niepełnospr!$B$2,Niepełnospr!$B$3:$B$5)</c:f>
              <c:strCache>
                <c:ptCount val="4"/>
                <c:pt idx="0">
                  <c:v>bez osób niepełnosprawnych</c:v>
                </c:pt>
                <c:pt idx="1">
                  <c:v>z przynajmniej 1 dzieckiem do lat 16 posiadającym orzeczenie 
o niepełnosprawności</c:v>
                </c:pt>
                <c:pt idx="2">
                  <c:v>z niepełnosprawną głową
gospodarstwa domowego</c:v>
                </c:pt>
                <c:pt idx="3">
                  <c:v>z co najmniej 1 osobą
niepełnosprawną</c:v>
                </c:pt>
              </c:strCache>
            </c:strRef>
          </c:cat>
          <c:val>
            <c:numRef>
              <c:f>(Niepełnospr!$C$2,Niepełnospr!$C$3:$C$5)</c:f>
              <c:numCache>
                <c:formatCode>0.0</c:formatCode>
                <c:ptCount val="4"/>
                <c:pt idx="0" formatCode="General">
                  <c:v>3.7</c:v>
                </c:pt>
                <c:pt idx="1">
                  <c:v>4.9000000000000004</c:v>
                </c:pt>
                <c:pt idx="2">
                  <c:v>6.3</c:v>
                </c:pt>
                <c:pt idx="3">
                  <c:v>6.7</c:v>
                </c:pt>
              </c:numCache>
            </c:numRef>
          </c:val>
        </c:ser>
        <c:ser>
          <c:idx val="1"/>
          <c:order val="1"/>
          <c:tx>
            <c:strRef>
              <c:f>Niepełnospr!$D$1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(Niepełnospr!$B$2,Niepełnospr!$B$3:$B$5)</c:f>
              <c:strCache>
                <c:ptCount val="4"/>
                <c:pt idx="0">
                  <c:v>bez osób niepełnosprawnych</c:v>
                </c:pt>
                <c:pt idx="1">
                  <c:v>z przynajmniej 1 dzieckiem do lat 16 posiadającym orzeczenie 
o niepełnosprawności</c:v>
                </c:pt>
                <c:pt idx="2">
                  <c:v>z niepełnosprawną głową
gospodarstwa domowego</c:v>
                </c:pt>
                <c:pt idx="3">
                  <c:v>z co najmniej 1 osobą
niepełnosprawną</c:v>
                </c:pt>
              </c:strCache>
            </c:strRef>
          </c:cat>
          <c:val>
            <c:numRef>
              <c:f>(Niepełnospr!$D$2,Niepełnospr!$D$3:$D$5)</c:f>
              <c:numCache>
                <c:formatCode>0.0</c:formatCode>
                <c:ptCount val="4"/>
                <c:pt idx="0" formatCode="General">
                  <c:v>4.8</c:v>
                </c:pt>
                <c:pt idx="1">
                  <c:v>5.7</c:v>
                </c:pt>
                <c:pt idx="2">
                  <c:v>8</c:v>
                </c:pt>
                <c:pt idx="3">
                  <c:v>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2052291648"/>
        <c:axId val="-2052298720"/>
      </c:barChart>
      <c:catAx>
        <c:axId val="-20522916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2052298720"/>
        <c:crosses val="autoZero"/>
        <c:auto val="0"/>
        <c:lblAlgn val="ctr"/>
        <c:lblOffset val="100"/>
        <c:noMultiLvlLbl val="0"/>
      </c:catAx>
      <c:valAx>
        <c:axId val="-205229872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pl-PL" b="0"/>
                  <a:t>% osób w gospodarstwach domowych</a:t>
                </a:r>
              </a:p>
            </c:rich>
          </c:tx>
          <c:layout>
            <c:manualLayout>
              <c:xMode val="edge"/>
              <c:yMode val="edge"/>
              <c:x val="0.52684722222222224"/>
              <c:y val="0.8227208118464833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-20522916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263908730158736"/>
          <c:y val="0.90411428668369342"/>
          <c:w val="0.21472182539682541"/>
          <c:h val="8.562615041407845E-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07281746031747"/>
          <c:y val="8.3793302432940767E-2"/>
          <c:w val="0.75149206349206354"/>
          <c:h val="0.643239701420301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Wykształcenie!$B$1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rgbClr val="D9E2FF"/>
            </a:solidFill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Wykształcenie!$A$2:$A$5</c:f>
              <c:strCache>
                <c:ptCount val="4"/>
                <c:pt idx="0">
                  <c:v> Wyższe </c:v>
                </c:pt>
                <c:pt idx="1">
                  <c:v>Średnie</c:v>
                </c:pt>
                <c:pt idx="2">
                  <c:v>Zasadnicze
zawodowe</c:v>
                </c:pt>
                <c:pt idx="3">
                  <c:v>Co najwyżej gimnazjalne </c:v>
                </c:pt>
              </c:strCache>
            </c:strRef>
          </c:cat>
          <c:val>
            <c:numRef>
              <c:f>Wykształcenie!$B$2:$B$5</c:f>
              <c:numCache>
                <c:formatCode>0.0</c:formatCode>
                <c:ptCount val="4"/>
                <c:pt idx="0">
                  <c:v>0.8</c:v>
                </c:pt>
                <c:pt idx="1">
                  <c:v>2.8</c:v>
                </c:pt>
                <c:pt idx="2">
                  <c:v>6.6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Wykształcenie!$C$1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Wykształcenie!$A$2:$A$5</c:f>
              <c:strCache>
                <c:ptCount val="4"/>
                <c:pt idx="0">
                  <c:v> Wyższe </c:v>
                </c:pt>
                <c:pt idx="1">
                  <c:v>Średnie</c:v>
                </c:pt>
                <c:pt idx="2">
                  <c:v>Zasadnicze
zawodowe</c:v>
                </c:pt>
                <c:pt idx="3">
                  <c:v>Co najwyżej gimnazjalne </c:v>
                </c:pt>
              </c:strCache>
            </c:strRef>
          </c:cat>
          <c:val>
            <c:numRef>
              <c:f>Wykształcenie!$C$2:$C$5</c:f>
              <c:numCache>
                <c:formatCode>0.0</c:formatCode>
                <c:ptCount val="4"/>
                <c:pt idx="0">
                  <c:v>1.3</c:v>
                </c:pt>
                <c:pt idx="1">
                  <c:v>3.7</c:v>
                </c:pt>
                <c:pt idx="2">
                  <c:v>8.4</c:v>
                </c:pt>
                <c:pt idx="3">
                  <c:v>11.9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2052296544"/>
        <c:axId val="-1992681616"/>
      </c:barChart>
      <c:catAx>
        <c:axId val="-20522965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992681616"/>
        <c:crosses val="autoZero"/>
        <c:auto val="0"/>
        <c:lblAlgn val="ctr"/>
        <c:lblOffset val="100"/>
        <c:noMultiLvlLbl val="0"/>
      </c:catAx>
      <c:valAx>
        <c:axId val="-199268161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pl-PL" b="0"/>
                  <a:t>% osób w gospodarstwach domowych</a:t>
                </a:r>
              </a:p>
            </c:rich>
          </c:tx>
          <c:layout>
            <c:manualLayout>
              <c:xMode val="edge"/>
              <c:yMode val="edge"/>
              <c:x val="0.43997649778937403"/>
              <c:y val="0.79557752089499456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-2052296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6575993433146334"/>
          <c:y val="0.8927093687757115"/>
          <c:w val="0.21472182539682541"/>
          <c:h val="9.2826187574686747E-2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460912698412698"/>
          <c:y val="6.2577483249422736E-2"/>
          <c:w val="0.71009821428571462"/>
          <c:h val="0.711690711387562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'Miejsce zam'!$C$1</c:f>
              <c:strCache>
                <c:ptCount val="1"/>
                <c:pt idx="0">
                  <c:v>2017 r.</c:v>
                </c:pt>
              </c:strCache>
            </c:strRef>
          </c:tx>
          <c:spPr>
            <a:solidFill>
              <a:srgbClr val="D9E2FF"/>
            </a:solidFill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'Miejsce zam'!$B$2:$B$8</c:f>
              <c:strCache>
                <c:ptCount val="7"/>
                <c:pt idx="0">
                  <c:v>Wieś</c:v>
                </c:pt>
                <c:pt idx="1">
                  <c:v>      poniżej 20 tys.</c:v>
                </c:pt>
                <c:pt idx="2">
                  <c:v>       20 - 100 tys.</c:v>
                </c:pt>
                <c:pt idx="3">
                  <c:v>     100 - 200 tys.</c:v>
                </c:pt>
                <c:pt idx="4">
                  <c:v>     200 - 500 tys.</c:v>
                </c:pt>
                <c:pt idx="5">
                  <c:v>     500 tys. i więcej</c:v>
                </c:pt>
                <c:pt idx="6">
                  <c:v>Miasta razem</c:v>
                </c:pt>
              </c:strCache>
            </c:strRef>
          </c:cat>
          <c:val>
            <c:numRef>
              <c:f>'Miejsce zam'!$C$2:$C$8</c:f>
              <c:numCache>
                <c:formatCode>0.0</c:formatCode>
                <c:ptCount val="7"/>
                <c:pt idx="0">
                  <c:v>7.3</c:v>
                </c:pt>
                <c:pt idx="1">
                  <c:v>4.0999999999999996</c:v>
                </c:pt>
                <c:pt idx="2">
                  <c:v>2.8</c:v>
                </c:pt>
                <c:pt idx="3">
                  <c:v>1.8</c:v>
                </c:pt>
                <c:pt idx="4">
                  <c:v>1.1000000000000001</c:v>
                </c:pt>
                <c:pt idx="5">
                  <c:v>1.5</c:v>
                </c:pt>
                <c:pt idx="6">
                  <c:v>2.4</c:v>
                </c:pt>
              </c:numCache>
            </c:numRef>
          </c:val>
        </c:ser>
        <c:ser>
          <c:idx val="1"/>
          <c:order val="1"/>
          <c:tx>
            <c:strRef>
              <c:f>'Miejsce zam'!$D$1</c:f>
              <c:strCache>
                <c:ptCount val="1"/>
                <c:pt idx="0">
                  <c:v>2018 r.</c:v>
                </c:pt>
              </c:strCache>
            </c:strRef>
          </c:tx>
          <c:spPr>
            <a:solidFill>
              <a:srgbClr val="001D7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'Miejsce zam'!$B$2:$B$8</c:f>
              <c:strCache>
                <c:ptCount val="7"/>
                <c:pt idx="0">
                  <c:v>Wieś</c:v>
                </c:pt>
                <c:pt idx="1">
                  <c:v>      poniżej 20 tys.</c:v>
                </c:pt>
                <c:pt idx="2">
                  <c:v>       20 - 100 tys.</c:v>
                </c:pt>
                <c:pt idx="3">
                  <c:v>     100 - 200 tys.</c:v>
                </c:pt>
                <c:pt idx="4">
                  <c:v>     200 - 500 tys.</c:v>
                </c:pt>
                <c:pt idx="5">
                  <c:v>     500 tys. i więcej</c:v>
                </c:pt>
                <c:pt idx="6">
                  <c:v>Miasta razem</c:v>
                </c:pt>
              </c:strCache>
            </c:strRef>
          </c:cat>
          <c:val>
            <c:numRef>
              <c:f>'Miejsce zam'!$D$2:$D$8</c:f>
              <c:numCache>
                <c:formatCode>0.0</c:formatCode>
                <c:ptCount val="7"/>
                <c:pt idx="0">
                  <c:v>9.4</c:v>
                </c:pt>
                <c:pt idx="1">
                  <c:v>5.0999999999999996</c:v>
                </c:pt>
                <c:pt idx="2">
                  <c:v>3.1</c:v>
                </c:pt>
                <c:pt idx="3">
                  <c:v>2.7</c:v>
                </c:pt>
                <c:pt idx="4">
                  <c:v>1.2</c:v>
                </c:pt>
                <c:pt idx="5">
                  <c:v>0.9</c:v>
                </c:pt>
                <c:pt idx="6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-1992682160"/>
        <c:axId val="-1891112160"/>
      </c:barChart>
      <c:catAx>
        <c:axId val="-19926821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891112160"/>
        <c:crosses val="autoZero"/>
        <c:auto val="0"/>
        <c:lblAlgn val="ctr"/>
        <c:lblOffset val="100"/>
        <c:noMultiLvlLbl val="0"/>
      </c:catAx>
      <c:valAx>
        <c:axId val="-189111216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pl-PL" b="0"/>
                  <a:t>% osób w gospodarstwach domowych</a:t>
                </a:r>
              </a:p>
            </c:rich>
          </c:tx>
          <c:layout>
            <c:manualLayout>
              <c:xMode val="edge"/>
              <c:yMode val="edge"/>
              <c:x val="0.48379041760784786"/>
              <c:y val="0.82626285227596707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-19926821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0.01797</cdr:x>
      <cdr:y>0.02234</cdr:y>
    </cdr:from>
    <cdr:to>
      <cdr:x>0.99673</cdr:x>
      <cdr:y>0.13499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04775" y="85019"/>
          <a:ext cx="5705475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0.06701</cdr:x>
      <cdr:y>0.0477</cdr:y>
    </cdr:from>
    <cdr:to>
      <cdr:x>0.08958</cdr:x>
      <cdr:y>0.76152</cdr:y>
    </cdr:to>
    <cdr:sp macro="" textlink="">
      <cdr:nvSpPr>
        <cdr:cNvPr id="2" name="Nawias otwierający 1"/>
        <cdr:cNvSpPr/>
      </cdr:nvSpPr>
      <cdr:spPr>
        <a:xfrm xmlns:a="http://schemas.openxmlformats.org/drawingml/2006/main">
          <a:off x="337754" y="147582"/>
          <a:ext cx="113753" cy="2208355"/>
        </a:xfrm>
        <a:prstGeom xmlns:a="http://schemas.openxmlformats.org/drawingml/2006/main" prst="leftBracket">
          <a:avLst/>
        </a:prstGeom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0.02973</cdr:x>
      <cdr:y>0.078</cdr:y>
    </cdr:from>
    <cdr:to>
      <cdr:x>0.05619</cdr:x>
      <cdr:y>0.7461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49860" y="241300"/>
          <a:ext cx="133349" cy="206692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="vert270" wrap="square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</a:rPr>
            <a:t>Gospodarstwa domowe: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0.0765</cdr:x>
      <cdr:y>0.2</cdr:y>
    </cdr:from>
    <cdr:to>
      <cdr:x>0.09449</cdr:x>
      <cdr:y>0.64848</cdr:y>
    </cdr:to>
    <cdr:sp macro="" textlink="">
      <cdr:nvSpPr>
        <cdr:cNvPr id="2" name="Nawias otwierający 1"/>
        <cdr:cNvSpPr/>
      </cdr:nvSpPr>
      <cdr:spPr>
        <a:xfrm xmlns:a="http://schemas.openxmlformats.org/drawingml/2006/main">
          <a:off x="385560" y="628638"/>
          <a:ext cx="90690" cy="1409700"/>
        </a:xfrm>
        <a:prstGeom xmlns:a="http://schemas.openxmlformats.org/drawingml/2006/main" prst="leftBracket">
          <a:avLst/>
        </a:prstGeom>
        <a:ln xmlns:a="http://schemas.openxmlformats.org/drawingml/2006/main" w="3175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0.03089</cdr:x>
      <cdr:y>0.19373</cdr:y>
    </cdr:from>
    <cdr:to>
      <cdr:x>0.07188</cdr:x>
      <cdr:y>0.66251</cdr:y>
    </cdr:to>
    <cdr:sp macro="" textlink="">
      <cdr:nvSpPr>
        <cdr:cNvPr id="3" name="pole tekstowe 3"/>
        <cdr:cNvSpPr txBox="1"/>
      </cdr:nvSpPr>
      <cdr:spPr>
        <a:xfrm xmlns:a="http://schemas.openxmlformats.org/drawingml/2006/main">
          <a:off x="165100" y="561340"/>
          <a:ext cx="219075" cy="135826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="vert270" wrap="square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</a:rPr>
            <a:t>Małżeństwa: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0.01701</cdr:x>
      <cdr:y>0.07088</cdr:y>
    </cdr:from>
    <cdr:to>
      <cdr:x>0.04914</cdr:x>
      <cdr:y>0.76732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85725" y="201492"/>
          <a:ext cx="161925" cy="197972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="vert270" wrap="square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</a:rPr>
            <a:t>Gospodarstwa domowe:</a:t>
          </a:r>
        </a:p>
      </cdr:txBody>
    </cdr:sp>
  </cdr:relSizeAnchor>
  <cdr:relSizeAnchor xmlns:cdr="http://schemas.openxmlformats.org/drawingml/2006/chartDrawing">
    <cdr:from>
      <cdr:x>0.05328</cdr:x>
      <cdr:y>0.07142</cdr:y>
    </cdr:from>
    <cdr:to>
      <cdr:x>0.06993</cdr:x>
      <cdr:y>0.76397</cdr:y>
    </cdr:to>
    <cdr:sp macro="" textlink="">
      <cdr:nvSpPr>
        <cdr:cNvPr id="2" name="Nawias otwierający 1"/>
        <cdr:cNvSpPr/>
      </cdr:nvSpPr>
      <cdr:spPr>
        <a:xfrm xmlns:a="http://schemas.openxmlformats.org/drawingml/2006/main">
          <a:off x="268524" y="203012"/>
          <a:ext cx="83901" cy="1968677"/>
        </a:xfrm>
        <a:prstGeom xmlns:a="http://schemas.openxmlformats.org/drawingml/2006/main" prst="leftBracket">
          <a:avLst/>
        </a:prstGeom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0.07103</cdr:x>
      <cdr:y>0.09277</cdr:y>
    </cdr:from>
    <cdr:to>
      <cdr:x>0.08845</cdr:x>
      <cdr:y>0.71988</cdr:y>
    </cdr:to>
    <cdr:sp macro="" textlink="">
      <cdr:nvSpPr>
        <cdr:cNvPr id="2" name="Nawias otwierający 1"/>
        <cdr:cNvSpPr/>
      </cdr:nvSpPr>
      <cdr:spPr>
        <a:xfrm xmlns:a="http://schemas.openxmlformats.org/drawingml/2006/main">
          <a:off x="357991" y="243466"/>
          <a:ext cx="87797" cy="1645743"/>
        </a:xfrm>
        <a:prstGeom xmlns:a="http://schemas.openxmlformats.org/drawingml/2006/main" prst="leftBracket">
          <a:avLst/>
        </a:prstGeom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0.02671</cdr:x>
      <cdr:y>0.09485</cdr:y>
    </cdr:from>
    <cdr:to>
      <cdr:x>0.05695</cdr:x>
      <cdr:y>0.69807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34620" y="248920"/>
          <a:ext cx="152400" cy="15830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="vert270" wrap="square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</a:rPr>
            <a:t>Gospodarstwa</a:t>
          </a:r>
          <a:r>
            <a:rPr lang="pl-PL" sz="800" b="0" baseline="0">
              <a:latin typeface="Fira Sans" panose="020B0503050000020004" pitchFamily="34" charset="0"/>
              <a:ea typeface="Fira Sans" panose="020B0503050000020004" pitchFamily="34" charset="0"/>
            </a:rPr>
            <a:t> domowe</a:t>
          </a:r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</a:rPr>
            <a:t>: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0.06922</cdr:x>
      <cdr:y>0.18122</cdr:y>
    </cdr:from>
    <cdr:to>
      <cdr:x>0.08077</cdr:x>
      <cdr:y>0.67497</cdr:y>
    </cdr:to>
    <cdr:sp macro="" textlink="">
      <cdr:nvSpPr>
        <cdr:cNvPr id="2" name="Nawias otwierający 1"/>
        <cdr:cNvSpPr/>
      </cdr:nvSpPr>
      <cdr:spPr>
        <a:xfrm xmlns:a="http://schemas.openxmlformats.org/drawingml/2006/main">
          <a:off x="348874" y="557539"/>
          <a:ext cx="58197" cy="1519053"/>
        </a:xfrm>
        <a:prstGeom xmlns:a="http://schemas.openxmlformats.org/drawingml/2006/main" prst="leftBracket">
          <a:avLst/>
        </a:prstGeom>
        <a:ln xmlns:a="http://schemas.openxmlformats.org/drawingml/2006/main" w="6350">
          <a:solidFill>
            <a:schemeClr val="tx1"/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0.02369</cdr:x>
      <cdr:y>0.12121</cdr:y>
    </cdr:from>
    <cdr:to>
      <cdr:x>0.0577</cdr:x>
      <cdr:y>0.7317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19380" y="347980"/>
          <a:ext cx="171451" cy="175260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="vert270" wrap="square" rtlCol="0" anchor="ctr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</a:rPr>
            <a:t>Miasta</a:t>
          </a:r>
          <a:r>
            <a:rPr lang="pl-PL" sz="800" b="0" baseline="0">
              <a:latin typeface="Fira Sans" panose="020B0503050000020004" pitchFamily="34" charset="0"/>
              <a:ea typeface="Fira Sans" panose="020B0503050000020004" pitchFamily="34" charset="0"/>
            </a:rPr>
            <a:t> o liczbie mieszkańców</a:t>
          </a:r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</a:rPr>
            <a:t>: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8A9674-B52D-4AC6-93F2-066A6720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1607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Główny Urząd Statystyczny</dc:creator>
  <cp:lastModifiedBy>Zawistowska Beata</cp:lastModifiedBy>
  <cp:revision>2</cp:revision>
  <cp:lastPrinted>2019-05-23T08:33:00Z</cp:lastPrinted>
  <dcterms:created xsi:type="dcterms:W3CDTF">2019-05-30T07:51:00Z</dcterms:created>
  <dcterms:modified xsi:type="dcterms:W3CDTF">2019-06-27T10:31:00Z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