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8D1" w:rsidRDefault="00CA28D1" w:rsidP="00CA28D1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CA28D1" w:rsidRPr="00FD6AF2" w:rsidRDefault="00FD6AF2" w:rsidP="00FD6AF2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FD6AF2">
        <w:rPr>
          <w:rFonts w:cstheme="minorHAnsi"/>
          <w:sz w:val="24"/>
          <w:szCs w:val="24"/>
        </w:rPr>
        <w:t>Warszawa, 1</w:t>
      </w:r>
      <w:r w:rsidR="007C2149">
        <w:rPr>
          <w:rFonts w:cstheme="minorHAnsi"/>
          <w:sz w:val="24"/>
          <w:szCs w:val="24"/>
        </w:rPr>
        <w:t>2</w:t>
      </w:r>
      <w:r w:rsidRPr="00FD6AF2">
        <w:rPr>
          <w:rFonts w:cstheme="minorHAnsi"/>
          <w:sz w:val="24"/>
          <w:szCs w:val="24"/>
        </w:rPr>
        <w:t>.08.2016 r.</w:t>
      </w:r>
    </w:p>
    <w:p w:rsidR="00595A97" w:rsidRDefault="00595A97" w:rsidP="0092571F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2C5CF2" w:rsidRPr="00CA28D1" w:rsidRDefault="002C5CF2" w:rsidP="0092571F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CA28D1">
        <w:rPr>
          <w:rFonts w:cstheme="minorHAnsi"/>
          <w:b/>
          <w:sz w:val="32"/>
          <w:szCs w:val="32"/>
        </w:rPr>
        <w:t xml:space="preserve">Sfera niedostatku w Polsce w latach 2012-2015 – podstawowe dane </w:t>
      </w:r>
    </w:p>
    <w:p w:rsidR="0092571F" w:rsidRPr="00C5153C" w:rsidRDefault="0092571F" w:rsidP="0092571F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(na podstawie B</w:t>
      </w:r>
      <w:r w:rsidRPr="00C5153C">
        <w:rPr>
          <w:rFonts w:cstheme="minorHAnsi"/>
          <w:i/>
          <w:sz w:val="24"/>
          <w:szCs w:val="24"/>
        </w:rPr>
        <w:t>adania budżetów gospodarstw domowych)</w:t>
      </w:r>
    </w:p>
    <w:p w:rsidR="0092571F" w:rsidRPr="003F62B3" w:rsidRDefault="00F67FE0" w:rsidP="002C5CF2">
      <w:pPr>
        <w:spacing w:before="240" w:after="0" w:line="240" w:lineRule="auto"/>
        <w:jc w:val="both"/>
        <w:rPr>
          <w:rFonts w:cstheme="minorHAnsi"/>
        </w:rPr>
      </w:pPr>
      <w:r w:rsidRPr="003F62B3">
        <w:rPr>
          <w:rFonts w:cstheme="minorHAnsi"/>
        </w:rPr>
        <w:t>Z</w:t>
      </w:r>
      <w:r w:rsidR="002C5CF2" w:rsidRPr="003F62B3">
        <w:rPr>
          <w:rFonts w:cstheme="minorHAnsi"/>
        </w:rPr>
        <w:t>estaw tablic</w:t>
      </w:r>
      <w:r w:rsidR="003B7DD2" w:rsidRPr="003F62B3">
        <w:rPr>
          <w:rFonts w:cstheme="minorHAnsi"/>
        </w:rPr>
        <w:t xml:space="preserve"> </w:t>
      </w:r>
      <w:r w:rsidR="00FA0A35" w:rsidRPr="003F62B3">
        <w:rPr>
          <w:rFonts w:cstheme="minorHAnsi"/>
        </w:rPr>
        <w:t>obejmuje</w:t>
      </w:r>
      <w:r w:rsidR="0092571F" w:rsidRPr="003F62B3">
        <w:rPr>
          <w:rFonts w:cstheme="minorHAnsi"/>
        </w:rPr>
        <w:t>:</w:t>
      </w:r>
    </w:p>
    <w:p w:rsidR="0070710D" w:rsidRDefault="0092571F" w:rsidP="0092571F">
      <w:pPr>
        <w:pStyle w:val="Akapitzlist"/>
        <w:numPr>
          <w:ilvl w:val="0"/>
          <w:numId w:val="2"/>
        </w:numPr>
        <w:spacing w:after="60" w:line="320" w:lineRule="exact"/>
        <w:ind w:left="714" w:hanging="357"/>
        <w:jc w:val="both"/>
        <w:rPr>
          <w:rFonts w:cstheme="minorHAnsi"/>
        </w:rPr>
      </w:pPr>
      <w:r>
        <w:rPr>
          <w:rFonts w:cstheme="minorHAnsi"/>
        </w:rPr>
        <w:t xml:space="preserve">Granice sfery niedostatku </w:t>
      </w:r>
      <w:r w:rsidR="0070710D">
        <w:rPr>
          <w:rFonts w:cstheme="minorHAnsi"/>
        </w:rPr>
        <w:t xml:space="preserve">dla wybranych typów gospodarstw. </w:t>
      </w:r>
    </w:p>
    <w:p w:rsidR="0092571F" w:rsidRDefault="0092571F" w:rsidP="0092571F">
      <w:pPr>
        <w:pStyle w:val="Akapitzlist"/>
        <w:numPr>
          <w:ilvl w:val="0"/>
          <w:numId w:val="2"/>
        </w:numPr>
        <w:spacing w:after="60" w:line="320" w:lineRule="exact"/>
        <w:ind w:left="714" w:hanging="357"/>
        <w:jc w:val="both"/>
        <w:rPr>
          <w:rFonts w:cstheme="minorHAnsi"/>
        </w:rPr>
      </w:pPr>
      <w:r>
        <w:rPr>
          <w:rFonts w:cstheme="minorHAnsi"/>
        </w:rPr>
        <w:t>Porównanie poziomu granicy sfery niedostatku z granicami ubóstwa w IV kwartale 2015 r.</w:t>
      </w:r>
    </w:p>
    <w:p w:rsidR="0092571F" w:rsidRPr="0092571F" w:rsidRDefault="0092571F" w:rsidP="0092571F">
      <w:pPr>
        <w:pStyle w:val="Akapitzlist"/>
        <w:numPr>
          <w:ilvl w:val="0"/>
          <w:numId w:val="2"/>
        </w:numPr>
        <w:spacing w:before="120" w:after="60" w:line="320" w:lineRule="exact"/>
        <w:jc w:val="both"/>
        <w:rPr>
          <w:rFonts w:cstheme="minorHAnsi"/>
        </w:rPr>
      </w:pPr>
      <w:r>
        <w:rPr>
          <w:rFonts w:cstheme="minorHAnsi"/>
        </w:rPr>
        <w:t>Zasięg sfery niedostatku według grup społeczno-ekonomicznych gospodarstw domowych</w:t>
      </w:r>
      <w:r w:rsidR="0070710D">
        <w:rPr>
          <w:rFonts w:cstheme="minorHAnsi"/>
        </w:rPr>
        <w:t>.</w:t>
      </w:r>
    </w:p>
    <w:p w:rsidR="0092571F" w:rsidRDefault="0092571F" w:rsidP="0092571F">
      <w:pPr>
        <w:pStyle w:val="Akapitzlist"/>
        <w:numPr>
          <w:ilvl w:val="0"/>
          <w:numId w:val="2"/>
        </w:numPr>
        <w:spacing w:before="120" w:after="60" w:line="320" w:lineRule="exact"/>
        <w:jc w:val="both"/>
        <w:rPr>
          <w:rFonts w:cstheme="minorHAnsi"/>
        </w:rPr>
      </w:pPr>
      <w:r>
        <w:rPr>
          <w:rFonts w:cstheme="minorHAnsi"/>
        </w:rPr>
        <w:t>Zasięg sfery niedostatku według miejsca zamieszkania</w:t>
      </w:r>
      <w:r w:rsidR="0070710D">
        <w:rPr>
          <w:rFonts w:cstheme="minorHAnsi"/>
        </w:rPr>
        <w:t>.</w:t>
      </w:r>
    </w:p>
    <w:p w:rsidR="0092571F" w:rsidRDefault="0092571F" w:rsidP="0092571F">
      <w:pPr>
        <w:pStyle w:val="Akapitzlist"/>
        <w:numPr>
          <w:ilvl w:val="0"/>
          <w:numId w:val="2"/>
        </w:numPr>
        <w:spacing w:before="120" w:after="60" w:line="320" w:lineRule="exact"/>
        <w:jc w:val="both"/>
        <w:rPr>
          <w:rFonts w:cstheme="minorHAnsi"/>
        </w:rPr>
      </w:pPr>
      <w:r>
        <w:rPr>
          <w:rFonts w:cstheme="minorHAnsi"/>
        </w:rPr>
        <w:t xml:space="preserve">Zasięg sfery niedostatku według </w:t>
      </w:r>
      <w:r w:rsidR="001553F9">
        <w:rPr>
          <w:rFonts w:cstheme="minorHAnsi"/>
        </w:rPr>
        <w:t>regionów</w:t>
      </w:r>
      <w:r w:rsidR="0070710D">
        <w:rPr>
          <w:rFonts w:cstheme="minorHAnsi"/>
        </w:rPr>
        <w:t>.</w:t>
      </w:r>
    </w:p>
    <w:p w:rsidR="001553F9" w:rsidRDefault="001553F9" w:rsidP="001553F9">
      <w:pPr>
        <w:pStyle w:val="Akapitzlist"/>
        <w:numPr>
          <w:ilvl w:val="0"/>
          <w:numId w:val="2"/>
        </w:numPr>
        <w:spacing w:before="120" w:after="60" w:line="320" w:lineRule="exact"/>
        <w:jc w:val="both"/>
        <w:rPr>
          <w:rFonts w:cstheme="minorHAnsi"/>
        </w:rPr>
      </w:pPr>
      <w:r>
        <w:rPr>
          <w:rFonts w:cstheme="minorHAnsi"/>
        </w:rPr>
        <w:t>Zasięg sfery niedostatku według województw</w:t>
      </w:r>
      <w:r w:rsidR="0070710D">
        <w:rPr>
          <w:rFonts w:cstheme="minorHAnsi"/>
        </w:rPr>
        <w:t>.</w:t>
      </w:r>
    </w:p>
    <w:p w:rsidR="001553F9" w:rsidRDefault="001553F9" w:rsidP="0092571F">
      <w:pPr>
        <w:pStyle w:val="Akapitzlist"/>
        <w:numPr>
          <w:ilvl w:val="0"/>
          <w:numId w:val="2"/>
        </w:numPr>
        <w:spacing w:before="120" w:after="60" w:line="320" w:lineRule="exact"/>
        <w:jc w:val="both"/>
        <w:rPr>
          <w:rFonts w:cstheme="minorHAnsi"/>
        </w:rPr>
      </w:pPr>
      <w:r>
        <w:rPr>
          <w:rFonts w:cstheme="minorHAnsi"/>
        </w:rPr>
        <w:t>Bezwzględne błędy szacunków zasięgu sfery niedostatku w latach 2014-2015 według województw.</w:t>
      </w:r>
    </w:p>
    <w:p w:rsidR="006575C6" w:rsidRPr="006575C6" w:rsidRDefault="006575C6" w:rsidP="006575C6">
      <w:pPr>
        <w:spacing w:before="240" w:after="120"/>
        <w:rPr>
          <w:rFonts w:cstheme="minorHAnsi"/>
          <w:u w:val="single"/>
        </w:rPr>
      </w:pPr>
      <w:r w:rsidRPr="006575C6">
        <w:rPr>
          <w:rFonts w:cstheme="minorHAnsi"/>
          <w:u w:val="single"/>
        </w:rPr>
        <w:t>Uwagi metod</w:t>
      </w:r>
      <w:r w:rsidR="0047286F">
        <w:rPr>
          <w:rFonts w:cstheme="minorHAnsi"/>
          <w:u w:val="single"/>
        </w:rPr>
        <w:t>ologiczne</w:t>
      </w:r>
    </w:p>
    <w:p w:rsidR="003B7DD2" w:rsidRPr="003F62B3" w:rsidRDefault="003B7DD2" w:rsidP="00C8574D">
      <w:pPr>
        <w:autoSpaceDE w:val="0"/>
        <w:autoSpaceDN w:val="0"/>
        <w:adjustRightInd w:val="0"/>
        <w:spacing w:after="120" w:line="320" w:lineRule="exact"/>
        <w:ind w:firstLine="595"/>
        <w:jc w:val="both"/>
        <w:rPr>
          <w:rFonts w:cs="Arial"/>
          <w:b/>
          <w:bCs/>
        </w:rPr>
      </w:pPr>
      <w:r w:rsidRPr="003F62B3">
        <w:rPr>
          <w:rFonts w:cs="Arial"/>
        </w:rPr>
        <w:t>Obok kategorii minimum egzystencji, które wykorzystywane jest do określenia zasięgu ubóstwa skrajnego, od początku lat osiemdziesiątych Instytut Pracy i Spraw Socjalnych (</w:t>
      </w:r>
      <w:proofErr w:type="spellStart"/>
      <w:r w:rsidRPr="003F62B3">
        <w:rPr>
          <w:rFonts w:cs="Arial"/>
        </w:rPr>
        <w:t>IPiSS</w:t>
      </w:r>
      <w:proofErr w:type="spellEnd"/>
      <w:r w:rsidRPr="003F62B3">
        <w:rPr>
          <w:rFonts w:cs="Arial"/>
        </w:rPr>
        <w:t>) szacuje i</w:t>
      </w:r>
      <w:r w:rsidR="00265A38" w:rsidRPr="003F62B3">
        <w:rPr>
          <w:rFonts w:cs="Arial"/>
        </w:rPr>
        <w:t> </w:t>
      </w:r>
      <w:r w:rsidRPr="003F62B3">
        <w:rPr>
          <w:rFonts w:cs="Arial"/>
        </w:rPr>
        <w:t xml:space="preserve">publikuje również wartość minimum socjalnego. W koszyku minimum socjalnego uwzględnia się dobra i usługi służące nie tylko zaspokojeniu potrzeb egzystencjalnych, ale także towary i usługi niezbędne do wykonywania pracy, kształcenia, utrzymywania więzi rodzinnych i kontaktów towarzyskich oraz skromnego uczestnictwa w kulturze. </w:t>
      </w:r>
      <w:r w:rsidRPr="003F62B3">
        <w:rPr>
          <w:rFonts w:cs="Arial"/>
          <w:b/>
          <w:bCs/>
        </w:rPr>
        <w:t xml:space="preserve">W związku z tym minimum socjalne nie powinno być traktowane jako próg ubóstwa, lecz jako granica „minimalnie godziwego </w:t>
      </w:r>
      <w:r w:rsidR="00E06DC0" w:rsidRPr="003F62B3">
        <w:rPr>
          <w:rFonts w:cs="Arial"/>
          <w:b/>
          <w:bCs/>
        </w:rPr>
        <w:t xml:space="preserve">poziomu </w:t>
      </w:r>
      <w:r w:rsidRPr="003F62B3">
        <w:rPr>
          <w:rFonts w:cs="Arial"/>
          <w:b/>
          <w:bCs/>
        </w:rPr>
        <w:t>życia”, wyznaczająca sferę niedostatku, poniżej której następuje deprywacja integracyjnych potrzeb człowieka</w:t>
      </w:r>
      <w:r w:rsidRPr="003F62B3">
        <w:rPr>
          <w:rStyle w:val="Odwoanieprzypisudolnego"/>
          <w:rFonts w:cs="Arial"/>
          <w:b/>
          <w:bCs/>
        </w:rPr>
        <w:footnoteReference w:id="1"/>
      </w:r>
      <w:r w:rsidRPr="003F62B3">
        <w:rPr>
          <w:rFonts w:cs="Arial"/>
          <w:b/>
          <w:bCs/>
        </w:rPr>
        <w:t>.</w:t>
      </w:r>
      <w:r w:rsidRPr="003F62B3">
        <w:rPr>
          <w:rFonts w:cs="Arial"/>
        </w:rPr>
        <w:t xml:space="preserve"> </w:t>
      </w:r>
    </w:p>
    <w:p w:rsidR="004C6196" w:rsidRPr="003F62B3" w:rsidRDefault="004C6196" w:rsidP="00C8574D">
      <w:pPr>
        <w:spacing w:after="120" w:line="320" w:lineRule="exact"/>
        <w:ind w:firstLine="595"/>
        <w:jc w:val="both"/>
        <w:rPr>
          <w:rFonts w:cs="Arial"/>
        </w:rPr>
      </w:pPr>
      <w:r w:rsidRPr="003F62B3">
        <w:rPr>
          <w:rFonts w:cs="Arial"/>
        </w:rPr>
        <w:t xml:space="preserve">W analizach sfery niedostatku za syntetyczną miarę dobrobytu ekonomicznego gospodarstwa domowego przyjęto </w:t>
      </w:r>
      <w:r w:rsidRPr="003F62B3">
        <w:rPr>
          <w:rFonts w:cs="Arial"/>
          <w:b/>
        </w:rPr>
        <w:t>poziom wydatków</w:t>
      </w:r>
      <w:r w:rsidRPr="003F62B3">
        <w:rPr>
          <w:rFonts w:cs="Arial"/>
        </w:rPr>
        <w:t>. Gospodarstwo domowe (a tym samym wszystkie osoby wchodzące w jego skład) zostaje uznane za żyjące w sferze niedostatku, jeżeli poziom jego wydatków (łącznie z wartością artykułów otrzymanych nieodpłatnie oraz pobranych z</w:t>
      </w:r>
      <w:r w:rsidR="00265A38" w:rsidRPr="003F62B3">
        <w:rPr>
          <w:rFonts w:cs="Arial"/>
        </w:rPr>
        <w:t xml:space="preserve"> </w:t>
      </w:r>
      <w:r w:rsidRPr="003F62B3">
        <w:rPr>
          <w:rFonts w:cs="Arial"/>
        </w:rPr>
        <w:t>indywidualnego gospodarstwa rolnego, działki bądź z prowadzonej działalności na własny rachunek) jest niższy od wartości przyjętej za granicę (określaną także zamiennie jako próg lub linia) sfery niedostatku.</w:t>
      </w:r>
    </w:p>
    <w:p w:rsidR="004C6196" w:rsidRPr="003F62B3" w:rsidRDefault="004C6196" w:rsidP="00C8574D">
      <w:pPr>
        <w:spacing w:after="120" w:line="320" w:lineRule="exact"/>
        <w:ind w:firstLine="596"/>
        <w:jc w:val="both"/>
        <w:rPr>
          <w:rFonts w:cs="Arial"/>
          <w:color w:val="FF0000"/>
        </w:rPr>
      </w:pPr>
      <w:r w:rsidRPr="003F62B3">
        <w:rPr>
          <w:rFonts w:cs="Arial"/>
        </w:rPr>
        <w:t xml:space="preserve">Aby wyeliminować wpływ, jaki na koszty utrzymania gospodarstw domowych wywiera ich skład społeczno-demograficzny, zarówno przy obliczaniu poziomu wydatków w gospodarstwach domowych, jak i przy ustalaniu granicy sfery niedostatku zastosowano tzw. </w:t>
      </w:r>
      <w:r w:rsidRPr="003F62B3">
        <w:rPr>
          <w:rFonts w:cs="Arial"/>
          <w:b/>
        </w:rPr>
        <w:t>oryginalną skalę ekwiwalentności</w:t>
      </w:r>
      <w:r w:rsidRPr="003F62B3">
        <w:rPr>
          <w:rFonts w:cs="Arial"/>
        </w:rPr>
        <w:t>. Według tej skali wagę 1 przypisuje się pierwszej osobie w gospodarstwie domowym w wieku 14 lat i</w:t>
      </w:r>
      <w:r w:rsidR="00265A38" w:rsidRPr="003F62B3">
        <w:rPr>
          <w:rFonts w:cs="Arial"/>
        </w:rPr>
        <w:t> </w:t>
      </w:r>
      <w:r w:rsidRPr="003F62B3">
        <w:rPr>
          <w:rFonts w:cs="Arial"/>
        </w:rPr>
        <w:t xml:space="preserve"> więcej; 0,7 – każdej następnej osobie w tym wieku; 0,5 – każdemu dziecku w wieku poniżej 14 lat. Oznacza to, że wartość granicy sfery niedostatku dla gospodarstwa 4-osobowego złożonego z dwóch osób dorosłych i dwojga dzieci w wieku poniżej 14 lat jest 2,7 razy wyższa niż dla gospodarstwa 1-</w:t>
      </w:r>
      <w:r w:rsidR="005566E6" w:rsidRPr="003F62B3">
        <w:rPr>
          <w:rFonts w:cs="Arial"/>
        </w:rPr>
        <w:t> </w:t>
      </w:r>
      <w:r w:rsidRPr="003F62B3">
        <w:rPr>
          <w:rFonts w:cs="Arial"/>
        </w:rPr>
        <w:t>osobowego (Tabl. 1).</w:t>
      </w:r>
    </w:p>
    <w:p w:rsidR="004C6196" w:rsidRPr="003F62B3" w:rsidRDefault="004C6196" w:rsidP="00C8574D">
      <w:pPr>
        <w:spacing w:after="120" w:line="320" w:lineRule="exact"/>
        <w:ind w:firstLine="595"/>
        <w:jc w:val="both"/>
        <w:rPr>
          <w:rFonts w:cs="Arial"/>
        </w:rPr>
      </w:pPr>
      <w:r w:rsidRPr="003F62B3">
        <w:rPr>
          <w:rFonts w:cs="Arial"/>
        </w:rPr>
        <w:lastRenderedPageBreak/>
        <w:t xml:space="preserve">Za punkt wyjścia do ustalania granic sfery niedostatku bierze się poziom minimum socjalnego obliczony dla 1-osobowego gospodarstwa, a następnie mnoży się tę wartość przez liczbę „osób ekwiwalentnych”. Przyjęcie tej reguły powoduje, że wartość granic sfery niedostatku różni się (z wyjątkiem jednoosobowego gospodarstwa pracowniczego i emeryckiego) od poziomu minimum socjalnego oszacowanego przez </w:t>
      </w:r>
      <w:proofErr w:type="spellStart"/>
      <w:r w:rsidRPr="003F62B3">
        <w:rPr>
          <w:rFonts w:cs="Arial"/>
        </w:rPr>
        <w:t>IPiSS</w:t>
      </w:r>
      <w:proofErr w:type="spellEnd"/>
      <w:r w:rsidRPr="003F62B3">
        <w:rPr>
          <w:rFonts w:cs="Arial"/>
        </w:rPr>
        <w:t xml:space="preserve"> dla konkretnego typu gospodarstwa (na przykład 4-osobowego gospodarstwa pracowniczego złożonego z dwóch osób dorosłych i dwojga dzieci).</w:t>
      </w:r>
    </w:p>
    <w:p w:rsidR="004C6196" w:rsidRPr="003F62B3" w:rsidRDefault="004C6196" w:rsidP="00C8574D">
      <w:pPr>
        <w:spacing w:after="120" w:line="320" w:lineRule="exact"/>
        <w:ind w:firstLine="595"/>
        <w:jc w:val="both"/>
        <w:rPr>
          <w:rFonts w:cs="Arial"/>
        </w:rPr>
      </w:pPr>
      <w:r w:rsidRPr="003F62B3">
        <w:rPr>
          <w:rFonts w:cs="Arial"/>
        </w:rPr>
        <w:t>Przy wyznaczaniu granicy sfery niedostatku bierze się również pod uwagę grupę społeczno-ekonomiczną gospodarstwa domowego, określaną na podstawie głównego źródła utrzymania. Punktem wyjścia przy obliczaniu progów niedostatku dla gospodarstw pracowników i pracujących na rachunek własny jest minimum socjalne dla 1-osobowego gospodarstwa pracowniczego. Natomiast w przypadku pozostałych grup społeczno-ekonomicznych (rolników, emerytów, rencistów i</w:t>
      </w:r>
      <w:r w:rsidR="00463A6A">
        <w:rPr>
          <w:rFonts w:cs="Arial"/>
        </w:rPr>
        <w:t> </w:t>
      </w:r>
      <w:r w:rsidRPr="003F62B3">
        <w:rPr>
          <w:rFonts w:cs="Arial"/>
        </w:rPr>
        <w:t xml:space="preserve"> utrzymujących się z</w:t>
      </w:r>
      <w:r w:rsidR="00265A38" w:rsidRPr="003F62B3">
        <w:rPr>
          <w:rFonts w:cs="Arial"/>
        </w:rPr>
        <w:t> </w:t>
      </w:r>
      <w:r w:rsidRPr="003F62B3">
        <w:rPr>
          <w:rFonts w:cs="Arial"/>
        </w:rPr>
        <w:t xml:space="preserve"> niezarobkowych źródeł) podstawę stanowi minimum socjalne obliczane dla 1-osobowego gospodarstwa emeryckiego.</w:t>
      </w:r>
    </w:p>
    <w:p w:rsidR="004C6196" w:rsidRDefault="004C6196" w:rsidP="00C8574D">
      <w:pPr>
        <w:spacing w:after="120" w:line="320" w:lineRule="exact"/>
        <w:ind w:firstLine="595"/>
        <w:jc w:val="both"/>
        <w:rPr>
          <w:rFonts w:cs="Arial"/>
          <w:bCs/>
          <w:color w:val="000000"/>
        </w:rPr>
      </w:pPr>
      <w:r w:rsidRPr="003F62B3">
        <w:rPr>
          <w:rFonts w:cs="Arial"/>
          <w:bCs/>
          <w:color w:val="000000"/>
        </w:rPr>
        <w:t>Przyjęte założenia metodologiczne dotyczące ustalania granic sfery niedostatku (podobnie jak w</w:t>
      </w:r>
      <w:r w:rsidR="005566E6" w:rsidRPr="003F62B3">
        <w:rPr>
          <w:rFonts w:cs="Arial"/>
          <w:bCs/>
          <w:color w:val="000000"/>
        </w:rPr>
        <w:t> </w:t>
      </w:r>
      <w:r w:rsidRPr="003F62B3">
        <w:rPr>
          <w:rFonts w:cs="Arial"/>
          <w:bCs/>
          <w:color w:val="000000"/>
        </w:rPr>
        <w:t xml:space="preserve"> przypadku obliczania granic ubóstwa skrajnego) zostały opracowane we współpracy z </w:t>
      </w:r>
      <w:proofErr w:type="spellStart"/>
      <w:r w:rsidRPr="003F62B3">
        <w:rPr>
          <w:rFonts w:cs="Arial"/>
          <w:bCs/>
          <w:color w:val="000000"/>
        </w:rPr>
        <w:t>IPiSS</w:t>
      </w:r>
      <w:proofErr w:type="spellEnd"/>
      <w:r w:rsidRPr="003F62B3">
        <w:rPr>
          <w:rFonts w:cs="Arial"/>
          <w:bCs/>
          <w:color w:val="000000"/>
        </w:rPr>
        <w:t>.</w:t>
      </w:r>
    </w:p>
    <w:p w:rsidR="00C8574D" w:rsidRPr="003F62B3" w:rsidRDefault="00C8574D" w:rsidP="00C8574D">
      <w:pPr>
        <w:spacing w:after="120" w:line="320" w:lineRule="exact"/>
        <w:ind w:firstLine="595"/>
        <w:jc w:val="both"/>
        <w:rPr>
          <w:rFonts w:cs="Arial"/>
          <w:bCs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5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A4681F" w:rsidTr="0058072B"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81F" w:rsidRPr="00386C56" w:rsidRDefault="00A4681F" w:rsidP="00A4681F">
            <w:pPr>
              <w:ind w:left="426" w:firstLine="283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2442B5">
              <w:rPr>
                <w:rFonts w:ascii="Arial" w:eastAsia="Calibri" w:hAnsi="Arial" w:cs="Arial"/>
                <w:b/>
                <w:bCs/>
                <w:smallCaps/>
                <w:color w:val="000000"/>
                <w:sz w:val="20"/>
                <w:szCs w:val="20"/>
              </w:rPr>
              <w:t>TABL.1</w:t>
            </w:r>
            <w:r w:rsidR="000517F7" w:rsidRPr="002442B5">
              <w:rPr>
                <w:rFonts w:ascii="Arial" w:eastAsia="Calibri" w:hAnsi="Arial" w:cs="Arial"/>
                <w:b/>
                <w:bCs/>
                <w:smallCaps/>
                <w:color w:val="000000"/>
                <w:sz w:val="20"/>
                <w:szCs w:val="20"/>
              </w:rPr>
              <w:t>.</w:t>
            </w:r>
            <w:r w:rsidRPr="002442B5">
              <w:rPr>
                <w:rFonts w:ascii="Arial" w:eastAsia="Calibri" w:hAnsi="Arial" w:cs="Arial"/>
                <w:b/>
                <w:bCs/>
                <w:smallCaps/>
                <w:color w:val="000000"/>
                <w:sz w:val="20"/>
                <w:szCs w:val="20"/>
              </w:rPr>
              <w:t xml:space="preserve"> GRANICE SFERY NIEDOSTATKU W LATACH 201</w:t>
            </w:r>
            <w:r w:rsidR="00200B8F" w:rsidRPr="002442B5">
              <w:rPr>
                <w:rFonts w:ascii="Arial" w:eastAsia="Calibri" w:hAnsi="Arial" w:cs="Arial"/>
                <w:b/>
                <w:bCs/>
                <w:smallCaps/>
                <w:color w:val="000000"/>
                <w:sz w:val="20"/>
                <w:szCs w:val="20"/>
              </w:rPr>
              <w:t>2</w:t>
            </w:r>
            <w:r w:rsidRPr="002442B5">
              <w:rPr>
                <w:rFonts w:ascii="Arial" w:eastAsia="Calibri" w:hAnsi="Arial" w:cs="Arial"/>
                <w:b/>
                <w:bCs/>
                <w:smallCaps/>
                <w:color w:val="000000"/>
                <w:sz w:val="20"/>
                <w:szCs w:val="20"/>
              </w:rPr>
              <w:t>-201</w:t>
            </w:r>
            <w:r w:rsidR="00200B8F" w:rsidRPr="002442B5">
              <w:rPr>
                <w:rFonts w:ascii="Arial" w:eastAsia="Calibri" w:hAnsi="Arial" w:cs="Arial"/>
                <w:b/>
                <w:bCs/>
                <w:smallCaps/>
                <w:color w:val="000000"/>
                <w:sz w:val="20"/>
                <w:szCs w:val="20"/>
              </w:rPr>
              <w:t>5</w:t>
            </w:r>
            <w:r w:rsidR="00386C56" w:rsidRPr="00386C56">
              <w:rPr>
                <w:rFonts w:ascii="Arial" w:eastAsia="Calibri" w:hAnsi="Arial" w:cs="Arial"/>
                <w:bCs/>
                <w:color w:val="000000"/>
                <w:vertAlign w:val="superscript"/>
              </w:rPr>
              <w:t>a</w:t>
            </w:r>
          </w:p>
          <w:p w:rsidR="00A4681F" w:rsidRPr="002349E7" w:rsidRDefault="00A4681F" w:rsidP="006C730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58072B" w:rsidTr="0058072B">
        <w:tc>
          <w:tcPr>
            <w:tcW w:w="2225" w:type="dxa"/>
            <w:vMerge w:val="restart"/>
            <w:tcBorders>
              <w:top w:val="single" w:sz="4" w:space="0" w:color="auto"/>
            </w:tcBorders>
            <w:vAlign w:val="center"/>
          </w:tcPr>
          <w:p w:rsidR="00A4681F" w:rsidRPr="002442B5" w:rsidRDefault="00B10520" w:rsidP="00BA2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G</w:t>
            </w:r>
            <w:r w:rsidR="00BA2A9B">
              <w:rPr>
                <w:rFonts w:ascii="Arial" w:eastAsia="Calibri" w:hAnsi="Arial" w:cs="Arial"/>
                <w:color w:val="000000"/>
                <w:sz w:val="18"/>
                <w:szCs w:val="18"/>
              </w:rPr>
              <w:t>ospodarstwa domowe</w:t>
            </w:r>
            <w:r w:rsidR="00200B8F" w:rsidRPr="002442B5">
              <w:rPr>
                <w:rFonts w:ascii="Arial" w:eastAsia="Calibri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</w:tcBorders>
            <w:vAlign w:val="center"/>
          </w:tcPr>
          <w:p w:rsidR="00A4681F" w:rsidRPr="002442B5" w:rsidRDefault="00A4681F" w:rsidP="002442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42B5">
              <w:rPr>
                <w:rFonts w:ascii="Arial" w:eastAsia="Calibri" w:hAnsi="Arial" w:cs="Arial"/>
                <w:color w:val="000000"/>
                <w:sz w:val="18"/>
                <w:szCs w:val="18"/>
              </w:rPr>
              <w:t>Gospodarstwa 1- osobowe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</w:tcBorders>
          </w:tcPr>
          <w:p w:rsidR="00A4681F" w:rsidRPr="002442B5" w:rsidRDefault="00A4681F" w:rsidP="009C714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42B5">
              <w:rPr>
                <w:rFonts w:ascii="Arial" w:eastAsia="Calibri" w:hAnsi="Arial" w:cs="Arial"/>
                <w:color w:val="000000"/>
                <w:sz w:val="18"/>
                <w:szCs w:val="18"/>
              </w:rPr>
              <w:t>Gospodarstwa 4 - osobowe (2</w:t>
            </w:r>
            <w:r w:rsidR="009C714C" w:rsidRPr="002442B5">
              <w:rPr>
                <w:rFonts w:ascii="Arial" w:eastAsia="Calibri" w:hAnsi="Arial" w:cs="Arial"/>
                <w:color w:val="000000"/>
                <w:sz w:val="18"/>
                <w:szCs w:val="18"/>
              </w:rPr>
              <w:t> </w:t>
            </w:r>
            <w:r w:rsidRPr="002442B5">
              <w:rPr>
                <w:rFonts w:ascii="Arial" w:eastAsia="Calibri" w:hAnsi="Arial" w:cs="Arial"/>
                <w:color w:val="000000"/>
                <w:sz w:val="18"/>
                <w:szCs w:val="18"/>
              </w:rPr>
              <w:t>osoby dorosłe + 2 dzieci do lat</w:t>
            </w:r>
            <w:r w:rsidR="009C714C" w:rsidRPr="002442B5">
              <w:rPr>
                <w:rFonts w:ascii="Arial" w:eastAsia="Calibri" w:hAnsi="Arial" w:cs="Arial"/>
                <w:color w:val="000000"/>
                <w:sz w:val="18"/>
                <w:szCs w:val="18"/>
              </w:rPr>
              <w:t> </w:t>
            </w:r>
            <w:r w:rsidRPr="002442B5">
              <w:rPr>
                <w:rFonts w:ascii="Arial" w:eastAsia="Calibri" w:hAnsi="Arial" w:cs="Arial"/>
                <w:color w:val="000000"/>
                <w:sz w:val="18"/>
                <w:szCs w:val="18"/>
              </w:rPr>
              <w:t>14)</w:t>
            </w:r>
          </w:p>
        </w:tc>
      </w:tr>
      <w:tr w:rsidR="0058072B" w:rsidTr="0058072B">
        <w:trPr>
          <w:trHeight w:val="436"/>
        </w:trPr>
        <w:tc>
          <w:tcPr>
            <w:tcW w:w="2225" w:type="dxa"/>
            <w:vMerge/>
          </w:tcPr>
          <w:p w:rsidR="004729B1" w:rsidRPr="002442B5" w:rsidRDefault="004729B1" w:rsidP="004729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729B1" w:rsidRPr="002442B5" w:rsidRDefault="004729B1" w:rsidP="004729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2442B5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851" w:type="dxa"/>
            <w:vAlign w:val="center"/>
          </w:tcPr>
          <w:p w:rsidR="004729B1" w:rsidRPr="002442B5" w:rsidRDefault="004729B1" w:rsidP="004729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2B5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851" w:type="dxa"/>
            <w:vAlign w:val="center"/>
          </w:tcPr>
          <w:p w:rsidR="004729B1" w:rsidRPr="002442B5" w:rsidRDefault="004729B1" w:rsidP="004729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2B5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851" w:type="dxa"/>
            <w:vAlign w:val="center"/>
          </w:tcPr>
          <w:p w:rsidR="004729B1" w:rsidRPr="002442B5" w:rsidRDefault="004729B1" w:rsidP="004729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2B5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851" w:type="dxa"/>
            <w:vAlign w:val="center"/>
          </w:tcPr>
          <w:p w:rsidR="004729B1" w:rsidRPr="002442B5" w:rsidRDefault="004729B1" w:rsidP="004729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2B5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851" w:type="dxa"/>
            <w:vAlign w:val="center"/>
          </w:tcPr>
          <w:p w:rsidR="004729B1" w:rsidRPr="002442B5" w:rsidRDefault="004729B1" w:rsidP="004729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2B5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851" w:type="dxa"/>
            <w:vAlign w:val="center"/>
          </w:tcPr>
          <w:p w:rsidR="004729B1" w:rsidRPr="002442B5" w:rsidRDefault="004729B1" w:rsidP="004729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2B5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851" w:type="dxa"/>
            <w:vAlign w:val="center"/>
          </w:tcPr>
          <w:p w:rsidR="004729B1" w:rsidRPr="002442B5" w:rsidRDefault="004729B1" w:rsidP="004729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2B5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</w:tr>
      <w:tr w:rsidR="0058072B" w:rsidTr="0058072B">
        <w:tc>
          <w:tcPr>
            <w:tcW w:w="2225" w:type="dxa"/>
            <w:vMerge/>
          </w:tcPr>
          <w:p w:rsidR="004729B1" w:rsidRPr="002442B5" w:rsidRDefault="004729B1" w:rsidP="004729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8"/>
          </w:tcPr>
          <w:p w:rsidR="004729B1" w:rsidRPr="002442B5" w:rsidRDefault="004729B1" w:rsidP="004729B1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2B5">
              <w:rPr>
                <w:rFonts w:ascii="Arial" w:hAnsi="Arial" w:cs="Arial"/>
                <w:sz w:val="18"/>
                <w:szCs w:val="18"/>
              </w:rPr>
              <w:t>w zł</w:t>
            </w:r>
          </w:p>
        </w:tc>
      </w:tr>
      <w:tr w:rsidR="0058072B" w:rsidTr="0058072B">
        <w:trPr>
          <w:trHeight w:val="1100"/>
        </w:trPr>
        <w:tc>
          <w:tcPr>
            <w:tcW w:w="2225" w:type="dxa"/>
            <w:tcBorders>
              <w:bottom w:val="single" w:sz="4" w:space="0" w:color="auto"/>
            </w:tcBorders>
            <w:vAlign w:val="center"/>
          </w:tcPr>
          <w:p w:rsidR="004729B1" w:rsidRPr="002442B5" w:rsidRDefault="004729B1" w:rsidP="004729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42B5">
              <w:rPr>
                <w:rFonts w:ascii="Arial" w:eastAsia="Calibri" w:hAnsi="Arial" w:cs="Arial"/>
                <w:color w:val="000000"/>
                <w:sz w:val="18"/>
                <w:szCs w:val="18"/>
              </w:rPr>
              <w:t>pracowników i pracujących na własny rachunek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9B1" w:rsidRPr="002442B5" w:rsidRDefault="004729B1" w:rsidP="0058072B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442B5">
              <w:rPr>
                <w:rFonts w:ascii="Arial" w:eastAsia="Calibri" w:hAnsi="Arial" w:cs="Arial"/>
                <w:color w:val="000000"/>
                <w:sz w:val="18"/>
                <w:szCs w:val="18"/>
              </w:rPr>
              <w:t>1027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9B1" w:rsidRPr="002442B5" w:rsidRDefault="004729B1" w:rsidP="0058072B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442B5">
              <w:rPr>
                <w:rFonts w:ascii="Arial" w:eastAsia="Calibri" w:hAnsi="Arial" w:cs="Arial"/>
                <w:color w:val="000000"/>
                <w:sz w:val="18"/>
                <w:szCs w:val="18"/>
              </w:rPr>
              <w:t>1063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729B1" w:rsidRPr="002442B5" w:rsidRDefault="004729B1" w:rsidP="005807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2B5">
              <w:rPr>
                <w:rFonts w:ascii="Arial" w:hAnsi="Arial" w:cs="Arial"/>
                <w:sz w:val="18"/>
                <w:szCs w:val="18"/>
              </w:rPr>
              <w:t>1062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729B1" w:rsidRPr="002442B5" w:rsidRDefault="003A10D5" w:rsidP="005807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2B5">
              <w:rPr>
                <w:rFonts w:ascii="Arial" w:hAnsi="Arial" w:cs="Arial"/>
                <w:sz w:val="18"/>
                <w:szCs w:val="18"/>
              </w:rPr>
              <w:t>1079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9B1" w:rsidRPr="002442B5" w:rsidRDefault="004729B1" w:rsidP="005807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2B5">
              <w:rPr>
                <w:rFonts w:ascii="Arial" w:hAnsi="Arial" w:cs="Arial"/>
                <w:sz w:val="18"/>
                <w:szCs w:val="18"/>
              </w:rPr>
              <w:t>2772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9B1" w:rsidRPr="002442B5" w:rsidRDefault="004729B1" w:rsidP="005807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2B5">
              <w:rPr>
                <w:rFonts w:ascii="Arial" w:hAnsi="Arial" w:cs="Arial"/>
                <w:sz w:val="18"/>
                <w:szCs w:val="18"/>
              </w:rPr>
              <w:t>2869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729B1" w:rsidRPr="002442B5" w:rsidRDefault="004729B1" w:rsidP="005807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2B5">
              <w:rPr>
                <w:rFonts w:ascii="Arial" w:hAnsi="Arial" w:cs="Arial"/>
                <w:sz w:val="18"/>
                <w:szCs w:val="18"/>
              </w:rPr>
              <w:t>2867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729B1" w:rsidRPr="002442B5" w:rsidRDefault="004C5728" w:rsidP="005807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2914</w:t>
            </w:r>
          </w:p>
        </w:tc>
      </w:tr>
      <w:tr w:rsidR="0058072B" w:rsidTr="0058072B">
        <w:trPr>
          <w:trHeight w:val="1685"/>
        </w:trPr>
        <w:tc>
          <w:tcPr>
            <w:tcW w:w="2225" w:type="dxa"/>
            <w:tcBorders>
              <w:bottom w:val="single" w:sz="2" w:space="0" w:color="auto"/>
            </w:tcBorders>
            <w:vAlign w:val="center"/>
          </w:tcPr>
          <w:p w:rsidR="004729B1" w:rsidRPr="002442B5" w:rsidRDefault="004729B1" w:rsidP="009C71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42B5">
              <w:rPr>
                <w:rFonts w:ascii="Arial" w:eastAsia="Calibri" w:hAnsi="Arial" w:cs="Arial"/>
                <w:color w:val="000000"/>
                <w:sz w:val="18"/>
                <w:szCs w:val="18"/>
              </w:rPr>
              <w:t>rolników, emerytów, rencistów i utrzymujących się z</w:t>
            </w:r>
            <w:r w:rsidR="009C714C" w:rsidRPr="002442B5">
              <w:rPr>
                <w:rFonts w:ascii="Arial" w:eastAsia="Calibri" w:hAnsi="Arial" w:cs="Arial"/>
                <w:color w:val="000000"/>
                <w:sz w:val="18"/>
                <w:szCs w:val="18"/>
              </w:rPr>
              <w:t> </w:t>
            </w:r>
            <w:r w:rsidRPr="002442B5">
              <w:rPr>
                <w:rFonts w:ascii="Arial" w:eastAsia="Calibri" w:hAnsi="Arial" w:cs="Arial"/>
                <w:color w:val="000000"/>
                <w:sz w:val="18"/>
                <w:szCs w:val="18"/>
              </w:rPr>
              <w:t>niezarobkowych źródeł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9B1" w:rsidRPr="002442B5" w:rsidRDefault="004729B1" w:rsidP="005807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2B5">
              <w:rPr>
                <w:rFonts w:ascii="Arial" w:hAnsi="Arial" w:cs="Arial"/>
                <w:sz w:val="18"/>
                <w:szCs w:val="18"/>
              </w:rPr>
              <w:t>1046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9B1" w:rsidRPr="002442B5" w:rsidRDefault="004729B1" w:rsidP="005807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2B5">
              <w:rPr>
                <w:rFonts w:ascii="Arial" w:hAnsi="Arial" w:cs="Arial"/>
                <w:sz w:val="18"/>
                <w:szCs w:val="18"/>
              </w:rPr>
              <w:t>1067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729B1" w:rsidRPr="002442B5" w:rsidRDefault="004729B1" w:rsidP="005807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2B5">
              <w:rPr>
                <w:rFonts w:ascii="Arial" w:hAnsi="Arial" w:cs="Arial"/>
                <w:sz w:val="18"/>
                <w:szCs w:val="18"/>
              </w:rPr>
              <w:t>1062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729B1" w:rsidRPr="002442B5" w:rsidRDefault="003A10D5" w:rsidP="005807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2B5">
              <w:rPr>
                <w:rFonts w:ascii="Arial" w:hAnsi="Arial" w:cs="Arial"/>
                <w:sz w:val="18"/>
                <w:szCs w:val="18"/>
              </w:rPr>
              <w:t>1080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9B1" w:rsidRPr="002442B5" w:rsidRDefault="004729B1" w:rsidP="005807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2B5">
              <w:rPr>
                <w:rFonts w:ascii="Arial" w:hAnsi="Arial" w:cs="Arial"/>
                <w:sz w:val="18"/>
                <w:szCs w:val="18"/>
              </w:rPr>
              <w:t>2824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9B1" w:rsidRPr="002442B5" w:rsidRDefault="004729B1" w:rsidP="005807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2B5">
              <w:rPr>
                <w:rFonts w:ascii="Arial" w:hAnsi="Arial" w:cs="Arial"/>
                <w:sz w:val="18"/>
                <w:szCs w:val="18"/>
              </w:rPr>
              <w:t>2880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729B1" w:rsidRPr="002442B5" w:rsidRDefault="004729B1" w:rsidP="005807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2B5">
              <w:rPr>
                <w:rFonts w:ascii="Arial" w:hAnsi="Arial" w:cs="Arial"/>
                <w:sz w:val="18"/>
                <w:szCs w:val="18"/>
              </w:rPr>
              <w:t>2867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:rsidR="004729B1" w:rsidRPr="002442B5" w:rsidRDefault="004C5728" w:rsidP="005807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2915</w:t>
            </w:r>
          </w:p>
        </w:tc>
      </w:tr>
      <w:tr w:rsidR="00982CCC" w:rsidTr="0058072B">
        <w:trPr>
          <w:trHeight w:val="1685"/>
        </w:trPr>
        <w:tc>
          <w:tcPr>
            <w:tcW w:w="851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82CCC" w:rsidRPr="00386C56" w:rsidRDefault="00A426CF" w:rsidP="00982CCC">
            <w:pPr>
              <w:rPr>
                <w:rFonts w:ascii="Arial" w:hAnsi="Arial" w:cs="Arial"/>
                <w:sz w:val="16"/>
                <w:szCs w:val="16"/>
              </w:rPr>
            </w:pPr>
            <w:r w:rsidRPr="00386C56">
              <w:rPr>
                <w:rFonts w:ascii="Arial" w:hAnsi="Arial" w:cs="Arial"/>
                <w:sz w:val="16"/>
                <w:szCs w:val="16"/>
              </w:rPr>
              <w:t>a Poziom granic w IV kwartale.</w:t>
            </w:r>
          </w:p>
          <w:p w:rsidR="00A426CF" w:rsidRPr="00386C56" w:rsidRDefault="00A426CF" w:rsidP="00386C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6C56">
              <w:rPr>
                <w:rFonts w:ascii="Arial" w:hAnsi="Arial" w:cs="Arial"/>
                <w:sz w:val="16"/>
                <w:szCs w:val="16"/>
              </w:rPr>
              <w:t>Przy wyznaczaniu granicy sfery niedostatku bierze się pod uwagę także grupę społeczno-ekonomiczną gospodarstwa domowego</w:t>
            </w:r>
            <w:r w:rsidR="00FB07D0">
              <w:rPr>
                <w:rFonts w:ascii="Arial" w:hAnsi="Arial" w:cs="Arial"/>
                <w:sz w:val="16"/>
                <w:szCs w:val="16"/>
              </w:rPr>
              <w:t>,</w:t>
            </w:r>
            <w:r w:rsidRPr="00386C56">
              <w:rPr>
                <w:rFonts w:ascii="Arial" w:hAnsi="Arial" w:cs="Arial"/>
                <w:sz w:val="16"/>
                <w:szCs w:val="16"/>
              </w:rPr>
              <w:t xml:space="preserve"> określaną na podstawie głównego źródła utrzymania. Punktem wyjścia przy obliczaniu progów niedostatku dla gospodarstw pracowników i pracowników na rachunek własny jest minimum socjalne dla 1-osobowego gospodarstwa pracowniczego. Natomiast w przypadku pozostałych grup społeczno-ekonomicznych (rolników, emerytów, rencistów i</w:t>
            </w:r>
            <w:r w:rsidR="005566E6">
              <w:rPr>
                <w:rFonts w:ascii="Arial" w:hAnsi="Arial" w:cs="Arial"/>
                <w:sz w:val="16"/>
                <w:szCs w:val="16"/>
              </w:rPr>
              <w:t> </w:t>
            </w:r>
            <w:r w:rsidRPr="00386C56">
              <w:rPr>
                <w:rFonts w:ascii="Arial" w:hAnsi="Arial" w:cs="Arial"/>
                <w:sz w:val="16"/>
                <w:szCs w:val="16"/>
              </w:rPr>
              <w:t xml:space="preserve"> utrzymujących się z niezarobkowych źródeł) podstawę stanowi minimum socjalne obliczane dla 1-osobowego gospodarstwa emeryckiego.</w:t>
            </w:r>
          </w:p>
          <w:p w:rsidR="00A426CF" w:rsidRDefault="00A426CF" w:rsidP="009211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6C56">
              <w:rPr>
                <w:rFonts w:ascii="Arial" w:hAnsi="Arial" w:cs="Arial"/>
                <w:sz w:val="16"/>
                <w:szCs w:val="16"/>
              </w:rPr>
              <w:t xml:space="preserve">W 2015 r. minimum socjalne dla 1-osobowego gospodarstwa pracowniczego było </w:t>
            </w:r>
            <w:r w:rsidR="00386C56" w:rsidRPr="00386C56">
              <w:rPr>
                <w:rFonts w:ascii="Arial" w:hAnsi="Arial" w:cs="Arial"/>
                <w:sz w:val="16"/>
                <w:szCs w:val="16"/>
              </w:rPr>
              <w:t xml:space="preserve">prawie równe </w:t>
            </w:r>
            <w:r w:rsidRPr="00386C56">
              <w:rPr>
                <w:rFonts w:ascii="Arial" w:hAnsi="Arial" w:cs="Arial"/>
                <w:sz w:val="16"/>
                <w:szCs w:val="16"/>
              </w:rPr>
              <w:t>minimum socjalne</w:t>
            </w:r>
            <w:r w:rsidR="00386C56" w:rsidRPr="00386C56">
              <w:rPr>
                <w:rFonts w:ascii="Arial" w:hAnsi="Arial" w:cs="Arial"/>
                <w:sz w:val="16"/>
                <w:szCs w:val="16"/>
              </w:rPr>
              <w:t>mu</w:t>
            </w:r>
            <w:r w:rsidRPr="00386C56">
              <w:rPr>
                <w:rFonts w:ascii="Arial" w:hAnsi="Arial" w:cs="Arial"/>
                <w:sz w:val="16"/>
                <w:szCs w:val="16"/>
              </w:rPr>
              <w:t xml:space="preserve"> dla 1-</w:t>
            </w:r>
            <w:r w:rsidR="005566E6">
              <w:rPr>
                <w:rFonts w:ascii="Arial" w:hAnsi="Arial" w:cs="Arial"/>
                <w:sz w:val="16"/>
                <w:szCs w:val="16"/>
              </w:rPr>
              <w:t> </w:t>
            </w:r>
            <w:r w:rsidRPr="00386C56">
              <w:rPr>
                <w:rFonts w:ascii="Arial" w:hAnsi="Arial" w:cs="Arial"/>
                <w:sz w:val="16"/>
                <w:szCs w:val="16"/>
              </w:rPr>
              <w:t>osobowego gospodarstwa emeryckiego</w:t>
            </w:r>
            <w:r w:rsidR="00386C56" w:rsidRPr="00386C56">
              <w:rPr>
                <w:rFonts w:ascii="Arial" w:hAnsi="Arial" w:cs="Arial"/>
                <w:sz w:val="16"/>
                <w:szCs w:val="16"/>
              </w:rPr>
              <w:t xml:space="preserve"> (różnica przed zaokrągleniem wynosiła 40 gr).</w:t>
            </w:r>
          </w:p>
          <w:p w:rsidR="00C8574D" w:rsidRDefault="00C8574D" w:rsidP="009211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8574D" w:rsidRDefault="00C8574D" w:rsidP="009211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8574D" w:rsidRDefault="00C8574D" w:rsidP="009211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8574D" w:rsidRDefault="00C8574D" w:rsidP="009211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8574D" w:rsidRDefault="00C8574D" w:rsidP="009211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8574D" w:rsidRDefault="00C8574D" w:rsidP="009211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8574D" w:rsidRDefault="00C8574D" w:rsidP="009211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7F7" w:rsidRPr="000517F7" w:rsidTr="0058072B">
        <w:tblPrEx>
          <w:jc w:val="center"/>
        </w:tblPrEx>
        <w:trPr>
          <w:jc w:val="center"/>
        </w:trPr>
        <w:tc>
          <w:tcPr>
            <w:tcW w:w="851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517F7" w:rsidRPr="000517F7" w:rsidRDefault="000517F7" w:rsidP="002442B5">
            <w:pPr>
              <w:spacing w:after="120"/>
              <w:jc w:val="center"/>
              <w:rPr>
                <w:rFonts w:ascii="Arial" w:hAnsi="Arial" w:cs="Arial"/>
                <w:caps/>
              </w:rPr>
            </w:pPr>
            <w:r w:rsidRPr="002442B5">
              <w:rPr>
                <w:rFonts w:ascii="Arial" w:hAnsi="Arial" w:cs="Arial"/>
                <w:b/>
                <w:caps/>
                <w:sz w:val="20"/>
                <w:szCs w:val="20"/>
              </w:rPr>
              <w:lastRenderedPageBreak/>
              <w:t>Tabl. 2. Porównanie poziomu granicy sfery niedostatku z granicami ubóstwa w IV kwartale 2015 r</w:t>
            </w:r>
            <w:r w:rsidRPr="000517F7">
              <w:rPr>
                <w:rFonts w:ascii="Arial" w:hAnsi="Arial" w:cs="Arial"/>
                <w:caps/>
              </w:rPr>
              <w:t>.</w:t>
            </w:r>
          </w:p>
        </w:tc>
      </w:tr>
      <w:tr w:rsidR="0058072B" w:rsidTr="0058072B">
        <w:tblPrEx>
          <w:jc w:val="center"/>
        </w:tblPrEx>
        <w:trPr>
          <w:trHeight w:val="596"/>
          <w:jc w:val="center"/>
        </w:trPr>
        <w:tc>
          <w:tcPr>
            <w:tcW w:w="851" w:type="dxa"/>
            <w:gridSpan w:val="4"/>
            <w:tcBorders>
              <w:top w:val="single" w:sz="2" w:space="0" w:color="auto"/>
            </w:tcBorders>
            <w:vAlign w:val="center"/>
          </w:tcPr>
          <w:p w:rsidR="000517F7" w:rsidRPr="002442B5" w:rsidRDefault="000517F7" w:rsidP="000517F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2B5">
              <w:rPr>
                <w:rFonts w:ascii="Arial" w:hAnsi="Arial" w:cs="Arial"/>
                <w:sz w:val="18"/>
                <w:szCs w:val="18"/>
              </w:rPr>
              <w:t>Wyszczególnienie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</w:tcBorders>
            <w:vAlign w:val="center"/>
          </w:tcPr>
          <w:p w:rsidR="000517F7" w:rsidRPr="002442B5" w:rsidRDefault="000517F7" w:rsidP="003B7DD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2B5">
              <w:rPr>
                <w:rFonts w:ascii="Arial" w:hAnsi="Arial" w:cs="Arial"/>
                <w:sz w:val="18"/>
                <w:szCs w:val="18"/>
              </w:rPr>
              <w:t>Miesięcznie w złotych dla gospodarstwa jednoosobowego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</w:tcBorders>
            <w:vAlign w:val="center"/>
          </w:tcPr>
          <w:p w:rsidR="000517F7" w:rsidRPr="002442B5" w:rsidRDefault="000517F7" w:rsidP="003B7D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2B5">
              <w:rPr>
                <w:rFonts w:ascii="Arial" w:hAnsi="Arial" w:cs="Arial"/>
                <w:sz w:val="18"/>
                <w:szCs w:val="18"/>
              </w:rPr>
              <w:t>Poziom minimum pracowniczego = 100</w:t>
            </w:r>
          </w:p>
        </w:tc>
      </w:tr>
      <w:tr w:rsidR="0058072B" w:rsidTr="0058072B">
        <w:tblPrEx>
          <w:jc w:val="center"/>
        </w:tblPrEx>
        <w:trPr>
          <w:jc w:val="center"/>
        </w:trPr>
        <w:tc>
          <w:tcPr>
            <w:tcW w:w="851" w:type="dxa"/>
            <w:gridSpan w:val="4"/>
          </w:tcPr>
          <w:p w:rsidR="000517F7" w:rsidRPr="002442B5" w:rsidRDefault="000517F7" w:rsidP="000517F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442B5">
              <w:rPr>
                <w:rFonts w:ascii="Arial" w:hAnsi="Arial" w:cs="Arial"/>
                <w:sz w:val="18"/>
                <w:szCs w:val="18"/>
              </w:rPr>
              <w:t>Granica sfery niedostatku - minimum socjalne dla 1-osobowego gospodarstwa pracowniczego</w:t>
            </w:r>
          </w:p>
        </w:tc>
        <w:tc>
          <w:tcPr>
            <w:tcW w:w="851" w:type="dxa"/>
            <w:gridSpan w:val="2"/>
            <w:vAlign w:val="center"/>
          </w:tcPr>
          <w:p w:rsidR="000517F7" w:rsidRPr="002442B5" w:rsidRDefault="000517F7" w:rsidP="000517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2B5">
              <w:rPr>
                <w:rFonts w:ascii="Arial" w:hAnsi="Arial" w:cs="Arial"/>
                <w:sz w:val="18"/>
                <w:szCs w:val="18"/>
              </w:rPr>
              <w:t>1079</w:t>
            </w:r>
          </w:p>
        </w:tc>
        <w:tc>
          <w:tcPr>
            <w:tcW w:w="851" w:type="dxa"/>
            <w:gridSpan w:val="3"/>
            <w:vAlign w:val="center"/>
          </w:tcPr>
          <w:p w:rsidR="000517F7" w:rsidRPr="002442B5" w:rsidRDefault="000517F7" w:rsidP="000517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2B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58072B" w:rsidTr="0058072B">
        <w:tblPrEx>
          <w:jc w:val="center"/>
        </w:tblPrEx>
        <w:trPr>
          <w:jc w:val="center"/>
        </w:trPr>
        <w:tc>
          <w:tcPr>
            <w:tcW w:w="851" w:type="dxa"/>
            <w:gridSpan w:val="4"/>
          </w:tcPr>
          <w:p w:rsidR="004C62BF" w:rsidRPr="002442B5" w:rsidRDefault="004C62BF" w:rsidP="000517F7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442B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Granice ubóstwa: </w:t>
            </w:r>
          </w:p>
        </w:tc>
        <w:tc>
          <w:tcPr>
            <w:tcW w:w="851" w:type="dxa"/>
            <w:gridSpan w:val="5"/>
            <w:shd w:val="clear" w:color="auto" w:fill="BFBFBF" w:themeFill="background1" w:themeFillShade="BF"/>
            <w:vAlign w:val="center"/>
          </w:tcPr>
          <w:p w:rsidR="004C62BF" w:rsidRPr="002442B5" w:rsidRDefault="004C62BF" w:rsidP="003B7D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072B" w:rsidTr="0058072B">
        <w:tblPrEx>
          <w:jc w:val="center"/>
        </w:tblPrEx>
        <w:trPr>
          <w:jc w:val="center"/>
        </w:trPr>
        <w:tc>
          <w:tcPr>
            <w:tcW w:w="851" w:type="dxa"/>
            <w:gridSpan w:val="4"/>
          </w:tcPr>
          <w:p w:rsidR="000517F7" w:rsidRPr="002442B5" w:rsidRDefault="000517F7" w:rsidP="00676C30">
            <w:pPr>
              <w:spacing w:before="120" w:after="120"/>
              <w:ind w:left="680" w:hanging="680"/>
              <w:rPr>
                <w:rFonts w:ascii="Arial" w:hAnsi="Arial" w:cs="Arial"/>
                <w:sz w:val="18"/>
                <w:szCs w:val="18"/>
              </w:rPr>
            </w:pPr>
            <w:r w:rsidRPr="002442B5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676C30" w:rsidRPr="002442B5">
              <w:rPr>
                <w:rFonts w:ascii="Arial" w:hAnsi="Arial" w:cs="Arial"/>
                <w:sz w:val="18"/>
                <w:szCs w:val="18"/>
              </w:rPr>
              <w:t>skrajnego (</w:t>
            </w:r>
            <w:r w:rsidRPr="002442B5">
              <w:rPr>
                <w:rFonts w:ascii="Arial" w:hAnsi="Arial" w:cs="Arial"/>
                <w:sz w:val="18"/>
                <w:szCs w:val="18"/>
              </w:rPr>
              <w:t>minimum egzystencji</w:t>
            </w:r>
            <w:r w:rsidR="00676C30" w:rsidRPr="002442B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gridSpan w:val="2"/>
            <w:vAlign w:val="center"/>
          </w:tcPr>
          <w:p w:rsidR="000517F7" w:rsidRPr="002442B5" w:rsidRDefault="00676C30" w:rsidP="003B7D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2B5">
              <w:rPr>
                <w:rFonts w:ascii="Arial" w:hAnsi="Arial" w:cs="Arial"/>
                <w:sz w:val="18"/>
                <w:szCs w:val="18"/>
              </w:rPr>
              <w:t>545</w:t>
            </w:r>
          </w:p>
        </w:tc>
        <w:tc>
          <w:tcPr>
            <w:tcW w:w="851" w:type="dxa"/>
            <w:gridSpan w:val="3"/>
            <w:vAlign w:val="center"/>
          </w:tcPr>
          <w:p w:rsidR="000517F7" w:rsidRPr="002442B5" w:rsidRDefault="005D5A96" w:rsidP="003B7D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58072B" w:rsidTr="0058072B">
        <w:tblPrEx>
          <w:jc w:val="center"/>
        </w:tblPrEx>
        <w:trPr>
          <w:jc w:val="center"/>
        </w:trPr>
        <w:tc>
          <w:tcPr>
            <w:tcW w:w="851" w:type="dxa"/>
            <w:gridSpan w:val="4"/>
            <w:tcBorders>
              <w:bottom w:val="single" w:sz="4" w:space="0" w:color="auto"/>
            </w:tcBorders>
          </w:tcPr>
          <w:p w:rsidR="000517F7" w:rsidRPr="002442B5" w:rsidRDefault="000517F7" w:rsidP="003B7DD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442B5">
              <w:rPr>
                <w:rFonts w:ascii="Arial" w:hAnsi="Arial" w:cs="Arial"/>
                <w:sz w:val="18"/>
                <w:szCs w:val="18"/>
              </w:rPr>
              <w:t xml:space="preserve">           ustawowa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0517F7" w:rsidRPr="002442B5" w:rsidRDefault="00676C30" w:rsidP="003B7D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2B5">
              <w:rPr>
                <w:rFonts w:ascii="Arial" w:hAnsi="Arial" w:cs="Arial"/>
                <w:sz w:val="18"/>
                <w:szCs w:val="18"/>
              </w:rPr>
              <w:t>634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0517F7" w:rsidRPr="002442B5" w:rsidRDefault="005D5A96" w:rsidP="003B7D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</w:tr>
      <w:tr w:rsidR="0058072B" w:rsidTr="0058072B">
        <w:tblPrEx>
          <w:jc w:val="center"/>
        </w:tblPrEx>
        <w:trPr>
          <w:jc w:val="center"/>
        </w:trPr>
        <w:tc>
          <w:tcPr>
            <w:tcW w:w="851" w:type="dxa"/>
            <w:gridSpan w:val="4"/>
            <w:tcBorders>
              <w:bottom w:val="single" w:sz="4" w:space="0" w:color="auto"/>
            </w:tcBorders>
          </w:tcPr>
          <w:p w:rsidR="000517F7" w:rsidRPr="002442B5" w:rsidRDefault="000517F7" w:rsidP="000517F7">
            <w:pPr>
              <w:spacing w:before="120" w:after="120"/>
              <w:ind w:left="680" w:hanging="680"/>
              <w:rPr>
                <w:rFonts w:ascii="Arial" w:hAnsi="Arial" w:cs="Arial"/>
                <w:sz w:val="18"/>
                <w:szCs w:val="18"/>
              </w:rPr>
            </w:pPr>
            <w:r w:rsidRPr="002442B5">
              <w:rPr>
                <w:rFonts w:ascii="Arial" w:hAnsi="Arial" w:cs="Arial"/>
                <w:sz w:val="18"/>
                <w:szCs w:val="18"/>
              </w:rPr>
              <w:t xml:space="preserve">           relatywna (50% średnich wydatków)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0517F7" w:rsidRPr="002442B5" w:rsidRDefault="00676C30" w:rsidP="003B7D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42B5">
              <w:rPr>
                <w:rFonts w:ascii="Arial" w:hAnsi="Arial" w:cs="Arial"/>
                <w:sz w:val="18"/>
                <w:szCs w:val="18"/>
              </w:rPr>
              <w:t>734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0517F7" w:rsidRPr="002442B5" w:rsidRDefault="005D5A96" w:rsidP="003B7D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</w:tr>
    </w:tbl>
    <w:p w:rsidR="000517F7" w:rsidRDefault="000517F7" w:rsidP="006C73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96F" w:rsidRDefault="00F30C4C" w:rsidP="00C8574D">
      <w:pPr>
        <w:spacing w:after="120" w:line="320" w:lineRule="exact"/>
        <w:ind w:firstLine="709"/>
        <w:jc w:val="both"/>
        <w:rPr>
          <w:rFonts w:ascii="Calibri" w:hAnsi="Calibri" w:cs="Arial"/>
          <w:szCs w:val="16"/>
        </w:rPr>
      </w:pPr>
      <w:r w:rsidRPr="008F287A">
        <w:rPr>
          <w:rFonts w:ascii="Calibri" w:hAnsi="Calibri" w:cs="Arial"/>
          <w:szCs w:val="16"/>
        </w:rPr>
        <w:t>Wyniki badań statystycznych prowadzonych metodą reprezentacyjną obarczone są błędem</w:t>
      </w:r>
      <w:r>
        <w:rPr>
          <w:rFonts w:ascii="Calibri" w:hAnsi="Calibri" w:cs="Arial"/>
          <w:szCs w:val="16"/>
        </w:rPr>
        <w:t xml:space="preserve"> losowym</w:t>
      </w:r>
      <w:r w:rsidRPr="008F287A">
        <w:rPr>
          <w:rFonts w:ascii="Calibri" w:hAnsi="Calibri" w:cs="Arial"/>
          <w:szCs w:val="16"/>
        </w:rPr>
        <w:t xml:space="preserve">. Dotyczy to także Badania budżetów gospodarstw domowych, na podstawie którego szacowany jest zasięg </w:t>
      </w:r>
      <w:r>
        <w:rPr>
          <w:rFonts w:ascii="Calibri" w:hAnsi="Calibri" w:cs="Arial"/>
          <w:szCs w:val="16"/>
        </w:rPr>
        <w:t>sfery niedostatku</w:t>
      </w:r>
      <w:r w:rsidRPr="008F287A">
        <w:rPr>
          <w:rFonts w:ascii="Calibri" w:hAnsi="Calibri" w:cs="Arial"/>
          <w:szCs w:val="16"/>
        </w:rPr>
        <w:t xml:space="preserve">. Błąd ten wiąże się z wykorzystaniem </w:t>
      </w:r>
      <w:r>
        <w:rPr>
          <w:rFonts w:ascii="Calibri" w:hAnsi="Calibri" w:cs="Arial"/>
          <w:szCs w:val="16"/>
        </w:rPr>
        <w:t>do szacowania parametrów dotyczących całej populacji wyłącznie jej części (wyznaczonej w sposób losowy i</w:t>
      </w:r>
      <w:r w:rsidR="00265A38">
        <w:rPr>
          <w:rFonts w:ascii="Calibri" w:hAnsi="Calibri" w:cs="Arial"/>
          <w:szCs w:val="16"/>
        </w:rPr>
        <w:t> </w:t>
      </w:r>
      <w:r>
        <w:rPr>
          <w:rFonts w:ascii="Calibri" w:hAnsi="Calibri" w:cs="Arial"/>
          <w:szCs w:val="16"/>
        </w:rPr>
        <w:t xml:space="preserve"> reprezentatywnej), tj. </w:t>
      </w:r>
      <w:r w:rsidRPr="008F287A">
        <w:rPr>
          <w:rFonts w:ascii="Calibri" w:hAnsi="Calibri" w:cs="Arial"/>
          <w:szCs w:val="16"/>
        </w:rPr>
        <w:t>wylosowanej próby gospodarstw domowych. Błąd losowy zależy m.in. od wielkości próby. W Badaniu budżetów gospodarstw domowych stosunkowo dużym błędem losowym obarczone są dane dla województw (</w:t>
      </w:r>
      <w:r>
        <w:rPr>
          <w:rFonts w:ascii="Calibri" w:hAnsi="Calibri" w:cs="Arial"/>
          <w:szCs w:val="16"/>
        </w:rPr>
        <w:t>próba na poziomie województwa liczy od ok</w:t>
      </w:r>
      <w:r w:rsidR="00265A38">
        <w:rPr>
          <w:rFonts w:ascii="Calibri" w:hAnsi="Calibri" w:cs="Arial"/>
          <w:szCs w:val="16"/>
        </w:rPr>
        <w:t>.</w:t>
      </w:r>
      <w:r>
        <w:rPr>
          <w:rFonts w:ascii="Calibri" w:hAnsi="Calibri" w:cs="Arial"/>
          <w:szCs w:val="16"/>
        </w:rPr>
        <w:t xml:space="preserve"> 1 tys. do nieco ponad 5 tys. gospodarstw), dlatego dane dotyczące tego poziomu agregacji (tabl. 6) uzupełniono oceną precyzji (tabl. 7). </w:t>
      </w:r>
    </w:p>
    <w:p w:rsidR="00F30C4C" w:rsidRDefault="00F30C4C" w:rsidP="00C8574D">
      <w:pPr>
        <w:spacing w:after="120" w:line="320" w:lineRule="exact"/>
        <w:ind w:firstLine="709"/>
        <w:jc w:val="both"/>
        <w:rPr>
          <w:rFonts w:ascii="Calibri" w:hAnsi="Calibri" w:cs="Arial"/>
          <w:szCs w:val="16"/>
        </w:rPr>
      </w:pPr>
      <w:r>
        <w:rPr>
          <w:rFonts w:ascii="Calibri" w:hAnsi="Calibri" w:cs="Arial"/>
          <w:szCs w:val="16"/>
        </w:rPr>
        <w:t xml:space="preserve">W tabl. 7 zaprezentowano wartości błędu standardowego oszacowań zasięgu sfery niedostatku. Błąd standardowy stanowi miarę błędu bezwzględnego. Obrazuje on niepewność oszacowań przedstawionych w tabl. 6. wyrażoną w punktach procentowych. </w:t>
      </w:r>
      <w:r w:rsidRPr="00ED736B">
        <w:rPr>
          <w:rFonts w:ascii="Calibri" w:hAnsi="Calibri" w:cs="Arial"/>
          <w:szCs w:val="16"/>
        </w:rPr>
        <w:t>Wartość błędu standardowego pozwala wyznaczyć tzw. przedział ufności dla szacowanego parametru, tzn. przedział</w:t>
      </w:r>
      <w:r>
        <w:rPr>
          <w:rFonts w:ascii="Calibri" w:hAnsi="Calibri" w:cs="Arial"/>
          <w:szCs w:val="16"/>
        </w:rPr>
        <w:t>,</w:t>
      </w:r>
      <w:r w:rsidRPr="00ED736B">
        <w:rPr>
          <w:rFonts w:ascii="Calibri" w:hAnsi="Calibri" w:cs="Arial"/>
          <w:szCs w:val="16"/>
        </w:rPr>
        <w:t xml:space="preserve"> który z określonym prawdopodobieństwem (np. 95%) obejmuje prawdziwą jego wartość. Dolną/górną granicę przedziału ufności odpowiadającego prawdopodobieństwu 95% stanowi oszacowanie parametru z tablicy 6. pomniejszone/powiększone o wartość błędu standardowego z tablicy 7 pomnożoną przez 1,96.</w:t>
      </w:r>
    </w:p>
    <w:p w:rsidR="00520FE1" w:rsidRDefault="00520FE1" w:rsidP="00F30C4C">
      <w:pPr>
        <w:spacing w:after="60" w:line="320" w:lineRule="exact"/>
        <w:ind w:firstLine="357"/>
        <w:jc w:val="both"/>
        <w:rPr>
          <w:rFonts w:ascii="Calibri" w:hAnsi="Calibri" w:cs="Arial"/>
          <w:szCs w:val="16"/>
        </w:rPr>
      </w:pPr>
    </w:p>
    <w:p w:rsidR="0072207A" w:rsidRDefault="00520FE1" w:rsidP="00142D57">
      <w:pPr>
        <w:spacing w:after="60" w:line="320" w:lineRule="exact"/>
        <w:jc w:val="both"/>
        <w:rPr>
          <w:rFonts w:ascii="Calibri" w:hAnsi="Calibri" w:cs="Arial"/>
          <w:szCs w:val="16"/>
        </w:rPr>
      </w:pPr>
      <w:r>
        <w:rPr>
          <w:rFonts w:ascii="Calibri" w:hAnsi="Calibri" w:cs="Arial"/>
          <w:szCs w:val="16"/>
        </w:rPr>
        <w:t>Opracowanie: Dep</w:t>
      </w:r>
      <w:r w:rsidR="00142D57">
        <w:rPr>
          <w:rFonts w:ascii="Calibri" w:hAnsi="Calibri" w:cs="Arial"/>
          <w:szCs w:val="16"/>
        </w:rPr>
        <w:t>artament</w:t>
      </w:r>
      <w:r>
        <w:rPr>
          <w:rFonts w:ascii="Calibri" w:hAnsi="Calibri" w:cs="Arial"/>
          <w:szCs w:val="16"/>
        </w:rPr>
        <w:t xml:space="preserve"> Badań Społecznych i Warunków Życia, Wydział Analiz Przekrojowych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244"/>
      </w:tblGrid>
      <w:tr w:rsidR="00E876F6" w:rsidRPr="00595A97" w:rsidTr="000F25D0">
        <w:trPr>
          <w:trHeight w:val="745"/>
        </w:trPr>
        <w:tc>
          <w:tcPr>
            <w:tcW w:w="3936" w:type="dxa"/>
          </w:tcPr>
          <w:p w:rsidR="00595A97" w:rsidRDefault="00595A97" w:rsidP="00520FE1">
            <w:pPr>
              <w:pStyle w:val="Default"/>
              <w:spacing w:before="120"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244" w:type="dxa"/>
          </w:tcPr>
          <w:p w:rsidR="00E876F6" w:rsidRDefault="00E876F6" w:rsidP="000F25D0">
            <w:pPr>
              <w:pStyle w:val="Default"/>
              <w:spacing w:after="120"/>
              <w:jc w:val="center"/>
              <w:rPr>
                <w:sz w:val="21"/>
                <w:szCs w:val="21"/>
              </w:rPr>
            </w:pPr>
          </w:p>
          <w:p w:rsidR="00E876F6" w:rsidRPr="00FD6AF2" w:rsidRDefault="00E876F6" w:rsidP="000F25D0">
            <w:pPr>
              <w:pStyle w:val="Default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</w:tbl>
    <w:p w:rsidR="0072207A" w:rsidRPr="00FD6AF2" w:rsidRDefault="0072207A" w:rsidP="0072207A">
      <w:pPr>
        <w:spacing w:after="160" w:line="259" w:lineRule="auto"/>
        <w:rPr>
          <w:rFonts w:ascii="Arial" w:hAnsi="Arial" w:cs="Arial"/>
          <w:b/>
          <w:bCs/>
          <w:caps/>
          <w:color w:val="000000"/>
          <w:sz w:val="20"/>
          <w:szCs w:val="20"/>
        </w:rPr>
      </w:pPr>
      <w:r w:rsidRPr="00FD6AF2">
        <w:rPr>
          <w:rFonts w:ascii="Arial" w:hAnsi="Arial" w:cs="Arial"/>
          <w:b/>
          <w:bCs/>
          <w:caps/>
          <w:color w:val="000000"/>
          <w:sz w:val="20"/>
          <w:szCs w:val="20"/>
        </w:rPr>
        <w:br w:type="page"/>
      </w:r>
    </w:p>
    <w:p w:rsidR="009F733D" w:rsidRPr="002442B5" w:rsidRDefault="00B77E75" w:rsidP="00577C0B">
      <w:pPr>
        <w:jc w:val="center"/>
        <w:rPr>
          <w:rFonts w:ascii="Arial" w:hAnsi="Arial" w:cs="Arial"/>
          <w:b/>
          <w:smallCaps/>
          <w:sz w:val="20"/>
          <w:szCs w:val="20"/>
        </w:rPr>
      </w:pPr>
      <w:r w:rsidRPr="002442B5">
        <w:rPr>
          <w:rFonts w:ascii="Arial" w:hAnsi="Arial" w:cs="Arial"/>
          <w:b/>
          <w:bCs/>
          <w:smallCaps/>
          <w:color w:val="000000"/>
          <w:sz w:val="20"/>
          <w:szCs w:val="20"/>
        </w:rPr>
        <w:lastRenderedPageBreak/>
        <w:t xml:space="preserve">TABL. </w:t>
      </w:r>
      <w:r w:rsidR="00F21C2D" w:rsidRPr="002442B5">
        <w:rPr>
          <w:rFonts w:ascii="Arial" w:hAnsi="Arial" w:cs="Arial"/>
          <w:b/>
          <w:bCs/>
          <w:smallCaps/>
          <w:color w:val="000000"/>
          <w:sz w:val="20"/>
          <w:szCs w:val="20"/>
        </w:rPr>
        <w:t>3</w:t>
      </w:r>
      <w:r w:rsidRPr="002442B5">
        <w:rPr>
          <w:rFonts w:ascii="Arial" w:hAnsi="Arial" w:cs="Arial"/>
          <w:b/>
          <w:bCs/>
          <w:smallCaps/>
          <w:color w:val="000000"/>
          <w:sz w:val="20"/>
          <w:szCs w:val="20"/>
        </w:rPr>
        <w:t xml:space="preserve">. </w:t>
      </w:r>
      <w:r w:rsidR="006C7305" w:rsidRPr="002442B5">
        <w:rPr>
          <w:rFonts w:ascii="Arial" w:hAnsi="Arial" w:cs="Arial"/>
          <w:b/>
          <w:bCs/>
          <w:smallCaps/>
          <w:color w:val="000000"/>
          <w:sz w:val="20"/>
          <w:szCs w:val="20"/>
        </w:rPr>
        <w:t xml:space="preserve">ZASIĘG SFERY NIEDOSTATKU WEDŁUG </w:t>
      </w:r>
      <w:r w:rsidR="00D94D7A" w:rsidRPr="002442B5">
        <w:rPr>
          <w:rFonts w:ascii="Arial" w:hAnsi="Arial" w:cs="Arial"/>
          <w:b/>
          <w:bCs/>
          <w:caps/>
          <w:color w:val="000000"/>
          <w:sz w:val="20"/>
          <w:szCs w:val="20"/>
        </w:rPr>
        <w:t>grup społeczno-ekonomicznych</w:t>
      </w:r>
      <w:r w:rsidR="00D94D7A" w:rsidRPr="002442B5">
        <w:rPr>
          <w:rFonts w:ascii="Arial" w:hAnsi="Arial" w:cs="Arial"/>
          <w:b/>
          <w:bCs/>
          <w:smallCaps/>
          <w:color w:val="000000"/>
          <w:sz w:val="20"/>
          <w:szCs w:val="20"/>
        </w:rPr>
        <w:t xml:space="preserve"> </w:t>
      </w:r>
      <w:r w:rsidR="006C7305" w:rsidRPr="002442B5">
        <w:rPr>
          <w:rFonts w:ascii="Arial" w:hAnsi="Arial" w:cs="Arial"/>
          <w:b/>
          <w:bCs/>
          <w:smallCaps/>
          <w:color w:val="000000"/>
          <w:sz w:val="20"/>
          <w:szCs w:val="20"/>
        </w:rPr>
        <w:t>GOSPODARSTW DOMOWYCH W LATACH 201</w:t>
      </w:r>
      <w:r w:rsidR="00D94D7A" w:rsidRPr="002442B5">
        <w:rPr>
          <w:rFonts w:ascii="Arial" w:hAnsi="Arial" w:cs="Arial"/>
          <w:b/>
          <w:bCs/>
          <w:smallCaps/>
          <w:color w:val="000000"/>
          <w:sz w:val="20"/>
          <w:szCs w:val="20"/>
        </w:rPr>
        <w:t>2</w:t>
      </w:r>
      <w:r w:rsidR="006C7305" w:rsidRPr="002442B5">
        <w:rPr>
          <w:rFonts w:ascii="Arial" w:hAnsi="Arial" w:cs="Arial"/>
          <w:b/>
          <w:bCs/>
          <w:smallCaps/>
          <w:color w:val="000000"/>
          <w:sz w:val="20"/>
          <w:szCs w:val="20"/>
        </w:rPr>
        <w:t>-201</w:t>
      </w:r>
      <w:r w:rsidR="00D94D7A" w:rsidRPr="002442B5">
        <w:rPr>
          <w:rFonts w:ascii="Arial" w:hAnsi="Arial" w:cs="Arial"/>
          <w:b/>
          <w:bCs/>
          <w:smallCaps/>
          <w:color w:val="000000"/>
          <w:sz w:val="20"/>
          <w:szCs w:val="20"/>
        </w:rPr>
        <w:t>5</w:t>
      </w:r>
    </w:p>
    <w:tbl>
      <w:tblPr>
        <w:tblW w:w="148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5"/>
        <w:gridCol w:w="1414"/>
        <w:gridCol w:w="284"/>
        <w:gridCol w:w="145"/>
        <w:gridCol w:w="1556"/>
        <w:gridCol w:w="1843"/>
        <w:gridCol w:w="1843"/>
        <w:gridCol w:w="3476"/>
        <w:gridCol w:w="1702"/>
      </w:tblGrid>
      <w:tr w:rsidR="008F709A" w:rsidRPr="00B7458E" w:rsidTr="005D16C3">
        <w:trPr>
          <w:gridAfter w:val="2"/>
          <w:wAfter w:w="5178" w:type="dxa"/>
          <w:trHeight w:val="570"/>
        </w:trPr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9A" w:rsidRPr="007C2149" w:rsidRDefault="008F709A" w:rsidP="00EC36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149">
              <w:rPr>
                <w:rFonts w:ascii="Arial" w:hAnsi="Arial" w:cs="Arial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70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09A" w:rsidRPr="007C2149" w:rsidRDefault="008F709A" w:rsidP="007C2149">
            <w:pPr>
              <w:tabs>
                <w:tab w:val="left" w:pos="555"/>
                <w:tab w:val="center" w:pos="3472"/>
              </w:tabs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149">
              <w:rPr>
                <w:rFonts w:ascii="Arial" w:hAnsi="Arial" w:cs="Arial"/>
                <w:color w:val="000000"/>
                <w:sz w:val="18"/>
                <w:szCs w:val="18"/>
              </w:rPr>
              <w:t xml:space="preserve">% osób w gospodarstwach domowych </w:t>
            </w:r>
            <w:r w:rsidR="000D6CC7" w:rsidRPr="007C2149">
              <w:rPr>
                <w:rFonts w:ascii="Arial" w:hAnsi="Arial" w:cs="Arial"/>
                <w:color w:val="000000"/>
                <w:sz w:val="18"/>
                <w:szCs w:val="18"/>
              </w:rPr>
              <w:t>o wydatkach poniżej minimum socjalnego</w:t>
            </w:r>
          </w:p>
        </w:tc>
      </w:tr>
      <w:tr w:rsidR="00D94D7A" w:rsidRPr="00B7458E" w:rsidTr="005D16C3">
        <w:trPr>
          <w:gridAfter w:val="2"/>
          <w:wAfter w:w="5178" w:type="dxa"/>
          <w:trHeight w:val="430"/>
        </w:trPr>
        <w:tc>
          <w:tcPr>
            <w:tcW w:w="255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D7A" w:rsidRPr="007C2149" w:rsidRDefault="00D94D7A" w:rsidP="00D94D7A">
            <w:pPr>
              <w:ind w:left="426" w:hanging="21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7A" w:rsidRPr="007C2149" w:rsidRDefault="00D94D7A" w:rsidP="00EE5B20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149"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7A" w:rsidRPr="007C2149" w:rsidRDefault="00D94D7A" w:rsidP="00EE5B20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149">
              <w:rPr>
                <w:rFonts w:ascii="Arial" w:hAnsi="Arial" w:cs="Arial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7A" w:rsidRPr="007C2149" w:rsidRDefault="00D94D7A" w:rsidP="00EE5B20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149">
              <w:rPr>
                <w:rFonts w:ascii="Arial" w:hAnsi="Arial" w:cs="Arial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7A" w:rsidRPr="007C2149" w:rsidRDefault="00D94D7A" w:rsidP="00EE5B20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2149">
              <w:rPr>
                <w:rFonts w:ascii="Arial" w:hAnsi="Arial" w:cs="Arial"/>
                <w:color w:val="000000"/>
                <w:sz w:val="18"/>
                <w:szCs w:val="18"/>
              </w:rPr>
              <w:t>2015</w:t>
            </w:r>
          </w:p>
        </w:tc>
      </w:tr>
      <w:tr w:rsidR="00D94D7A" w:rsidRPr="00B7458E" w:rsidTr="005D16C3">
        <w:trPr>
          <w:gridAfter w:val="2"/>
          <w:wAfter w:w="5178" w:type="dxa"/>
          <w:trHeight w:val="563"/>
        </w:trPr>
        <w:tc>
          <w:tcPr>
            <w:tcW w:w="255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7A" w:rsidRPr="007C2149" w:rsidRDefault="00D94D7A" w:rsidP="00D94D7A">
            <w:pPr>
              <w:spacing w:before="120" w:after="120"/>
              <w:ind w:left="425" w:hanging="21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21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OGÓŁEM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D7A" w:rsidRPr="007C2149" w:rsidRDefault="00D94D7A" w:rsidP="00EE5B2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21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D7A" w:rsidRPr="007C2149" w:rsidRDefault="00D94D7A" w:rsidP="00EE5B2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21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D7A" w:rsidRPr="007C2149" w:rsidRDefault="00D94D7A" w:rsidP="00EE5B2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21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D7A" w:rsidRPr="007C2149" w:rsidRDefault="004D4858" w:rsidP="00EE5B2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21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42,7</w:t>
            </w:r>
          </w:p>
        </w:tc>
      </w:tr>
      <w:tr w:rsidR="00D94D7A" w:rsidRPr="009B552E" w:rsidTr="009C714C">
        <w:trPr>
          <w:gridAfter w:val="2"/>
          <w:wAfter w:w="5178" w:type="dxa"/>
          <w:trHeight w:val="621"/>
        </w:trPr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7A" w:rsidRPr="007C2149" w:rsidRDefault="00D94D7A" w:rsidP="009C714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2149">
              <w:rPr>
                <w:rFonts w:ascii="Arial" w:hAnsi="Arial" w:cs="Arial"/>
                <w:b/>
                <w:bCs/>
                <w:sz w:val="18"/>
                <w:szCs w:val="18"/>
              </w:rPr>
              <w:t>Grupy społeczno-ekonomiczne gospodarstw domowych</w:t>
            </w:r>
            <w:r w:rsidRPr="007C21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</w:tcPr>
          <w:p w:rsidR="00D94D7A" w:rsidRPr="007C2149" w:rsidRDefault="00D94D7A" w:rsidP="00D94D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4D7A" w:rsidRPr="00B7458E" w:rsidTr="004D4858">
        <w:trPr>
          <w:gridAfter w:val="2"/>
          <w:wAfter w:w="5178" w:type="dxa"/>
          <w:trHeight w:val="510"/>
        </w:trPr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7A" w:rsidRPr="007C2149" w:rsidRDefault="00D94D7A" w:rsidP="009C714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2149">
              <w:rPr>
                <w:rFonts w:ascii="Arial" w:hAnsi="Arial" w:cs="Arial"/>
                <w:sz w:val="18"/>
                <w:szCs w:val="18"/>
              </w:rPr>
              <w:t xml:space="preserve">Pracowników 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D7A" w:rsidRPr="007C2149" w:rsidRDefault="00D94D7A" w:rsidP="00EE5B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149">
              <w:rPr>
                <w:rFonts w:ascii="Arial" w:hAnsi="Arial" w:cs="Arial"/>
                <w:sz w:val="18"/>
                <w:szCs w:val="18"/>
              </w:rPr>
              <w:t>42,1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D7A" w:rsidRPr="007C2149" w:rsidRDefault="00D94D7A" w:rsidP="009C714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149">
              <w:rPr>
                <w:rFonts w:ascii="Arial" w:hAnsi="Arial" w:cs="Arial"/>
                <w:sz w:val="18"/>
                <w:szCs w:val="18"/>
              </w:rPr>
              <w:t>43,1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D7A" w:rsidRPr="007C2149" w:rsidRDefault="00D94D7A" w:rsidP="009C714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149">
              <w:rPr>
                <w:rFonts w:ascii="Arial" w:hAnsi="Arial" w:cs="Arial"/>
                <w:sz w:val="18"/>
                <w:szCs w:val="18"/>
              </w:rPr>
              <w:t>42,5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D7A" w:rsidRPr="007C2149" w:rsidRDefault="004D4858" w:rsidP="009C714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149">
              <w:rPr>
                <w:rFonts w:ascii="Arial" w:hAnsi="Arial" w:cs="Arial"/>
                <w:sz w:val="18"/>
                <w:szCs w:val="18"/>
              </w:rPr>
              <w:t>41,9</w:t>
            </w:r>
          </w:p>
        </w:tc>
      </w:tr>
      <w:tr w:rsidR="00D94D7A" w:rsidRPr="00B7458E" w:rsidTr="004D4858">
        <w:trPr>
          <w:gridAfter w:val="2"/>
          <w:wAfter w:w="5178" w:type="dxa"/>
          <w:trHeight w:val="510"/>
        </w:trPr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7A" w:rsidRPr="007C2149" w:rsidRDefault="00D94D7A" w:rsidP="009C714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2149">
              <w:rPr>
                <w:rFonts w:ascii="Arial" w:hAnsi="Arial" w:cs="Arial"/>
                <w:sz w:val="18"/>
                <w:szCs w:val="18"/>
              </w:rPr>
              <w:t>Rolników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D7A" w:rsidRPr="007C2149" w:rsidRDefault="00D94D7A" w:rsidP="009C714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149">
              <w:rPr>
                <w:rFonts w:ascii="Arial" w:hAnsi="Arial" w:cs="Arial"/>
                <w:sz w:val="18"/>
                <w:szCs w:val="18"/>
              </w:rPr>
              <w:t>61,9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D7A" w:rsidRPr="007C2149" w:rsidRDefault="00D94D7A" w:rsidP="009C714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149">
              <w:rPr>
                <w:rFonts w:ascii="Arial" w:hAnsi="Arial" w:cs="Arial"/>
                <w:sz w:val="18"/>
                <w:szCs w:val="18"/>
              </w:rPr>
              <w:t>63,0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D7A" w:rsidRPr="007C2149" w:rsidRDefault="00D94D7A" w:rsidP="009C714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149">
              <w:rPr>
                <w:rFonts w:ascii="Arial" w:hAnsi="Arial" w:cs="Arial"/>
                <w:sz w:val="18"/>
                <w:szCs w:val="18"/>
              </w:rPr>
              <w:t>61,7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D7A" w:rsidRPr="007C2149" w:rsidRDefault="004D4858" w:rsidP="009C714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149">
              <w:rPr>
                <w:rFonts w:ascii="Arial" w:hAnsi="Arial" w:cs="Arial"/>
                <w:sz w:val="18"/>
                <w:szCs w:val="18"/>
              </w:rPr>
              <w:t>64,9</w:t>
            </w:r>
          </w:p>
        </w:tc>
      </w:tr>
      <w:tr w:rsidR="00D94D7A" w:rsidRPr="00B7458E" w:rsidTr="00FB07D0">
        <w:trPr>
          <w:gridAfter w:val="2"/>
          <w:wAfter w:w="5178" w:type="dxa"/>
          <w:trHeight w:val="510"/>
        </w:trPr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7A" w:rsidRPr="007C2149" w:rsidRDefault="00D94D7A" w:rsidP="009C714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2149">
              <w:rPr>
                <w:rFonts w:ascii="Arial" w:hAnsi="Arial" w:cs="Arial"/>
                <w:color w:val="000000"/>
                <w:sz w:val="18"/>
                <w:szCs w:val="18"/>
              </w:rPr>
              <w:t>Pracujących na własny rachunek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D7A" w:rsidRPr="007C2149" w:rsidRDefault="00D94D7A" w:rsidP="009C714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149">
              <w:rPr>
                <w:rFonts w:ascii="Arial" w:hAnsi="Arial" w:cs="Arial"/>
                <w:sz w:val="18"/>
                <w:szCs w:val="18"/>
              </w:rPr>
              <w:t>30,5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D7A" w:rsidRPr="007C2149" w:rsidRDefault="00D94D7A" w:rsidP="009C714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149">
              <w:rPr>
                <w:rFonts w:ascii="Arial" w:hAnsi="Arial" w:cs="Arial"/>
                <w:sz w:val="18"/>
                <w:szCs w:val="18"/>
              </w:rPr>
              <w:t>31,0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D7A" w:rsidRPr="007C2149" w:rsidRDefault="00D94D7A" w:rsidP="009C714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149">
              <w:rPr>
                <w:rFonts w:ascii="Arial" w:hAnsi="Arial" w:cs="Arial"/>
                <w:sz w:val="18"/>
                <w:szCs w:val="18"/>
              </w:rPr>
              <w:t>31,2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D7A" w:rsidRPr="007C2149" w:rsidRDefault="004D4858" w:rsidP="009C714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149">
              <w:rPr>
                <w:rFonts w:ascii="Arial" w:hAnsi="Arial" w:cs="Arial"/>
                <w:sz w:val="18"/>
                <w:szCs w:val="18"/>
              </w:rPr>
              <w:t>29,8</w:t>
            </w:r>
          </w:p>
        </w:tc>
      </w:tr>
      <w:tr w:rsidR="004D4858" w:rsidRPr="00B7458E" w:rsidTr="00FB07D0">
        <w:trPr>
          <w:gridAfter w:val="2"/>
          <w:wAfter w:w="5178" w:type="dxa"/>
          <w:trHeight w:val="510"/>
        </w:trPr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58" w:rsidRPr="007C2149" w:rsidRDefault="004D4858" w:rsidP="009C714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2149">
              <w:rPr>
                <w:rFonts w:ascii="Arial" w:hAnsi="Arial" w:cs="Arial"/>
                <w:color w:val="000000"/>
                <w:sz w:val="18"/>
                <w:szCs w:val="18"/>
              </w:rPr>
              <w:t>Emerytów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58" w:rsidRPr="007C2149" w:rsidRDefault="004D4858" w:rsidP="009C714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149">
              <w:rPr>
                <w:rFonts w:ascii="Arial" w:hAnsi="Arial" w:cs="Arial"/>
                <w:sz w:val="18"/>
                <w:szCs w:val="18"/>
              </w:rPr>
              <w:t>37,9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58" w:rsidRPr="007C2149" w:rsidRDefault="004D4858" w:rsidP="009C714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149">
              <w:rPr>
                <w:rFonts w:ascii="Arial" w:hAnsi="Arial" w:cs="Arial"/>
                <w:sz w:val="18"/>
                <w:szCs w:val="18"/>
              </w:rPr>
              <w:t>38,9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8" w:rsidRPr="007C2149" w:rsidRDefault="004D4858" w:rsidP="009C714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149">
              <w:rPr>
                <w:rFonts w:ascii="Arial" w:hAnsi="Arial" w:cs="Arial"/>
                <w:sz w:val="18"/>
                <w:szCs w:val="18"/>
              </w:rPr>
              <w:t>37,3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58" w:rsidRPr="007C2149" w:rsidRDefault="004D4858" w:rsidP="009C714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149">
              <w:rPr>
                <w:rFonts w:ascii="Arial" w:hAnsi="Arial" w:cs="Arial"/>
                <w:sz w:val="18"/>
                <w:szCs w:val="18"/>
              </w:rPr>
              <w:t>35,9</w:t>
            </w:r>
          </w:p>
        </w:tc>
      </w:tr>
      <w:tr w:rsidR="004D4858" w:rsidRPr="00B7458E" w:rsidTr="00FB07D0">
        <w:trPr>
          <w:gridAfter w:val="2"/>
          <w:wAfter w:w="5178" w:type="dxa"/>
          <w:trHeight w:val="510"/>
        </w:trPr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58" w:rsidRPr="007C2149" w:rsidRDefault="004D4858" w:rsidP="009C714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2149">
              <w:rPr>
                <w:rFonts w:ascii="Arial" w:hAnsi="Arial" w:cs="Arial"/>
                <w:color w:val="000000"/>
                <w:sz w:val="18"/>
                <w:szCs w:val="18"/>
              </w:rPr>
              <w:t>Rencistów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58" w:rsidRPr="007C2149" w:rsidRDefault="004D4858" w:rsidP="009C714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149">
              <w:rPr>
                <w:rFonts w:ascii="Arial" w:hAnsi="Arial" w:cs="Arial"/>
                <w:sz w:val="18"/>
                <w:szCs w:val="18"/>
              </w:rPr>
              <w:t>58,1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58" w:rsidRPr="007C2149" w:rsidRDefault="004D4858" w:rsidP="009C714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149">
              <w:rPr>
                <w:rFonts w:ascii="Arial" w:hAnsi="Arial" w:cs="Arial"/>
                <w:sz w:val="18"/>
                <w:szCs w:val="18"/>
              </w:rPr>
              <w:t>58,5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8" w:rsidRPr="007C2149" w:rsidRDefault="004D4858" w:rsidP="009C714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149">
              <w:rPr>
                <w:rFonts w:ascii="Arial" w:hAnsi="Arial" w:cs="Arial"/>
                <w:sz w:val="18"/>
                <w:szCs w:val="18"/>
              </w:rPr>
              <w:t>56,8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58" w:rsidRPr="007C2149" w:rsidRDefault="004D4858" w:rsidP="009C714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149">
              <w:rPr>
                <w:rFonts w:ascii="Arial" w:hAnsi="Arial" w:cs="Arial"/>
                <w:sz w:val="18"/>
                <w:szCs w:val="18"/>
              </w:rPr>
              <w:t>55,4</w:t>
            </w:r>
          </w:p>
        </w:tc>
      </w:tr>
      <w:tr w:rsidR="004D4858" w:rsidRPr="00B7458E" w:rsidTr="00FB07D0">
        <w:trPr>
          <w:gridAfter w:val="2"/>
          <w:wAfter w:w="5178" w:type="dxa"/>
          <w:trHeight w:val="510"/>
        </w:trPr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858" w:rsidRPr="007C2149" w:rsidRDefault="004D4858" w:rsidP="009C714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C2149">
              <w:rPr>
                <w:rFonts w:ascii="Arial" w:hAnsi="Arial" w:cs="Arial"/>
                <w:color w:val="000000"/>
                <w:sz w:val="18"/>
                <w:szCs w:val="18"/>
              </w:rPr>
              <w:t>Utrzymujących się z innych niezarobkowych źródeł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58" w:rsidRPr="007C2149" w:rsidRDefault="004D4858" w:rsidP="009C714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149">
              <w:rPr>
                <w:rFonts w:ascii="Arial" w:hAnsi="Arial" w:cs="Arial"/>
                <w:sz w:val="18"/>
                <w:szCs w:val="18"/>
              </w:rPr>
              <w:t>69,1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58" w:rsidRPr="007C2149" w:rsidRDefault="004D4858" w:rsidP="009C714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149">
              <w:rPr>
                <w:rFonts w:ascii="Arial" w:hAnsi="Arial" w:cs="Arial"/>
                <w:sz w:val="18"/>
                <w:szCs w:val="18"/>
              </w:rPr>
              <w:t>71,0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858" w:rsidRPr="007C2149" w:rsidRDefault="004D4858" w:rsidP="009C714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149">
              <w:rPr>
                <w:rFonts w:ascii="Arial" w:hAnsi="Arial" w:cs="Arial"/>
                <w:sz w:val="18"/>
                <w:szCs w:val="18"/>
              </w:rPr>
              <w:t>65,4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858" w:rsidRPr="007C2149" w:rsidRDefault="004D4858" w:rsidP="009C714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149">
              <w:rPr>
                <w:rFonts w:ascii="Arial" w:hAnsi="Arial" w:cs="Arial"/>
                <w:sz w:val="18"/>
                <w:szCs w:val="18"/>
              </w:rPr>
              <w:t>66,7</w:t>
            </w:r>
          </w:p>
        </w:tc>
      </w:tr>
      <w:tr w:rsidR="00D94D7A" w:rsidRPr="00B7458E" w:rsidTr="00D94D7A">
        <w:trPr>
          <w:gridAfter w:val="1"/>
          <w:wAfter w:w="1702" w:type="dxa"/>
          <w:trHeight w:val="300"/>
        </w:trPr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D7A" w:rsidRPr="00B7458E" w:rsidRDefault="00D94D7A" w:rsidP="00D94D7A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4D7A" w:rsidRPr="00B7458E" w:rsidRDefault="00D94D7A" w:rsidP="00D94D7A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D7A" w:rsidRPr="00B7458E" w:rsidRDefault="00D94D7A" w:rsidP="00D94D7A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FF69B8" w:rsidRPr="00F86CFE" w:rsidTr="00D94D7A">
        <w:trPr>
          <w:trHeight w:val="30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F69B8" w:rsidRPr="00F86CFE" w:rsidRDefault="00FF69B8" w:rsidP="00D94D7A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69B8" w:rsidRPr="00F86CFE" w:rsidRDefault="00FF69B8" w:rsidP="00BD5A63">
            <w:pPr>
              <w:ind w:left="214" w:hanging="212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9B8" w:rsidRPr="00F86CFE" w:rsidRDefault="00FF69B8" w:rsidP="00BD5A63">
            <w:pPr>
              <w:ind w:left="214" w:hanging="212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</w:tbl>
    <w:p w:rsidR="00B77E75" w:rsidRDefault="00B77E75"/>
    <w:p w:rsidR="00B77E75" w:rsidRDefault="00B77E75">
      <w:r>
        <w:br w:type="page"/>
      </w:r>
    </w:p>
    <w:p w:rsidR="00290801" w:rsidRPr="008B19B7" w:rsidRDefault="00577C0B" w:rsidP="008F59DC">
      <w:pPr>
        <w:ind w:left="426" w:hanging="284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8B19B7">
        <w:rPr>
          <w:rFonts w:ascii="Arial" w:hAnsi="Arial" w:cs="Arial"/>
          <w:b/>
          <w:bCs/>
          <w:caps/>
          <w:sz w:val="20"/>
          <w:szCs w:val="20"/>
        </w:rPr>
        <w:lastRenderedPageBreak/>
        <w:t xml:space="preserve">TABL. </w:t>
      </w:r>
      <w:r w:rsidR="00F21C2D" w:rsidRPr="008B19B7">
        <w:rPr>
          <w:rFonts w:ascii="Arial" w:hAnsi="Arial" w:cs="Arial"/>
          <w:b/>
          <w:bCs/>
          <w:caps/>
          <w:sz w:val="20"/>
          <w:szCs w:val="20"/>
        </w:rPr>
        <w:t>4</w:t>
      </w:r>
      <w:r w:rsidRPr="008B19B7">
        <w:rPr>
          <w:rFonts w:ascii="Arial" w:hAnsi="Arial" w:cs="Arial"/>
          <w:b/>
          <w:bCs/>
          <w:caps/>
          <w:sz w:val="20"/>
          <w:szCs w:val="20"/>
        </w:rPr>
        <w:t xml:space="preserve">. </w:t>
      </w:r>
      <w:r w:rsidR="007E42EA" w:rsidRPr="008B19B7">
        <w:rPr>
          <w:rFonts w:ascii="Arial" w:hAnsi="Arial" w:cs="Arial"/>
          <w:b/>
          <w:bCs/>
          <w:caps/>
          <w:sz w:val="20"/>
          <w:szCs w:val="20"/>
        </w:rPr>
        <w:t xml:space="preserve">ZASIĘG SFERY </w:t>
      </w:r>
      <w:r w:rsidR="002C6188" w:rsidRPr="008B19B7">
        <w:rPr>
          <w:rFonts w:ascii="Arial" w:hAnsi="Arial" w:cs="Arial"/>
          <w:b/>
          <w:bCs/>
          <w:caps/>
          <w:sz w:val="20"/>
          <w:szCs w:val="20"/>
        </w:rPr>
        <w:t>niedostatk</w:t>
      </w:r>
      <w:r w:rsidR="007E42EA" w:rsidRPr="008B19B7">
        <w:rPr>
          <w:rFonts w:ascii="Arial" w:hAnsi="Arial" w:cs="Arial"/>
          <w:b/>
          <w:bCs/>
          <w:caps/>
          <w:sz w:val="20"/>
          <w:szCs w:val="20"/>
        </w:rPr>
        <w:t>U</w:t>
      </w:r>
      <w:r w:rsidR="009944B4" w:rsidRPr="008B19B7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9114A4" w:rsidRPr="008B19B7">
        <w:rPr>
          <w:rFonts w:ascii="Arial" w:hAnsi="Arial" w:cs="Arial"/>
          <w:b/>
          <w:bCs/>
          <w:caps/>
          <w:sz w:val="20"/>
          <w:szCs w:val="20"/>
        </w:rPr>
        <w:t>w latach 201</w:t>
      </w:r>
      <w:r w:rsidR="00D94D7A" w:rsidRPr="008B19B7">
        <w:rPr>
          <w:rFonts w:ascii="Arial" w:hAnsi="Arial" w:cs="Arial"/>
          <w:b/>
          <w:bCs/>
          <w:caps/>
          <w:sz w:val="20"/>
          <w:szCs w:val="20"/>
        </w:rPr>
        <w:t>2</w:t>
      </w:r>
      <w:r w:rsidR="009114A4" w:rsidRPr="008B19B7">
        <w:rPr>
          <w:rFonts w:ascii="Arial" w:hAnsi="Arial" w:cs="Arial"/>
          <w:b/>
          <w:bCs/>
          <w:caps/>
          <w:sz w:val="20"/>
          <w:szCs w:val="20"/>
        </w:rPr>
        <w:t>-201</w:t>
      </w:r>
      <w:r w:rsidR="00D94D7A" w:rsidRPr="008B19B7">
        <w:rPr>
          <w:rFonts w:ascii="Arial" w:hAnsi="Arial" w:cs="Arial"/>
          <w:b/>
          <w:bCs/>
          <w:caps/>
          <w:sz w:val="20"/>
          <w:szCs w:val="20"/>
        </w:rPr>
        <w:t>5</w:t>
      </w:r>
      <w:r w:rsidR="009114A4" w:rsidRPr="008B19B7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Pr="008B19B7">
        <w:rPr>
          <w:rFonts w:ascii="Arial" w:hAnsi="Arial" w:cs="Arial"/>
          <w:b/>
          <w:bCs/>
          <w:caps/>
          <w:sz w:val="20"/>
          <w:szCs w:val="20"/>
        </w:rPr>
        <w:t>według miejsca zamieszkania</w:t>
      </w:r>
      <w:r w:rsidR="002C6188" w:rsidRPr="008B19B7">
        <w:rPr>
          <w:rFonts w:ascii="Arial" w:hAnsi="Arial" w:cs="Arial"/>
          <w:b/>
          <w:bCs/>
          <w:caps/>
          <w:sz w:val="20"/>
          <w:szCs w:val="20"/>
        </w:rPr>
        <w:t xml:space="preserve"> </w:t>
      </w:r>
    </w:p>
    <w:tbl>
      <w:tblPr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843"/>
        <w:gridCol w:w="1559"/>
        <w:gridCol w:w="1701"/>
        <w:gridCol w:w="1701"/>
      </w:tblGrid>
      <w:tr w:rsidR="00F51DC9" w:rsidRPr="00B13065" w:rsidTr="008B19B7">
        <w:trPr>
          <w:trHeight w:val="47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C9" w:rsidRPr="009B1A9F" w:rsidRDefault="00F51DC9" w:rsidP="00A525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DC9" w:rsidRPr="009B1A9F" w:rsidRDefault="00F51DC9" w:rsidP="00B219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 xml:space="preserve">% osób w gospodarstwach domowych </w:t>
            </w:r>
            <w:r w:rsidR="000D6CC7" w:rsidRPr="009B1A9F">
              <w:rPr>
                <w:rFonts w:ascii="Arial" w:hAnsi="Arial" w:cs="Arial"/>
                <w:color w:val="000000"/>
                <w:sz w:val="18"/>
                <w:szCs w:val="18"/>
              </w:rPr>
              <w:t>o wydatkach poniżej minimum socjalnego</w:t>
            </w:r>
          </w:p>
        </w:tc>
      </w:tr>
      <w:tr w:rsidR="00D94D7A" w:rsidRPr="00B13065" w:rsidTr="009C714C">
        <w:trPr>
          <w:trHeight w:val="427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D7A" w:rsidRPr="009B1A9F" w:rsidRDefault="00D94D7A" w:rsidP="00D94D7A">
            <w:pPr>
              <w:ind w:left="426" w:hanging="21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D7A" w:rsidRPr="009B1A9F" w:rsidRDefault="00D94D7A" w:rsidP="00A525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D7A" w:rsidRPr="009B1A9F" w:rsidRDefault="00D94D7A" w:rsidP="00A525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7A" w:rsidRPr="009B1A9F" w:rsidRDefault="00D94D7A" w:rsidP="00A525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7A" w:rsidRPr="009B1A9F" w:rsidRDefault="00D94D7A" w:rsidP="00A525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2015</w:t>
            </w:r>
          </w:p>
        </w:tc>
      </w:tr>
      <w:tr w:rsidR="00D94D7A" w:rsidRPr="00B13065" w:rsidTr="00B21943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7A" w:rsidRPr="009B1A9F" w:rsidRDefault="00D94D7A" w:rsidP="00A5252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D7A" w:rsidRPr="009B1A9F" w:rsidRDefault="00D94D7A" w:rsidP="00A5252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D7A" w:rsidRPr="009B1A9F" w:rsidRDefault="00D94D7A" w:rsidP="00A5252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D7A" w:rsidRPr="009B1A9F" w:rsidRDefault="00D94D7A" w:rsidP="00A5252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D7A" w:rsidRPr="009B1A9F" w:rsidRDefault="007D400F" w:rsidP="00A5252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42,7</w:t>
            </w:r>
          </w:p>
        </w:tc>
      </w:tr>
      <w:tr w:rsidR="00D94D7A" w:rsidRPr="00B13065" w:rsidTr="00B21943">
        <w:trPr>
          <w:trHeight w:val="56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D7A" w:rsidRPr="009B1A9F" w:rsidRDefault="00D94D7A" w:rsidP="00A525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Miasta razem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D7A" w:rsidRPr="009B1A9F" w:rsidRDefault="00D94D7A" w:rsidP="00A525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35,2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D7A" w:rsidRPr="009B1A9F" w:rsidRDefault="00D94D7A" w:rsidP="00A525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36,4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4D7A" w:rsidRPr="009B1A9F" w:rsidRDefault="00D94D7A" w:rsidP="00A525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34,5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4D7A" w:rsidRPr="009B1A9F" w:rsidRDefault="007D400F" w:rsidP="00A525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33,8</w:t>
            </w:r>
          </w:p>
        </w:tc>
      </w:tr>
      <w:tr w:rsidR="00D94D7A" w:rsidRPr="00B13065" w:rsidTr="00B21943">
        <w:trPr>
          <w:trHeight w:val="56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7A" w:rsidRPr="009B1A9F" w:rsidRDefault="00D94D7A" w:rsidP="00A5252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O liczbie mieszkańców: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D94D7A" w:rsidRPr="009B1A9F" w:rsidRDefault="00D94D7A" w:rsidP="00A525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400F" w:rsidRPr="00B13065" w:rsidTr="00FB07D0">
        <w:trPr>
          <w:trHeight w:val="56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0F" w:rsidRPr="009B1A9F" w:rsidRDefault="007D400F" w:rsidP="00A525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500 tys. i więcej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0F" w:rsidRPr="009B1A9F" w:rsidRDefault="007D400F" w:rsidP="00A525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17,3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0F" w:rsidRPr="009B1A9F" w:rsidRDefault="007D400F" w:rsidP="00A525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20,1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00F" w:rsidRPr="009B1A9F" w:rsidRDefault="007D400F" w:rsidP="00A525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18,6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0F" w:rsidRPr="009B1A9F" w:rsidRDefault="007D400F" w:rsidP="00A525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18,1</w:t>
            </w:r>
          </w:p>
        </w:tc>
      </w:tr>
      <w:tr w:rsidR="007D400F" w:rsidRPr="00B13065" w:rsidTr="00FB07D0">
        <w:trPr>
          <w:trHeight w:val="56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0F" w:rsidRPr="009B1A9F" w:rsidRDefault="007D400F" w:rsidP="00A525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200 - 500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0F" w:rsidRPr="009B1A9F" w:rsidRDefault="007D400F" w:rsidP="00A525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32,9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0F" w:rsidRPr="009B1A9F" w:rsidRDefault="007D400F" w:rsidP="00A525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32,2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00F" w:rsidRPr="009B1A9F" w:rsidRDefault="007D400F" w:rsidP="00A525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0F" w:rsidRPr="009B1A9F" w:rsidRDefault="007D400F" w:rsidP="00A525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29,8</w:t>
            </w:r>
          </w:p>
        </w:tc>
      </w:tr>
      <w:tr w:rsidR="007D400F" w:rsidRPr="00B13065" w:rsidTr="00FB07D0">
        <w:trPr>
          <w:trHeight w:val="56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0F" w:rsidRPr="009B1A9F" w:rsidRDefault="007D400F" w:rsidP="00A525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100 - 200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0F" w:rsidRPr="009B1A9F" w:rsidRDefault="007D400F" w:rsidP="00A525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36,7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0F" w:rsidRPr="009B1A9F" w:rsidRDefault="007D400F" w:rsidP="00A525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37,9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00F" w:rsidRPr="009B1A9F" w:rsidRDefault="007D400F" w:rsidP="00A525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34,0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0F" w:rsidRPr="009B1A9F" w:rsidRDefault="007D400F" w:rsidP="00A525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33,5</w:t>
            </w:r>
          </w:p>
        </w:tc>
      </w:tr>
      <w:tr w:rsidR="007D400F" w:rsidRPr="00B13065" w:rsidTr="00FB07D0">
        <w:trPr>
          <w:trHeight w:val="56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0F" w:rsidRPr="009B1A9F" w:rsidRDefault="007D400F" w:rsidP="00A525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20 - 100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0F" w:rsidRPr="009B1A9F" w:rsidRDefault="007D400F" w:rsidP="00A525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40,2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0F" w:rsidRPr="009B1A9F" w:rsidRDefault="007D400F" w:rsidP="00A525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40,3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00F" w:rsidRPr="009B1A9F" w:rsidRDefault="007D400F" w:rsidP="00A525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37,3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0F" w:rsidRPr="009B1A9F" w:rsidRDefault="007D400F" w:rsidP="00A525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38,4</w:t>
            </w:r>
          </w:p>
        </w:tc>
      </w:tr>
      <w:tr w:rsidR="007D400F" w:rsidRPr="00B13065" w:rsidTr="00FB07D0">
        <w:trPr>
          <w:trHeight w:val="56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0F" w:rsidRPr="009B1A9F" w:rsidRDefault="007D400F" w:rsidP="00A525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poniżej 20 tys.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0F" w:rsidRPr="009B1A9F" w:rsidRDefault="007D400F" w:rsidP="00A525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0F" w:rsidRPr="009B1A9F" w:rsidRDefault="007D400F" w:rsidP="00A525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47,2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00F" w:rsidRPr="009B1A9F" w:rsidRDefault="007D400F" w:rsidP="00A525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48,1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0F" w:rsidRPr="009B1A9F" w:rsidRDefault="007D400F" w:rsidP="00A525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44,8</w:t>
            </w:r>
          </w:p>
        </w:tc>
      </w:tr>
      <w:tr w:rsidR="007D400F" w:rsidRPr="00B13065" w:rsidTr="00FB07D0">
        <w:trPr>
          <w:trHeight w:val="56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0F" w:rsidRPr="009B1A9F" w:rsidRDefault="007D400F" w:rsidP="00A525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Wieś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0F" w:rsidRPr="009B1A9F" w:rsidRDefault="007D400F" w:rsidP="00A525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56,2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0F" w:rsidRPr="009B1A9F" w:rsidRDefault="007D400F" w:rsidP="00A525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57,6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00F" w:rsidRPr="009B1A9F" w:rsidRDefault="007D400F" w:rsidP="00A525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57,1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0F" w:rsidRPr="009B1A9F" w:rsidRDefault="007D400F" w:rsidP="00A5252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56,5</w:t>
            </w:r>
          </w:p>
        </w:tc>
      </w:tr>
    </w:tbl>
    <w:p w:rsidR="00430B09" w:rsidRDefault="00430B09">
      <w:r>
        <w:br w:type="page"/>
      </w:r>
    </w:p>
    <w:p w:rsidR="009A6A52" w:rsidRPr="009A6A52" w:rsidRDefault="009A6A52" w:rsidP="009A6A52">
      <w:pPr>
        <w:ind w:left="426" w:hanging="284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9A6A52">
        <w:rPr>
          <w:rFonts w:ascii="Arial" w:hAnsi="Arial" w:cs="Arial"/>
          <w:b/>
          <w:bCs/>
          <w:caps/>
          <w:sz w:val="20"/>
          <w:szCs w:val="20"/>
        </w:rPr>
        <w:lastRenderedPageBreak/>
        <w:t>TABL. 5. ZASIĘG SFERY NIEDOSTATKU w latach 201</w:t>
      </w:r>
      <w:r>
        <w:rPr>
          <w:rFonts w:ascii="Arial" w:hAnsi="Arial" w:cs="Arial"/>
          <w:b/>
          <w:bCs/>
          <w:caps/>
          <w:sz w:val="20"/>
          <w:szCs w:val="20"/>
        </w:rPr>
        <w:t>2</w:t>
      </w:r>
      <w:r w:rsidRPr="009A6A52">
        <w:rPr>
          <w:rFonts w:ascii="Arial" w:hAnsi="Arial" w:cs="Arial"/>
          <w:b/>
          <w:bCs/>
          <w:caps/>
          <w:sz w:val="20"/>
          <w:szCs w:val="20"/>
        </w:rPr>
        <w:t>-201</w:t>
      </w:r>
      <w:r>
        <w:rPr>
          <w:rFonts w:ascii="Arial" w:hAnsi="Arial" w:cs="Arial"/>
          <w:b/>
          <w:bCs/>
          <w:caps/>
          <w:sz w:val="20"/>
          <w:szCs w:val="20"/>
        </w:rPr>
        <w:t>5</w:t>
      </w:r>
      <w:r w:rsidRPr="009A6A52">
        <w:rPr>
          <w:rFonts w:ascii="Arial" w:hAnsi="Arial" w:cs="Arial"/>
          <w:b/>
          <w:bCs/>
          <w:caps/>
          <w:sz w:val="20"/>
          <w:szCs w:val="20"/>
        </w:rPr>
        <w:t xml:space="preserve"> według regionów 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9"/>
        <w:gridCol w:w="1843"/>
        <w:gridCol w:w="1843"/>
        <w:gridCol w:w="1843"/>
        <w:gridCol w:w="1843"/>
      </w:tblGrid>
      <w:tr w:rsidR="009A6A52" w:rsidRPr="00B7458E" w:rsidTr="003B7DD2">
        <w:trPr>
          <w:trHeight w:val="315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A52" w:rsidRPr="009B1A9F" w:rsidRDefault="009A6A52" w:rsidP="009A6A52">
            <w:pPr>
              <w:ind w:left="426" w:hanging="21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52" w:rsidRPr="009B1A9F" w:rsidRDefault="009A6A52" w:rsidP="003B7DD2">
            <w:pPr>
              <w:spacing w:before="120"/>
              <w:ind w:left="425" w:hanging="2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% osób w gospodarstwach domowych o wydatkach poniżej minimum socjalnego</w:t>
            </w:r>
          </w:p>
        </w:tc>
      </w:tr>
      <w:tr w:rsidR="009A6A52" w:rsidRPr="00B7458E" w:rsidTr="003B7DD2">
        <w:trPr>
          <w:trHeight w:val="315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A52" w:rsidRPr="009B1A9F" w:rsidRDefault="009A6A52" w:rsidP="009A6A52">
            <w:pPr>
              <w:ind w:left="426" w:hanging="21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52" w:rsidRPr="009B1A9F" w:rsidRDefault="009A6A52" w:rsidP="009A6A52">
            <w:pPr>
              <w:spacing w:before="60" w:after="6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52" w:rsidRPr="009B1A9F" w:rsidRDefault="009A6A52" w:rsidP="009A6A52">
            <w:pPr>
              <w:spacing w:before="60" w:after="6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A52" w:rsidRPr="009B1A9F" w:rsidRDefault="009A6A52" w:rsidP="009A6A52">
            <w:pPr>
              <w:spacing w:before="60" w:after="6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A52" w:rsidRPr="009B1A9F" w:rsidRDefault="009A6A52" w:rsidP="009A6A52">
            <w:pPr>
              <w:spacing w:before="60" w:after="6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2015</w:t>
            </w:r>
          </w:p>
        </w:tc>
      </w:tr>
      <w:tr w:rsidR="009A6A52" w:rsidRPr="00B7458E" w:rsidTr="009A6A52">
        <w:trPr>
          <w:trHeight w:val="56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52" w:rsidRPr="009B1A9F" w:rsidRDefault="009A6A52" w:rsidP="009A6A5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6A52" w:rsidRPr="009B1A9F" w:rsidRDefault="009A6A52" w:rsidP="009A6A52">
            <w:pPr>
              <w:spacing w:before="60" w:after="60" w:line="360" w:lineRule="auto"/>
              <w:ind w:left="426" w:hanging="21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6A52" w:rsidRPr="009B1A9F" w:rsidRDefault="009A6A52" w:rsidP="009A6A52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A6A52" w:rsidRPr="009B1A9F" w:rsidRDefault="009A6A52" w:rsidP="009A6A52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A6A52" w:rsidRPr="009B1A9F" w:rsidRDefault="009A6A52" w:rsidP="009A6A52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42,7</w:t>
            </w:r>
          </w:p>
        </w:tc>
      </w:tr>
      <w:tr w:rsidR="009A6A52" w:rsidRPr="00B7458E" w:rsidTr="003B7DD2">
        <w:trPr>
          <w:trHeight w:val="567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A52" w:rsidRPr="009B1A9F" w:rsidRDefault="009A6A52" w:rsidP="009A6A52">
            <w:pPr>
              <w:ind w:left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Region:</w:t>
            </w:r>
          </w:p>
        </w:tc>
        <w:tc>
          <w:tcPr>
            <w:tcW w:w="737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9A6A52" w:rsidRPr="009B1A9F" w:rsidRDefault="009A6A52" w:rsidP="009A6A52">
            <w:pPr>
              <w:spacing w:before="60" w:after="60" w:line="360" w:lineRule="auto"/>
              <w:ind w:left="426" w:hanging="2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6A52" w:rsidRPr="00B7458E" w:rsidTr="005B67F1">
        <w:trPr>
          <w:trHeight w:val="567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A52" w:rsidRPr="009B1A9F" w:rsidRDefault="009A6A52" w:rsidP="009A6A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Centralny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52" w:rsidRPr="009B1A9F" w:rsidRDefault="009A6A52" w:rsidP="009A6A52">
            <w:pPr>
              <w:spacing w:before="60" w:after="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34,0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52" w:rsidRPr="009B1A9F" w:rsidRDefault="009A6A52" w:rsidP="009A6A52">
            <w:pPr>
              <w:spacing w:before="60" w:after="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36,4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A52" w:rsidRPr="009B1A9F" w:rsidRDefault="009A6A52" w:rsidP="009A6A52">
            <w:pPr>
              <w:spacing w:before="60" w:after="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35,2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52" w:rsidRPr="009B1A9F" w:rsidRDefault="009A6A52" w:rsidP="009A6A52">
            <w:pPr>
              <w:spacing w:before="60" w:after="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33,2</w:t>
            </w:r>
          </w:p>
        </w:tc>
      </w:tr>
      <w:tr w:rsidR="009A6A52" w:rsidRPr="00B7458E" w:rsidTr="005B67F1">
        <w:trPr>
          <w:trHeight w:val="567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A52" w:rsidRPr="009B1A9F" w:rsidRDefault="009A6A52" w:rsidP="009A6A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Południowy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52" w:rsidRPr="009B1A9F" w:rsidRDefault="009A6A52" w:rsidP="009A6A52">
            <w:pPr>
              <w:spacing w:before="60" w:after="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40,1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52" w:rsidRPr="009B1A9F" w:rsidRDefault="009A6A52" w:rsidP="009A6A52">
            <w:pPr>
              <w:spacing w:before="60" w:after="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42,4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A52" w:rsidRPr="009B1A9F" w:rsidRDefault="009A6A52" w:rsidP="009A6A52">
            <w:pPr>
              <w:spacing w:before="60" w:after="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41,7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52" w:rsidRPr="009B1A9F" w:rsidRDefault="009A6A52" w:rsidP="009A6A52">
            <w:pPr>
              <w:spacing w:before="60" w:after="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42,6</w:t>
            </w:r>
          </w:p>
        </w:tc>
      </w:tr>
      <w:tr w:rsidR="009A6A52" w:rsidRPr="00B7458E" w:rsidTr="005B67F1">
        <w:trPr>
          <w:trHeight w:val="567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A52" w:rsidRPr="009B1A9F" w:rsidRDefault="009A6A52" w:rsidP="009A6A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Wschodni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52" w:rsidRPr="009B1A9F" w:rsidRDefault="009A6A52" w:rsidP="009A6A52">
            <w:pPr>
              <w:spacing w:before="60" w:after="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54,3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52" w:rsidRPr="009B1A9F" w:rsidRDefault="009A6A52" w:rsidP="009A6A52">
            <w:pPr>
              <w:spacing w:before="60" w:after="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54,3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A52" w:rsidRPr="009B1A9F" w:rsidRDefault="009A6A52" w:rsidP="009A6A52">
            <w:pPr>
              <w:spacing w:before="60" w:after="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50,5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52" w:rsidRPr="009B1A9F" w:rsidRDefault="009A6A52" w:rsidP="009A6A52">
            <w:pPr>
              <w:spacing w:before="60" w:after="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52,2</w:t>
            </w:r>
          </w:p>
        </w:tc>
      </w:tr>
      <w:tr w:rsidR="009A6A52" w:rsidRPr="00B7458E" w:rsidTr="005B67F1">
        <w:trPr>
          <w:trHeight w:val="567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A52" w:rsidRPr="009B1A9F" w:rsidRDefault="009A6A52" w:rsidP="009A6A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Północno-zachodni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52" w:rsidRPr="009B1A9F" w:rsidRDefault="009A6A52" w:rsidP="009A6A52">
            <w:pPr>
              <w:spacing w:before="60" w:after="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46,9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52" w:rsidRPr="009B1A9F" w:rsidRDefault="009A6A52" w:rsidP="009A6A52">
            <w:pPr>
              <w:spacing w:before="60" w:after="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47,2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A52" w:rsidRPr="009B1A9F" w:rsidRDefault="009A6A52" w:rsidP="009A6A52">
            <w:pPr>
              <w:spacing w:before="60" w:after="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46,5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52" w:rsidRPr="009B1A9F" w:rsidRDefault="009A6A52" w:rsidP="009A6A52">
            <w:pPr>
              <w:spacing w:before="60" w:after="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44,7</w:t>
            </w:r>
          </w:p>
        </w:tc>
      </w:tr>
      <w:tr w:rsidR="009A6A52" w:rsidRPr="00B7458E" w:rsidTr="005B67F1">
        <w:trPr>
          <w:trHeight w:val="567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A52" w:rsidRPr="009B1A9F" w:rsidRDefault="009A6A52" w:rsidP="009A6A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Południowo-zachodni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52" w:rsidRPr="009B1A9F" w:rsidRDefault="009A6A52" w:rsidP="009A6A52">
            <w:pPr>
              <w:spacing w:before="60" w:after="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35,5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52" w:rsidRPr="009B1A9F" w:rsidRDefault="009A6A52" w:rsidP="009A6A52">
            <w:pPr>
              <w:spacing w:before="60" w:after="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39,4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A52" w:rsidRPr="009B1A9F" w:rsidRDefault="009A6A52" w:rsidP="009A6A52">
            <w:pPr>
              <w:spacing w:before="60" w:after="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39,5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52" w:rsidRPr="009B1A9F" w:rsidRDefault="009A6A52" w:rsidP="009A6A52">
            <w:pPr>
              <w:spacing w:before="60" w:after="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36,6</w:t>
            </w:r>
          </w:p>
        </w:tc>
      </w:tr>
      <w:tr w:rsidR="009A6A52" w:rsidRPr="00B7458E" w:rsidTr="005B67F1">
        <w:trPr>
          <w:trHeight w:val="567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A52" w:rsidRPr="009B1A9F" w:rsidRDefault="009A6A52" w:rsidP="009A6A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Północny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52" w:rsidRPr="009B1A9F" w:rsidRDefault="009A6A52" w:rsidP="009A6A52">
            <w:pPr>
              <w:spacing w:before="60" w:after="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49,1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52" w:rsidRPr="009B1A9F" w:rsidRDefault="009A6A52" w:rsidP="009A6A52">
            <w:pPr>
              <w:spacing w:before="60" w:after="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48,7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A52" w:rsidRPr="009B1A9F" w:rsidRDefault="009A6A52" w:rsidP="009A6A52">
            <w:pPr>
              <w:spacing w:before="60" w:after="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A52" w:rsidRPr="009B1A9F" w:rsidRDefault="009A6A52" w:rsidP="009A6A52">
            <w:pPr>
              <w:spacing w:before="60" w:after="6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47,4</w:t>
            </w:r>
          </w:p>
        </w:tc>
      </w:tr>
      <w:tr w:rsidR="009A6A52" w:rsidRPr="00B7458E" w:rsidTr="009A6A52">
        <w:trPr>
          <w:trHeight w:val="300"/>
        </w:trPr>
        <w:tc>
          <w:tcPr>
            <w:tcW w:w="7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A52" w:rsidRPr="00B7458E" w:rsidRDefault="009A6A52" w:rsidP="009A6A52">
            <w:pPr>
              <w:ind w:left="214" w:hanging="212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A52" w:rsidRPr="00B7458E" w:rsidRDefault="009A6A52" w:rsidP="009A6A52">
            <w:pPr>
              <w:ind w:left="214" w:hanging="212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</w:tbl>
    <w:p w:rsidR="009A6A52" w:rsidRDefault="009A6A52"/>
    <w:p w:rsidR="009A6A52" w:rsidRDefault="009A6A52">
      <w:r>
        <w:br w:type="page"/>
      </w:r>
    </w:p>
    <w:p w:rsidR="009A6A52" w:rsidRDefault="009A6A52"/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9"/>
      </w:tblGrid>
      <w:tr w:rsidR="00290801" w:rsidRPr="00B7458E" w:rsidTr="0035645C">
        <w:trPr>
          <w:trHeight w:val="300"/>
        </w:trPr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801" w:rsidRPr="00B7458E" w:rsidRDefault="00290801" w:rsidP="00290801">
            <w:pPr>
              <w:ind w:left="214" w:hanging="212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</w:tbl>
    <w:p w:rsidR="00290801" w:rsidRPr="008B19B7" w:rsidRDefault="00577C0B" w:rsidP="00577C0B">
      <w:pPr>
        <w:ind w:left="426" w:hanging="284"/>
        <w:jc w:val="center"/>
        <w:rPr>
          <w:rFonts w:ascii="Arial" w:hAnsi="Arial" w:cs="Arial"/>
          <w:caps/>
          <w:sz w:val="20"/>
          <w:szCs w:val="20"/>
        </w:rPr>
      </w:pPr>
      <w:r w:rsidRPr="008B19B7">
        <w:rPr>
          <w:rFonts w:ascii="Arial" w:hAnsi="Arial" w:cs="Arial"/>
          <w:b/>
          <w:bCs/>
          <w:caps/>
          <w:sz w:val="20"/>
          <w:szCs w:val="20"/>
        </w:rPr>
        <w:t xml:space="preserve">TABL. </w:t>
      </w:r>
      <w:r w:rsidR="008B1DC5">
        <w:rPr>
          <w:rFonts w:ascii="Arial" w:hAnsi="Arial" w:cs="Arial"/>
          <w:b/>
          <w:bCs/>
          <w:caps/>
          <w:sz w:val="20"/>
          <w:szCs w:val="20"/>
        </w:rPr>
        <w:t>6</w:t>
      </w:r>
      <w:r w:rsidRPr="008B19B7">
        <w:rPr>
          <w:rFonts w:ascii="Arial" w:hAnsi="Arial" w:cs="Arial"/>
          <w:b/>
          <w:bCs/>
          <w:caps/>
          <w:sz w:val="20"/>
          <w:szCs w:val="20"/>
        </w:rPr>
        <w:t xml:space="preserve">. </w:t>
      </w:r>
      <w:r w:rsidR="00601A30" w:rsidRPr="008B19B7">
        <w:rPr>
          <w:rFonts w:ascii="Arial" w:hAnsi="Arial" w:cs="Arial"/>
          <w:b/>
          <w:bCs/>
          <w:caps/>
          <w:sz w:val="20"/>
          <w:szCs w:val="20"/>
        </w:rPr>
        <w:t xml:space="preserve">ZASIĘG SFERY </w:t>
      </w:r>
      <w:r w:rsidR="002C6188" w:rsidRPr="008B19B7">
        <w:rPr>
          <w:rFonts w:ascii="Arial" w:hAnsi="Arial" w:cs="Arial"/>
          <w:b/>
          <w:bCs/>
          <w:caps/>
          <w:sz w:val="20"/>
          <w:szCs w:val="20"/>
        </w:rPr>
        <w:t>niedostatk</w:t>
      </w:r>
      <w:r w:rsidR="00601A30" w:rsidRPr="008B19B7">
        <w:rPr>
          <w:rFonts w:ascii="Arial" w:hAnsi="Arial" w:cs="Arial"/>
          <w:b/>
          <w:bCs/>
          <w:caps/>
          <w:sz w:val="20"/>
          <w:szCs w:val="20"/>
        </w:rPr>
        <w:t>U</w:t>
      </w:r>
      <w:r w:rsidR="009944B4" w:rsidRPr="008B19B7">
        <w:rPr>
          <w:rFonts w:ascii="Arial" w:hAnsi="Arial" w:cs="Arial"/>
          <w:b/>
          <w:bCs/>
          <w:caps/>
          <w:sz w:val="20"/>
          <w:szCs w:val="20"/>
        </w:rPr>
        <w:t xml:space="preserve"> w latach 201</w:t>
      </w:r>
      <w:r w:rsidR="002C6188" w:rsidRPr="008B19B7">
        <w:rPr>
          <w:rFonts w:ascii="Arial" w:hAnsi="Arial" w:cs="Arial"/>
          <w:b/>
          <w:bCs/>
          <w:caps/>
          <w:sz w:val="20"/>
          <w:szCs w:val="20"/>
        </w:rPr>
        <w:t>2</w:t>
      </w:r>
      <w:r w:rsidR="009944B4" w:rsidRPr="008B19B7">
        <w:rPr>
          <w:rFonts w:ascii="Arial" w:hAnsi="Arial" w:cs="Arial"/>
          <w:b/>
          <w:bCs/>
          <w:caps/>
          <w:sz w:val="20"/>
          <w:szCs w:val="20"/>
        </w:rPr>
        <w:t>-201</w:t>
      </w:r>
      <w:r w:rsidR="00D94D7A" w:rsidRPr="008B19B7">
        <w:rPr>
          <w:rFonts w:ascii="Arial" w:hAnsi="Arial" w:cs="Arial"/>
          <w:b/>
          <w:bCs/>
          <w:caps/>
          <w:sz w:val="20"/>
          <w:szCs w:val="20"/>
        </w:rPr>
        <w:t>5</w:t>
      </w:r>
      <w:r w:rsidRPr="008B19B7">
        <w:rPr>
          <w:rFonts w:ascii="Arial" w:hAnsi="Arial" w:cs="Arial"/>
          <w:b/>
          <w:bCs/>
          <w:caps/>
          <w:sz w:val="20"/>
          <w:szCs w:val="20"/>
        </w:rPr>
        <w:t xml:space="preserve"> według województw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9"/>
        <w:gridCol w:w="1843"/>
        <w:gridCol w:w="1984"/>
        <w:gridCol w:w="1702"/>
        <w:gridCol w:w="1843"/>
      </w:tblGrid>
      <w:tr w:rsidR="007B260E" w:rsidRPr="00B13065" w:rsidTr="008B19B7">
        <w:trPr>
          <w:trHeight w:val="562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60E" w:rsidRPr="009B1A9F" w:rsidRDefault="007B260E" w:rsidP="006540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260E" w:rsidRPr="009B1A9F" w:rsidRDefault="007B260E" w:rsidP="00565056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% osób w gospodarstwach domowych</w:t>
            </w:r>
            <w:r w:rsidR="000D6CC7" w:rsidRPr="009B1A9F">
              <w:rPr>
                <w:rFonts w:ascii="Arial" w:hAnsi="Arial" w:cs="Arial"/>
                <w:color w:val="000000"/>
                <w:sz w:val="18"/>
                <w:szCs w:val="18"/>
              </w:rPr>
              <w:t xml:space="preserve"> o wydatkach poniżej minimum socjalnego</w:t>
            </w: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94D7A" w:rsidRPr="00B13065" w:rsidTr="009C714C">
        <w:trPr>
          <w:trHeight w:val="510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D7A" w:rsidRPr="009B1A9F" w:rsidRDefault="00D94D7A" w:rsidP="00D94D7A">
            <w:pPr>
              <w:ind w:left="426" w:hanging="21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D7A" w:rsidRPr="009B1A9F" w:rsidRDefault="00D94D7A" w:rsidP="0064647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D7A" w:rsidRPr="009B1A9F" w:rsidRDefault="00D94D7A" w:rsidP="0064647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7A" w:rsidRPr="009B1A9F" w:rsidRDefault="00D94D7A" w:rsidP="0064647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7A" w:rsidRPr="009B1A9F" w:rsidRDefault="00D94D7A" w:rsidP="0064647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2015</w:t>
            </w:r>
          </w:p>
        </w:tc>
      </w:tr>
      <w:tr w:rsidR="00D94D7A" w:rsidRPr="00B13065" w:rsidTr="009C714C">
        <w:trPr>
          <w:trHeight w:val="52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D7A" w:rsidRPr="009B1A9F" w:rsidRDefault="00D94D7A" w:rsidP="00303B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OGÓŁEM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D7A" w:rsidRPr="009B1A9F" w:rsidRDefault="00D94D7A" w:rsidP="00303B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D7A" w:rsidRPr="009B1A9F" w:rsidRDefault="00D94D7A" w:rsidP="00303B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D7A" w:rsidRPr="009B1A9F" w:rsidRDefault="00D94D7A" w:rsidP="00303B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43.4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D7A" w:rsidRPr="009B1A9F" w:rsidRDefault="007D400F" w:rsidP="00303B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42,7</w:t>
            </w:r>
          </w:p>
        </w:tc>
      </w:tr>
      <w:tr w:rsidR="00D94D7A" w:rsidRPr="00B13065" w:rsidTr="009C714C">
        <w:trPr>
          <w:trHeight w:val="453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D7A" w:rsidRPr="009B1A9F" w:rsidRDefault="00D94D7A" w:rsidP="00303B7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94D7A" w:rsidRPr="009B1A9F" w:rsidRDefault="00D94D7A" w:rsidP="00303B76">
            <w:pPr>
              <w:spacing w:after="0" w:line="240" w:lineRule="auto"/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</w:tr>
      <w:tr w:rsidR="002B14CE" w:rsidRPr="00B13065" w:rsidTr="00FB07D0">
        <w:trPr>
          <w:trHeight w:val="39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Dolnośląskie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35,5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38,4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38,3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36,0</w:t>
            </w:r>
          </w:p>
        </w:tc>
      </w:tr>
      <w:tr w:rsidR="002B14CE" w:rsidRPr="00B13065" w:rsidTr="00FB07D0">
        <w:trPr>
          <w:trHeight w:val="39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Kujawsko-pomorskie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51,1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47,8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50,2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46,5</w:t>
            </w:r>
          </w:p>
        </w:tc>
      </w:tr>
      <w:tr w:rsidR="002B14CE" w:rsidRPr="00B13065" w:rsidTr="00FB07D0">
        <w:trPr>
          <w:trHeight w:val="39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Lubelskie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53,6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53,8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48,2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50,5</w:t>
            </w:r>
          </w:p>
        </w:tc>
      </w:tr>
      <w:tr w:rsidR="002B14CE" w:rsidRPr="00B13065" w:rsidTr="00FB07D0">
        <w:trPr>
          <w:trHeight w:val="39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Lubuskie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41,0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45,9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41,0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38,6</w:t>
            </w:r>
          </w:p>
        </w:tc>
      </w:tr>
      <w:tr w:rsidR="002B14CE" w:rsidRPr="00B13065" w:rsidTr="00FB07D0">
        <w:trPr>
          <w:trHeight w:val="39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Łódzkie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39,2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37,3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39,4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37,5</w:t>
            </w:r>
          </w:p>
        </w:tc>
      </w:tr>
      <w:tr w:rsidR="002B14CE" w:rsidRPr="00B13065" w:rsidTr="00FB07D0">
        <w:trPr>
          <w:trHeight w:val="39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Małopolskie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45,9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49,3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49,1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2B14CE" w:rsidRPr="00B13065" w:rsidTr="00FB07D0">
        <w:trPr>
          <w:trHeight w:val="39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35,9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31,1</w:t>
            </w:r>
          </w:p>
        </w:tc>
      </w:tr>
      <w:tr w:rsidR="002B14CE" w:rsidRPr="00B13065" w:rsidTr="00FB07D0">
        <w:trPr>
          <w:trHeight w:val="39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Mazowieckie  bez Warszawy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43,6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41,1</w:t>
            </w:r>
          </w:p>
        </w:tc>
      </w:tr>
      <w:tr w:rsidR="002B14CE" w:rsidRPr="00B13065" w:rsidTr="00FB07D0">
        <w:trPr>
          <w:trHeight w:val="39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Opolskie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35,3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42,3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42,7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38,3</w:t>
            </w:r>
          </w:p>
        </w:tc>
      </w:tr>
      <w:tr w:rsidR="002B14CE" w:rsidRPr="00B13065" w:rsidTr="00FB07D0">
        <w:trPr>
          <w:trHeight w:val="39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Podkarpackie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54,9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54,9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51,7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52,7</w:t>
            </w:r>
          </w:p>
        </w:tc>
      </w:tr>
      <w:tr w:rsidR="002B14CE" w:rsidRPr="00B13065" w:rsidTr="00FB07D0">
        <w:trPr>
          <w:trHeight w:val="39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53,5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53,5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50,6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49,6</w:t>
            </w:r>
          </w:p>
        </w:tc>
      </w:tr>
      <w:tr w:rsidR="002B14CE" w:rsidRPr="00B13065" w:rsidTr="00FB07D0">
        <w:trPr>
          <w:trHeight w:val="39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Pomorskie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43,1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43,3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41,2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43,4</w:t>
            </w:r>
          </w:p>
        </w:tc>
      </w:tr>
      <w:tr w:rsidR="002B14CE" w:rsidRPr="00B13065" w:rsidTr="00FB07D0">
        <w:trPr>
          <w:trHeight w:val="39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Śląskie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36,9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37,4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36,2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37,3</w:t>
            </w:r>
          </w:p>
        </w:tc>
      </w:tr>
      <w:tr w:rsidR="002B14CE" w:rsidRPr="00B13065" w:rsidTr="00FB07D0">
        <w:trPr>
          <w:trHeight w:val="39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Świętokrzyskie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55,6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54,8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52,6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56,7</w:t>
            </w:r>
          </w:p>
        </w:tc>
      </w:tr>
      <w:tr w:rsidR="002B14CE" w:rsidRPr="00B13065" w:rsidTr="00FB07D0">
        <w:trPr>
          <w:trHeight w:val="39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56,3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59,1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56,2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55,9</w:t>
            </w:r>
          </w:p>
        </w:tc>
      </w:tr>
      <w:tr w:rsidR="002B14CE" w:rsidRPr="00B13065" w:rsidTr="00FB07D0">
        <w:trPr>
          <w:trHeight w:val="39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Wielkopolskie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50,9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48,1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50,9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49,5</w:t>
            </w:r>
          </w:p>
        </w:tc>
      </w:tr>
      <w:tr w:rsidR="002B14CE" w:rsidRPr="00B13065" w:rsidTr="00FB07D0">
        <w:trPr>
          <w:trHeight w:val="39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Zachodniopomorskie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42,0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45,9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40,2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CE" w:rsidRPr="009B1A9F" w:rsidRDefault="002B14CE" w:rsidP="00303B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37,9</w:t>
            </w:r>
          </w:p>
        </w:tc>
      </w:tr>
    </w:tbl>
    <w:p w:rsidR="008B1DC5" w:rsidRDefault="008B1DC5" w:rsidP="006C66E4">
      <w:pPr>
        <w:rPr>
          <w:rFonts w:ascii="Arial" w:hAnsi="Arial" w:cs="Arial"/>
        </w:rPr>
      </w:pPr>
    </w:p>
    <w:p w:rsidR="008B1DC5" w:rsidRDefault="008B1DC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B1DC5" w:rsidRPr="00A827B1" w:rsidRDefault="008B1DC5" w:rsidP="008B1DC5">
      <w:pPr>
        <w:ind w:left="426" w:hanging="284"/>
        <w:jc w:val="center"/>
        <w:rPr>
          <w:rFonts w:ascii="Arial" w:hAnsi="Arial" w:cs="Arial"/>
          <w:caps/>
          <w:sz w:val="20"/>
          <w:szCs w:val="20"/>
        </w:rPr>
      </w:pPr>
      <w:r w:rsidRPr="00A827B1">
        <w:rPr>
          <w:rFonts w:ascii="Arial" w:hAnsi="Arial" w:cs="Arial"/>
          <w:b/>
          <w:bCs/>
          <w:caps/>
          <w:sz w:val="20"/>
          <w:szCs w:val="20"/>
        </w:rPr>
        <w:lastRenderedPageBreak/>
        <w:t xml:space="preserve">TABL. </w:t>
      </w:r>
      <w:r>
        <w:rPr>
          <w:rFonts w:ascii="Arial" w:hAnsi="Arial" w:cs="Arial"/>
          <w:b/>
          <w:bCs/>
          <w:caps/>
          <w:sz w:val="20"/>
          <w:szCs w:val="20"/>
        </w:rPr>
        <w:t>7</w:t>
      </w:r>
      <w:r w:rsidRPr="00A827B1">
        <w:rPr>
          <w:rFonts w:ascii="Arial" w:hAnsi="Arial" w:cs="Arial"/>
          <w:b/>
          <w:bCs/>
          <w:caps/>
          <w:sz w:val="20"/>
          <w:szCs w:val="20"/>
        </w:rPr>
        <w:t>. bezwzględne błędy szacunków ZASIĘGu SFERY niedostatkU w  latach 2014-2015 według województw</w:t>
      </w:r>
    </w:p>
    <w:tbl>
      <w:tblPr>
        <w:tblW w:w="8222" w:type="dxa"/>
        <w:tblInd w:w="5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0"/>
        <w:gridCol w:w="2841"/>
        <w:gridCol w:w="3051"/>
      </w:tblGrid>
      <w:tr w:rsidR="005D6BD3" w:rsidRPr="00B7458E" w:rsidTr="005D6BD3">
        <w:trPr>
          <w:trHeight w:val="315"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D3" w:rsidRPr="009B1A9F" w:rsidRDefault="005D6BD3" w:rsidP="003B7DD2">
            <w:pPr>
              <w:ind w:left="426" w:hanging="21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5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6BD3" w:rsidRPr="009B1A9F" w:rsidRDefault="005D6BD3" w:rsidP="005D6BD3">
            <w:pPr>
              <w:spacing w:before="60" w:after="60" w:line="360" w:lineRule="auto"/>
              <w:ind w:left="210" w:hanging="2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Błąd standardowy oceny procenta osób w gospodarstwach domowych o</w:t>
            </w:r>
            <w:r w:rsidR="005566E6" w:rsidRPr="009B1A9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 xml:space="preserve"> wydatkach poniżej minimum socjalnego (danych z tabl. 6)</w:t>
            </w:r>
          </w:p>
        </w:tc>
      </w:tr>
      <w:tr w:rsidR="005D6BD3" w:rsidRPr="00B7458E" w:rsidTr="005D6BD3">
        <w:trPr>
          <w:trHeight w:val="180"/>
        </w:trPr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BD3" w:rsidRPr="009B1A9F" w:rsidRDefault="005D6BD3" w:rsidP="003B7DD2">
            <w:pPr>
              <w:ind w:left="426" w:hanging="21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3" w:rsidRPr="009B1A9F" w:rsidRDefault="005D6BD3" w:rsidP="003B7DD2">
            <w:pPr>
              <w:spacing w:before="60" w:after="6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3" w:rsidRPr="009B1A9F" w:rsidRDefault="005D6BD3" w:rsidP="003B7DD2">
            <w:pPr>
              <w:spacing w:before="60" w:after="6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2015</w:t>
            </w:r>
          </w:p>
        </w:tc>
      </w:tr>
      <w:tr w:rsidR="005D6BD3" w:rsidRPr="00B7458E" w:rsidTr="005D6BD3">
        <w:trPr>
          <w:trHeight w:val="464"/>
        </w:trPr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D3" w:rsidRPr="009B1A9F" w:rsidRDefault="005D6BD3" w:rsidP="003B7D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3" w:rsidRPr="009B1A9F" w:rsidRDefault="005D6BD3" w:rsidP="003B7D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w punktach procentowych</w:t>
            </w:r>
          </w:p>
        </w:tc>
      </w:tr>
      <w:tr w:rsidR="006C6471" w:rsidRPr="00B7458E" w:rsidTr="005D6BD3">
        <w:trPr>
          <w:trHeight w:val="464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71" w:rsidRPr="009B1A9F" w:rsidRDefault="006C6471" w:rsidP="003B7D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OGÓŁEM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71" w:rsidRPr="009B1A9F" w:rsidRDefault="006C6471" w:rsidP="003B7D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71" w:rsidRPr="009B1A9F" w:rsidRDefault="006C6471" w:rsidP="003B7D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8B1DC5" w:rsidRPr="00B7458E" w:rsidTr="005D6BD3">
        <w:trPr>
          <w:trHeight w:val="30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C5" w:rsidRPr="009B1A9F" w:rsidRDefault="008B1DC5" w:rsidP="003B7DD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5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1DC5" w:rsidRPr="009B1A9F" w:rsidRDefault="008B1DC5" w:rsidP="003B7D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  <w:szCs w:val="18"/>
              </w:rPr>
            </w:pPr>
          </w:p>
        </w:tc>
      </w:tr>
      <w:tr w:rsidR="006C6471" w:rsidRPr="00B7458E" w:rsidTr="005D6BD3">
        <w:trPr>
          <w:trHeight w:val="397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71" w:rsidRPr="009B1A9F" w:rsidRDefault="006C6471" w:rsidP="003B7DD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Dolnośląskie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71" w:rsidRPr="009B1A9F" w:rsidRDefault="006C6471" w:rsidP="003B7D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1,6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71" w:rsidRPr="009B1A9F" w:rsidRDefault="006C6471" w:rsidP="003B7D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1,6</w:t>
            </w:r>
          </w:p>
        </w:tc>
      </w:tr>
      <w:tr w:rsidR="006C6471" w:rsidRPr="00B7458E" w:rsidTr="005D6BD3">
        <w:trPr>
          <w:trHeight w:val="397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71" w:rsidRPr="009B1A9F" w:rsidRDefault="006C6471" w:rsidP="003B7DD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Kujawsko-pomorskie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71" w:rsidRPr="009B1A9F" w:rsidRDefault="006C6471" w:rsidP="003B7D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71" w:rsidRPr="009B1A9F" w:rsidRDefault="006C6471" w:rsidP="003B7D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1,7</w:t>
            </w:r>
          </w:p>
        </w:tc>
      </w:tr>
      <w:tr w:rsidR="006C6471" w:rsidRPr="00B7458E" w:rsidTr="005D6BD3">
        <w:trPr>
          <w:trHeight w:val="397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71" w:rsidRPr="009B1A9F" w:rsidRDefault="006C6471" w:rsidP="003B7DD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Lubelskie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71" w:rsidRPr="009B1A9F" w:rsidRDefault="006C6471" w:rsidP="003B7D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1,7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71" w:rsidRPr="009B1A9F" w:rsidRDefault="006C6471" w:rsidP="003B7D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2,1</w:t>
            </w:r>
          </w:p>
        </w:tc>
      </w:tr>
      <w:tr w:rsidR="006C6471" w:rsidRPr="00B7458E" w:rsidTr="005D6BD3">
        <w:trPr>
          <w:trHeight w:val="397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71" w:rsidRPr="009B1A9F" w:rsidRDefault="006C6471" w:rsidP="003B7DD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Lubuskie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71" w:rsidRPr="009B1A9F" w:rsidRDefault="006C6471" w:rsidP="003B7D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2,8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71" w:rsidRPr="009B1A9F" w:rsidRDefault="006C6471" w:rsidP="003B7D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</w:tr>
      <w:tr w:rsidR="006C6471" w:rsidRPr="00B7458E" w:rsidTr="005D6BD3">
        <w:trPr>
          <w:trHeight w:val="397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71" w:rsidRPr="009B1A9F" w:rsidRDefault="006C6471" w:rsidP="003B7DD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Łódzkie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71" w:rsidRPr="009B1A9F" w:rsidRDefault="006C6471" w:rsidP="003B7D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71" w:rsidRPr="009B1A9F" w:rsidRDefault="006C6471" w:rsidP="003B7D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</w:tr>
      <w:tr w:rsidR="006C6471" w:rsidRPr="00B7458E" w:rsidTr="005D6BD3">
        <w:trPr>
          <w:trHeight w:val="397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71" w:rsidRPr="009B1A9F" w:rsidRDefault="006C6471" w:rsidP="003B7DD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Małopolskie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71" w:rsidRPr="009B1A9F" w:rsidRDefault="006C6471" w:rsidP="003B7D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1,7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71" w:rsidRPr="009B1A9F" w:rsidRDefault="006C6471" w:rsidP="003B7D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1,7</w:t>
            </w:r>
          </w:p>
        </w:tc>
      </w:tr>
      <w:tr w:rsidR="006C6471" w:rsidRPr="00B7458E" w:rsidTr="005D6BD3">
        <w:trPr>
          <w:trHeight w:val="397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71" w:rsidRPr="009B1A9F" w:rsidRDefault="006C6471" w:rsidP="003B7DD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Mazowieckie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71" w:rsidRPr="009B1A9F" w:rsidRDefault="006C6471" w:rsidP="003B7D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71" w:rsidRPr="009B1A9F" w:rsidRDefault="006C6471" w:rsidP="003B7D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1,2</w:t>
            </w:r>
          </w:p>
        </w:tc>
      </w:tr>
      <w:tr w:rsidR="006C6471" w:rsidRPr="00B7458E" w:rsidTr="005D6BD3">
        <w:trPr>
          <w:trHeight w:val="397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71" w:rsidRPr="009B1A9F" w:rsidRDefault="006C6471" w:rsidP="003B7DD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Mazowieckie  bez Warszawy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71" w:rsidRPr="009B1A9F" w:rsidRDefault="006C6471" w:rsidP="003B7D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1,8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71" w:rsidRPr="009B1A9F" w:rsidRDefault="006C6471" w:rsidP="003B7D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1,7</w:t>
            </w:r>
          </w:p>
        </w:tc>
      </w:tr>
      <w:tr w:rsidR="006C6471" w:rsidRPr="00B7458E" w:rsidTr="005D6BD3">
        <w:trPr>
          <w:trHeight w:val="397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71" w:rsidRPr="009B1A9F" w:rsidRDefault="006C6471" w:rsidP="003B7DD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Opolskie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71" w:rsidRPr="009B1A9F" w:rsidRDefault="006C6471" w:rsidP="003B7D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71" w:rsidRPr="009B1A9F" w:rsidRDefault="006C6471" w:rsidP="003B7D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2,9</w:t>
            </w:r>
          </w:p>
        </w:tc>
      </w:tr>
      <w:tr w:rsidR="006C6471" w:rsidRPr="00B7458E" w:rsidTr="005D6BD3">
        <w:trPr>
          <w:trHeight w:val="397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71" w:rsidRPr="009B1A9F" w:rsidRDefault="006C6471" w:rsidP="003B7DD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Podkarpackie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71" w:rsidRPr="009B1A9F" w:rsidRDefault="006C6471" w:rsidP="003B7D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1,8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71" w:rsidRPr="009B1A9F" w:rsidRDefault="006C6471" w:rsidP="003B7D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2,2</w:t>
            </w:r>
          </w:p>
        </w:tc>
      </w:tr>
      <w:tr w:rsidR="006C6471" w:rsidRPr="00B7458E" w:rsidTr="005D6BD3">
        <w:trPr>
          <w:trHeight w:val="397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71" w:rsidRPr="009B1A9F" w:rsidRDefault="006C6471" w:rsidP="003B7DD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Podlaskie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71" w:rsidRPr="009B1A9F" w:rsidRDefault="006C6471" w:rsidP="003B7D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2,9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71" w:rsidRPr="009B1A9F" w:rsidRDefault="006C6471" w:rsidP="003B7D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2,4</w:t>
            </w:r>
          </w:p>
        </w:tc>
      </w:tr>
      <w:tr w:rsidR="006C6471" w:rsidRPr="00B7458E" w:rsidTr="005D6BD3">
        <w:trPr>
          <w:trHeight w:val="397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71" w:rsidRPr="009B1A9F" w:rsidRDefault="006C6471" w:rsidP="003B7DD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Pomorskie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71" w:rsidRPr="009B1A9F" w:rsidRDefault="006C6471" w:rsidP="003B7D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1,9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71" w:rsidRPr="009B1A9F" w:rsidRDefault="006C6471" w:rsidP="003B7D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1,9</w:t>
            </w:r>
          </w:p>
        </w:tc>
      </w:tr>
      <w:tr w:rsidR="006C6471" w:rsidRPr="00B7458E" w:rsidTr="005D6BD3">
        <w:trPr>
          <w:trHeight w:val="397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71" w:rsidRPr="009B1A9F" w:rsidRDefault="006C6471" w:rsidP="003B7DD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Śląskie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71" w:rsidRPr="009B1A9F" w:rsidRDefault="006C6471" w:rsidP="003B7D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71" w:rsidRPr="009B1A9F" w:rsidRDefault="006C6471" w:rsidP="003B7D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</w:tr>
      <w:tr w:rsidR="006C6471" w:rsidRPr="00B7458E" w:rsidTr="005D6BD3">
        <w:trPr>
          <w:trHeight w:val="397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71" w:rsidRPr="009B1A9F" w:rsidRDefault="006C6471" w:rsidP="003B7DD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Świętokrzyskie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71" w:rsidRPr="009B1A9F" w:rsidRDefault="006C6471" w:rsidP="003B7D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71" w:rsidRPr="009B1A9F" w:rsidRDefault="006C6471" w:rsidP="003B7D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</w:tr>
      <w:tr w:rsidR="006C6471" w:rsidRPr="00B7458E" w:rsidTr="005D6BD3">
        <w:trPr>
          <w:trHeight w:val="397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71" w:rsidRPr="009B1A9F" w:rsidRDefault="006C6471" w:rsidP="003B7DD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Warmińsko-mazurskie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71" w:rsidRPr="009B1A9F" w:rsidRDefault="006C6471" w:rsidP="003B7D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2,8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71" w:rsidRPr="009B1A9F" w:rsidRDefault="006C6471" w:rsidP="003B7D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6C6471" w:rsidRPr="00B7458E" w:rsidTr="005D6BD3">
        <w:trPr>
          <w:trHeight w:val="397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71" w:rsidRPr="009B1A9F" w:rsidRDefault="006C6471" w:rsidP="003B7DD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Wielkopolskie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71" w:rsidRPr="009B1A9F" w:rsidRDefault="006C6471" w:rsidP="003B7D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1,7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71" w:rsidRPr="009B1A9F" w:rsidRDefault="006C6471" w:rsidP="003B7D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1,6</w:t>
            </w:r>
          </w:p>
        </w:tc>
      </w:tr>
      <w:tr w:rsidR="006C6471" w:rsidRPr="00B7458E" w:rsidTr="005D6BD3">
        <w:trPr>
          <w:trHeight w:val="397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71" w:rsidRPr="009B1A9F" w:rsidRDefault="006C6471" w:rsidP="003B7DD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1A9F">
              <w:rPr>
                <w:rFonts w:ascii="Arial" w:hAnsi="Arial" w:cs="Arial"/>
                <w:color w:val="000000"/>
                <w:sz w:val="18"/>
                <w:szCs w:val="18"/>
              </w:rPr>
              <w:t>Zachodniopomorskie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C6471" w:rsidRPr="009B1A9F" w:rsidRDefault="006C6471" w:rsidP="003B7D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2,6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71" w:rsidRPr="009B1A9F" w:rsidRDefault="006C6471" w:rsidP="003B7D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1A9F">
              <w:rPr>
                <w:rFonts w:ascii="Arial" w:hAnsi="Arial" w:cs="Arial"/>
                <w:sz w:val="18"/>
                <w:szCs w:val="18"/>
              </w:rPr>
              <w:t>2,4</w:t>
            </w:r>
          </w:p>
        </w:tc>
      </w:tr>
    </w:tbl>
    <w:p w:rsidR="008B1DC5" w:rsidRDefault="008B1DC5" w:rsidP="008B1DC5">
      <w:pPr>
        <w:spacing w:after="0" w:line="240" w:lineRule="auto"/>
      </w:pPr>
    </w:p>
    <w:p w:rsidR="00290801" w:rsidRPr="00B13065" w:rsidRDefault="00290801" w:rsidP="006C66E4">
      <w:pPr>
        <w:rPr>
          <w:rFonts w:ascii="Arial" w:hAnsi="Arial" w:cs="Arial"/>
        </w:rPr>
      </w:pPr>
    </w:p>
    <w:sectPr w:rsidR="00290801" w:rsidRPr="00B1306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B45" w:rsidRDefault="005E1B45" w:rsidP="004C56A4">
      <w:pPr>
        <w:spacing w:after="0" w:line="240" w:lineRule="auto"/>
      </w:pPr>
      <w:r>
        <w:separator/>
      </w:r>
    </w:p>
  </w:endnote>
  <w:endnote w:type="continuationSeparator" w:id="0">
    <w:p w:rsidR="005E1B45" w:rsidRDefault="005E1B45" w:rsidP="004C5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0284921"/>
      <w:docPartObj>
        <w:docPartGallery w:val="Page Numbers (Bottom of Page)"/>
        <w:docPartUnique/>
      </w:docPartObj>
    </w:sdtPr>
    <w:sdtEndPr/>
    <w:sdtContent>
      <w:p w:rsidR="003B7DD2" w:rsidRDefault="003B7DD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A9B">
          <w:rPr>
            <w:noProof/>
          </w:rPr>
          <w:t>8</w:t>
        </w:r>
        <w:r>
          <w:fldChar w:fldCharType="end"/>
        </w:r>
      </w:p>
    </w:sdtContent>
  </w:sdt>
  <w:p w:rsidR="003B7DD2" w:rsidRDefault="003B7D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B45" w:rsidRDefault="005E1B45" w:rsidP="004C56A4">
      <w:pPr>
        <w:spacing w:after="0" w:line="240" w:lineRule="auto"/>
      </w:pPr>
      <w:r>
        <w:separator/>
      </w:r>
    </w:p>
  </w:footnote>
  <w:footnote w:type="continuationSeparator" w:id="0">
    <w:p w:rsidR="005E1B45" w:rsidRDefault="005E1B45" w:rsidP="004C56A4">
      <w:pPr>
        <w:spacing w:after="0" w:line="240" w:lineRule="auto"/>
      </w:pPr>
      <w:r>
        <w:continuationSeparator/>
      </w:r>
    </w:p>
  </w:footnote>
  <w:footnote w:id="1">
    <w:p w:rsidR="003B7DD2" w:rsidRDefault="003B7DD2" w:rsidP="009562C3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="00187132" w:rsidRPr="00187132">
        <w:rPr>
          <w:rFonts w:ascii="Arial" w:hAnsi="Arial" w:cs="Arial"/>
          <w:sz w:val="16"/>
          <w:szCs w:val="16"/>
        </w:rPr>
        <w:t xml:space="preserve">Zob. m.in. Kurowski P., </w:t>
      </w:r>
      <w:r w:rsidR="00187132" w:rsidRPr="00187132">
        <w:rPr>
          <w:rFonts w:ascii="Arial" w:hAnsi="Arial" w:cs="Arial"/>
          <w:i/>
          <w:iCs/>
          <w:sz w:val="16"/>
          <w:szCs w:val="16"/>
        </w:rPr>
        <w:t>Koszyki minimum socjalnego i minimum egzystencji – dotychczasowe podejście</w:t>
      </w:r>
      <w:r w:rsidR="00187132" w:rsidRPr="00187132">
        <w:rPr>
          <w:rFonts w:ascii="Arial" w:hAnsi="Arial" w:cs="Arial"/>
          <w:sz w:val="16"/>
          <w:szCs w:val="16"/>
        </w:rPr>
        <w:t xml:space="preserve">, </w:t>
      </w:r>
      <w:r w:rsidR="00187132">
        <w:rPr>
          <w:rFonts w:ascii="Arial" w:hAnsi="Arial" w:cs="Arial"/>
          <w:sz w:val="16"/>
          <w:szCs w:val="16"/>
        </w:rPr>
        <w:t>tekst dostępny na stronie Instytutu Pracy i Spraw Socjalnych (</w:t>
      </w:r>
      <w:hyperlink r:id="rId1" w:history="1">
        <w:r w:rsidR="00187132" w:rsidRPr="00167F4A">
          <w:rPr>
            <w:rStyle w:val="Hipercze"/>
            <w:rFonts w:ascii="Arial" w:hAnsi="Arial" w:cs="Arial"/>
            <w:sz w:val="16"/>
            <w:szCs w:val="16"/>
          </w:rPr>
          <w:t>https://www.ipiss.com.pl/?zaklady=minimum-socjalne-oraz-minimum-egzystencji</w:t>
        </w:r>
      </w:hyperlink>
      <w:r w:rsidR="00187132">
        <w:rPr>
          <w:rFonts w:ascii="Arial" w:hAnsi="Arial" w:cs="Arial"/>
          <w:sz w:val="16"/>
          <w:szCs w:val="16"/>
        </w:rPr>
        <w:t xml:space="preserve">, pobierz plik </w:t>
      </w:r>
      <w:r w:rsidR="00187132" w:rsidRPr="00100E66">
        <w:rPr>
          <w:rFonts w:ascii="Arial" w:hAnsi="Arial" w:cs="Arial"/>
          <w:i/>
          <w:sz w:val="16"/>
          <w:szCs w:val="16"/>
        </w:rPr>
        <w:t>Rola i funkcje minimum egzystencji i minimum socjalnego</w:t>
      </w:r>
      <w:r w:rsidR="00187132">
        <w:rPr>
          <w:rFonts w:ascii="Arial" w:hAnsi="Arial" w:cs="Arial"/>
          <w:sz w:val="16"/>
          <w:szCs w:val="16"/>
        </w:rPr>
        <w:t>)</w:t>
      </w:r>
      <w:r w:rsidR="00100E66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A1AB1"/>
    <w:multiLevelType w:val="hybridMultilevel"/>
    <w:tmpl w:val="4912A752"/>
    <w:lvl w:ilvl="0" w:tplc="37F4D52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02B24"/>
    <w:multiLevelType w:val="hybridMultilevel"/>
    <w:tmpl w:val="E2709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01"/>
    <w:rsid w:val="00022B66"/>
    <w:rsid w:val="00032169"/>
    <w:rsid w:val="00033BB2"/>
    <w:rsid w:val="00037290"/>
    <w:rsid w:val="000517F7"/>
    <w:rsid w:val="00065617"/>
    <w:rsid w:val="00084939"/>
    <w:rsid w:val="000864CA"/>
    <w:rsid w:val="00087D95"/>
    <w:rsid w:val="00093FF7"/>
    <w:rsid w:val="000A4BA5"/>
    <w:rsid w:val="000A6A34"/>
    <w:rsid w:val="000D577D"/>
    <w:rsid w:val="000D6CC7"/>
    <w:rsid w:val="000E1868"/>
    <w:rsid w:val="00100E66"/>
    <w:rsid w:val="00115367"/>
    <w:rsid w:val="0013180D"/>
    <w:rsid w:val="00133F79"/>
    <w:rsid w:val="00142D57"/>
    <w:rsid w:val="00144FC9"/>
    <w:rsid w:val="001553F9"/>
    <w:rsid w:val="001607D0"/>
    <w:rsid w:val="00187132"/>
    <w:rsid w:val="001E0648"/>
    <w:rsid w:val="001E17AA"/>
    <w:rsid w:val="001E35DB"/>
    <w:rsid w:val="00200B8F"/>
    <w:rsid w:val="00204B3C"/>
    <w:rsid w:val="002349E7"/>
    <w:rsid w:val="002442B5"/>
    <w:rsid w:val="002518C6"/>
    <w:rsid w:val="002614DF"/>
    <w:rsid w:val="0026596F"/>
    <w:rsid w:val="00265A38"/>
    <w:rsid w:val="00267853"/>
    <w:rsid w:val="002801F2"/>
    <w:rsid w:val="0028414C"/>
    <w:rsid w:val="00290801"/>
    <w:rsid w:val="002960A1"/>
    <w:rsid w:val="002963E0"/>
    <w:rsid w:val="002B14CE"/>
    <w:rsid w:val="002C5CF2"/>
    <w:rsid w:val="002C6188"/>
    <w:rsid w:val="002E233F"/>
    <w:rsid w:val="002E37A8"/>
    <w:rsid w:val="002F4605"/>
    <w:rsid w:val="002F5CE2"/>
    <w:rsid w:val="00300090"/>
    <w:rsid w:val="00302144"/>
    <w:rsid w:val="00303B76"/>
    <w:rsid w:val="00303E95"/>
    <w:rsid w:val="003134B0"/>
    <w:rsid w:val="0035645C"/>
    <w:rsid w:val="003660D1"/>
    <w:rsid w:val="00386C56"/>
    <w:rsid w:val="003A10D5"/>
    <w:rsid w:val="003A461E"/>
    <w:rsid w:val="003B7DD2"/>
    <w:rsid w:val="003F62B3"/>
    <w:rsid w:val="00401632"/>
    <w:rsid w:val="004025C1"/>
    <w:rsid w:val="004075A6"/>
    <w:rsid w:val="0041044A"/>
    <w:rsid w:val="004142C2"/>
    <w:rsid w:val="00420EB5"/>
    <w:rsid w:val="0043005C"/>
    <w:rsid w:val="00430B09"/>
    <w:rsid w:val="00457D3A"/>
    <w:rsid w:val="00463A6A"/>
    <w:rsid w:val="0047286F"/>
    <w:rsid w:val="004729B1"/>
    <w:rsid w:val="00495C9A"/>
    <w:rsid w:val="004C212F"/>
    <w:rsid w:val="004C56A4"/>
    <w:rsid w:val="004C5728"/>
    <w:rsid w:val="004C6196"/>
    <w:rsid w:val="004C62BF"/>
    <w:rsid w:val="004D1542"/>
    <w:rsid w:val="004D29DD"/>
    <w:rsid w:val="004D4858"/>
    <w:rsid w:val="004E156A"/>
    <w:rsid w:val="004E7D8E"/>
    <w:rsid w:val="004F1693"/>
    <w:rsid w:val="004F18E9"/>
    <w:rsid w:val="00504842"/>
    <w:rsid w:val="00510A33"/>
    <w:rsid w:val="00520FE1"/>
    <w:rsid w:val="00521399"/>
    <w:rsid w:val="00542B4E"/>
    <w:rsid w:val="00543D5B"/>
    <w:rsid w:val="00545C17"/>
    <w:rsid w:val="005566E6"/>
    <w:rsid w:val="005619B6"/>
    <w:rsid w:val="00565056"/>
    <w:rsid w:val="00577C0B"/>
    <w:rsid w:val="0058072B"/>
    <w:rsid w:val="00595A97"/>
    <w:rsid w:val="005B67F1"/>
    <w:rsid w:val="005D16C3"/>
    <w:rsid w:val="005D5A96"/>
    <w:rsid w:val="005D6BD3"/>
    <w:rsid w:val="005E1B45"/>
    <w:rsid w:val="005E1FC2"/>
    <w:rsid w:val="005F2708"/>
    <w:rsid w:val="00601A30"/>
    <w:rsid w:val="006025CE"/>
    <w:rsid w:val="00621D2E"/>
    <w:rsid w:val="0063561A"/>
    <w:rsid w:val="00641FBA"/>
    <w:rsid w:val="00646473"/>
    <w:rsid w:val="006540CD"/>
    <w:rsid w:val="006575C6"/>
    <w:rsid w:val="00675DF1"/>
    <w:rsid w:val="00676C30"/>
    <w:rsid w:val="006B5211"/>
    <w:rsid w:val="006C5DB2"/>
    <w:rsid w:val="006C6471"/>
    <w:rsid w:val="006C66E4"/>
    <w:rsid w:val="006C7305"/>
    <w:rsid w:val="006E1CF6"/>
    <w:rsid w:val="006E4176"/>
    <w:rsid w:val="006F5DED"/>
    <w:rsid w:val="00701CAF"/>
    <w:rsid w:val="0070710D"/>
    <w:rsid w:val="0072207A"/>
    <w:rsid w:val="0072351B"/>
    <w:rsid w:val="00730196"/>
    <w:rsid w:val="007659B6"/>
    <w:rsid w:val="0077476D"/>
    <w:rsid w:val="00774B43"/>
    <w:rsid w:val="007753B2"/>
    <w:rsid w:val="00777FDB"/>
    <w:rsid w:val="00795CCD"/>
    <w:rsid w:val="007A4055"/>
    <w:rsid w:val="007B260E"/>
    <w:rsid w:val="007C2149"/>
    <w:rsid w:val="007D400F"/>
    <w:rsid w:val="007E1147"/>
    <w:rsid w:val="007E42EA"/>
    <w:rsid w:val="007E4AA9"/>
    <w:rsid w:val="007F6903"/>
    <w:rsid w:val="008131DA"/>
    <w:rsid w:val="00824C5A"/>
    <w:rsid w:val="008310F0"/>
    <w:rsid w:val="008446CC"/>
    <w:rsid w:val="00855BED"/>
    <w:rsid w:val="00872C86"/>
    <w:rsid w:val="008823F6"/>
    <w:rsid w:val="008858C5"/>
    <w:rsid w:val="008B19B7"/>
    <w:rsid w:val="008B1DC5"/>
    <w:rsid w:val="008C4B66"/>
    <w:rsid w:val="008E19A9"/>
    <w:rsid w:val="008F59DC"/>
    <w:rsid w:val="008F709A"/>
    <w:rsid w:val="008F7A98"/>
    <w:rsid w:val="009029F9"/>
    <w:rsid w:val="009114A4"/>
    <w:rsid w:val="00911B06"/>
    <w:rsid w:val="0092117D"/>
    <w:rsid w:val="00924F57"/>
    <w:rsid w:val="0092571F"/>
    <w:rsid w:val="009562C3"/>
    <w:rsid w:val="00964DB1"/>
    <w:rsid w:val="00967DE9"/>
    <w:rsid w:val="00973C9B"/>
    <w:rsid w:val="0098122C"/>
    <w:rsid w:val="00982CCC"/>
    <w:rsid w:val="00985B82"/>
    <w:rsid w:val="009944B4"/>
    <w:rsid w:val="009A60BE"/>
    <w:rsid w:val="009A6A52"/>
    <w:rsid w:val="009B1A9F"/>
    <w:rsid w:val="009B552E"/>
    <w:rsid w:val="009C714C"/>
    <w:rsid w:val="009E2183"/>
    <w:rsid w:val="009E2FAE"/>
    <w:rsid w:val="009F733D"/>
    <w:rsid w:val="00A239CF"/>
    <w:rsid w:val="00A34821"/>
    <w:rsid w:val="00A421E3"/>
    <w:rsid w:val="00A423EC"/>
    <w:rsid w:val="00A426CF"/>
    <w:rsid w:val="00A4681F"/>
    <w:rsid w:val="00A5252C"/>
    <w:rsid w:val="00A57E63"/>
    <w:rsid w:val="00A63EB8"/>
    <w:rsid w:val="00AA0B10"/>
    <w:rsid w:val="00AB5896"/>
    <w:rsid w:val="00B10520"/>
    <w:rsid w:val="00B13065"/>
    <w:rsid w:val="00B157E7"/>
    <w:rsid w:val="00B21943"/>
    <w:rsid w:val="00B35F9A"/>
    <w:rsid w:val="00B44012"/>
    <w:rsid w:val="00B46DF3"/>
    <w:rsid w:val="00B638AD"/>
    <w:rsid w:val="00B65053"/>
    <w:rsid w:val="00B77E75"/>
    <w:rsid w:val="00BA2A9B"/>
    <w:rsid w:val="00BA5724"/>
    <w:rsid w:val="00BB4414"/>
    <w:rsid w:val="00BB749E"/>
    <w:rsid w:val="00BC0614"/>
    <w:rsid w:val="00BC5606"/>
    <w:rsid w:val="00BC5797"/>
    <w:rsid w:val="00BD5862"/>
    <w:rsid w:val="00BD5A63"/>
    <w:rsid w:val="00BE1223"/>
    <w:rsid w:val="00BF190A"/>
    <w:rsid w:val="00BF5002"/>
    <w:rsid w:val="00C237D8"/>
    <w:rsid w:val="00C40C95"/>
    <w:rsid w:val="00C41273"/>
    <w:rsid w:val="00C77321"/>
    <w:rsid w:val="00C8574D"/>
    <w:rsid w:val="00CA28D1"/>
    <w:rsid w:val="00CB4686"/>
    <w:rsid w:val="00CD23B5"/>
    <w:rsid w:val="00CF25A8"/>
    <w:rsid w:val="00CF28DD"/>
    <w:rsid w:val="00CF4383"/>
    <w:rsid w:val="00CF45D9"/>
    <w:rsid w:val="00D061AC"/>
    <w:rsid w:val="00D35B80"/>
    <w:rsid w:val="00D41294"/>
    <w:rsid w:val="00D436F7"/>
    <w:rsid w:val="00D56862"/>
    <w:rsid w:val="00D5712C"/>
    <w:rsid w:val="00D64D7A"/>
    <w:rsid w:val="00D94D7A"/>
    <w:rsid w:val="00DA6130"/>
    <w:rsid w:val="00DB2EF7"/>
    <w:rsid w:val="00DD78E5"/>
    <w:rsid w:val="00E0411F"/>
    <w:rsid w:val="00E06DC0"/>
    <w:rsid w:val="00E37091"/>
    <w:rsid w:val="00E41A30"/>
    <w:rsid w:val="00E52BE7"/>
    <w:rsid w:val="00E54620"/>
    <w:rsid w:val="00E62F84"/>
    <w:rsid w:val="00E65B6A"/>
    <w:rsid w:val="00E661A6"/>
    <w:rsid w:val="00E876F6"/>
    <w:rsid w:val="00E906A1"/>
    <w:rsid w:val="00E95C29"/>
    <w:rsid w:val="00EA471A"/>
    <w:rsid w:val="00EA7C44"/>
    <w:rsid w:val="00EC0B75"/>
    <w:rsid w:val="00EC25A2"/>
    <w:rsid w:val="00EC369B"/>
    <w:rsid w:val="00ED201F"/>
    <w:rsid w:val="00EE5B20"/>
    <w:rsid w:val="00F0353D"/>
    <w:rsid w:val="00F21C2D"/>
    <w:rsid w:val="00F25AE8"/>
    <w:rsid w:val="00F303DB"/>
    <w:rsid w:val="00F30C4C"/>
    <w:rsid w:val="00F37F58"/>
    <w:rsid w:val="00F44ACD"/>
    <w:rsid w:val="00F45798"/>
    <w:rsid w:val="00F51361"/>
    <w:rsid w:val="00F51DC9"/>
    <w:rsid w:val="00F54D16"/>
    <w:rsid w:val="00F67FE0"/>
    <w:rsid w:val="00F91459"/>
    <w:rsid w:val="00F94DCC"/>
    <w:rsid w:val="00FA0A35"/>
    <w:rsid w:val="00FB07D0"/>
    <w:rsid w:val="00FD6AF2"/>
    <w:rsid w:val="00FE58AD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07C0C-18D2-48E4-BC74-FD66FAA0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56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6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56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8D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1399"/>
    <w:pPr>
      <w:ind w:left="720"/>
      <w:contextualSpacing/>
    </w:pPr>
  </w:style>
  <w:style w:type="table" w:styleId="Tabela-Siatka">
    <w:name w:val="Table Grid"/>
    <w:basedOn w:val="Standardowy"/>
    <w:uiPriority w:val="39"/>
    <w:rsid w:val="00A46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2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12F"/>
  </w:style>
  <w:style w:type="paragraph" w:styleId="Stopka">
    <w:name w:val="footer"/>
    <w:basedOn w:val="Normalny"/>
    <w:link w:val="StopkaZnak"/>
    <w:uiPriority w:val="99"/>
    <w:unhideWhenUsed/>
    <w:rsid w:val="004C2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12F"/>
  </w:style>
  <w:style w:type="character" w:styleId="Hipercze">
    <w:name w:val="Hyperlink"/>
    <w:basedOn w:val="Domylnaczcionkaakapitu"/>
    <w:uiPriority w:val="99"/>
    <w:unhideWhenUsed/>
    <w:rsid w:val="00187132"/>
    <w:rPr>
      <w:color w:val="0000FF" w:themeColor="hyperlink"/>
      <w:u w:val="single"/>
    </w:rPr>
  </w:style>
  <w:style w:type="paragraph" w:customStyle="1" w:styleId="Default">
    <w:name w:val="Default"/>
    <w:rsid w:val="00E876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piss.com.pl/?zaklady=minimum-socjalne-oraz-minimum-egzystencj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0DDA0-5FE1-4954-ACB7-3F1C16048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1442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Sobestjański Karol</dc:creator>
  <cp:lastModifiedBy>Haponiuk Mikołaj</cp:lastModifiedBy>
  <cp:revision>40</cp:revision>
  <cp:lastPrinted>2016-08-11T11:26:00Z</cp:lastPrinted>
  <dcterms:created xsi:type="dcterms:W3CDTF">2016-08-09T09:05:00Z</dcterms:created>
  <dcterms:modified xsi:type="dcterms:W3CDTF">2016-08-12T09:13:00Z</dcterms:modified>
</cp:coreProperties>
</file>