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1669" w14:textId="77777777" w:rsidR="00393761" w:rsidRPr="007D605C" w:rsidRDefault="00BD4270" w:rsidP="00F049AB">
      <w:pPr>
        <w:pStyle w:val="Tytuinfomacjisygnalnej"/>
      </w:pPr>
      <w:r w:rsidRPr="0026490D">
        <w:t>Przeciętne zatrudnienie</w:t>
      </w:r>
      <w:r>
        <w:rPr>
          <w:rStyle w:val="Odwoanieprzypisudolnego"/>
        </w:rPr>
        <w:footnoteReference w:id="1"/>
      </w:r>
      <w:r w:rsidRPr="0026490D">
        <w:t xml:space="preserve"> i wynagrodzenie w</w:t>
      </w:r>
      <w:r w:rsidR="001B07BE">
        <w:t xml:space="preserve"> sektorze przedsiębiorstw w </w:t>
      </w:r>
      <w:r w:rsidR="00E42D27">
        <w:t>maju</w:t>
      </w:r>
      <w:r>
        <w:t xml:space="preserve"> 2022</w:t>
      </w:r>
      <w:r w:rsidRPr="0026490D">
        <w:t xml:space="preserve"> r.</w:t>
      </w:r>
      <w:r w:rsidR="00364AF9" w:rsidRPr="007D605C">
        <w:rPr>
          <w:sz w:val="32"/>
        </w:rPr>
        <w:tab/>
      </w:r>
    </w:p>
    <w:p w14:paraId="07AB66BB" w14:textId="77777777" w:rsidR="00DE58F1" w:rsidRPr="006F6EE4" w:rsidRDefault="00CB071C" w:rsidP="00F049AB">
      <w:pPr>
        <w:pStyle w:val="Lead"/>
        <w:rPr>
          <w:rFonts w:eastAsia="Times New Roman" w:cs="Times New Roman"/>
          <w:bCs/>
          <w:noProof w:val="0"/>
        </w:rPr>
      </w:pPr>
      <w:r>
        <w:rPr>
          <w:color w:val="001D77"/>
        </w:rPr>
        <w:pict w14:anchorId="591AF943">
          <v:roundrect id="Pole tekstowe 2" o:spid="_x0000_s2050" alt="Wzrost o 2,4% rok do roku przeciętnego zatrudnienia w sektorze przedsiębiorstw" style="position:absolute;margin-left:.05pt;margin-top:5.45pt;width:173.55pt;height:91.1pt;z-index:251738112;visibility:visible;mso-wrap-distance-top:3.6pt;mso-wrap-distance-bottom:3.6pt;mso-position-horizontal-relative:margin;mso-width-relative:margin;mso-height-relative:margin" arcsize="10923f" fillcolor="#001d77" stroked="f">
            <v:stroke joinstyle="miter"/>
            <v:textbox style="mso-next-textbox:#Pole tekstowe 2">
              <w:txbxContent>
                <w:p w14:paraId="589C800A" w14:textId="77777777" w:rsidR="00621FEA" w:rsidRPr="000430E2" w:rsidRDefault="00621FEA" w:rsidP="00CB6AD4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rPr>
                      <w:rFonts w:ascii="Fira Sans SemiBold" w:hAnsi="Fira Sans SemiBold"/>
                      <w:color w:val="FFFFFF" w:themeColor="background1"/>
                      <w:sz w:val="60"/>
                      <w:szCs w:val="60"/>
                    </w:rPr>
                  </w:pPr>
                  <w:r w:rsidRPr="00F049AB">
                    <w:rPr>
                      <w:rStyle w:val="IkonawskanikaZnak"/>
                    </w:rPr>
                    <w:sym w:font="Wingdings" w:char="F0F1"/>
                  </w:r>
                  <w:r w:rsidRPr="000430E2">
                    <w:rPr>
                      <w:rFonts w:ascii="Fira Sans SemiBold" w:hAnsi="Fira Sans SemiBold"/>
                      <w:color w:val="FFFFFF" w:themeColor="background1"/>
                      <w:sz w:val="60"/>
                      <w:szCs w:val="60"/>
                    </w:rPr>
                    <w:t xml:space="preserve"> </w:t>
                  </w:r>
                  <w:r w:rsidR="00C17358">
                    <w:rPr>
                      <w:rStyle w:val="WartowskanikaZnak"/>
                    </w:rPr>
                    <w:t>2,</w:t>
                  </w:r>
                  <w:r w:rsidR="00E42D27">
                    <w:rPr>
                      <w:rStyle w:val="WartowskanikaZnak"/>
                    </w:rPr>
                    <w:t>4</w:t>
                  </w:r>
                  <w:r>
                    <w:rPr>
                      <w:rStyle w:val="WartowskanikaZnak"/>
                    </w:rPr>
                    <w:t>%</w:t>
                  </w:r>
                </w:p>
                <w:p w14:paraId="06E8E8D6" w14:textId="77777777" w:rsidR="00621FEA" w:rsidRPr="000430E2" w:rsidRDefault="00621FEA" w:rsidP="000430E2">
                  <w:pPr>
                    <w:spacing w:after="0" w:line="240" w:lineRule="auto"/>
                    <w:rPr>
                      <w:color w:val="FFFFFF"/>
                      <w:sz w:val="20"/>
                      <w:szCs w:val="20"/>
                    </w:rPr>
                  </w:pPr>
                  <w:r w:rsidRPr="000430E2">
                    <w:rPr>
                      <w:sz w:val="20"/>
                      <w:szCs w:val="20"/>
                    </w:rPr>
                    <w:t>Wzrost r/r przeciętnego zatrudnienia w sektorze przedsiębiorstw</w:t>
                  </w:r>
                </w:p>
                <w:p w14:paraId="30390E1E" w14:textId="77777777" w:rsidR="00621FEA" w:rsidRPr="007D605C" w:rsidRDefault="00621FEA" w:rsidP="000430E2">
                  <w:pPr>
                    <w:pStyle w:val="Opiswskanika"/>
                    <w:rPr>
                      <w:sz w:val="18"/>
                      <w:szCs w:val="20"/>
                    </w:rPr>
                  </w:pPr>
                </w:p>
              </w:txbxContent>
            </v:textbox>
            <w10:wrap type="square" anchorx="margin"/>
          </v:roundrect>
        </w:pict>
      </w:r>
      <w:r w:rsidR="00074DD8" w:rsidRPr="00841E07">
        <w:rPr>
          <w:color w:val="001D77"/>
        </w:rPr>
        <w:t xml:space="preserve"> </w:t>
      </w:r>
      <w:r w:rsidR="0081223F" w:rsidRPr="00841E07">
        <w:rPr>
          <w:color w:val="001D77"/>
        </w:rPr>
        <w:br/>
      </w:r>
      <w:r w:rsidR="00841E07" w:rsidRPr="00841E07">
        <w:t xml:space="preserve">W </w:t>
      </w:r>
      <w:r w:rsidR="00E42D27">
        <w:t>maju</w:t>
      </w:r>
      <w:r w:rsidR="00841E07" w:rsidRPr="00841E07">
        <w:t xml:space="preserve"> 2022 r. przeciętne za</w:t>
      </w:r>
      <w:r w:rsidR="00841E07">
        <w:t>trudnienie w sektorze</w:t>
      </w:r>
      <w:r w:rsidR="007C588D">
        <w:t xml:space="preserve"> przedsiębiorstw w porównaniu z </w:t>
      </w:r>
      <w:r w:rsidR="00E42D27">
        <w:t>majem</w:t>
      </w:r>
      <w:r w:rsidR="00841E07">
        <w:t xml:space="preserve"> 2021 r. było wyższe o 2,</w:t>
      </w:r>
      <w:r w:rsidR="00E42D27">
        <w:t>4</w:t>
      </w:r>
      <w:r w:rsidR="00841E07">
        <w:t>% i wyniosło 64</w:t>
      </w:r>
      <w:r w:rsidR="006462B4">
        <w:t>9</w:t>
      </w:r>
      <w:r w:rsidR="00E42D27">
        <w:t>1</w:t>
      </w:r>
      <w:r w:rsidR="006462B4">
        <w:t xml:space="preserve">,6 </w:t>
      </w:r>
      <w:r w:rsidR="00841E07">
        <w:t xml:space="preserve">tys. etatów. </w:t>
      </w:r>
      <w:r w:rsidR="00841E07" w:rsidRPr="00841E07">
        <w:t>W stosunku do poprzednieg</w:t>
      </w:r>
      <w:r w:rsidR="00841E07">
        <w:t xml:space="preserve">o miesiąca przeciętne zatrudnienie </w:t>
      </w:r>
      <w:r w:rsidR="00937591">
        <w:t>minimalnie obniżyło się</w:t>
      </w:r>
      <w:r w:rsidR="009B33BA">
        <w:t xml:space="preserve"> </w:t>
      </w:r>
      <w:r w:rsidR="00E65275">
        <w:t>(</w:t>
      </w:r>
      <w:r w:rsidR="00841E07">
        <w:t>o</w:t>
      </w:r>
      <w:r w:rsidR="009B33BA">
        <w:t> 0</w:t>
      </w:r>
      <w:r w:rsidR="00841E07">
        <w:t>,</w:t>
      </w:r>
      <w:r w:rsidR="00E42D27">
        <w:t>1</w:t>
      </w:r>
      <w:r w:rsidR="00841E07">
        <w:t>%</w:t>
      </w:r>
      <w:r w:rsidR="00E65275">
        <w:t>)</w:t>
      </w:r>
      <w:r w:rsidR="00841E07">
        <w:t xml:space="preserve">. </w:t>
      </w:r>
    </w:p>
    <w:p w14:paraId="5590CA55" w14:textId="77777777" w:rsidR="00BD4270" w:rsidRPr="00841E07" w:rsidRDefault="00CB071C" w:rsidP="00BD4270">
      <w:pPr>
        <w:pStyle w:val="Lead"/>
        <w:rPr>
          <w:rFonts w:eastAsia="Times New Roman" w:cs="Times New Roman"/>
          <w:bCs/>
          <w:noProof w:val="0"/>
        </w:rPr>
      </w:pPr>
      <w:r>
        <w:rPr>
          <w:color w:val="001D77"/>
        </w:rPr>
        <w:pict w14:anchorId="7AD96A2F">
          <v:roundrect id="_x0000_s2057" alt="Wzrost o 13,5% rok do roku przeciętnego miesięcznego wynagrodzenia brutto w sektorze przedsiębiorstw" style="position:absolute;margin-left:.05pt;margin-top:38.75pt;width:173.55pt;height:91pt;z-index:251758592;visibility:visible;mso-wrap-distance-top:3.6pt;mso-wrap-distance-bottom:3.6pt;mso-position-horizontal-relative:margin;mso-width-relative:margin;mso-height-relative:margin" arcsize="10923f" fillcolor="#001d77" stroked="f">
            <v:stroke joinstyle="miter"/>
            <v:textbox style="mso-next-textbox:#_x0000_s2057">
              <w:txbxContent>
                <w:p w14:paraId="71773C87" w14:textId="77777777" w:rsidR="00621FEA" w:rsidRPr="000430E2" w:rsidRDefault="00621FEA" w:rsidP="00BD4270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rPr>
                      <w:rFonts w:ascii="Fira Sans SemiBold" w:hAnsi="Fira Sans SemiBold"/>
                      <w:color w:val="FFFFFF" w:themeColor="background1"/>
                      <w:sz w:val="60"/>
                      <w:szCs w:val="60"/>
                    </w:rPr>
                  </w:pPr>
                  <w:r w:rsidRPr="00F049AB">
                    <w:rPr>
                      <w:rStyle w:val="IkonawskanikaZnak"/>
                    </w:rPr>
                    <w:sym w:font="Wingdings" w:char="F0F1"/>
                  </w:r>
                  <w:r w:rsidRPr="000430E2">
                    <w:rPr>
                      <w:rFonts w:ascii="Fira Sans SemiBold" w:hAnsi="Fira Sans SemiBold"/>
                      <w:color w:val="FFFFFF" w:themeColor="background1"/>
                      <w:sz w:val="60"/>
                      <w:szCs w:val="60"/>
                    </w:rPr>
                    <w:t xml:space="preserve"> </w:t>
                  </w:r>
                  <w:r>
                    <w:rPr>
                      <w:rStyle w:val="WartowskanikaZnak"/>
                    </w:rPr>
                    <w:t>1</w:t>
                  </w:r>
                  <w:r w:rsidR="00E42D27">
                    <w:rPr>
                      <w:rStyle w:val="WartowskanikaZnak"/>
                    </w:rPr>
                    <w:t>3</w:t>
                  </w:r>
                  <w:r>
                    <w:rPr>
                      <w:rStyle w:val="WartowskanikaZnak"/>
                    </w:rPr>
                    <w:t>,</w:t>
                  </w:r>
                  <w:r w:rsidR="00E42D27">
                    <w:rPr>
                      <w:rStyle w:val="WartowskanikaZnak"/>
                    </w:rPr>
                    <w:t>5</w:t>
                  </w:r>
                  <w:r>
                    <w:rPr>
                      <w:rStyle w:val="WartowskanikaZnak"/>
                    </w:rPr>
                    <w:t>%</w:t>
                  </w:r>
                </w:p>
                <w:p w14:paraId="065A0022" w14:textId="77777777" w:rsidR="00621FEA" w:rsidRPr="000430E2" w:rsidRDefault="00621FEA" w:rsidP="000430E2">
                  <w:pPr>
                    <w:spacing w:after="0" w:line="240" w:lineRule="auto"/>
                    <w:rPr>
                      <w:color w:val="FFFFFF"/>
                      <w:sz w:val="20"/>
                      <w:szCs w:val="20"/>
                    </w:rPr>
                  </w:pPr>
                  <w:r w:rsidRPr="000430E2">
                    <w:rPr>
                      <w:sz w:val="20"/>
                      <w:szCs w:val="20"/>
                    </w:rPr>
                    <w:t>Wzrost r/r przeciętnego miesięcznego wynagrodzenia brutto w sektorze przedsiębiorstw</w:t>
                  </w:r>
                </w:p>
              </w:txbxContent>
            </v:textbox>
            <w10:wrap type="square" anchorx="margin"/>
          </v:roundrect>
        </w:pict>
      </w:r>
      <w:r w:rsidR="0081223F" w:rsidRPr="00841E07">
        <w:br/>
      </w:r>
      <w:r w:rsidR="00841E07">
        <w:br/>
      </w:r>
      <w:r w:rsidR="0081223F" w:rsidRPr="00841E07">
        <w:br/>
      </w:r>
      <w:r w:rsidR="00841E07" w:rsidRPr="00841E07">
        <w:t>Przeciętne miesięczne wynagro</w:t>
      </w:r>
      <w:r w:rsidR="00841E07">
        <w:t xml:space="preserve">dzenie w sektorze przedsiębiorstw w </w:t>
      </w:r>
      <w:r w:rsidR="00E15F00">
        <w:t>maju</w:t>
      </w:r>
      <w:r w:rsidR="00841E07">
        <w:t xml:space="preserve"> 2022 r. w porównaniu z</w:t>
      </w:r>
      <w:r w:rsidR="009B33BA">
        <w:t> </w:t>
      </w:r>
      <w:r w:rsidR="00E15F00">
        <w:t>majem</w:t>
      </w:r>
      <w:r w:rsidR="00841E07">
        <w:t xml:space="preserve"> 2021 r. było wyższe o </w:t>
      </w:r>
      <w:r w:rsidR="003C5476">
        <w:t>1</w:t>
      </w:r>
      <w:r w:rsidR="00E15F00">
        <w:t>3</w:t>
      </w:r>
      <w:r w:rsidR="006462B4">
        <w:t>,</w:t>
      </w:r>
      <w:r w:rsidR="00E15F00">
        <w:t>5</w:t>
      </w:r>
      <w:r w:rsidR="00841E07">
        <w:t xml:space="preserve">% i wyniosło </w:t>
      </w:r>
      <w:r w:rsidR="006462B4">
        <w:t>6</w:t>
      </w:r>
      <w:r w:rsidR="00E15F00">
        <w:t>399,59</w:t>
      </w:r>
      <w:r w:rsidR="009B33BA">
        <w:t xml:space="preserve"> </w:t>
      </w:r>
      <w:r w:rsidR="00841E07">
        <w:t xml:space="preserve">zł (brutto). </w:t>
      </w:r>
      <w:r w:rsidR="00841E07" w:rsidRPr="00841E07">
        <w:t xml:space="preserve">Względem </w:t>
      </w:r>
      <w:r w:rsidR="00E15F00">
        <w:t>kwietnia</w:t>
      </w:r>
      <w:r w:rsidR="00841E07" w:rsidRPr="00841E07">
        <w:t xml:space="preserve"> 202</w:t>
      </w:r>
      <w:r w:rsidR="009B33BA">
        <w:t>2</w:t>
      </w:r>
      <w:r w:rsidR="00841E07" w:rsidRPr="00841E07">
        <w:t xml:space="preserve"> r. przeciętne</w:t>
      </w:r>
      <w:r w:rsidR="00841E07">
        <w:t xml:space="preserve"> miesięczne wynagrodzenie brutto </w:t>
      </w:r>
      <w:r w:rsidR="006462B4">
        <w:t>zmalało</w:t>
      </w:r>
      <w:r w:rsidR="009B33BA">
        <w:t xml:space="preserve"> </w:t>
      </w:r>
      <w:r w:rsidR="00841E07">
        <w:t xml:space="preserve">o </w:t>
      </w:r>
      <w:r w:rsidR="00E15F00">
        <w:t>3</w:t>
      </w:r>
      <w:r w:rsidR="00841E07">
        <w:t>,</w:t>
      </w:r>
      <w:r w:rsidR="00E15F00">
        <w:t>4</w:t>
      </w:r>
      <w:r w:rsidR="00841E07">
        <w:t xml:space="preserve">%. </w:t>
      </w:r>
    </w:p>
    <w:p w14:paraId="2EAEF3C6" w14:textId="77777777" w:rsidR="00E95B8E" w:rsidRPr="00F8556E" w:rsidRDefault="00CB071C" w:rsidP="00E95B8E">
      <w:pPr>
        <w:pStyle w:val="Nagwek1"/>
        <w:rPr>
          <w:rFonts w:ascii="Fira Sans" w:hAnsi="Fira Sans"/>
          <w:b/>
          <w:szCs w:val="19"/>
        </w:rPr>
      </w:pPr>
      <w:r>
        <w:rPr>
          <w:rFonts w:eastAsia="Calibri"/>
          <w:noProof/>
          <w:lang w:val="en-GB" w:eastAsia="en-GB"/>
        </w:rPr>
        <w:pict w14:anchorId="01CB8E08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alt="Pole tekstowe: Sektor przedsiębiorstw stanowi część gospodarki narodowej, to znaczy, że dane dotyczą wybranych podmiotów prowadzących działalność gospodarczą" style="position:absolute;margin-left:229.1pt;margin-top:23.35pt;width:135.6pt;height:105.75pt;z-index:-251555840;visibility:visible;mso-wrap-distance-top:3.6pt;mso-wrap-distance-bottom:3.6pt;mso-width-relative:margin;mso-height-relative:margin" wrapcoords="0 0" filled="f" stroked="f">
            <v:textbox style="mso-next-textbox:#_x0000_s2058">
              <w:txbxContent>
                <w:p w14:paraId="00BD74BB" w14:textId="77777777" w:rsidR="00621FEA" w:rsidRPr="00705D39" w:rsidRDefault="00621FEA" w:rsidP="006044B7">
                  <w:pPr>
                    <w:pStyle w:val="tekstzboku"/>
                    <w:spacing w:before="240" w:line="240" w:lineRule="auto"/>
                    <w:rPr>
                      <w:bCs w:val="0"/>
                    </w:rPr>
                  </w:pPr>
                  <w:r w:rsidRPr="00CE4352">
                    <w:rPr>
                      <w:b/>
                    </w:rPr>
                    <w:t>Sektor przedsiębiorstw</w:t>
                  </w:r>
                  <w:r>
                    <w:t xml:space="preserve"> stanowi część gospodarki narodowej, to znaczy, że dane dotyczą wybranych podmiotów prowadzących działalność gospodarczą</w:t>
                  </w:r>
                </w:p>
              </w:txbxContent>
            </v:textbox>
            <w10:wrap type="tight"/>
          </v:shape>
        </w:pict>
      </w:r>
      <w:r w:rsidR="00F8556E" w:rsidRPr="00F8556E">
        <w:rPr>
          <w:rFonts w:ascii="Fira Sans" w:hAnsi="Fira Sans"/>
          <w:b/>
          <w:szCs w:val="19"/>
        </w:rPr>
        <w:br/>
        <w:t>Rynek pracy w sektorze przedsiębiorstw</w:t>
      </w:r>
    </w:p>
    <w:p w14:paraId="08CAC50E" w14:textId="77777777" w:rsidR="00F8556E" w:rsidRDefault="00F8556E" w:rsidP="00F8556E">
      <w:pPr>
        <w:spacing w:line="288" w:lineRule="auto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D</w:t>
      </w:r>
      <w:r w:rsidRPr="00890841">
        <w:rPr>
          <w:rFonts w:eastAsia="Calibri"/>
          <w:shd w:val="clear" w:color="auto" w:fill="FFFFFF"/>
        </w:rPr>
        <w:t>ane odnoszące się do sektora przedsiębiorstw dotyczą podmiotów, w których</w:t>
      </w:r>
      <w:r w:rsidRPr="004F7579">
        <w:rPr>
          <w:rFonts w:eastAsia="Calibri"/>
          <w:shd w:val="clear" w:color="auto" w:fill="FFFFFF"/>
        </w:rPr>
        <w:t xml:space="preserve"> </w:t>
      </w:r>
      <w:r w:rsidRPr="00890841">
        <w:rPr>
          <w:rFonts w:eastAsia="Calibri"/>
          <w:shd w:val="clear" w:color="auto" w:fill="FFFFFF"/>
        </w:rPr>
        <w:t>prowadzona jest działalność gospodarcz</w:t>
      </w:r>
      <w:r>
        <w:rPr>
          <w:rFonts w:eastAsia="Calibri"/>
          <w:shd w:val="clear" w:color="auto" w:fill="FFFFFF"/>
        </w:rPr>
        <w:t>a</w:t>
      </w:r>
      <w:r w:rsidRPr="00890841">
        <w:rPr>
          <w:rFonts w:eastAsia="Calibri"/>
          <w:shd w:val="clear" w:color="auto" w:fill="FFFFFF"/>
        </w:rPr>
        <w:t xml:space="preserve"> zaklasyfikowana do </w:t>
      </w:r>
      <w:r w:rsidRPr="004C3D61">
        <w:rPr>
          <w:rFonts w:eastAsia="Calibri"/>
          <w:b/>
          <w:shd w:val="clear" w:color="auto" w:fill="FFFFFF"/>
        </w:rPr>
        <w:t>wybranych rodzajów działalności PKD 2007</w:t>
      </w:r>
      <w:r w:rsidRPr="004C3D61">
        <w:rPr>
          <w:rStyle w:val="Odwoanieprzypisudolnego"/>
          <w:rFonts w:eastAsia="Calibri"/>
          <w:b/>
          <w:shd w:val="clear" w:color="auto" w:fill="FFFFFF"/>
        </w:rPr>
        <w:footnoteReference w:id="2"/>
      </w:r>
      <w:r w:rsidRPr="004C3D61">
        <w:rPr>
          <w:rFonts w:eastAsia="Calibri"/>
          <w:b/>
          <w:shd w:val="clear" w:color="auto" w:fill="FFFFFF"/>
        </w:rPr>
        <w:t xml:space="preserve">, </w:t>
      </w:r>
      <w:r w:rsidR="00DF390C">
        <w:rPr>
          <w:rFonts w:eastAsia="Calibri"/>
          <w:b/>
          <w:shd w:val="clear" w:color="auto" w:fill="FFFFFF"/>
        </w:rPr>
        <w:t>o liczbie pracujących 10 i więcej osób</w:t>
      </w:r>
      <w:r w:rsidRPr="00890841">
        <w:rPr>
          <w:rFonts w:eastAsia="Calibri"/>
          <w:shd w:val="clear" w:color="auto" w:fill="FFFFFF"/>
        </w:rPr>
        <w:t>.</w:t>
      </w:r>
      <w:r>
        <w:rPr>
          <w:rFonts w:eastAsia="Calibri"/>
          <w:shd w:val="clear" w:color="auto" w:fill="FFFFFF"/>
        </w:rPr>
        <w:t xml:space="preserve"> </w:t>
      </w:r>
      <w:r w:rsidRPr="004C3D61">
        <w:rPr>
          <w:rFonts w:eastAsia="Calibri"/>
          <w:shd w:val="clear" w:color="auto" w:fill="FFFFFF"/>
        </w:rPr>
        <w:t>W związku z tym, badanie nie obejmuje, m.in.</w:t>
      </w:r>
      <w:r w:rsidRPr="004C3D61">
        <w:rPr>
          <w:i/>
          <w:iCs/>
          <w:color w:val="1F497D"/>
          <w:sz w:val="18"/>
          <w:szCs w:val="18"/>
        </w:rPr>
        <w:t xml:space="preserve"> </w:t>
      </w:r>
      <w:r w:rsidRPr="004C3D61">
        <w:rPr>
          <w:rFonts w:eastAsia="Calibri"/>
          <w:shd w:val="clear" w:color="auto" w:fill="FFFFFF"/>
        </w:rPr>
        <w:t>adm</w:t>
      </w:r>
      <w:r>
        <w:rPr>
          <w:rFonts w:eastAsia="Calibri"/>
          <w:shd w:val="clear" w:color="auto" w:fill="FFFFFF"/>
        </w:rPr>
        <w:t xml:space="preserve">inistracji publicznej, edukacji, </w:t>
      </w:r>
      <w:r w:rsidRPr="004C3D61">
        <w:rPr>
          <w:rFonts w:eastAsia="Calibri"/>
          <w:shd w:val="clear" w:color="auto" w:fill="FFFFFF"/>
        </w:rPr>
        <w:t>opieki zdrowotnej i pomocy społecznej</w:t>
      </w:r>
      <w:r>
        <w:rPr>
          <w:rFonts w:eastAsia="Calibri"/>
          <w:shd w:val="clear" w:color="auto" w:fill="FFFFFF"/>
        </w:rPr>
        <w:t>.</w:t>
      </w:r>
      <w:r w:rsidRPr="00890841">
        <w:rPr>
          <w:rFonts w:eastAsia="Calibri"/>
          <w:shd w:val="clear" w:color="auto" w:fill="FFFFFF"/>
        </w:rPr>
        <w:t xml:space="preserve"> </w:t>
      </w:r>
    </w:p>
    <w:p w14:paraId="65F6608F" w14:textId="77777777" w:rsidR="00F8556E" w:rsidRPr="00841E07" w:rsidRDefault="00F8556E" w:rsidP="00E95B03">
      <w:pPr>
        <w:spacing w:before="360" w:line="240" w:lineRule="auto"/>
        <w:rPr>
          <w:rFonts w:eastAsia="Times New Roman" w:cs="Times New Roman"/>
          <w:b/>
          <w:bCs/>
          <w:color w:val="000000" w:themeColor="text1"/>
          <w:szCs w:val="19"/>
          <w:lang w:eastAsia="pl-PL"/>
        </w:rPr>
      </w:pPr>
      <w:r w:rsidRPr="00841E07">
        <w:rPr>
          <w:rFonts w:eastAsia="Times New Roman" w:cs="Times New Roman"/>
          <w:b/>
          <w:bCs/>
          <w:color w:val="000000" w:themeColor="text1"/>
          <w:szCs w:val="19"/>
          <w:lang w:eastAsia="pl-PL"/>
        </w:rPr>
        <w:t>Tablica 1. Przeciętne zatrudnienie i przeciętne miesięc</w:t>
      </w:r>
      <w:r w:rsidR="00FC604F">
        <w:rPr>
          <w:rFonts w:eastAsia="Times New Roman" w:cs="Times New Roman"/>
          <w:b/>
          <w:bCs/>
          <w:color w:val="000000" w:themeColor="text1"/>
          <w:szCs w:val="19"/>
          <w:lang w:eastAsia="pl-PL"/>
        </w:rPr>
        <w:t>zne wynagrodzeni</w:t>
      </w:r>
      <w:r w:rsidR="00B5507D">
        <w:rPr>
          <w:rFonts w:eastAsia="Times New Roman" w:cs="Times New Roman"/>
          <w:b/>
          <w:bCs/>
          <w:color w:val="000000" w:themeColor="text1"/>
          <w:szCs w:val="19"/>
          <w:lang w:eastAsia="pl-PL"/>
        </w:rPr>
        <w:t>a</w:t>
      </w:r>
      <w:r w:rsidR="00FC604F">
        <w:rPr>
          <w:rFonts w:eastAsia="Times New Roman" w:cs="Times New Roman"/>
          <w:b/>
          <w:bCs/>
          <w:color w:val="000000" w:themeColor="text1"/>
          <w:szCs w:val="19"/>
          <w:lang w:eastAsia="pl-PL"/>
        </w:rPr>
        <w:t xml:space="preserve"> w sektorze</w:t>
      </w:r>
      <w:r w:rsidR="00FC604F">
        <w:rPr>
          <w:rFonts w:eastAsia="Times New Roman" w:cs="Times New Roman"/>
          <w:b/>
          <w:bCs/>
          <w:color w:val="000000" w:themeColor="text1"/>
          <w:szCs w:val="19"/>
          <w:lang w:eastAsia="pl-PL"/>
        </w:rPr>
        <w:br/>
      </w:r>
      <w:r w:rsidRPr="00841E07">
        <w:rPr>
          <w:rFonts w:eastAsia="Times New Roman" w:cs="Times New Roman"/>
          <w:b/>
          <w:bCs/>
          <w:color w:val="000000" w:themeColor="text1"/>
          <w:szCs w:val="19"/>
          <w:lang w:eastAsia="pl-PL"/>
        </w:rPr>
        <w:t xml:space="preserve">przedsiębiorstw w </w:t>
      </w:r>
      <w:r w:rsidR="00E15F00">
        <w:rPr>
          <w:rFonts w:eastAsia="Times New Roman" w:cs="Times New Roman"/>
          <w:b/>
          <w:bCs/>
          <w:color w:val="000000" w:themeColor="text1"/>
          <w:szCs w:val="19"/>
          <w:lang w:eastAsia="pl-PL"/>
        </w:rPr>
        <w:t>maju</w:t>
      </w:r>
      <w:r w:rsidRPr="00841E07">
        <w:rPr>
          <w:rFonts w:eastAsia="Times New Roman" w:cs="Times New Roman"/>
          <w:b/>
          <w:bCs/>
          <w:color w:val="000000" w:themeColor="text1"/>
          <w:szCs w:val="19"/>
          <w:lang w:eastAsia="pl-PL"/>
        </w:rPr>
        <w:t xml:space="preserve"> 2022 r.</w:t>
      </w:r>
    </w:p>
    <w:tbl>
      <w:tblPr>
        <w:tblW w:w="808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7"/>
        <w:gridCol w:w="1134"/>
        <w:gridCol w:w="993"/>
        <w:gridCol w:w="1417"/>
        <w:gridCol w:w="1134"/>
      </w:tblGrid>
      <w:tr w:rsidR="00DA1CCA" w:rsidRPr="002751A8" w14:paraId="013D4806" w14:textId="77777777" w:rsidTr="00F72CEE">
        <w:trPr>
          <w:trHeight w:val="558"/>
        </w:trPr>
        <w:tc>
          <w:tcPr>
            <w:tcW w:w="1985" w:type="dxa"/>
            <w:vMerge w:val="restart"/>
            <w:tcBorders>
              <w:top w:val="single" w:sz="4" w:space="0" w:color="FFFFFF"/>
              <w:right w:val="single" w:sz="4" w:space="0" w:color="001D77"/>
            </w:tcBorders>
            <w:shd w:val="clear" w:color="auto" w:fill="auto"/>
            <w:vAlign w:val="center"/>
          </w:tcPr>
          <w:p w14:paraId="37E329D0" w14:textId="77777777" w:rsidR="00DA1CCA" w:rsidRPr="00CC690C" w:rsidRDefault="00DA1CCA" w:rsidP="00F72CEE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544" w:type="dxa"/>
            <w:gridSpan w:val="3"/>
            <w:tcBorders>
              <w:top w:val="single" w:sz="4" w:space="0" w:color="FFFFFF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0C7DE91" w14:textId="77777777" w:rsidR="00DA1CCA" w:rsidRPr="00CC690C" w:rsidRDefault="00E15F00" w:rsidP="00B529B5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05</w:t>
            </w:r>
            <w:r w:rsidR="00DA1CCA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</w:t>
            </w:r>
            <w:r w:rsidR="00DA1CCA">
              <w:rPr>
                <w:rFonts w:ascii="Fira Sans" w:hAnsi="Fira Sans" w:cs="Arial"/>
                <w:color w:val="000000"/>
                <w:sz w:val="16"/>
                <w:szCs w:val="16"/>
              </w:rPr>
              <w:t>2</w:t>
            </w:r>
            <w:r w:rsidR="00B529B5">
              <w:rPr>
                <w:rFonts w:ascii="Fira Sans" w:hAnsi="Fira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FFFFFF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14:paraId="2EB21786" w14:textId="77777777" w:rsidR="00DA1CCA" w:rsidRPr="00CC690C" w:rsidRDefault="00C17358" w:rsidP="00E15F00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01-</w:t>
            </w:r>
            <w:r w:rsidR="006462B4">
              <w:rPr>
                <w:rFonts w:ascii="Fira Sans" w:hAnsi="Fira Sans" w:cs="Arial"/>
                <w:color w:val="000000"/>
                <w:sz w:val="16"/>
                <w:szCs w:val="16"/>
              </w:rPr>
              <w:t>0</w:t>
            </w:r>
            <w:r w:rsidR="00E15F00"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DA1CCA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</w:t>
            </w:r>
            <w:r w:rsidR="00DA1CCA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20</w:t>
            </w:r>
            <w:r w:rsidR="00DA1CCA">
              <w:rPr>
                <w:rFonts w:ascii="Fira Sans" w:hAnsi="Fira Sans" w:cs="Arial"/>
                <w:color w:val="000000"/>
                <w:sz w:val="16"/>
                <w:szCs w:val="16"/>
              </w:rPr>
              <w:t>2</w:t>
            </w:r>
            <w:r w:rsidR="00B529B5">
              <w:rPr>
                <w:rFonts w:ascii="Fira Sans" w:hAnsi="Fira Sans" w:cs="Arial"/>
                <w:color w:val="000000"/>
                <w:sz w:val="16"/>
                <w:szCs w:val="16"/>
              </w:rPr>
              <w:t>2</w:t>
            </w:r>
          </w:p>
        </w:tc>
      </w:tr>
      <w:tr w:rsidR="00DA1CCA" w:rsidRPr="002751A8" w14:paraId="47B8B8E5" w14:textId="77777777" w:rsidTr="00F72CEE">
        <w:trPr>
          <w:trHeight w:val="791"/>
        </w:trPr>
        <w:tc>
          <w:tcPr>
            <w:tcW w:w="1985" w:type="dxa"/>
            <w:vMerge/>
            <w:tcBorders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700C794" w14:textId="77777777" w:rsidR="00DA1CCA" w:rsidRPr="00CC690C" w:rsidRDefault="00DA1CCA" w:rsidP="00F72CEE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3F5317C" w14:textId="77777777" w:rsidR="00DA1CCA" w:rsidRPr="00CC690C" w:rsidRDefault="00DA1CCA" w:rsidP="00F72CEE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w liczbach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bezwzględnych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0785AA5" w14:textId="77777777" w:rsidR="00DA1CCA" w:rsidRPr="00CC690C" w:rsidRDefault="006462B4" w:rsidP="00E15F00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0</w:t>
            </w:r>
            <w:r w:rsidR="00E15F00">
              <w:rPr>
                <w:rFonts w:ascii="Fira Sans" w:hAnsi="Fira Sans" w:cs="Arial"/>
                <w:color w:val="000000"/>
                <w:sz w:val="16"/>
                <w:szCs w:val="16"/>
              </w:rPr>
              <w:t>4</w:t>
            </w:r>
            <w:r w:rsidR="00DA1CCA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</w:t>
            </w:r>
            <w:r w:rsidR="00DA1CCA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20</w:t>
            </w:r>
            <w:r w:rsidR="00DA1CCA">
              <w:rPr>
                <w:rFonts w:ascii="Fira Sans" w:hAnsi="Fira Sans" w:cs="Arial"/>
                <w:color w:val="000000"/>
                <w:sz w:val="16"/>
                <w:szCs w:val="16"/>
              </w:rPr>
              <w:t>22</w:t>
            </w:r>
            <w:r w:rsidR="00DA1CCA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</w:t>
            </w:r>
            <w:r w:rsidR="00DA1CCA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=</w:t>
            </w:r>
            <w:r w:rsidR="00DA1CCA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343A4003" w14:textId="77777777" w:rsidR="00DA1CCA" w:rsidRPr="00CC690C" w:rsidRDefault="006462B4" w:rsidP="00E15F00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0</w:t>
            </w:r>
            <w:r w:rsidR="00E15F00"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DA1CCA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2021</w:t>
            </w:r>
            <w:r w:rsidR="00DA1CCA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</w:t>
            </w:r>
            <w:r w:rsidR="00DA1CCA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=</w:t>
            </w:r>
            <w:r w:rsidR="00DA1CCA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14:paraId="39B68549" w14:textId="77777777" w:rsidR="00DA1CCA" w:rsidRPr="00CC690C" w:rsidRDefault="00DA1CCA" w:rsidP="00F72CEE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w liczbach bezwzględnych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</w:tcPr>
          <w:p w14:paraId="2A242553" w14:textId="77777777" w:rsidR="00DA1CCA" w:rsidRPr="00CC690C" w:rsidRDefault="00DA1CCA" w:rsidP="00E15F00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01-</w:t>
            </w:r>
            <w:r w:rsidR="006462B4">
              <w:rPr>
                <w:rFonts w:ascii="Fira Sans" w:hAnsi="Fira Sans" w:cs="Arial"/>
                <w:color w:val="000000"/>
                <w:sz w:val="16"/>
                <w:szCs w:val="16"/>
              </w:rPr>
              <w:t>0</w:t>
            </w:r>
            <w:r w:rsidR="00E15F00"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2021= =100</w:t>
            </w:r>
          </w:p>
        </w:tc>
      </w:tr>
      <w:tr w:rsidR="00DA1CCA" w:rsidRPr="002751A8" w14:paraId="351ABC23" w14:textId="77777777" w:rsidTr="00F72CEE">
        <w:trPr>
          <w:trHeight w:val="574"/>
        </w:trPr>
        <w:tc>
          <w:tcPr>
            <w:tcW w:w="1985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499F792" w14:textId="77777777" w:rsidR="00DA1CCA" w:rsidRPr="00CC690C" w:rsidRDefault="00DA1CCA" w:rsidP="00F72CEE">
            <w:pPr>
              <w:pStyle w:val="Nagwek1"/>
              <w:tabs>
                <w:tab w:val="left" w:pos="2670"/>
                <w:tab w:val="right" w:leader="dot" w:pos="4139"/>
              </w:tabs>
              <w:spacing w:before="0" w:after="0" w:line="240" w:lineRule="exac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/>
                <w:color w:val="000000"/>
                <w:sz w:val="16"/>
                <w:szCs w:val="16"/>
              </w:rPr>
              <w:t>Przeciętne zatrudnienie w tys</w:t>
            </w:r>
            <w:r>
              <w:rPr>
                <w:rFonts w:ascii="Fira Sans" w:hAnsi="Fira Sans"/>
                <w:color w:val="000000"/>
                <w:sz w:val="16"/>
                <w:szCs w:val="16"/>
              </w:rPr>
              <w:t>. etatów</w:t>
            </w:r>
          </w:p>
        </w:tc>
        <w:tc>
          <w:tcPr>
            <w:tcW w:w="1417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1BB4F5D" w14:textId="77777777" w:rsidR="00DA1CCA" w:rsidRPr="00CC690C" w:rsidRDefault="00DA1CCA" w:rsidP="00426A32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64</w:t>
            </w:r>
            <w:r w:rsidR="00E15F00">
              <w:rPr>
                <w:rFonts w:ascii="Fira Sans" w:hAnsi="Fira Sans" w:cs="Arial"/>
                <w:color w:val="000000"/>
                <w:sz w:val="16"/>
                <w:szCs w:val="16"/>
              </w:rPr>
              <w:t>91</w:t>
            </w:r>
            <w:r w:rsidR="00426A32">
              <w:rPr>
                <w:rFonts w:ascii="Fira Sans" w:hAnsi="Fira Sans" w:cs="Arial"/>
                <w:color w:val="000000"/>
                <w:sz w:val="16"/>
                <w:szCs w:val="16"/>
              </w:rPr>
              <w:t>,6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39E08CE2" w14:textId="77777777" w:rsidR="00DA1CCA" w:rsidRPr="002E7CC3" w:rsidRDefault="00E15F00" w:rsidP="00E15F00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93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6899BBB" w14:textId="77777777" w:rsidR="00DA1CCA" w:rsidRPr="00CC690C" w:rsidRDefault="00DA1CCA" w:rsidP="00426A32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102,</w:t>
            </w:r>
            <w:r w:rsidR="00E15F00">
              <w:rPr>
                <w:rFonts w:ascii="Fira Sans" w:hAnsi="Fira Sans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14:paraId="182848C7" w14:textId="77777777" w:rsidR="00DA1CCA" w:rsidRPr="00CC690C" w:rsidRDefault="00DA1CCA" w:rsidP="00E15F00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</w:t>
            </w:r>
            <w:r w:rsidR="00C17358">
              <w:rPr>
                <w:rFonts w:ascii="Fira Sans" w:hAnsi="Fira Sans" w:cs="Arial"/>
                <w:color w:val="000000"/>
                <w:sz w:val="16"/>
                <w:szCs w:val="16"/>
              </w:rPr>
              <w:t>4</w:t>
            </w:r>
            <w:r w:rsidR="00426A32">
              <w:rPr>
                <w:rFonts w:ascii="Fira Sans" w:hAnsi="Fira Sans" w:cs="Arial"/>
                <w:color w:val="000000"/>
                <w:sz w:val="16"/>
                <w:szCs w:val="16"/>
              </w:rPr>
              <w:t>76,</w:t>
            </w:r>
            <w:r w:rsidR="00E15F00">
              <w:rPr>
                <w:rFonts w:ascii="Fira Sans" w:hAnsi="Fira Sans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14:paraId="5C7CA6E0" w14:textId="77777777" w:rsidR="00DA1CCA" w:rsidRPr="00CC690C" w:rsidRDefault="00DA1CCA" w:rsidP="00426A32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102,</w:t>
            </w:r>
            <w:r w:rsidR="00426A32">
              <w:rPr>
                <w:rFonts w:ascii="Fira Sans" w:hAnsi="Fira Sans" w:cs="Arial"/>
                <w:color w:val="000000"/>
                <w:sz w:val="16"/>
                <w:szCs w:val="16"/>
              </w:rPr>
              <w:t>4</w:t>
            </w:r>
          </w:p>
        </w:tc>
      </w:tr>
      <w:tr w:rsidR="00DA1CCA" w:rsidRPr="002751A8" w14:paraId="2AB983B4" w14:textId="77777777" w:rsidTr="00F72CEE">
        <w:trPr>
          <w:trHeight w:val="760"/>
        </w:trPr>
        <w:tc>
          <w:tcPr>
            <w:tcW w:w="1985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DB05F9B" w14:textId="77777777" w:rsidR="00DA1CCA" w:rsidRPr="00CC690C" w:rsidRDefault="00DA1CCA" w:rsidP="00B5507D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Przeciętne wynagrodze</w:t>
            </w:r>
            <w:r w:rsidR="00B5507D">
              <w:rPr>
                <w:rFonts w:ascii="Fira Sans" w:hAnsi="Fira Sans" w:cs="Arial"/>
                <w:color w:val="000000"/>
                <w:sz w:val="16"/>
                <w:szCs w:val="16"/>
              </w:rPr>
              <w:t>nia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ogółem (brutto) w zł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250B5CB" w14:textId="77777777" w:rsidR="00DA1CCA" w:rsidRPr="00CC690C" w:rsidRDefault="00DA1CCA" w:rsidP="00E15F00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</w:t>
            </w:r>
            <w:r w:rsidR="00E15F00">
              <w:rPr>
                <w:rFonts w:ascii="Fira Sans" w:hAnsi="Fira Sans" w:cs="Arial"/>
                <w:color w:val="000000"/>
                <w:sz w:val="16"/>
                <w:szCs w:val="16"/>
              </w:rPr>
              <w:t>399,59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D5B0994" w14:textId="77777777" w:rsidR="00DA1CCA" w:rsidRPr="00CC690C" w:rsidRDefault="00426A32" w:rsidP="00E15F00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9</w:t>
            </w:r>
            <w:r w:rsidR="00E15F00">
              <w:rPr>
                <w:rFonts w:ascii="Fira Sans" w:hAnsi="Fira Sans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88B74FE" w14:textId="77777777" w:rsidR="00DA1CCA" w:rsidRPr="00CC690C" w:rsidRDefault="00426A32" w:rsidP="00E15F00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11</w:t>
            </w:r>
            <w:r w:rsidR="00E15F00">
              <w:rPr>
                <w:rFonts w:ascii="Fira Sans" w:hAnsi="Fira Sans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14:paraId="0914026D" w14:textId="77777777" w:rsidR="00DA1CCA" w:rsidRPr="00CC690C" w:rsidRDefault="00AD22EC" w:rsidP="00E15F00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</w:t>
            </w:r>
            <w:r w:rsidR="00426A32">
              <w:rPr>
                <w:rFonts w:ascii="Fira Sans" w:hAnsi="Fira Sans" w:cs="Arial"/>
                <w:color w:val="000000"/>
                <w:sz w:val="16"/>
                <w:szCs w:val="16"/>
              </w:rPr>
              <w:t>4</w:t>
            </w:r>
            <w:r w:rsidR="00E15F00">
              <w:rPr>
                <w:rFonts w:ascii="Fira Sans" w:hAnsi="Fira Sans" w:cs="Arial"/>
                <w:color w:val="000000"/>
                <w:sz w:val="16"/>
                <w:szCs w:val="16"/>
              </w:rPr>
              <w:t>21,97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14:paraId="5FADD461" w14:textId="77777777" w:rsidR="00DA1CCA" w:rsidRPr="00CC690C" w:rsidRDefault="00AD22EC" w:rsidP="00E15F00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</w:t>
            </w:r>
            <w:r w:rsidR="00426A32">
              <w:rPr>
                <w:rFonts w:ascii="Fira Sans" w:hAnsi="Fira Sans" w:cs="Arial"/>
                <w:color w:val="000000"/>
                <w:sz w:val="16"/>
                <w:szCs w:val="16"/>
              </w:rPr>
              <w:t>12,</w:t>
            </w:r>
            <w:r w:rsidR="00E15F00">
              <w:rPr>
                <w:rFonts w:ascii="Fira Sans" w:hAnsi="Fira Sans" w:cs="Arial"/>
                <w:color w:val="000000"/>
                <w:sz w:val="16"/>
                <w:szCs w:val="16"/>
              </w:rPr>
              <w:t>6</w:t>
            </w:r>
          </w:p>
        </w:tc>
      </w:tr>
      <w:tr w:rsidR="00DA1CCA" w:rsidRPr="002751A8" w14:paraId="5158D6AC" w14:textId="77777777" w:rsidTr="00F72CEE">
        <w:trPr>
          <w:trHeight w:val="760"/>
        </w:trPr>
        <w:tc>
          <w:tcPr>
            <w:tcW w:w="1985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9FE4A89" w14:textId="77777777" w:rsidR="00DA1CCA" w:rsidRPr="00CC690C" w:rsidRDefault="00DA1CCA" w:rsidP="00F72CEE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ind w:left="227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w tym bez wypłat 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 xml:space="preserve">z zysku 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B7E41D0" w14:textId="77777777" w:rsidR="00DA1CCA" w:rsidRPr="00CC690C" w:rsidRDefault="00AD22EC" w:rsidP="005E0694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</w:t>
            </w:r>
            <w:r w:rsidR="00E15F00">
              <w:rPr>
                <w:rFonts w:ascii="Fira Sans" w:hAnsi="Fira Sans" w:cs="Arial"/>
                <w:color w:val="000000"/>
                <w:sz w:val="16"/>
                <w:szCs w:val="16"/>
              </w:rPr>
              <w:t>398,94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5AF8C72" w14:textId="77777777" w:rsidR="00DA1CCA" w:rsidRPr="00CC690C" w:rsidRDefault="00426A32" w:rsidP="00E15F00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9</w:t>
            </w:r>
            <w:r w:rsidR="00E15F00">
              <w:rPr>
                <w:rFonts w:ascii="Fira Sans" w:hAnsi="Fira Sans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AABE0FB" w14:textId="77777777" w:rsidR="00DA1CCA" w:rsidRPr="00CC690C" w:rsidRDefault="00426A32" w:rsidP="00E15F00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11</w:t>
            </w:r>
            <w:r w:rsidR="00E15F00">
              <w:rPr>
                <w:rFonts w:ascii="Fira Sans" w:hAnsi="Fira Sans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center"/>
          </w:tcPr>
          <w:p w14:paraId="3EE2E8C8" w14:textId="77777777" w:rsidR="00DA1CCA" w:rsidRPr="00CC690C" w:rsidRDefault="00AD22EC" w:rsidP="00E15F00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</w:t>
            </w:r>
            <w:r w:rsidR="00426A32">
              <w:rPr>
                <w:rFonts w:ascii="Fira Sans" w:hAnsi="Fira Sans" w:cs="Arial"/>
                <w:color w:val="000000"/>
                <w:sz w:val="16"/>
                <w:szCs w:val="16"/>
              </w:rPr>
              <w:t>4</w:t>
            </w:r>
            <w:r w:rsidR="00E15F00">
              <w:rPr>
                <w:rFonts w:ascii="Fira Sans" w:hAnsi="Fira Sans" w:cs="Arial"/>
                <w:color w:val="000000"/>
                <w:sz w:val="16"/>
                <w:szCs w:val="16"/>
              </w:rPr>
              <w:t>21,69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</w:tcBorders>
            <w:vAlign w:val="center"/>
          </w:tcPr>
          <w:p w14:paraId="22091434" w14:textId="77777777" w:rsidR="00DA1CCA" w:rsidRPr="00CC690C" w:rsidRDefault="00AD22EC" w:rsidP="00E15F00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11</w:t>
            </w:r>
            <w:r w:rsidR="00426A32">
              <w:rPr>
                <w:rFonts w:ascii="Fira Sans" w:hAnsi="Fira Sans" w:cs="Arial"/>
                <w:color w:val="000000"/>
                <w:sz w:val="16"/>
                <w:szCs w:val="16"/>
              </w:rPr>
              <w:t>2,</w:t>
            </w:r>
            <w:r w:rsidR="00E15F00">
              <w:rPr>
                <w:rFonts w:ascii="Fira Sans" w:hAnsi="Fira Sans" w:cs="Arial"/>
                <w:color w:val="000000"/>
                <w:sz w:val="16"/>
                <w:szCs w:val="16"/>
              </w:rPr>
              <w:t>6</w:t>
            </w:r>
          </w:p>
        </w:tc>
      </w:tr>
    </w:tbl>
    <w:p w14:paraId="58305EC6" w14:textId="77777777" w:rsidR="00B07A14" w:rsidRDefault="00B07A14" w:rsidP="005A3892">
      <w:pPr>
        <w:spacing w:line="288" w:lineRule="auto"/>
        <w:rPr>
          <w:rFonts w:eastAsia="Calibri"/>
          <w:shd w:val="clear" w:color="auto" w:fill="FFFFFF"/>
        </w:rPr>
      </w:pPr>
    </w:p>
    <w:p w14:paraId="52B0A70C" w14:textId="77777777" w:rsidR="00E46E44" w:rsidRDefault="00CB13DD" w:rsidP="005A3892">
      <w:pPr>
        <w:spacing w:line="288" w:lineRule="auto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lastRenderedPageBreak/>
        <w:t xml:space="preserve">W </w:t>
      </w:r>
      <w:r w:rsidR="00B85614">
        <w:rPr>
          <w:rFonts w:eastAsia="Calibri"/>
          <w:shd w:val="clear" w:color="auto" w:fill="FFFFFF"/>
        </w:rPr>
        <w:t>maju</w:t>
      </w:r>
      <w:r w:rsidR="00EB46DB">
        <w:rPr>
          <w:rFonts w:eastAsia="Calibri"/>
          <w:shd w:val="clear" w:color="auto" w:fill="FFFFFF"/>
        </w:rPr>
        <w:t xml:space="preserve"> w porównaniu z </w:t>
      </w:r>
      <w:r w:rsidR="00B85614">
        <w:rPr>
          <w:rFonts w:eastAsia="Calibri"/>
          <w:shd w:val="clear" w:color="auto" w:fill="FFFFFF"/>
        </w:rPr>
        <w:t>kwietniem</w:t>
      </w:r>
      <w:r w:rsidR="00EB46DB">
        <w:rPr>
          <w:rFonts w:eastAsia="Calibri"/>
          <w:shd w:val="clear" w:color="auto" w:fill="FFFFFF"/>
        </w:rPr>
        <w:t xml:space="preserve"> </w:t>
      </w:r>
      <w:r>
        <w:rPr>
          <w:rFonts w:eastAsia="Calibri"/>
          <w:shd w:val="clear" w:color="auto" w:fill="FFFFFF"/>
        </w:rPr>
        <w:t xml:space="preserve">2022 r. </w:t>
      </w:r>
      <w:r w:rsidRPr="006F44E3">
        <w:rPr>
          <w:rFonts w:eastAsia="Calibri"/>
          <w:b/>
          <w:shd w:val="clear" w:color="auto" w:fill="FFFFFF"/>
        </w:rPr>
        <w:t>przeciętne zatrudnienie w sektorze przedsiębiorstw</w:t>
      </w:r>
      <w:r>
        <w:rPr>
          <w:rFonts w:eastAsia="Calibri"/>
          <w:shd w:val="clear" w:color="auto" w:fill="FFFFFF"/>
        </w:rPr>
        <w:t xml:space="preserve"> </w:t>
      </w:r>
      <w:r w:rsidR="00B85614">
        <w:rPr>
          <w:rFonts w:eastAsia="Calibri"/>
          <w:shd w:val="clear" w:color="auto" w:fill="FFFFFF"/>
        </w:rPr>
        <w:t>zmniejszyło</w:t>
      </w:r>
      <w:r>
        <w:rPr>
          <w:rFonts w:eastAsia="Calibri"/>
          <w:shd w:val="clear" w:color="auto" w:fill="FFFFFF"/>
        </w:rPr>
        <w:t xml:space="preserve"> się minimalnie </w:t>
      </w:r>
      <w:r w:rsidR="00860400">
        <w:rPr>
          <w:rFonts w:eastAsia="Calibri"/>
          <w:shd w:val="clear" w:color="auto" w:fill="FFFFFF"/>
        </w:rPr>
        <w:t>(</w:t>
      </w:r>
      <w:r>
        <w:rPr>
          <w:rFonts w:eastAsia="Calibri"/>
          <w:shd w:val="clear" w:color="auto" w:fill="FFFFFF"/>
        </w:rPr>
        <w:t>o 0,</w:t>
      </w:r>
      <w:r w:rsidR="00B85614">
        <w:rPr>
          <w:rFonts w:eastAsia="Calibri"/>
          <w:shd w:val="clear" w:color="auto" w:fill="FFFFFF"/>
        </w:rPr>
        <w:t>1</w:t>
      </w:r>
      <w:r>
        <w:rPr>
          <w:rFonts w:eastAsia="Calibri"/>
          <w:shd w:val="clear" w:color="auto" w:fill="FFFFFF"/>
        </w:rPr>
        <w:t>%</w:t>
      </w:r>
      <w:r w:rsidR="00860400">
        <w:rPr>
          <w:rFonts w:eastAsia="Calibri"/>
          <w:shd w:val="clear" w:color="auto" w:fill="FFFFFF"/>
        </w:rPr>
        <w:t>)</w:t>
      </w:r>
      <w:r w:rsidR="00EB46DB">
        <w:rPr>
          <w:rFonts w:eastAsia="Calibri"/>
          <w:shd w:val="clear" w:color="auto" w:fill="FFFFFF"/>
        </w:rPr>
        <w:t xml:space="preserve">, </w:t>
      </w:r>
      <w:r w:rsidR="00860400">
        <w:rPr>
          <w:rFonts w:eastAsia="Calibri"/>
          <w:shd w:val="clear" w:color="auto" w:fill="FFFFFF"/>
        </w:rPr>
        <w:t xml:space="preserve">w </w:t>
      </w:r>
      <w:r w:rsidR="00EB46DB">
        <w:rPr>
          <w:rFonts w:eastAsia="Calibri"/>
          <w:shd w:val="clear" w:color="auto" w:fill="FFFFFF"/>
        </w:rPr>
        <w:t xml:space="preserve">przeciwieństwie do </w:t>
      </w:r>
      <w:r w:rsidR="00B85614">
        <w:rPr>
          <w:rFonts w:eastAsia="Calibri"/>
          <w:shd w:val="clear" w:color="auto" w:fill="FFFFFF"/>
        </w:rPr>
        <w:t>maja</w:t>
      </w:r>
      <w:r w:rsidR="00EB46DB">
        <w:rPr>
          <w:rFonts w:eastAsia="Calibri"/>
          <w:shd w:val="clear" w:color="auto" w:fill="FFFFFF"/>
        </w:rPr>
        <w:t xml:space="preserve"> 2021 </w:t>
      </w:r>
      <w:r w:rsidR="006F2A22">
        <w:rPr>
          <w:rFonts w:eastAsia="Calibri"/>
          <w:shd w:val="clear" w:color="auto" w:fill="FFFFFF"/>
        </w:rPr>
        <w:t xml:space="preserve">r. </w:t>
      </w:r>
      <w:r w:rsidR="00EB46DB">
        <w:rPr>
          <w:rFonts w:eastAsia="Calibri"/>
          <w:shd w:val="clear" w:color="auto" w:fill="FFFFFF"/>
        </w:rPr>
        <w:t xml:space="preserve">kiedy to względem </w:t>
      </w:r>
      <w:r w:rsidR="00B85614">
        <w:rPr>
          <w:rFonts w:eastAsia="Calibri"/>
          <w:shd w:val="clear" w:color="auto" w:fill="FFFFFF"/>
        </w:rPr>
        <w:t>kwietnia</w:t>
      </w:r>
      <w:r w:rsidR="00EB46DB">
        <w:rPr>
          <w:rFonts w:eastAsia="Calibri"/>
          <w:shd w:val="clear" w:color="auto" w:fill="FFFFFF"/>
        </w:rPr>
        <w:t xml:space="preserve"> 2021 </w:t>
      </w:r>
      <w:r w:rsidR="00C872D6">
        <w:rPr>
          <w:rFonts w:eastAsia="Calibri"/>
          <w:shd w:val="clear" w:color="auto" w:fill="FFFFFF"/>
        </w:rPr>
        <w:t xml:space="preserve">r. </w:t>
      </w:r>
      <w:r w:rsidR="00EB46DB">
        <w:rPr>
          <w:rFonts w:eastAsia="Calibri"/>
          <w:shd w:val="clear" w:color="auto" w:fill="FFFFFF"/>
        </w:rPr>
        <w:t xml:space="preserve">widoczny był jego </w:t>
      </w:r>
      <w:r w:rsidR="005E0694">
        <w:rPr>
          <w:rFonts w:eastAsia="Calibri"/>
          <w:shd w:val="clear" w:color="auto" w:fill="FFFFFF"/>
        </w:rPr>
        <w:t>niewielki</w:t>
      </w:r>
      <w:r w:rsidR="00EB46DB">
        <w:rPr>
          <w:rFonts w:eastAsia="Calibri"/>
          <w:shd w:val="clear" w:color="auto" w:fill="FFFFFF"/>
        </w:rPr>
        <w:t xml:space="preserve"> </w:t>
      </w:r>
      <w:r w:rsidR="00B85614">
        <w:rPr>
          <w:rFonts w:eastAsia="Calibri"/>
          <w:shd w:val="clear" w:color="auto" w:fill="FFFFFF"/>
        </w:rPr>
        <w:t>wzrost</w:t>
      </w:r>
      <w:r w:rsidR="00EB46DB">
        <w:rPr>
          <w:rFonts w:eastAsia="Calibri"/>
          <w:shd w:val="clear" w:color="auto" w:fill="FFFFFF"/>
        </w:rPr>
        <w:t xml:space="preserve"> (o 0,</w:t>
      </w:r>
      <w:r w:rsidR="00B85614">
        <w:rPr>
          <w:rFonts w:eastAsia="Calibri"/>
          <w:shd w:val="clear" w:color="auto" w:fill="FFFFFF"/>
        </w:rPr>
        <w:t>3</w:t>
      </w:r>
      <w:r w:rsidR="00EB46DB">
        <w:rPr>
          <w:rFonts w:eastAsia="Calibri"/>
          <w:shd w:val="clear" w:color="auto" w:fill="FFFFFF"/>
        </w:rPr>
        <w:t>%)</w:t>
      </w:r>
      <w:r w:rsidR="00937591">
        <w:rPr>
          <w:rFonts w:eastAsia="Calibri"/>
          <w:shd w:val="clear" w:color="auto" w:fill="FFFFFF"/>
        </w:rPr>
        <w:t xml:space="preserve"> </w:t>
      </w:r>
      <w:r w:rsidR="00937591" w:rsidRPr="00937591">
        <w:rPr>
          <w:rFonts w:eastAsia="Calibri"/>
          <w:shd w:val="clear" w:color="auto" w:fill="FFFFFF"/>
        </w:rPr>
        <w:t>związany z przyjęciami do pracy i zwiększaniem wymiaru etatów pracowników do poziomu sprzed pandemii.</w:t>
      </w:r>
      <w:r w:rsidR="00EB46DB">
        <w:rPr>
          <w:rFonts w:eastAsia="Calibri"/>
          <w:shd w:val="clear" w:color="auto" w:fill="FFFFFF"/>
        </w:rPr>
        <w:t xml:space="preserve"> </w:t>
      </w:r>
      <w:r w:rsidR="00737A7A">
        <w:rPr>
          <w:rFonts w:eastAsia="Calibri"/>
          <w:shd w:val="clear" w:color="auto" w:fill="FFFFFF"/>
        </w:rPr>
        <w:t>Zmniejszenie</w:t>
      </w:r>
      <w:r w:rsidR="00E46E44">
        <w:rPr>
          <w:rFonts w:eastAsia="Calibri"/>
          <w:shd w:val="clear" w:color="auto" w:fill="FFFFFF"/>
        </w:rPr>
        <w:t xml:space="preserve"> przeciętn</w:t>
      </w:r>
      <w:r w:rsidR="00860400">
        <w:rPr>
          <w:rFonts w:eastAsia="Calibri"/>
          <w:shd w:val="clear" w:color="auto" w:fill="FFFFFF"/>
        </w:rPr>
        <w:t>ego zatrudnienia w </w:t>
      </w:r>
      <w:r w:rsidR="00737A7A">
        <w:rPr>
          <w:rFonts w:eastAsia="Calibri"/>
          <w:shd w:val="clear" w:color="auto" w:fill="FFFFFF"/>
        </w:rPr>
        <w:t>maju</w:t>
      </w:r>
      <w:r w:rsidR="006F6EE4">
        <w:rPr>
          <w:rFonts w:eastAsia="Calibri"/>
          <w:shd w:val="clear" w:color="auto" w:fill="FFFFFF"/>
        </w:rPr>
        <w:t xml:space="preserve"> 2022</w:t>
      </w:r>
      <w:r w:rsidR="00AF195C">
        <w:rPr>
          <w:rFonts w:eastAsia="Calibri"/>
          <w:shd w:val="clear" w:color="auto" w:fill="FFFFFF"/>
        </w:rPr>
        <w:t xml:space="preserve"> r. był</w:t>
      </w:r>
      <w:r w:rsidR="00FC03C3">
        <w:rPr>
          <w:rFonts w:eastAsia="Calibri"/>
          <w:shd w:val="clear" w:color="auto" w:fill="FFFFFF"/>
        </w:rPr>
        <w:t>o</w:t>
      </w:r>
      <w:r w:rsidR="00AF195C">
        <w:rPr>
          <w:rFonts w:eastAsia="Calibri"/>
          <w:shd w:val="clear" w:color="auto" w:fill="FFFFFF"/>
        </w:rPr>
        <w:t xml:space="preserve"> wynikiem</w:t>
      </w:r>
      <w:r w:rsidR="00E46E44">
        <w:rPr>
          <w:rFonts w:eastAsia="Calibri"/>
          <w:shd w:val="clear" w:color="auto" w:fill="FFFFFF"/>
        </w:rPr>
        <w:t xml:space="preserve"> m.in. </w:t>
      </w:r>
      <w:r w:rsidR="00737A7A">
        <w:rPr>
          <w:rFonts w:eastAsia="Calibri"/>
          <w:shd w:val="clear" w:color="auto" w:fill="FFFFFF"/>
        </w:rPr>
        <w:t>zwolnień</w:t>
      </w:r>
      <w:r w:rsidR="00DC101F">
        <w:rPr>
          <w:rFonts w:eastAsia="Calibri"/>
          <w:shd w:val="clear" w:color="auto" w:fill="FFFFFF"/>
        </w:rPr>
        <w:t xml:space="preserve"> </w:t>
      </w:r>
      <w:r w:rsidR="00EF40B0">
        <w:rPr>
          <w:rFonts w:eastAsia="Calibri"/>
          <w:shd w:val="clear" w:color="auto" w:fill="FFFFFF"/>
        </w:rPr>
        <w:t>w jednostkach</w:t>
      </w:r>
      <w:r w:rsidR="009B0DAE">
        <w:rPr>
          <w:rFonts w:eastAsia="Calibri"/>
          <w:shd w:val="clear" w:color="auto" w:fill="FFFFFF"/>
        </w:rPr>
        <w:t>,</w:t>
      </w:r>
      <w:r w:rsidR="00EF40B0">
        <w:rPr>
          <w:rFonts w:eastAsia="Calibri"/>
          <w:shd w:val="clear" w:color="auto" w:fill="FFFFFF"/>
        </w:rPr>
        <w:t xml:space="preserve"> </w:t>
      </w:r>
      <w:r w:rsidR="00737A7A">
        <w:rPr>
          <w:rFonts w:eastAsia="Calibri"/>
          <w:shd w:val="clear" w:color="auto" w:fill="FFFFFF"/>
        </w:rPr>
        <w:t xml:space="preserve">zakończenia </w:t>
      </w:r>
      <w:r w:rsidR="000D327B">
        <w:rPr>
          <w:rFonts w:eastAsia="Calibri"/>
          <w:shd w:val="clear" w:color="auto" w:fill="FFFFFF"/>
        </w:rPr>
        <w:t>umów</w:t>
      </w:r>
      <w:r w:rsidR="00737A7A">
        <w:rPr>
          <w:rFonts w:eastAsia="Calibri"/>
          <w:shd w:val="clear" w:color="auto" w:fill="FFFFFF"/>
        </w:rPr>
        <w:t xml:space="preserve"> i nie przedłużania </w:t>
      </w:r>
      <w:r w:rsidR="000D327B">
        <w:rPr>
          <w:rFonts w:eastAsia="Calibri"/>
          <w:shd w:val="clear" w:color="auto" w:fill="FFFFFF"/>
        </w:rPr>
        <w:t xml:space="preserve">ich </w:t>
      </w:r>
      <w:r w:rsidR="00737A7A">
        <w:rPr>
          <w:rFonts w:eastAsia="Calibri"/>
          <w:shd w:val="clear" w:color="auto" w:fill="FFFFFF"/>
        </w:rPr>
        <w:t xml:space="preserve">oraz zwiększonej absencji pracowników z powodu </w:t>
      </w:r>
      <w:r w:rsidR="00EF40B0">
        <w:rPr>
          <w:rFonts w:eastAsia="Calibri"/>
          <w:shd w:val="clear" w:color="auto" w:fill="FFFFFF"/>
        </w:rPr>
        <w:t>zasiłków chorobowych</w:t>
      </w:r>
      <w:r w:rsidR="00737A7A">
        <w:rPr>
          <w:rFonts w:eastAsia="Calibri"/>
          <w:shd w:val="clear" w:color="auto" w:fill="FFFFFF"/>
        </w:rPr>
        <w:t>.</w:t>
      </w:r>
    </w:p>
    <w:p w14:paraId="5E055E62" w14:textId="77777777" w:rsidR="004563EB" w:rsidRDefault="004563EB" w:rsidP="005A3892">
      <w:pPr>
        <w:spacing w:line="288" w:lineRule="auto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Porównując </w:t>
      </w:r>
      <w:r w:rsidR="000D327B">
        <w:rPr>
          <w:rFonts w:eastAsia="Calibri"/>
          <w:shd w:val="clear" w:color="auto" w:fill="FFFFFF"/>
        </w:rPr>
        <w:t>maj</w:t>
      </w:r>
      <w:r>
        <w:rPr>
          <w:rFonts w:eastAsia="Calibri"/>
          <w:shd w:val="clear" w:color="auto" w:fill="FFFFFF"/>
        </w:rPr>
        <w:t xml:space="preserve"> 2022 r. do </w:t>
      </w:r>
      <w:r w:rsidR="000D327B">
        <w:rPr>
          <w:rFonts w:eastAsia="Calibri"/>
          <w:shd w:val="clear" w:color="auto" w:fill="FFFFFF"/>
        </w:rPr>
        <w:t>maja</w:t>
      </w:r>
      <w:r>
        <w:rPr>
          <w:rFonts w:eastAsia="Calibri"/>
          <w:shd w:val="clear" w:color="auto" w:fill="FFFFFF"/>
        </w:rPr>
        <w:t xml:space="preserve"> 2021 r., przeciętne zatrudnienie w sektorze przedsiębiorstw zwiększyło się o 2,</w:t>
      </w:r>
      <w:r w:rsidR="000D327B">
        <w:rPr>
          <w:rFonts w:eastAsia="Calibri"/>
          <w:shd w:val="clear" w:color="auto" w:fill="FFFFFF"/>
        </w:rPr>
        <w:t>4</w:t>
      </w:r>
      <w:r w:rsidR="00860400">
        <w:rPr>
          <w:rFonts w:eastAsia="Calibri"/>
          <w:shd w:val="clear" w:color="auto" w:fill="FFFFFF"/>
        </w:rPr>
        <w:t>%</w:t>
      </w:r>
      <w:r>
        <w:rPr>
          <w:rFonts w:eastAsia="Calibri"/>
          <w:shd w:val="clear" w:color="auto" w:fill="FFFFFF"/>
        </w:rPr>
        <w:t xml:space="preserve">, podczas gdy w </w:t>
      </w:r>
      <w:r w:rsidR="000D327B">
        <w:rPr>
          <w:rFonts w:eastAsia="Calibri"/>
          <w:shd w:val="clear" w:color="auto" w:fill="FFFFFF"/>
        </w:rPr>
        <w:t>maju</w:t>
      </w:r>
      <w:r>
        <w:rPr>
          <w:rFonts w:eastAsia="Calibri"/>
          <w:shd w:val="clear" w:color="auto" w:fill="FFFFFF"/>
        </w:rPr>
        <w:t xml:space="preserve"> 2021 r. </w:t>
      </w:r>
      <w:r w:rsidR="006041BC">
        <w:t xml:space="preserve">odnotowany w skali roku wzrost </w:t>
      </w:r>
      <w:r w:rsidR="000D327B">
        <w:t xml:space="preserve">był </w:t>
      </w:r>
      <w:r w:rsidR="005E0694">
        <w:t>nieco wyższy</w:t>
      </w:r>
      <w:r w:rsidR="000D327B">
        <w:t xml:space="preserve"> i </w:t>
      </w:r>
      <w:r w:rsidR="005E0694">
        <w:t>wyniósł</w:t>
      </w:r>
      <w:r w:rsidR="006041BC">
        <w:t xml:space="preserve"> </w:t>
      </w:r>
      <w:r w:rsidR="000D327B">
        <w:t>2</w:t>
      </w:r>
      <w:r w:rsidR="00EB46DB">
        <w:rPr>
          <w:rFonts w:eastAsia="Calibri"/>
          <w:shd w:val="clear" w:color="auto" w:fill="FFFFFF"/>
        </w:rPr>
        <w:t>,</w:t>
      </w:r>
      <w:r w:rsidR="000D327B">
        <w:rPr>
          <w:rFonts w:eastAsia="Calibri"/>
          <w:shd w:val="clear" w:color="auto" w:fill="FFFFFF"/>
        </w:rPr>
        <w:t>7</w:t>
      </w:r>
      <w:r>
        <w:rPr>
          <w:rFonts w:eastAsia="Calibri"/>
          <w:shd w:val="clear" w:color="auto" w:fill="FFFFFF"/>
        </w:rPr>
        <w:t>%.</w:t>
      </w:r>
    </w:p>
    <w:p w14:paraId="0F02CC71" w14:textId="77777777" w:rsidR="001D1EEB" w:rsidRDefault="005A3892" w:rsidP="005A3892">
      <w:pPr>
        <w:pStyle w:val="Tytuwykresu0"/>
      </w:pPr>
      <w:r w:rsidRPr="005A3892">
        <w:t>Wykres 1. Przeciętne zatrudnienie w sektorze pr</w:t>
      </w:r>
      <w:r>
        <w:t>zedsiębiorstw</w:t>
      </w:r>
      <w:r w:rsidR="003F4401" w:rsidRPr="003F4401">
        <w:t xml:space="preserve"> </w:t>
      </w:r>
      <w:r w:rsidR="00C8766C" w:rsidRPr="00C8766C">
        <w:drawing>
          <wp:anchor distT="0" distB="0" distL="114300" distR="114300" simplePos="0" relativeHeight="251768832" behindDoc="0" locked="1" layoutInCell="1" allowOverlap="1" wp14:anchorId="79146D3E" wp14:editId="1FAFE767">
            <wp:simplePos x="0" y="0"/>
            <wp:positionH relativeFrom="column">
              <wp:posOffset>22860</wp:posOffset>
            </wp:positionH>
            <wp:positionV relativeFrom="paragraph">
              <wp:posOffset>492125</wp:posOffset>
            </wp:positionV>
            <wp:extent cx="5124450" cy="3156585"/>
            <wp:effectExtent l="19050" t="0" r="0" b="0"/>
            <wp:wrapTopAndBottom/>
            <wp:docPr id="2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7969C1AC" w14:textId="77777777" w:rsidR="001D1EEB" w:rsidRDefault="00FC269E" w:rsidP="00251EAD">
      <w:pPr>
        <w:pStyle w:val="Tytuwykresu0"/>
        <w:spacing w:before="120" w:line="288" w:lineRule="auto"/>
        <w:rPr>
          <w:rFonts w:ascii="Fira Sans" w:hAnsi="Fira Sans"/>
          <w:b w:val="0"/>
          <w:bCs w:val="0"/>
          <w:noProof w:val="0"/>
          <w:szCs w:val="19"/>
        </w:rPr>
      </w:pPr>
      <w:r>
        <w:rPr>
          <w:rFonts w:ascii="Fira Sans" w:hAnsi="Fira Sans"/>
          <w:b w:val="0"/>
          <w:bCs w:val="0"/>
          <w:noProof w:val="0"/>
          <w:szCs w:val="19"/>
        </w:rPr>
        <w:br/>
      </w:r>
      <w:r w:rsidR="00D25A05" w:rsidRPr="00A711CD">
        <w:rPr>
          <w:rFonts w:ascii="Fira Sans" w:hAnsi="Fira Sans"/>
          <w:b w:val="0"/>
          <w:bCs w:val="0"/>
          <w:noProof w:val="0"/>
          <w:szCs w:val="19"/>
        </w:rPr>
        <w:t>W związku z zaistniałą sytuacją</w:t>
      </w:r>
      <w:r w:rsidR="00D25A05" w:rsidRPr="00841E07">
        <w:rPr>
          <w:rFonts w:ascii="Fira Sans" w:hAnsi="Fira Sans"/>
          <w:b w:val="0"/>
          <w:bCs w:val="0"/>
          <w:noProof w:val="0"/>
          <w:szCs w:val="19"/>
        </w:rPr>
        <w:t xml:space="preserve"> epidemiczną i jej wpływem na rynek pracy, od marca do maja 2020 r. odnotowywano spadek przeciętnego zatrudnienia w sektorze przedsiębiorstw miesiąc do miesiąca, natomiast od czerwca 2020 r. do grudnia 2020 r. zaobserwowano jego wzrost. W 2021 roku przeciętne zatrudnienie ulegało niewielkim zmianom, jednak </w:t>
      </w:r>
      <w:r w:rsidR="00966417">
        <w:rPr>
          <w:rFonts w:ascii="Fira Sans" w:hAnsi="Fira Sans"/>
          <w:b w:val="0"/>
          <w:bCs w:val="0"/>
          <w:noProof w:val="0"/>
          <w:szCs w:val="19"/>
        </w:rPr>
        <w:t>do grudnia 2021 r.</w:t>
      </w:r>
      <w:r w:rsidR="00D25A05" w:rsidRPr="00841E07">
        <w:rPr>
          <w:rFonts w:ascii="Fira Sans" w:hAnsi="Fira Sans"/>
          <w:b w:val="0"/>
          <w:bCs w:val="0"/>
          <w:noProof w:val="0"/>
          <w:szCs w:val="19"/>
        </w:rPr>
        <w:t xml:space="preserve"> nie powróciło do wartości odnotowywanych na początku 2020 r. </w:t>
      </w:r>
      <w:r w:rsidR="00EB46DB">
        <w:rPr>
          <w:rFonts w:ascii="Fira Sans" w:hAnsi="Fira Sans"/>
          <w:b w:val="0"/>
          <w:bCs w:val="0"/>
          <w:noProof w:val="0"/>
          <w:szCs w:val="19"/>
        </w:rPr>
        <w:t>Od początku 2022 roku</w:t>
      </w:r>
      <w:r w:rsidR="000603BD">
        <w:rPr>
          <w:rFonts w:ascii="Fira Sans" w:hAnsi="Fira Sans"/>
          <w:b w:val="0"/>
          <w:bCs w:val="0"/>
          <w:noProof w:val="0"/>
          <w:szCs w:val="19"/>
        </w:rPr>
        <w:t xml:space="preserve"> do kwietnia 2022 r. </w:t>
      </w:r>
      <w:r w:rsidR="00EB46DB">
        <w:rPr>
          <w:rFonts w:ascii="Fira Sans" w:hAnsi="Fira Sans"/>
          <w:b w:val="0"/>
          <w:bCs w:val="0"/>
          <w:noProof w:val="0"/>
          <w:szCs w:val="19"/>
        </w:rPr>
        <w:t xml:space="preserve"> widoczny </w:t>
      </w:r>
      <w:r w:rsidR="000603BD">
        <w:rPr>
          <w:rFonts w:ascii="Fira Sans" w:hAnsi="Fira Sans"/>
          <w:b w:val="0"/>
          <w:bCs w:val="0"/>
          <w:noProof w:val="0"/>
          <w:szCs w:val="19"/>
        </w:rPr>
        <w:t>był</w:t>
      </w:r>
      <w:r w:rsidR="00EB46DB">
        <w:rPr>
          <w:rFonts w:ascii="Fira Sans" w:hAnsi="Fira Sans"/>
          <w:b w:val="0"/>
          <w:bCs w:val="0"/>
          <w:noProof w:val="0"/>
          <w:szCs w:val="19"/>
        </w:rPr>
        <w:t xml:space="preserve"> </w:t>
      </w:r>
      <w:r w:rsidR="00921C4F">
        <w:rPr>
          <w:rFonts w:ascii="Fira Sans" w:hAnsi="Fira Sans"/>
          <w:b w:val="0"/>
          <w:bCs w:val="0"/>
          <w:noProof w:val="0"/>
          <w:szCs w:val="19"/>
        </w:rPr>
        <w:t>wzrost przeciętnego zatrudnienia</w:t>
      </w:r>
      <w:r w:rsidR="000603BD">
        <w:rPr>
          <w:rFonts w:ascii="Fira Sans" w:hAnsi="Fira Sans"/>
          <w:b w:val="0"/>
          <w:bCs w:val="0"/>
          <w:noProof w:val="0"/>
          <w:szCs w:val="19"/>
        </w:rPr>
        <w:t xml:space="preserve"> w</w:t>
      </w:r>
      <w:r w:rsidR="00C8766C">
        <w:rPr>
          <w:rFonts w:ascii="Fira Sans" w:hAnsi="Fira Sans"/>
          <w:b w:val="0"/>
          <w:bCs w:val="0"/>
          <w:noProof w:val="0"/>
          <w:szCs w:val="19"/>
        </w:rPr>
        <w:t xml:space="preserve">zględem poprzedniego miesiąca, natomiast w </w:t>
      </w:r>
      <w:r w:rsidR="000603BD">
        <w:rPr>
          <w:rFonts w:ascii="Fira Sans" w:hAnsi="Fira Sans"/>
          <w:b w:val="0"/>
          <w:bCs w:val="0"/>
          <w:noProof w:val="0"/>
          <w:szCs w:val="19"/>
        </w:rPr>
        <w:t>maju</w:t>
      </w:r>
      <w:r w:rsidR="00921C4F">
        <w:rPr>
          <w:rFonts w:ascii="Fira Sans" w:hAnsi="Fira Sans"/>
          <w:b w:val="0"/>
          <w:bCs w:val="0"/>
          <w:noProof w:val="0"/>
          <w:szCs w:val="19"/>
        </w:rPr>
        <w:t xml:space="preserve"> 2022 r. </w:t>
      </w:r>
      <w:r w:rsidR="009F2346">
        <w:rPr>
          <w:rFonts w:ascii="Fira Sans" w:hAnsi="Fira Sans"/>
          <w:b w:val="0"/>
          <w:bCs w:val="0"/>
          <w:noProof w:val="0"/>
          <w:szCs w:val="19"/>
        </w:rPr>
        <w:t>w porównaniu do</w:t>
      </w:r>
      <w:r w:rsidR="00921C4F">
        <w:rPr>
          <w:rFonts w:ascii="Fira Sans" w:hAnsi="Fira Sans"/>
          <w:b w:val="0"/>
          <w:bCs w:val="0"/>
          <w:noProof w:val="0"/>
          <w:szCs w:val="19"/>
        </w:rPr>
        <w:t xml:space="preserve"> </w:t>
      </w:r>
      <w:r w:rsidR="000603BD">
        <w:rPr>
          <w:rFonts w:ascii="Fira Sans" w:hAnsi="Fira Sans"/>
          <w:b w:val="0"/>
          <w:bCs w:val="0"/>
          <w:noProof w:val="0"/>
          <w:szCs w:val="19"/>
        </w:rPr>
        <w:t>kwietnia</w:t>
      </w:r>
      <w:r w:rsidR="00921C4F">
        <w:rPr>
          <w:rFonts w:ascii="Fira Sans" w:hAnsi="Fira Sans"/>
          <w:b w:val="0"/>
          <w:bCs w:val="0"/>
          <w:noProof w:val="0"/>
          <w:szCs w:val="19"/>
        </w:rPr>
        <w:t xml:space="preserve"> 2022 r. </w:t>
      </w:r>
      <w:r w:rsidR="000603BD">
        <w:rPr>
          <w:rFonts w:ascii="Fira Sans" w:hAnsi="Fira Sans"/>
          <w:b w:val="0"/>
          <w:bCs w:val="0"/>
          <w:noProof w:val="0"/>
          <w:szCs w:val="19"/>
        </w:rPr>
        <w:t xml:space="preserve">odnotowano jego </w:t>
      </w:r>
      <w:r w:rsidR="00937591">
        <w:rPr>
          <w:rFonts w:ascii="Fira Sans" w:hAnsi="Fira Sans"/>
          <w:b w:val="0"/>
          <w:bCs w:val="0"/>
          <w:noProof w:val="0"/>
          <w:szCs w:val="19"/>
        </w:rPr>
        <w:t xml:space="preserve">niewielki </w:t>
      </w:r>
      <w:r w:rsidR="000603BD">
        <w:rPr>
          <w:rFonts w:ascii="Fira Sans" w:hAnsi="Fira Sans"/>
          <w:b w:val="0"/>
          <w:bCs w:val="0"/>
          <w:noProof w:val="0"/>
          <w:szCs w:val="19"/>
        </w:rPr>
        <w:t>spadek o ok. 5</w:t>
      </w:r>
      <w:r w:rsidR="00921C4F">
        <w:rPr>
          <w:rFonts w:ascii="Fira Sans" w:hAnsi="Fira Sans"/>
          <w:b w:val="0"/>
          <w:bCs w:val="0"/>
          <w:noProof w:val="0"/>
          <w:szCs w:val="19"/>
        </w:rPr>
        <w:t xml:space="preserve"> tys. etatów.</w:t>
      </w:r>
      <w:r w:rsidR="00966417">
        <w:rPr>
          <w:rFonts w:ascii="Fira Sans" w:hAnsi="Fira Sans"/>
          <w:b w:val="0"/>
          <w:bCs w:val="0"/>
          <w:noProof w:val="0"/>
          <w:szCs w:val="19"/>
        </w:rPr>
        <w:t xml:space="preserve"> </w:t>
      </w:r>
    </w:p>
    <w:p w14:paraId="6937CD48" w14:textId="77777777" w:rsidR="00FC03C3" w:rsidRDefault="00CB071C" w:rsidP="00251EAD">
      <w:pPr>
        <w:spacing w:line="288" w:lineRule="auto"/>
        <w:rPr>
          <w:szCs w:val="19"/>
        </w:rPr>
      </w:pPr>
      <w:r>
        <w:rPr>
          <w:noProof/>
          <w:szCs w:val="19"/>
          <w:lang w:eastAsia="pl-PL"/>
        </w:rPr>
        <w:pict w14:anchorId="3A4D18FC">
          <v:shape id="_x0000_s2059" type="#_x0000_t202" alt="Pole tekstowe: Przeciętne miesięczne wynagrodzenie brutto w sektorze przedsiębiorstw obejmuje wynagrodzenie zasadnicze oraz dodatkowe składowe wynagrodzeń, m.in. premie, nagrody, wynagrodzenie za płacę w godzinach nadliczbowych oraz odprawy emerytalne " style="position:absolute;margin-left:412.15pt;margin-top:-15.5pt;width:135.85pt;height:142.5pt;z-index:-251551744;visibility:visible;mso-wrap-distance-top:3.6pt;mso-wrap-distance-bottom:3.6pt;mso-width-relative:margin;mso-height-relative:margin" wrapcoords="0 0" filled="f" stroked="f">
            <v:textbox style="mso-next-textbox:#_x0000_s2059">
              <w:txbxContent>
                <w:p w14:paraId="026EA615" w14:textId="77777777" w:rsidR="00621FEA" w:rsidRPr="00FD5ADA" w:rsidRDefault="00621FEA" w:rsidP="00702B55">
                  <w:pPr>
                    <w:pStyle w:val="tekstzboku"/>
                    <w:spacing w:before="240"/>
                    <w:rPr>
                      <w:bCs w:val="0"/>
                    </w:rPr>
                  </w:pPr>
                  <w:r>
                    <w:rPr>
                      <w:bCs w:val="0"/>
                    </w:rPr>
                    <w:t>Przeciętne miesięczne wynagrodzeni</w:t>
                  </w:r>
                  <w:r w:rsidR="00B5507D">
                    <w:rPr>
                      <w:bCs w:val="0"/>
                    </w:rPr>
                    <w:t>a</w:t>
                  </w:r>
                  <w:r>
                    <w:rPr>
                      <w:bCs w:val="0"/>
                    </w:rPr>
                    <w:t xml:space="preserve"> brutto w s</w:t>
                  </w:r>
                  <w:r w:rsidR="007D4A26">
                    <w:rPr>
                      <w:bCs w:val="0"/>
                    </w:rPr>
                    <w:t>ektorze przedsiębiorstw obejmują</w:t>
                  </w:r>
                  <w:r>
                    <w:rPr>
                      <w:bCs w:val="0"/>
                    </w:rPr>
                    <w:t xml:space="preserve"> wynagrodzenie zasadnicze oraz dodatkowe składowe wynagrodzeń, m.in. premie, nagrody, wynagrodzenie za płacę w godzinach nadliczbowych oraz odprawy emerytalne </w:t>
                  </w:r>
                </w:p>
              </w:txbxContent>
            </v:textbox>
            <w10:wrap type="tight"/>
          </v:shape>
        </w:pict>
      </w:r>
      <w:r w:rsidR="00AF4474">
        <w:rPr>
          <w:szCs w:val="19"/>
        </w:rPr>
        <w:t xml:space="preserve">W </w:t>
      </w:r>
      <w:r w:rsidR="000603BD">
        <w:rPr>
          <w:szCs w:val="19"/>
        </w:rPr>
        <w:t>maju</w:t>
      </w:r>
      <w:r w:rsidR="00AF4474">
        <w:rPr>
          <w:szCs w:val="19"/>
        </w:rPr>
        <w:t xml:space="preserve"> 202</w:t>
      </w:r>
      <w:r w:rsidR="004C13CA">
        <w:rPr>
          <w:szCs w:val="19"/>
        </w:rPr>
        <w:t>2</w:t>
      </w:r>
      <w:r w:rsidR="00AF4474">
        <w:rPr>
          <w:szCs w:val="19"/>
        </w:rPr>
        <w:t xml:space="preserve"> r. </w:t>
      </w:r>
      <w:r w:rsidR="00AF4474" w:rsidRPr="00330124">
        <w:rPr>
          <w:b/>
          <w:szCs w:val="19"/>
        </w:rPr>
        <w:t>przeciętne miesięczne wynagrodzenie brutto w sektorze przedsiębiorstw</w:t>
      </w:r>
      <w:r w:rsidR="00AF4474">
        <w:rPr>
          <w:b/>
          <w:szCs w:val="19"/>
        </w:rPr>
        <w:t xml:space="preserve"> </w:t>
      </w:r>
      <w:r w:rsidR="00EF40B0">
        <w:rPr>
          <w:szCs w:val="19"/>
        </w:rPr>
        <w:t>zmniejszyło</w:t>
      </w:r>
      <w:r w:rsidR="00AF4474">
        <w:rPr>
          <w:szCs w:val="19"/>
        </w:rPr>
        <w:t xml:space="preserve"> się </w:t>
      </w:r>
      <w:r w:rsidR="00CB13DD">
        <w:rPr>
          <w:szCs w:val="19"/>
        </w:rPr>
        <w:t>w stosunku do</w:t>
      </w:r>
      <w:r w:rsidR="00AF4474">
        <w:rPr>
          <w:szCs w:val="19"/>
        </w:rPr>
        <w:t xml:space="preserve"> </w:t>
      </w:r>
      <w:r w:rsidR="00505004">
        <w:rPr>
          <w:szCs w:val="19"/>
        </w:rPr>
        <w:t>kwietnia</w:t>
      </w:r>
      <w:r w:rsidR="00AF4474">
        <w:rPr>
          <w:szCs w:val="19"/>
        </w:rPr>
        <w:t xml:space="preserve"> 202</w:t>
      </w:r>
      <w:r w:rsidR="00921C4F">
        <w:rPr>
          <w:szCs w:val="19"/>
        </w:rPr>
        <w:t>2</w:t>
      </w:r>
      <w:r w:rsidR="00AF4474">
        <w:rPr>
          <w:szCs w:val="19"/>
        </w:rPr>
        <w:t xml:space="preserve"> r. o </w:t>
      </w:r>
      <w:r w:rsidR="0057602B">
        <w:rPr>
          <w:szCs w:val="19"/>
        </w:rPr>
        <w:t>3</w:t>
      </w:r>
      <w:r w:rsidR="00EB46DB">
        <w:rPr>
          <w:szCs w:val="19"/>
        </w:rPr>
        <w:t>,</w:t>
      </w:r>
      <w:r w:rsidR="0057602B">
        <w:rPr>
          <w:szCs w:val="19"/>
        </w:rPr>
        <w:t>4</w:t>
      </w:r>
      <w:r w:rsidR="00AF4474">
        <w:rPr>
          <w:szCs w:val="19"/>
        </w:rPr>
        <w:t xml:space="preserve">%, podczas gdy w </w:t>
      </w:r>
      <w:r w:rsidR="0057602B">
        <w:rPr>
          <w:szCs w:val="19"/>
        </w:rPr>
        <w:t>maju</w:t>
      </w:r>
      <w:r w:rsidR="00AF4474">
        <w:rPr>
          <w:szCs w:val="19"/>
        </w:rPr>
        <w:t xml:space="preserve"> 202</w:t>
      </w:r>
      <w:r w:rsidR="004C13CA">
        <w:rPr>
          <w:szCs w:val="19"/>
        </w:rPr>
        <w:t>1</w:t>
      </w:r>
      <w:r w:rsidR="00AF4474">
        <w:rPr>
          <w:szCs w:val="19"/>
        </w:rPr>
        <w:t xml:space="preserve"> r. </w:t>
      </w:r>
      <w:r w:rsidR="00AB689E">
        <w:rPr>
          <w:szCs w:val="19"/>
        </w:rPr>
        <w:t>w porównaniu do</w:t>
      </w:r>
      <w:r w:rsidR="00AF4474">
        <w:rPr>
          <w:szCs w:val="19"/>
        </w:rPr>
        <w:t xml:space="preserve"> </w:t>
      </w:r>
      <w:r w:rsidR="0057602B">
        <w:rPr>
          <w:szCs w:val="19"/>
        </w:rPr>
        <w:t>kwietnia</w:t>
      </w:r>
      <w:r w:rsidR="00AF4474">
        <w:rPr>
          <w:szCs w:val="19"/>
        </w:rPr>
        <w:t xml:space="preserve"> 202</w:t>
      </w:r>
      <w:r w:rsidR="00DC101F">
        <w:rPr>
          <w:szCs w:val="19"/>
        </w:rPr>
        <w:t>1</w:t>
      </w:r>
      <w:r w:rsidR="004C13CA">
        <w:rPr>
          <w:szCs w:val="19"/>
        </w:rPr>
        <w:t xml:space="preserve"> r.</w:t>
      </w:r>
      <w:r w:rsidR="00F62065">
        <w:rPr>
          <w:szCs w:val="19"/>
        </w:rPr>
        <w:t xml:space="preserve"> </w:t>
      </w:r>
      <w:r w:rsidR="004C13CA">
        <w:rPr>
          <w:szCs w:val="19"/>
        </w:rPr>
        <w:t xml:space="preserve">płace zanotowały </w:t>
      </w:r>
      <w:r w:rsidR="0057602B">
        <w:rPr>
          <w:szCs w:val="19"/>
        </w:rPr>
        <w:t>mniejszy</w:t>
      </w:r>
      <w:r w:rsidR="00EF40B0">
        <w:rPr>
          <w:szCs w:val="19"/>
        </w:rPr>
        <w:t xml:space="preserve"> spadek, tj. </w:t>
      </w:r>
      <w:r w:rsidR="004C13CA">
        <w:rPr>
          <w:szCs w:val="19"/>
        </w:rPr>
        <w:t xml:space="preserve">o </w:t>
      </w:r>
      <w:r w:rsidR="00EF40B0">
        <w:rPr>
          <w:szCs w:val="19"/>
        </w:rPr>
        <w:t>2</w:t>
      </w:r>
      <w:r w:rsidR="006063A8">
        <w:rPr>
          <w:szCs w:val="19"/>
        </w:rPr>
        <w:t>,</w:t>
      </w:r>
      <w:r w:rsidR="0057602B">
        <w:rPr>
          <w:szCs w:val="19"/>
        </w:rPr>
        <w:t>9</w:t>
      </w:r>
      <w:r w:rsidR="00FC03C3">
        <w:rPr>
          <w:szCs w:val="19"/>
        </w:rPr>
        <w:t xml:space="preserve">%. </w:t>
      </w:r>
    </w:p>
    <w:p w14:paraId="1CCB2F48" w14:textId="77777777" w:rsidR="008D6239" w:rsidRDefault="0057602B" w:rsidP="008D6239">
      <w:pPr>
        <w:tabs>
          <w:tab w:val="left" w:pos="1985"/>
        </w:tabs>
        <w:spacing w:line="288" w:lineRule="auto"/>
        <w:rPr>
          <w:szCs w:val="19"/>
        </w:rPr>
      </w:pPr>
      <w:r>
        <w:rPr>
          <w:szCs w:val="19"/>
        </w:rPr>
        <w:t>S</w:t>
      </w:r>
      <w:r w:rsidR="00EF40B0">
        <w:rPr>
          <w:szCs w:val="19"/>
        </w:rPr>
        <w:t>padek</w:t>
      </w:r>
      <w:r w:rsidR="00FC03C3">
        <w:rPr>
          <w:szCs w:val="19"/>
        </w:rPr>
        <w:t xml:space="preserve"> </w:t>
      </w:r>
      <w:r w:rsidR="007B195C">
        <w:rPr>
          <w:szCs w:val="19"/>
        </w:rPr>
        <w:t xml:space="preserve">przeciętnych </w:t>
      </w:r>
      <w:r w:rsidR="00FC03C3">
        <w:rPr>
          <w:szCs w:val="19"/>
        </w:rPr>
        <w:t xml:space="preserve">wynagrodzeń w </w:t>
      </w:r>
      <w:r>
        <w:rPr>
          <w:szCs w:val="19"/>
        </w:rPr>
        <w:t>maju</w:t>
      </w:r>
      <w:r w:rsidR="00FC03C3">
        <w:rPr>
          <w:szCs w:val="19"/>
        </w:rPr>
        <w:t xml:space="preserve"> 2022 r. względem </w:t>
      </w:r>
      <w:r>
        <w:rPr>
          <w:szCs w:val="19"/>
        </w:rPr>
        <w:t>kwietnia</w:t>
      </w:r>
      <w:r w:rsidR="00FC03C3">
        <w:rPr>
          <w:szCs w:val="19"/>
        </w:rPr>
        <w:t xml:space="preserve"> 2022 r.</w:t>
      </w:r>
      <w:r w:rsidR="00E86EE7">
        <w:rPr>
          <w:szCs w:val="19"/>
        </w:rPr>
        <w:t xml:space="preserve"> </w:t>
      </w:r>
      <w:r w:rsidR="00FC03C3">
        <w:rPr>
          <w:szCs w:val="19"/>
        </w:rPr>
        <w:t>spowodowany był m.in. wypłatami</w:t>
      </w:r>
      <w:r w:rsidR="00EF40B0">
        <w:rPr>
          <w:szCs w:val="19"/>
        </w:rPr>
        <w:t xml:space="preserve"> w poprzednim miesiącu</w:t>
      </w:r>
      <w:r w:rsidR="00FC03C3">
        <w:rPr>
          <w:szCs w:val="19"/>
        </w:rPr>
        <w:t xml:space="preserve"> premii </w:t>
      </w:r>
      <w:r w:rsidR="00C1286A">
        <w:rPr>
          <w:szCs w:val="19"/>
        </w:rPr>
        <w:t>uznaniowych, jubileuszowych</w:t>
      </w:r>
      <w:r w:rsidR="00347BF8">
        <w:rPr>
          <w:szCs w:val="19"/>
        </w:rPr>
        <w:t xml:space="preserve"> i</w:t>
      </w:r>
      <w:r w:rsidR="00C1286A">
        <w:rPr>
          <w:szCs w:val="19"/>
        </w:rPr>
        <w:t xml:space="preserve"> </w:t>
      </w:r>
      <w:r w:rsidR="00FC03C3">
        <w:rPr>
          <w:szCs w:val="19"/>
        </w:rPr>
        <w:t xml:space="preserve">kwartalnych, nagród </w:t>
      </w:r>
      <w:r>
        <w:rPr>
          <w:szCs w:val="19"/>
        </w:rPr>
        <w:t>motywacyjnych i rocznych oraz</w:t>
      </w:r>
      <w:r w:rsidR="006063A8">
        <w:rPr>
          <w:szCs w:val="19"/>
        </w:rPr>
        <w:t xml:space="preserve"> wypłaty odpraw emerytalnych</w:t>
      </w:r>
      <w:r w:rsidR="00B529B5">
        <w:rPr>
          <w:szCs w:val="19"/>
        </w:rPr>
        <w:t xml:space="preserve"> </w:t>
      </w:r>
      <w:r w:rsidR="00FC03C3" w:rsidRPr="002D6BA5">
        <w:rPr>
          <w:szCs w:val="19"/>
        </w:rPr>
        <w:t xml:space="preserve">(które obok wynagrodzeń zasadniczych </w:t>
      </w:r>
      <w:r w:rsidR="00DC101F">
        <w:rPr>
          <w:szCs w:val="19"/>
        </w:rPr>
        <w:t>także</w:t>
      </w:r>
      <w:r w:rsidR="00FC03C3" w:rsidRPr="002D6BA5">
        <w:rPr>
          <w:szCs w:val="19"/>
        </w:rPr>
        <w:t xml:space="preserve"> zaliczane są do składników wynagrodzeń</w:t>
      </w:r>
      <w:r w:rsidR="00FC03C3" w:rsidRPr="002D6BA5">
        <w:rPr>
          <w:rStyle w:val="Odwoanieprzypisudolnego"/>
          <w:szCs w:val="19"/>
        </w:rPr>
        <w:footnoteReference w:id="3"/>
      </w:r>
      <w:r w:rsidR="00FC03C3">
        <w:rPr>
          <w:szCs w:val="19"/>
        </w:rPr>
        <w:t>)</w:t>
      </w:r>
      <w:r w:rsidR="00EF40B0">
        <w:rPr>
          <w:szCs w:val="19"/>
        </w:rPr>
        <w:t>.</w:t>
      </w:r>
      <w:r w:rsidR="00FC03C3">
        <w:rPr>
          <w:szCs w:val="19"/>
        </w:rPr>
        <w:t xml:space="preserve"> </w:t>
      </w:r>
      <w:r w:rsidR="00D67253">
        <w:t xml:space="preserve">Spadek przeciętnego miesięcznego wynagrodzenia brutto odnotowano </w:t>
      </w:r>
      <w:r w:rsidR="00D47641">
        <w:t xml:space="preserve">prawie we </w:t>
      </w:r>
      <w:r>
        <w:t xml:space="preserve">wszystkich sekcjach PKD </w:t>
      </w:r>
      <w:r>
        <w:lastRenderedPageBreak/>
        <w:t xml:space="preserve">2007, z czego największy </w:t>
      </w:r>
      <w:r w:rsidR="00D67253">
        <w:t xml:space="preserve">w sekcji </w:t>
      </w:r>
      <w:r w:rsidR="0015207F">
        <w:t>„</w:t>
      </w:r>
      <w:r w:rsidR="0015207F">
        <w:rPr>
          <w:szCs w:val="19"/>
        </w:rPr>
        <w:t>Rolnictwo, leśnictwo, łowiec</w:t>
      </w:r>
      <w:r w:rsidR="0015207F">
        <w:rPr>
          <w:szCs w:val="19"/>
        </w:rPr>
        <w:softHyphen/>
        <w:t>two i rybactwo”</w:t>
      </w:r>
      <w:r w:rsidR="0015207F">
        <w:rPr>
          <w:rStyle w:val="Odwoanieprzypisudolnego"/>
          <w:szCs w:val="19"/>
        </w:rPr>
        <w:footnoteReference w:id="4"/>
      </w:r>
      <w:r w:rsidR="0015207F">
        <w:rPr>
          <w:szCs w:val="19"/>
        </w:rPr>
        <w:t xml:space="preserve"> (o 15,5%), gdzie wynagrodzenia wyniosły 7785,86 zł (miesiąc wcześniej 9214,25 zł</w:t>
      </w:r>
      <w:r w:rsidR="00552CAB">
        <w:rPr>
          <w:szCs w:val="19"/>
        </w:rPr>
        <w:t>) oraz w sekcji „</w:t>
      </w:r>
      <w:r w:rsidR="008D6239">
        <w:t>Wytwarzanie i </w:t>
      </w:r>
      <w:r w:rsidR="00552CAB" w:rsidRPr="00D67253">
        <w:t>zaopatrywanie w energię elektryczną, gaz, parę wodną i gorącą wodę</w:t>
      </w:r>
      <w:r w:rsidR="00552CAB">
        <w:t xml:space="preserve">” </w:t>
      </w:r>
      <w:r w:rsidR="00552CAB">
        <w:rPr>
          <w:szCs w:val="19"/>
        </w:rPr>
        <w:t xml:space="preserve">(o 10,2%), gdzie wynagrodzenia się </w:t>
      </w:r>
      <w:r w:rsidR="00627176">
        <w:rPr>
          <w:szCs w:val="19"/>
        </w:rPr>
        <w:t xml:space="preserve">zmniejszyły się </w:t>
      </w:r>
      <w:r w:rsidR="00552CAB">
        <w:rPr>
          <w:szCs w:val="19"/>
        </w:rPr>
        <w:t xml:space="preserve">do </w:t>
      </w:r>
      <w:r w:rsidR="00627176">
        <w:rPr>
          <w:szCs w:val="19"/>
        </w:rPr>
        <w:t xml:space="preserve">8206,10 </w:t>
      </w:r>
      <w:r w:rsidR="00552CAB">
        <w:rPr>
          <w:szCs w:val="19"/>
        </w:rPr>
        <w:t>zł (miesiąc wcześniej wyniosły 9140,01 zł).</w:t>
      </w:r>
      <w:r w:rsidR="008D6239">
        <w:rPr>
          <w:szCs w:val="19"/>
        </w:rPr>
        <w:t xml:space="preserve"> </w:t>
      </w:r>
    </w:p>
    <w:p w14:paraId="39E194C1" w14:textId="77777777" w:rsidR="00AF4474" w:rsidRDefault="00AF4474" w:rsidP="00505894">
      <w:pPr>
        <w:spacing w:beforeLines="120" w:before="288" w:afterLines="120" w:after="288" w:line="288" w:lineRule="auto"/>
        <w:rPr>
          <w:szCs w:val="19"/>
        </w:rPr>
      </w:pPr>
      <w:r>
        <w:rPr>
          <w:szCs w:val="19"/>
        </w:rPr>
        <w:t xml:space="preserve">W skali roku </w:t>
      </w:r>
      <w:r w:rsidRPr="00D033A8">
        <w:rPr>
          <w:szCs w:val="19"/>
        </w:rPr>
        <w:t>(</w:t>
      </w:r>
      <w:r w:rsidR="008D6239">
        <w:rPr>
          <w:szCs w:val="19"/>
        </w:rPr>
        <w:t>maj</w:t>
      </w:r>
      <w:r w:rsidRPr="00D033A8">
        <w:rPr>
          <w:szCs w:val="19"/>
        </w:rPr>
        <w:t xml:space="preserve"> </w:t>
      </w:r>
      <w:r>
        <w:rPr>
          <w:szCs w:val="19"/>
        </w:rPr>
        <w:t>202</w:t>
      </w:r>
      <w:r w:rsidR="004C13CA">
        <w:rPr>
          <w:szCs w:val="19"/>
        </w:rPr>
        <w:t>2</w:t>
      </w:r>
      <w:r w:rsidRPr="00D033A8">
        <w:rPr>
          <w:szCs w:val="19"/>
        </w:rPr>
        <w:t xml:space="preserve"> r. do </w:t>
      </w:r>
      <w:r w:rsidR="008D6239">
        <w:rPr>
          <w:szCs w:val="19"/>
        </w:rPr>
        <w:t>maj</w:t>
      </w:r>
      <w:r>
        <w:rPr>
          <w:szCs w:val="19"/>
        </w:rPr>
        <w:t xml:space="preserve"> 202</w:t>
      </w:r>
      <w:r w:rsidR="004C13CA">
        <w:rPr>
          <w:szCs w:val="19"/>
        </w:rPr>
        <w:t>1</w:t>
      </w:r>
      <w:r w:rsidRPr="00D033A8">
        <w:rPr>
          <w:szCs w:val="19"/>
        </w:rPr>
        <w:t xml:space="preserve"> r.) przeciętne miesięczne wynagrodzeni</w:t>
      </w:r>
      <w:r w:rsidR="00C83C40">
        <w:rPr>
          <w:szCs w:val="19"/>
        </w:rPr>
        <w:t>e</w:t>
      </w:r>
      <w:r w:rsidRPr="00D033A8">
        <w:rPr>
          <w:szCs w:val="19"/>
        </w:rPr>
        <w:t xml:space="preserve"> </w:t>
      </w:r>
      <w:r>
        <w:rPr>
          <w:szCs w:val="19"/>
        </w:rPr>
        <w:t xml:space="preserve">brutto </w:t>
      </w:r>
      <w:r w:rsidRPr="00D033A8">
        <w:rPr>
          <w:szCs w:val="19"/>
        </w:rPr>
        <w:t>wzrosło o</w:t>
      </w:r>
      <w:r w:rsidR="00F9239F">
        <w:rPr>
          <w:szCs w:val="19"/>
        </w:rPr>
        <w:t xml:space="preserve"> </w:t>
      </w:r>
      <w:r w:rsidR="00C14111">
        <w:rPr>
          <w:szCs w:val="19"/>
        </w:rPr>
        <w:t>1</w:t>
      </w:r>
      <w:r w:rsidR="008D6239">
        <w:rPr>
          <w:szCs w:val="19"/>
        </w:rPr>
        <w:t>3</w:t>
      </w:r>
      <w:r w:rsidR="008D144B">
        <w:rPr>
          <w:szCs w:val="19"/>
        </w:rPr>
        <w:t>,</w:t>
      </w:r>
      <w:r w:rsidR="008D6239">
        <w:rPr>
          <w:szCs w:val="19"/>
        </w:rPr>
        <w:t>5</w:t>
      </w:r>
      <w:r w:rsidR="00F9239F">
        <w:rPr>
          <w:szCs w:val="19"/>
        </w:rPr>
        <w:t>%</w:t>
      </w:r>
      <w:r>
        <w:rPr>
          <w:szCs w:val="19"/>
        </w:rPr>
        <w:t>. Przed rokiem (</w:t>
      </w:r>
      <w:r w:rsidR="008D6239">
        <w:rPr>
          <w:szCs w:val="19"/>
        </w:rPr>
        <w:t>maj</w:t>
      </w:r>
      <w:r>
        <w:rPr>
          <w:szCs w:val="19"/>
        </w:rPr>
        <w:t xml:space="preserve"> 202</w:t>
      </w:r>
      <w:r w:rsidR="004C13CA">
        <w:rPr>
          <w:szCs w:val="19"/>
        </w:rPr>
        <w:t>1</w:t>
      </w:r>
      <w:r>
        <w:rPr>
          <w:szCs w:val="19"/>
        </w:rPr>
        <w:t xml:space="preserve"> r. do </w:t>
      </w:r>
      <w:r w:rsidR="008D6239">
        <w:rPr>
          <w:szCs w:val="19"/>
        </w:rPr>
        <w:t xml:space="preserve">maja </w:t>
      </w:r>
      <w:r w:rsidR="004C13CA">
        <w:rPr>
          <w:szCs w:val="19"/>
        </w:rPr>
        <w:t>2020</w:t>
      </w:r>
      <w:r>
        <w:rPr>
          <w:szCs w:val="19"/>
        </w:rPr>
        <w:t xml:space="preserve"> r.) odnotowano dynamikę wzrostu</w:t>
      </w:r>
      <w:r w:rsidR="00944463">
        <w:rPr>
          <w:szCs w:val="19"/>
        </w:rPr>
        <w:t xml:space="preserve"> </w:t>
      </w:r>
      <w:r w:rsidR="00D574C5">
        <w:rPr>
          <w:szCs w:val="19"/>
        </w:rPr>
        <w:t>przeciętnych płac</w:t>
      </w:r>
      <w:r>
        <w:rPr>
          <w:szCs w:val="19"/>
        </w:rPr>
        <w:t xml:space="preserve"> na poziomie </w:t>
      </w:r>
      <w:r w:rsidR="008D6239">
        <w:rPr>
          <w:szCs w:val="19"/>
        </w:rPr>
        <w:t>10,1</w:t>
      </w:r>
      <w:r w:rsidR="00864A37">
        <w:rPr>
          <w:szCs w:val="19"/>
        </w:rPr>
        <w:t>%</w:t>
      </w:r>
      <w:r>
        <w:rPr>
          <w:szCs w:val="19"/>
        </w:rPr>
        <w:t xml:space="preserve">. </w:t>
      </w:r>
    </w:p>
    <w:p w14:paraId="1E14816A" w14:textId="77777777" w:rsidR="00622187" w:rsidRDefault="00CB071C" w:rsidP="00966C9A">
      <w:pPr>
        <w:pStyle w:val="Tytuwykresu0"/>
      </w:pPr>
      <w:r>
        <w:rPr>
          <w:szCs w:val="19"/>
        </w:rPr>
        <w:pict w14:anchorId="3AC448B9">
          <v:shape id="_x0000_s2060" type="#_x0000_t202" alt="Pole tekstowe: W 2022 r. ustawowe minimalne wynagrodzenie za pracę wzrosło do 3010 zł, tj. o 7,5% względem roku poprzedniego, kiedy to wynosiło 2800 zł " style="position:absolute;margin-left:412.15pt;margin-top:53.25pt;width:135.85pt;height:109.35pt;z-index:-251548672;visibility:visible;mso-wrap-distance-top:3.6pt;mso-wrap-distance-bottom:3.6pt;mso-width-relative:margin;mso-height-relative:margin" wrapcoords="0 0" filled="f" stroked="f">
            <v:textbox style="mso-next-textbox:#_x0000_s2060">
              <w:txbxContent>
                <w:p w14:paraId="3D434AD0" w14:textId="77777777" w:rsidR="00621FEA" w:rsidRPr="00FD5ADA" w:rsidRDefault="00621FEA" w:rsidP="00342880">
                  <w:pPr>
                    <w:pStyle w:val="tekstzboku"/>
                    <w:rPr>
                      <w:bCs w:val="0"/>
                    </w:rPr>
                  </w:pPr>
                  <w:r>
                    <w:rPr>
                      <w:bCs w:val="0"/>
                    </w:rPr>
                    <w:t xml:space="preserve">W 2022 r. </w:t>
                  </w:r>
                  <w:r w:rsidR="006B075F">
                    <w:rPr>
                      <w:bCs w:val="0"/>
                    </w:rPr>
                    <w:t xml:space="preserve">ustawowe </w:t>
                  </w:r>
                  <w:r>
                    <w:rPr>
                      <w:bCs w:val="0"/>
                    </w:rPr>
                    <w:t xml:space="preserve">minimalne wynagrodzenie za pracę wzrosło do 3010 zł, tj. o 7,5% względem roku poprzedniego, kiedy to wynosiło 2800 zł </w:t>
                  </w:r>
                </w:p>
              </w:txbxContent>
            </v:textbox>
            <w10:wrap type="tight"/>
          </v:shape>
        </w:pict>
      </w:r>
      <w:r w:rsidR="009D2045" w:rsidRPr="009D2045">
        <w:t>Wykres 2</w:t>
      </w:r>
      <w:r w:rsidR="00B16871" w:rsidRPr="009D2045">
        <w:t xml:space="preserve">. </w:t>
      </w:r>
      <w:r w:rsidR="009D2045" w:rsidRPr="009D2045">
        <w:t>Prz</w:t>
      </w:r>
      <w:r w:rsidR="00B5507D">
        <w:t>eciętne miesięczne wynagrodzenia</w:t>
      </w:r>
      <w:r w:rsidR="009D2045" w:rsidRPr="009D2045">
        <w:t xml:space="preserve"> </w:t>
      </w:r>
      <w:r w:rsidR="009D2045">
        <w:t xml:space="preserve">brutto </w:t>
      </w:r>
      <w:r w:rsidR="009D2045" w:rsidRPr="009D2045">
        <w:t>w</w:t>
      </w:r>
      <w:r w:rsidR="009D2045">
        <w:t xml:space="preserve"> sektorze przedsiębiorstw</w:t>
      </w:r>
      <w:r w:rsidR="00622187" w:rsidRPr="00622187">
        <w:t xml:space="preserve"> </w:t>
      </w:r>
      <w:r w:rsidR="00966902" w:rsidRPr="00966902">
        <w:drawing>
          <wp:anchor distT="0" distB="0" distL="114300" distR="114300" simplePos="0" relativeHeight="251769856" behindDoc="0" locked="1" layoutInCell="1" allowOverlap="1" wp14:anchorId="1726BE7F" wp14:editId="4466C715">
            <wp:simplePos x="0" y="0"/>
            <wp:positionH relativeFrom="column">
              <wp:posOffset>22860</wp:posOffset>
            </wp:positionH>
            <wp:positionV relativeFrom="paragraph">
              <wp:posOffset>290830</wp:posOffset>
            </wp:positionV>
            <wp:extent cx="5125085" cy="2973705"/>
            <wp:effectExtent l="19050" t="0" r="0" b="0"/>
            <wp:wrapTopAndBottom/>
            <wp:docPr id="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14:paraId="13B5760F" w14:textId="77777777" w:rsidR="003E6748" w:rsidRDefault="00621FEA" w:rsidP="00FC269E">
      <w:pPr>
        <w:pStyle w:val="Tytuwykresu0"/>
        <w:spacing w:line="288" w:lineRule="auto"/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</w:pPr>
      <w:r>
        <w:rPr>
          <w:rFonts w:ascii="Fira Sans" w:eastAsiaTheme="minorHAnsi" w:hAnsi="Fira Sans" w:cstheme="minorBidi"/>
          <w:b w:val="0"/>
          <w:bCs w:val="0"/>
          <w:szCs w:val="19"/>
        </w:rPr>
        <w:t xml:space="preserve">Narastająco w </w:t>
      </w:r>
      <w:r w:rsidR="00FF7047">
        <w:rPr>
          <w:rFonts w:ascii="Fira Sans" w:eastAsiaTheme="minorHAnsi" w:hAnsi="Fira Sans" w:cstheme="minorBidi"/>
          <w:b w:val="0"/>
          <w:bCs w:val="0"/>
          <w:szCs w:val="19"/>
        </w:rPr>
        <w:t xml:space="preserve">okresie pięciu </w:t>
      </w:r>
      <w:r>
        <w:rPr>
          <w:rFonts w:ascii="Fira Sans" w:eastAsiaTheme="minorHAnsi" w:hAnsi="Fira Sans" w:cstheme="minorBidi"/>
          <w:b w:val="0"/>
          <w:bCs w:val="0"/>
          <w:szCs w:val="19"/>
        </w:rPr>
        <w:t>miesięcy 2022 r. przeciętne miesięczne</w:t>
      </w:r>
      <w:r w:rsidR="00B5507D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 xml:space="preserve"> wynagrodzenia</w:t>
      </w:r>
      <w:r w:rsidR="00342880" w:rsidRPr="0062218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 xml:space="preserve"> brut</w:t>
      </w:r>
      <w:r w:rsidR="002B74D2" w:rsidRPr="0062218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to w sektorze przedsiębiorstw w</w:t>
      </w:r>
      <w:r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 xml:space="preserve"> </w:t>
      </w:r>
      <w:r w:rsidR="00342880" w:rsidRPr="0062218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 xml:space="preserve">stosunku do </w:t>
      </w:r>
      <w:r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analogicznego okresu w</w:t>
      </w:r>
      <w:r w:rsidR="004C13CA" w:rsidRPr="0062218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 xml:space="preserve"> 2021 r. </w:t>
      </w:r>
      <w:r w:rsidR="00B5507D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wzrosły</w:t>
      </w:r>
      <w:r w:rsidR="00342880" w:rsidRPr="0062218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 xml:space="preserve"> we wszystkich sekcjach PKD 2007 od</w:t>
      </w:r>
      <w:r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 xml:space="preserve"> </w:t>
      </w:r>
      <w:r w:rsidR="00FF704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5,4</w:t>
      </w:r>
      <w:r w:rsidR="00342880" w:rsidRPr="0062218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% w sekcji „</w:t>
      </w:r>
      <w:r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Pozostała działalność usługowa</w:t>
      </w:r>
      <w:r w:rsidR="00342880" w:rsidRPr="0062218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”</w:t>
      </w:r>
      <w:r>
        <w:rPr>
          <w:rStyle w:val="Odwoanieprzypisudolnego"/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footnoteReference w:id="5"/>
      </w:r>
      <w:r w:rsidR="00342880" w:rsidRPr="0062218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 xml:space="preserve"> do 1</w:t>
      </w:r>
      <w:r w:rsidR="00FF704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9,1</w:t>
      </w:r>
      <w:r w:rsidR="00FB0F48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%</w:t>
      </w:r>
      <w:r w:rsidR="002B74D2" w:rsidRPr="0062218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 xml:space="preserve"> w</w:t>
      </w:r>
      <w:r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 xml:space="preserve"> </w:t>
      </w:r>
      <w:r w:rsidR="00342880" w:rsidRPr="0062218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sekcji „</w:t>
      </w:r>
      <w:r w:rsidR="00FF704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Transport i gospodarka magazynowa</w:t>
      </w:r>
      <w:r w:rsidR="002B74D2" w:rsidRPr="0062218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”</w:t>
      </w:r>
      <w:r w:rsidR="00216428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 xml:space="preserve">, co dało ogółem wzrost w </w:t>
      </w:r>
      <w:r w:rsidR="00AA6AB2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sektorze przedsiębiorstw o </w:t>
      </w:r>
      <w:r w:rsidR="00216428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1</w:t>
      </w:r>
      <w:r w:rsidR="008D144B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2</w:t>
      </w:r>
      <w:r w:rsidR="00CD0E7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,</w:t>
      </w:r>
      <w:r w:rsidR="00FF704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6</w:t>
      </w:r>
      <w:r w:rsidR="008D144B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%.</w:t>
      </w:r>
      <w:r w:rsidR="00342880" w:rsidRPr="0062218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 xml:space="preserve"> Najwyższą przeciętną płacę brutto w</w:t>
      </w:r>
      <w:r w:rsidR="00216428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 xml:space="preserve"> </w:t>
      </w:r>
      <w:r w:rsidR="00342880" w:rsidRPr="0062218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 xml:space="preserve">sektorze przedsiębiorstw w </w:t>
      </w:r>
      <w:r w:rsidR="00216428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okresie narastającym o</w:t>
      </w:r>
      <w:r w:rsidR="00342880" w:rsidRPr="0062218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 xml:space="preserve">dnotowano w sekcji „Informacja i komunikacja” w wysokości </w:t>
      </w:r>
      <w:r w:rsidR="00CD0E7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11</w:t>
      </w:r>
      <w:r w:rsidR="00FF704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169,52</w:t>
      </w:r>
      <w:r w:rsidR="002B74D2" w:rsidRPr="0062218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 xml:space="preserve"> </w:t>
      </w:r>
      <w:r w:rsidR="00342880" w:rsidRPr="0062218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 xml:space="preserve">zł (wzrost o </w:t>
      </w:r>
      <w:r w:rsidR="008D144B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11,</w:t>
      </w:r>
      <w:r w:rsidR="00FF704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4</w:t>
      </w:r>
      <w:r w:rsidR="00342880" w:rsidRPr="0062218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 xml:space="preserve">% względem analogicznego </w:t>
      </w:r>
      <w:r w:rsidR="00216428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okresu</w:t>
      </w:r>
      <w:r w:rsidR="00342880" w:rsidRPr="0062218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 xml:space="preserve"> roku poprzedniego), zaś najniższą w sekcji „Zakwaterowanie i gastronomia” na poziomie </w:t>
      </w:r>
      <w:r w:rsidR="008D144B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46</w:t>
      </w:r>
      <w:r w:rsidR="00FF704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 xml:space="preserve">09,65 </w:t>
      </w:r>
      <w:r w:rsidR="00342880" w:rsidRPr="0062218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 xml:space="preserve">zł (pomimo wzrostu w odniesieniu do </w:t>
      </w:r>
      <w:r w:rsidR="00216428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sytuacji sprzed roku</w:t>
      </w:r>
      <w:r w:rsidR="00D33834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 xml:space="preserve"> </w:t>
      </w:r>
      <w:r w:rsidR="002B74D2" w:rsidRPr="0062218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 xml:space="preserve">o </w:t>
      </w:r>
      <w:r w:rsidR="008D144B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1</w:t>
      </w:r>
      <w:r w:rsidR="00FF704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7</w:t>
      </w:r>
      <w:r w:rsidR="008D144B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,</w:t>
      </w:r>
      <w:r w:rsidR="00FF704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6</w:t>
      </w:r>
      <w:r w:rsidR="00342880" w:rsidRPr="00622187">
        <w:rPr>
          <w:rFonts w:ascii="Fira Sans" w:eastAsiaTheme="minorHAnsi" w:hAnsi="Fira Sans" w:cstheme="minorBidi"/>
          <w:b w:val="0"/>
          <w:bCs w:val="0"/>
          <w:noProof w:val="0"/>
          <w:szCs w:val="19"/>
          <w:lang w:eastAsia="en-US"/>
        </w:rPr>
        <w:t>%).</w:t>
      </w:r>
    </w:p>
    <w:p w14:paraId="337ED9EB" w14:textId="77777777" w:rsidR="00401025" w:rsidRPr="006C22A4" w:rsidRDefault="00401025" w:rsidP="00401025">
      <w:pPr>
        <w:pStyle w:val="Nagwek1"/>
        <w:rPr>
          <w:rFonts w:ascii="Fira Sans" w:hAnsi="Fira Sans"/>
          <w:b/>
          <w:szCs w:val="19"/>
        </w:rPr>
      </w:pPr>
      <w:r w:rsidRPr="006C22A4">
        <w:rPr>
          <w:rFonts w:ascii="Fira Sans" w:hAnsi="Fira Sans"/>
          <w:b/>
          <w:szCs w:val="19"/>
        </w:rPr>
        <w:t>Wyjaśnienia metodologiczne</w:t>
      </w:r>
    </w:p>
    <w:p w14:paraId="247AD641" w14:textId="77777777" w:rsidR="00401025" w:rsidRDefault="00401025" w:rsidP="00401025">
      <w:pPr>
        <w:spacing w:line="288" w:lineRule="auto"/>
        <w:rPr>
          <w:szCs w:val="19"/>
        </w:rPr>
      </w:pPr>
      <w:r w:rsidRPr="009118C4">
        <w:rPr>
          <w:rFonts w:eastAsia="Calibri"/>
          <w:b/>
          <w:szCs w:val="19"/>
          <w:shd w:val="clear" w:color="auto" w:fill="FFFFFF"/>
        </w:rPr>
        <w:t xml:space="preserve">Sektor przedsiębiorstw dotyczy podmiotów, </w:t>
      </w:r>
      <w:r w:rsidR="004C226E">
        <w:rPr>
          <w:rFonts w:eastAsia="Calibri"/>
          <w:b/>
          <w:szCs w:val="19"/>
          <w:shd w:val="clear" w:color="auto" w:fill="FFFFFF"/>
        </w:rPr>
        <w:t>o liczbie pracujących 10 i więcej osób</w:t>
      </w:r>
      <w:r w:rsidRPr="009118C4">
        <w:rPr>
          <w:rFonts w:eastAsia="Calibri"/>
          <w:b/>
          <w:szCs w:val="19"/>
          <w:shd w:val="clear" w:color="auto" w:fill="FFFFFF"/>
        </w:rPr>
        <w:t>, prowadzących działalność gospodarczą w zakresie:</w:t>
      </w:r>
      <w:r w:rsidRPr="009118C4">
        <w:rPr>
          <w:rFonts w:eastAsia="Calibri"/>
          <w:szCs w:val="19"/>
          <w:shd w:val="clear" w:color="auto" w:fill="FFFFFF"/>
        </w:rPr>
        <w:t xml:space="preserve"> leśnictwa i pozyskiwania drewna; </w:t>
      </w:r>
      <w:r w:rsidRPr="00330312">
        <w:rPr>
          <w:szCs w:val="19"/>
        </w:rPr>
        <w:t>rybołówstwa w</w:t>
      </w:r>
      <w:r>
        <w:rPr>
          <w:szCs w:val="19"/>
        </w:rPr>
        <w:t xml:space="preserve"> </w:t>
      </w:r>
      <w:r w:rsidRPr="00330312">
        <w:rPr>
          <w:szCs w:val="19"/>
        </w:rPr>
        <w:t>wodach morskich; górnictwa i wydobywania; przetwórstwa przemysłowego; wytwarzania i</w:t>
      </w:r>
      <w:r>
        <w:rPr>
          <w:szCs w:val="19"/>
        </w:rPr>
        <w:t xml:space="preserve"> </w:t>
      </w:r>
      <w:r w:rsidRPr="00330312">
        <w:rPr>
          <w:szCs w:val="19"/>
        </w:rPr>
        <w:t>zaopatrywania w energię elektryczną,</w:t>
      </w:r>
      <w:r>
        <w:rPr>
          <w:szCs w:val="19"/>
        </w:rPr>
        <w:t xml:space="preserve"> gaz, parę wodną, gorącą wodę i </w:t>
      </w:r>
      <w:r w:rsidRPr="00330312">
        <w:rPr>
          <w:szCs w:val="19"/>
        </w:rPr>
        <w:t>powie</w:t>
      </w:r>
      <w:r>
        <w:rPr>
          <w:szCs w:val="19"/>
        </w:rPr>
        <w:softHyphen/>
      </w:r>
      <w:r w:rsidRPr="00330312">
        <w:rPr>
          <w:szCs w:val="19"/>
        </w:rPr>
        <w:t>trze do układów klimatyzacyjnych; dostawy wody; gospodarowania ściekami i odpadami oraz działalności związanej z</w:t>
      </w:r>
      <w:r>
        <w:rPr>
          <w:szCs w:val="19"/>
        </w:rPr>
        <w:t> </w:t>
      </w:r>
      <w:r w:rsidRPr="00330312">
        <w:rPr>
          <w:szCs w:val="19"/>
        </w:rPr>
        <w:t xml:space="preserve">rekultywacją; </w:t>
      </w:r>
      <w:r>
        <w:rPr>
          <w:szCs w:val="19"/>
        </w:rPr>
        <w:t xml:space="preserve">budownictwa; handlu hurtowego i </w:t>
      </w:r>
      <w:r w:rsidRPr="00330312">
        <w:rPr>
          <w:szCs w:val="19"/>
        </w:rPr>
        <w:t>detalicznego; naprawy pojazdów samochodowych, włączając moto</w:t>
      </w:r>
      <w:r>
        <w:rPr>
          <w:szCs w:val="19"/>
        </w:rPr>
        <w:t xml:space="preserve">cykle; transportu i </w:t>
      </w:r>
      <w:r w:rsidRPr="00330312">
        <w:rPr>
          <w:szCs w:val="19"/>
        </w:rPr>
        <w:t>gospodarki magazy</w:t>
      </w:r>
      <w:r>
        <w:rPr>
          <w:szCs w:val="19"/>
        </w:rPr>
        <w:softHyphen/>
      </w:r>
      <w:r w:rsidRPr="00330312">
        <w:rPr>
          <w:szCs w:val="19"/>
        </w:rPr>
        <w:t>nowej; działalności związanej z zakwaterowaniem i</w:t>
      </w:r>
      <w:r>
        <w:rPr>
          <w:szCs w:val="19"/>
        </w:rPr>
        <w:t> </w:t>
      </w:r>
      <w:r w:rsidRPr="00330312">
        <w:rPr>
          <w:szCs w:val="19"/>
        </w:rPr>
        <w:t>usługami gastro</w:t>
      </w:r>
      <w:r>
        <w:rPr>
          <w:szCs w:val="19"/>
        </w:rPr>
        <w:t>nomicznymi; informacji i </w:t>
      </w:r>
      <w:r w:rsidRPr="00330312">
        <w:rPr>
          <w:szCs w:val="19"/>
        </w:rPr>
        <w:t>komunikacji; działalności związanej z obsługą rynku nieruchomości; działalności prawniczej, rachunkowo</w:t>
      </w:r>
      <w:r w:rsidRPr="00C7754E">
        <w:rPr>
          <w:sz w:val="16"/>
          <w:szCs w:val="16"/>
        </w:rPr>
        <w:t>-</w:t>
      </w:r>
      <w:r w:rsidRPr="00330312">
        <w:rPr>
          <w:szCs w:val="19"/>
        </w:rPr>
        <w:lastRenderedPageBreak/>
        <w:t>księgowej i doradztwa podatkowego, działalności firm centralnych</w:t>
      </w:r>
      <w:r w:rsidRPr="00C7754E">
        <w:rPr>
          <w:sz w:val="16"/>
          <w:szCs w:val="16"/>
        </w:rPr>
        <w:t xml:space="preserve"> </w:t>
      </w:r>
      <w:r w:rsidRPr="00330312">
        <w:rPr>
          <w:szCs w:val="19"/>
        </w:rPr>
        <w:t>(</w:t>
      </w:r>
      <w:proofErr w:type="spellStart"/>
      <w:r w:rsidRPr="00330312">
        <w:rPr>
          <w:szCs w:val="19"/>
        </w:rPr>
        <w:t>head</w:t>
      </w:r>
      <w:proofErr w:type="spellEnd"/>
      <w:r w:rsidRPr="00C7754E">
        <w:rPr>
          <w:sz w:val="16"/>
          <w:szCs w:val="16"/>
        </w:rPr>
        <w:t xml:space="preserve"> </w:t>
      </w:r>
      <w:proofErr w:type="spellStart"/>
      <w:r w:rsidRPr="00330312">
        <w:rPr>
          <w:szCs w:val="19"/>
        </w:rPr>
        <w:t>offices</w:t>
      </w:r>
      <w:proofErr w:type="spellEnd"/>
      <w:r w:rsidRPr="00330312">
        <w:rPr>
          <w:szCs w:val="19"/>
        </w:rPr>
        <w:t>); doradztwa związanego z zarządzaniem; działalności w zakresie architektury i inżynierii; badań i analiz technicznych; reklamy, badania rynku i opinii publicznej; pozostałej działaln</w:t>
      </w:r>
      <w:r>
        <w:rPr>
          <w:szCs w:val="19"/>
        </w:rPr>
        <w:t xml:space="preserve">ości profesjonalnej, naukowej i technicznej; działalności w </w:t>
      </w:r>
      <w:r w:rsidRPr="00330312">
        <w:rPr>
          <w:szCs w:val="19"/>
        </w:rPr>
        <w:t>zakresie usług administrowania i działalności wspie</w:t>
      </w:r>
      <w:r>
        <w:rPr>
          <w:szCs w:val="19"/>
        </w:rPr>
        <w:softHyphen/>
      </w:r>
      <w:r w:rsidRPr="00330312">
        <w:rPr>
          <w:szCs w:val="19"/>
        </w:rPr>
        <w:t>rają</w:t>
      </w:r>
      <w:r>
        <w:rPr>
          <w:szCs w:val="19"/>
        </w:rPr>
        <w:t xml:space="preserve">cej; działalności związanej z </w:t>
      </w:r>
      <w:r w:rsidRPr="00330312">
        <w:rPr>
          <w:szCs w:val="19"/>
        </w:rPr>
        <w:t>kultur</w:t>
      </w:r>
      <w:r>
        <w:rPr>
          <w:szCs w:val="19"/>
        </w:rPr>
        <w:t>ą, rozrywką i </w:t>
      </w:r>
      <w:r w:rsidRPr="00330312">
        <w:rPr>
          <w:szCs w:val="19"/>
        </w:rPr>
        <w:t>rekreacją; naprawy i konserwacji komputerów i</w:t>
      </w:r>
      <w:r>
        <w:rPr>
          <w:szCs w:val="19"/>
        </w:rPr>
        <w:t xml:space="preserve"> </w:t>
      </w:r>
      <w:r w:rsidRPr="00330312">
        <w:rPr>
          <w:szCs w:val="19"/>
        </w:rPr>
        <w:t>artykułów użytku osobistego i domowego; pozostałej indywidualnej działalności usługowej.</w:t>
      </w:r>
    </w:p>
    <w:p w14:paraId="177A32D7" w14:textId="77777777" w:rsidR="00384AC5" w:rsidRDefault="00384AC5" w:rsidP="00401025">
      <w:pPr>
        <w:spacing w:line="288" w:lineRule="auto"/>
        <w:rPr>
          <w:szCs w:val="19"/>
        </w:rPr>
      </w:pPr>
      <w:r w:rsidRPr="00890841">
        <w:rPr>
          <w:rFonts w:eastAsia="Calibri"/>
          <w:shd w:val="clear" w:color="auto" w:fill="FFFFFF"/>
        </w:rPr>
        <w:t>Źródłem danych jest „</w:t>
      </w:r>
      <w:r w:rsidRPr="00890841">
        <w:t>Meldu</w:t>
      </w:r>
      <w:r>
        <w:t>nek o działalności gospo</w:t>
      </w:r>
      <w:r>
        <w:softHyphen/>
        <w:t>darczej</w:t>
      </w:r>
      <w:r w:rsidRPr="00055513">
        <w:t>” (DG</w:t>
      </w:r>
      <w:r>
        <w:noBreakHyphen/>
      </w:r>
      <w:r w:rsidRPr="00055513">
        <w:t>1).</w:t>
      </w:r>
      <w:r>
        <w:t xml:space="preserve"> W</w:t>
      </w:r>
      <w:r>
        <w:rPr>
          <w:rFonts w:eastAsia="Calibri"/>
          <w:shd w:val="clear" w:color="auto" w:fill="FFFFFF"/>
        </w:rPr>
        <w:t> </w:t>
      </w:r>
      <w:r w:rsidRPr="00882F42">
        <w:rPr>
          <w:rFonts w:eastAsia="Calibri"/>
          <w:shd w:val="clear" w:color="auto" w:fill="FFFFFF"/>
        </w:rPr>
        <w:t xml:space="preserve">ramach tego </w:t>
      </w:r>
      <w:r w:rsidRPr="00055513">
        <w:rPr>
          <w:rFonts w:eastAsia="Calibri"/>
          <w:shd w:val="clear" w:color="auto" w:fill="FFFFFF"/>
        </w:rPr>
        <w:t>sprawoz</w:t>
      </w:r>
      <w:r>
        <w:rPr>
          <w:rFonts w:eastAsia="Calibri"/>
          <w:shd w:val="clear" w:color="auto" w:fill="FFFFFF"/>
        </w:rPr>
        <w:softHyphen/>
      </w:r>
      <w:r w:rsidRPr="00055513">
        <w:rPr>
          <w:rFonts w:eastAsia="Calibri"/>
          <w:shd w:val="clear" w:color="auto" w:fill="FFFFFF"/>
        </w:rPr>
        <w:t>dania</w:t>
      </w:r>
      <w:r w:rsidRPr="00882F42">
        <w:rPr>
          <w:rFonts w:eastAsia="Calibri"/>
          <w:shd w:val="clear" w:color="auto" w:fill="FFFFFF"/>
        </w:rPr>
        <w:t xml:space="preserve">, podmioty o liczbie pracujących 50 lub więcej </w:t>
      </w:r>
      <w:r w:rsidRPr="00A73209">
        <w:rPr>
          <w:rFonts w:eastAsia="Calibri"/>
          <w:shd w:val="clear" w:color="auto" w:fill="FFFFFF"/>
        </w:rPr>
        <w:t>osób</w:t>
      </w:r>
      <w:r w:rsidRPr="00882F42">
        <w:rPr>
          <w:rFonts w:eastAsia="Calibri"/>
          <w:shd w:val="clear" w:color="auto" w:fill="FFFFFF"/>
        </w:rPr>
        <w:t xml:space="preserve"> badan</w:t>
      </w:r>
      <w:r>
        <w:rPr>
          <w:rFonts w:eastAsia="Calibri"/>
          <w:shd w:val="clear" w:color="auto" w:fill="FFFFFF"/>
        </w:rPr>
        <w:t>e są metodą pełną, a pod</w:t>
      </w:r>
      <w:r>
        <w:rPr>
          <w:rFonts w:eastAsia="Calibri"/>
          <w:shd w:val="clear" w:color="auto" w:fill="FFFFFF"/>
        </w:rPr>
        <w:softHyphen/>
        <w:t>mioty o </w:t>
      </w:r>
      <w:r w:rsidRPr="00882F42">
        <w:rPr>
          <w:rFonts w:eastAsia="Calibri"/>
          <w:shd w:val="clear" w:color="auto" w:fill="FFFFFF"/>
        </w:rPr>
        <w:t xml:space="preserve">liczbie pracujących od 10 do </w:t>
      </w:r>
      <w:r w:rsidRPr="0001330D">
        <w:rPr>
          <w:rFonts w:eastAsia="Calibri"/>
          <w:shd w:val="clear" w:color="auto" w:fill="FFFFFF"/>
        </w:rPr>
        <w:t>49 osób - m</w:t>
      </w:r>
      <w:r>
        <w:rPr>
          <w:rFonts w:eastAsia="Calibri"/>
          <w:shd w:val="clear" w:color="auto" w:fill="FFFFFF"/>
        </w:rPr>
        <w:t>e</w:t>
      </w:r>
      <w:r w:rsidRPr="0001330D">
        <w:rPr>
          <w:rFonts w:eastAsia="Calibri"/>
          <w:shd w:val="clear" w:color="auto" w:fill="FFFFFF"/>
        </w:rPr>
        <w:t>todą reprezentacyjną</w:t>
      </w:r>
      <w:r w:rsidRPr="0001330D">
        <w:rPr>
          <w:rFonts w:eastAsia="Calibri"/>
          <w:vertAlign w:val="superscript"/>
        </w:rPr>
        <w:footnoteReference w:id="6"/>
      </w:r>
    </w:p>
    <w:p w14:paraId="45FD1090" w14:textId="77777777" w:rsidR="00401025" w:rsidRDefault="00401025" w:rsidP="00401025">
      <w:pPr>
        <w:spacing w:line="288" w:lineRule="auto"/>
        <w:rPr>
          <w:szCs w:val="19"/>
        </w:rPr>
      </w:pPr>
      <w:r>
        <w:rPr>
          <w:szCs w:val="19"/>
        </w:rPr>
        <w:t>Dane z rynku pracy na formularzu badania DG-1 nie obejmują osób zatrudnionych na podstawie umowy zlecenia i umowy o dzieło - szczegółowy zakres wyłączeń z opisem metod obliczania zmiennych z rynku pracy znajduje się m.in. w objaśnieniach do formularza DG</w:t>
      </w:r>
      <w:r w:rsidR="00850985">
        <w:rPr>
          <w:szCs w:val="19"/>
        </w:rPr>
        <w:t>-</w:t>
      </w:r>
      <w:r>
        <w:rPr>
          <w:szCs w:val="19"/>
        </w:rPr>
        <w:t>1</w:t>
      </w:r>
      <w:r w:rsidRPr="00D7719E">
        <w:rPr>
          <w:vertAlign w:val="superscript"/>
        </w:rPr>
        <w:footnoteReference w:id="7"/>
      </w:r>
      <w:r>
        <w:rPr>
          <w:szCs w:val="19"/>
        </w:rPr>
        <w:t xml:space="preserve">. </w:t>
      </w:r>
    </w:p>
    <w:p w14:paraId="18712F78" w14:textId="77777777" w:rsidR="00401025" w:rsidRDefault="00401025" w:rsidP="00401025">
      <w:pPr>
        <w:spacing w:line="288" w:lineRule="auto"/>
        <w:rPr>
          <w:szCs w:val="19"/>
        </w:rPr>
      </w:pPr>
      <w:r w:rsidRPr="00F30B2F">
        <w:rPr>
          <w:szCs w:val="19"/>
        </w:rPr>
        <w:t>Ze względu na krótki termin w jakim jednostki dostarczają dane w ramach badania na formularzu DG-1, prezentowane wyniki mają charakter wstępny</w:t>
      </w:r>
      <w:r w:rsidRPr="00012AA5">
        <w:rPr>
          <w:szCs w:val="19"/>
        </w:rPr>
        <w:t xml:space="preserve">. W przypadku braku pełnej ewidencji na dzień sporządzania sprawozdania dopuszcza się wykazywanie danych szacunkowych, zaś w </w:t>
      </w:r>
      <w:r>
        <w:rPr>
          <w:szCs w:val="19"/>
        </w:rPr>
        <w:t>sytuacji</w:t>
      </w:r>
      <w:r w:rsidRPr="00012AA5">
        <w:rPr>
          <w:szCs w:val="19"/>
        </w:rPr>
        <w:t xml:space="preserve"> konieczności skorygowania danych wykazanych w poprzednich okresach, zmiany uwzględnia się wyłącznie w danych narastających</w:t>
      </w:r>
      <w:r>
        <w:rPr>
          <w:szCs w:val="19"/>
        </w:rPr>
        <w:t>.</w:t>
      </w:r>
    </w:p>
    <w:p w14:paraId="4936C930" w14:textId="77777777" w:rsidR="00401025" w:rsidRDefault="00401025" w:rsidP="00401025">
      <w:pPr>
        <w:spacing w:line="288" w:lineRule="auto"/>
        <w:rPr>
          <w:szCs w:val="19"/>
        </w:rPr>
      </w:pPr>
    </w:p>
    <w:p w14:paraId="55D111ED" w14:textId="77777777" w:rsidR="00694AF0" w:rsidRPr="009D2045" w:rsidRDefault="00694AF0" w:rsidP="00E76D26">
      <w:pPr>
        <w:rPr>
          <w:sz w:val="18"/>
        </w:rPr>
      </w:pPr>
    </w:p>
    <w:p w14:paraId="50A9829E" w14:textId="77777777" w:rsidR="00DA331D" w:rsidRPr="009D2045" w:rsidRDefault="00DA331D" w:rsidP="00DA331D">
      <w:pPr>
        <w:spacing w:before="360"/>
        <w:rPr>
          <w:sz w:val="18"/>
        </w:rPr>
        <w:sectPr w:rsidR="00DA331D" w:rsidRPr="009D2045" w:rsidSect="003B18B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Style w:val="Tabela-Siatka"/>
        <w:tblW w:w="98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E2400" w14:paraId="4B680318" w14:textId="77777777" w:rsidTr="00B84C43">
        <w:trPr>
          <w:trHeight w:val="1626"/>
        </w:trPr>
        <w:tc>
          <w:tcPr>
            <w:tcW w:w="4926" w:type="dxa"/>
          </w:tcPr>
          <w:p w14:paraId="1204D938" w14:textId="77777777" w:rsidR="00DE2400" w:rsidRPr="004A1D19" w:rsidRDefault="00DE2400" w:rsidP="00DE2400">
            <w:pPr>
              <w:spacing w:before="0" w:after="0" w:line="276" w:lineRule="auto"/>
              <w:rPr>
                <w:rFonts w:cs="Arial"/>
                <w:sz w:val="20"/>
              </w:rPr>
            </w:pPr>
            <w:r w:rsidRPr="004A1D19">
              <w:rPr>
                <w:rFonts w:cs="Arial"/>
                <w:sz w:val="20"/>
              </w:rPr>
              <w:lastRenderedPageBreak/>
              <w:t>Opracowanie merytoryczne:</w:t>
            </w:r>
          </w:p>
          <w:p w14:paraId="5F0DE972" w14:textId="77777777" w:rsidR="00DE2400" w:rsidRPr="008925F0" w:rsidRDefault="00DE2400" w:rsidP="00DE2400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925F0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401025">
              <w:rPr>
                <w:rFonts w:cs="Arial"/>
                <w:b/>
                <w:color w:val="000000" w:themeColor="text1"/>
                <w:sz w:val="20"/>
              </w:rPr>
              <w:t>Rynku Pracy</w:t>
            </w:r>
          </w:p>
          <w:p w14:paraId="33C1ABC8" w14:textId="77777777" w:rsidR="00DE2400" w:rsidRPr="00DE2400" w:rsidRDefault="00DE2400" w:rsidP="004C13CA">
            <w:pPr>
              <w:spacing w:before="0" w:after="0" w:line="276" w:lineRule="auto"/>
              <w:rPr>
                <w:b/>
                <w:lang w:val="fi-FI"/>
              </w:rPr>
            </w:pPr>
            <w:r w:rsidRPr="00DE2400">
              <w:rPr>
                <w:b/>
                <w:lang w:val="fi-FI"/>
              </w:rPr>
              <w:t xml:space="preserve">Dyrektor </w:t>
            </w:r>
            <w:r w:rsidR="00401025">
              <w:rPr>
                <w:b/>
                <w:lang w:val="fi-FI"/>
              </w:rPr>
              <w:t>Agnieszka Zgierska</w:t>
            </w:r>
          </w:p>
          <w:p w14:paraId="27E7EAAE" w14:textId="77777777" w:rsidR="00DE2400" w:rsidRPr="00AB24E4" w:rsidRDefault="00DE2400" w:rsidP="00401025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40102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</w:t>
            </w:r>
            <w:r w:rsidR="00B1687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40102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30</w:t>
            </w:r>
            <w:r w:rsidR="00B1687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40102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15</w:t>
            </w:r>
          </w:p>
        </w:tc>
        <w:tc>
          <w:tcPr>
            <w:tcW w:w="4927" w:type="dxa"/>
          </w:tcPr>
          <w:p w14:paraId="0722D295" w14:textId="77777777" w:rsidR="00DE2400" w:rsidRPr="004A1D19" w:rsidRDefault="00DE2400" w:rsidP="00DE2400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4A1D19">
              <w:rPr>
                <w:rFonts w:cs="Arial"/>
                <w:sz w:val="20"/>
              </w:rPr>
              <w:t>Rozpowszechnianie:</w:t>
            </w:r>
            <w:r w:rsidRPr="004A1D19">
              <w:rPr>
                <w:rFonts w:cs="Arial"/>
                <w:sz w:val="20"/>
              </w:rPr>
              <w:br/>
            </w:r>
            <w:r w:rsidRPr="004A1D19">
              <w:rPr>
                <w:rFonts w:cs="Arial"/>
                <w:b/>
                <w:sz w:val="20"/>
              </w:rPr>
              <w:t>Rzecznik Prasowy Prezesa GUS</w:t>
            </w:r>
          </w:p>
          <w:p w14:paraId="5DF54889" w14:textId="77777777" w:rsidR="00DE2400" w:rsidRPr="004A1D19" w:rsidRDefault="00DE2400" w:rsidP="004C13CA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4A1D1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25ECA8A1" w14:textId="77777777" w:rsidR="00DE2400" w:rsidRPr="004A1D19" w:rsidRDefault="00DE2400" w:rsidP="004C13CA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Tel: 695 255</w:t>
            </w:r>
            <w:r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14:paraId="030E01CF" w14:textId="77777777" w:rsidR="00DE2400" w:rsidRDefault="00DE2400" w:rsidP="004C13CA">
            <w:pPr>
              <w:rPr>
                <w:sz w:val="18"/>
              </w:rPr>
            </w:pPr>
          </w:p>
        </w:tc>
      </w:tr>
      <w:tr w:rsidR="00DE2400" w14:paraId="16AC6FC5" w14:textId="77777777" w:rsidTr="00B84C43">
        <w:trPr>
          <w:trHeight w:val="418"/>
        </w:trPr>
        <w:tc>
          <w:tcPr>
            <w:tcW w:w="4926" w:type="dxa"/>
            <w:vMerge w:val="restart"/>
          </w:tcPr>
          <w:p w14:paraId="704B7F98" w14:textId="77777777" w:rsidR="00DE2400" w:rsidRPr="00C91687" w:rsidRDefault="00DE2400" w:rsidP="004C13C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B6ACCD4" w14:textId="77777777" w:rsidR="00DE2400" w:rsidRPr="00C91687" w:rsidRDefault="00DE2400" w:rsidP="004C13CA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</w:t>
            </w:r>
            <w:r w:rsidR="00E95036">
              <w:rPr>
                <w:sz w:val="20"/>
              </w:rPr>
              <w:t>8 04</w:t>
            </w:r>
            <w:r w:rsidRPr="00C91687">
              <w:rPr>
                <w:sz w:val="20"/>
              </w:rPr>
              <w:t xml:space="preserve"> </w:t>
            </w:r>
          </w:p>
          <w:p w14:paraId="6B4095FD" w14:textId="77777777" w:rsidR="00DE2400" w:rsidRPr="00F05FC7" w:rsidRDefault="00DE2400" w:rsidP="004C13CA">
            <w:pPr>
              <w:rPr>
                <w:sz w:val="18"/>
                <w:lang w:val="en-US"/>
              </w:rPr>
            </w:pPr>
            <w:r w:rsidRPr="00A82D31">
              <w:rPr>
                <w:b/>
                <w:sz w:val="20"/>
                <w:lang w:val="en-GB"/>
              </w:rPr>
              <w:t>e-mail:</w:t>
            </w:r>
            <w:r w:rsidRPr="00A82D31">
              <w:rPr>
                <w:sz w:val="20"/>
                <w:lang w:val="en-GB"/>
              </w:rPr>
              <w:t xml:space="preserve"> </w:t>
            </w:r>
            <w:hyperlink r:id="rId16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4927" w:type="dxa"/>
            <w:vAlign w:val="center"/>
          </w:tcPr>
          <w:p w14:paraId="27C6F4DC" w14:textId="77777777" w:rsidR="00DE2400" w:rsidRDefault="00DE2400" w:rsidP="004C13CA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4256" behindDoc="0" locked="0" layoutInCell="1" allowOverlap="1" wp14:anchorId="35F04C44" wp14:editId="5EAAAC29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D5F42">
              <w:rPr>
                <w:sz w:val="20"/>
              </w:rPr>
              <w:t>www.stat.gov.pl</w:t>
            </w:r>
            <w:r>
              <w:rPr>
                <w:sz w:val="18"/>
              </w:rPr>
              <w:t xml:space="preserve">      </w:t>
            </w:r>
          </w:p>
        </w:tc>
      </w:tr>
      <w:tr w:rsidR="00DE2400" w14:paraId="2F6BD044" w14:textId="77777777" w:rsidTr="00B84C43">
        <w:trPr>
          <w:trHeight w:val="418"/>
        </w:trPr>
        <w:tc>
          <w:tcPr>
            <w:tcW w:w="4926" w:type="dxa"/>
            <w:vMerge/>
          </w:tcPr>
          <w:p w14:paraId="704895DB" w14:textId="77777777" w:rsidR="00DE2400" w:rsidRPr="00C91687" w:rsidRDefault="00DE2400" w:rsidP="004C13CA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14:paraId="2BA9E2BA" w14:textId="77777777" w:rsidR="00DE2400" w:rsidRDefault="00531873" w:rsidP="004C13CA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5280" behindDoc="0" locked="0" layoutInCell="1" allowOverlap="1" wp14:anchorId="549B8A78" wp14:editId="6E1BF4C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2" name="Obraz 22" descr="Ikonka twit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E2400" w:rsidRPr="003D5F42">
              <w:rPr>
                <w:sz w:val="20"/>
              </w:rPr>
              <w:t>@GUS_STAT</w:t>
            </w:r>
            <w:r w:rsidR="00DE2400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DE2400" w14:paraId="21783C23" w14:textId="77777777" w:rsidTr="00B84C43">
        <w:trPr>
          <w:trHeight w:val="476"/>
        </w:trPr>
        <w:tc>
          <w:tcPr>
            <w:tcW w:w="4926" w:type="dxa"/>
            <w:vMerge/>
          </w:tcPr>
          <w:p w14:paraId="56217A3F" w14:textId="77777777" w:rsidR="00DE2400" w:rsidRPr="00C91687" w:rsidRDefault="00DE2400" w:rsidP="004C13CA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5D5BAFE8" w14:textId="77777777" w:rsidR="00DE2400" w:rsidRDefault="00531873" w:rsidP="004C13CA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6304" behindDoc="0" locked="0" layoutInCell="1" allowOverlap="1" wp14:anchorId="418B9386" wp14:editId="22A74BEE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E2400" w:rsidRPr="003D5F42">
              <w:rPr>
                <w:sz w:val="20"/>
              </w:rPr>
              <w:t>@GlownyUrzadStatystyczny</w:t>
            </w:r>
            <w:r w:rsidR="00DE2400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531873" w14:paraId="39457703" w14:textId="77777777" w:rsidTr="00B84C43">
        <w:trPr>
          <w:trHeight w:val="426"/>
        </w:trPr>
        <w:tc>
          <w:tcPr>
            <w:tcW w:w="4926" w:type="dxa"/>
          </w:tcPr>
          <w:p w14:paraId="1CA7D0ED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6D06CF24" w14:textId="77777777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3472" behindDoc="0" locked="0" layoutInCell="1" allowOverlap="1" wp14:anchorId="0718B18C" wp14:editId="595FF14B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5" name="Obraz 5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531873">
              <w:rPr>
                <w:sz w:val="20"/>
              </w:rPr>
              <w:t>gus_stat</w:t>
            </w:r>
            <w:proofErr w:type="spellEnd"/>
          </w:p>
        </w:tc>
      </w:tr>
      <w:tr w:rsidR="00531873" w14:paraId="6CC4C4DE" w14:textId="77777777" w:rsidTr="00B84C43">
        <w:trPr>
          <w:trHeight w:val="504"/>
        </w:trPr>
        <w:tc>
          <w:tcPr>
            <w:tcW w:w="4926" w:type="dxa"/>
          </w:tcPr>
          <w:p w14:paraId="38F38D53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72817DD2" w14:textId="77777777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5520" behindDoc="0" locked="0" layoutInCell="1" allowOverlap="1" wp14:anchorId="50B8B53E" wp14:editId="590DF40C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11" name="Obraz 11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531873">
              <w:rPr>
                <w:sz w:val="20"/>
              </w:rPr>
              <w:t>glownyurzadstatystycznygus</w:t>
            </w:r>
            <w:proofErr w:type="spellEnd"/>
          </w:p>
        </w:tc>
      </w:tr>
      <w:tr w:rsidR="00531873" w14:paraId="0B73AF5F" w14:textId="77777777" w:rsidTr="00B84C43">
        <w:trPr>
          <w:trHeight w:val="1546"/>
        </w:trPr>
        <w:tc>
          <w:tcPr>
            <w:tcW w:w="4926" w:type="dxa"/>
          </w:tcPr>
          <w:p w14:paraId="53C161EC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3CD67C84" w14:textId="77777777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 w:rsidRPr="00531873">
              <w:rPr>
                <w:noProof/>
                <w:sz w:val="20"/>
                <w:lang w:eastAsia="pl-PL"/>
              </w:rPr>
              <w:t>glownyurzadstatystyczny</w:t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7568" behindDoc="0" locked="0" layoutInCell="1" allowOverlap="1" wp14:anchorId="0758591D" wp14:editId="635F5E76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14" name="Obraz 14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31873" w:rsidRPr="002A259B" w14:paraId="77BF5E48" w14:textId="77777777" w:rsidTr="00B84C43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14:paraId="701B73B3" w14:textId="77777777" w:rsidR="00531873" w:rsidRPr="00876479" w:rsidRDefault="00531873" w:rsidP="00531873">
            <w:pPr>
              <w:shd w:val="clear" w:color="auto" w:fill="D9D9D9" w:themeFill="background1" w:themeFillShade="D9"/>
              <w:rPr>
                <w:b/>
              </w:rPr>
            </w:pPr>
            <w:r w:rsidRPr="00210B1C">
              <w:rPr>
                <w:b/>
              </w:rPr>
              <w:t>Powiązane opracowania</w:t>
            </w:r>
          </w:p>
          <w:p w14:paraId="68328FF6" w14:textId="77777777" w:rsidR="006A3C5F" w:rsidRPr="006A3C5F" w:rsidRDefault="00CB071C" w:rsidP="006A3C5F">
            <w:pPr>
              <w:pStyle w:val="Nagwek2"/>
              <w:spacing w:before="120" w:after="120"/>
              <w:outlineLvl w:val="1"/>
              <w:rPr>
                <w:rStyle w:val="Hipercze"/>
                <w:rFonts w:ascii="Fira Sans" w:eastAsiaTheme="minorHAnsi" w:hAnsi="Fira Sans"/>
                <w:sz w:val="19"/>
                <w:szCs w:val="22"/>
              </w:rPr>
            </w:pPr>
            <w:hyperlink r:id="rId23" w:history="1">
              <w:r w:rsidR="006A3C5F" w:rsidRPr="006A3C5F">
                <w:rPr>
                  <w:rStyle w:val="Hipercze"/>
                  <w:rFonts w:ascii="Fira Sans" w:eastAsiaTheme="minorHAnsi" w:hAnsi="Fira Sans"/>
                  <w:sz w:val="19"/>
                  <w:szCs w:val="22"/>
                </w:rPr>
                <w:t>Obszar tematyczny: Pracujący. Zatrudnieni. Wynagrodzenia. Koszty pracy</w:t>
              </w:r>
            </w:hyperlink>
            <w:r w:rsidR="006A3C5F" w:rsidRPr="006A3C5F">
              <w:rPr>
                <w:rStyle w:val="Hipercze"/>
                <w:rFonts w:ascii="Fira Sans" w:eastAsiaTheme="minorHAnsi" w:hAnsi="Fira Sans"/>
                <w:sz w:val="19"/>
                <w:szCs w:val="22"/>
              </w:rPr>
              <w:t xml:space="preserve"> </w:t>
            </w:r>
          </w:p>
          <w:p w14:paraId="76C9CCF8" w14:textId="77777777" w:rsidR="006A3C5F" w:rsidRPr="006A3C5F" w:rsidRDefault="00CB071C" w:rsidP="006A3C5F">
            <w:pPr>
              <w:pStyle w:val="Nagwek2"/>
              <w:outlineLvl w:val="1"/>
              <w:rPr>
                <w:rStyle w:val="Hipercze"/>
                <w:rFonts w:ascii="Fira Sans" w:eastAsiaTheme="minorHAnsi" w:hAnsi="Fira Sans"/>
                <w:sz w:val="19"/>
                <w:szCs w:val="22"/>
              </w:rPr>
            </w:pPr>
            <w:hyperlink r:id="rId24" w:history="1">
              <w:r w:rsidR="006A3C5F" w:rsidRPr="003A45E4">
                <w:rPr>
                  <w:rStyle w:val="Hipercze"/>
                  <w:rFonts w:ascii="Fira Sans" w:eastAsiaTheme="minorHAnsi" w:hAnsi="Fira Sans"/>
                  <w:sz w:val="19"/>
                  <w:szCs w:val="22"/>
                </w:rPr>
                <w:t>Zatrudnienie i wynagrodzenia w gospodarce narodowej w 2021 roku</w:t>
              </w:r>
            </w:hyperlink>
          </w:p>
          <w:p w14:paraId="36C948EB" w14:textId="77777777" w:rsidR="006A3C5F" w:rsidRPr="006A3C5F" w:rsidRDefault="00CB071C" w:rsidP="006A3C5F">
            <w:pPr>
              <w:pStyle w:val="Nagwek2"/>
              <w:spacing w:before="120" w:after="120"/>
              <w:outlineLvl w:val="1"/>
              <w:rPr>
                <w:rStyle w:val="Hipercze"/>
                <w:rFonts w:ascii="Fira Sans" w:eastAsiaTheme="minorHAnsi" w:hAnsi="Fira Sans"/>
                <w:sz w:val="19"/>
                <w:szCs w:val="22"/>
              </w:rPr>
            </w:pPr>
            <w:hyperlink r:id="rId25" w:history="1">
              <w:r w:rsidR="006A3C5F" w:rsidRPr="003715B1">
                <w:rPr>
                  <w:rStyle w:val="Hipercze"/>
                  <w:rFonts w:ascii="Fira Sans" w:eastAsiaTheme="minorHAnsi" w:hAnsi="Fira Sans"/>
                  <w:sz w:val="19"/>
                  <w:szCs w:val="22"/>
                </w:rPr>
                <w:t>Struktura wynagrodzeń według zawodów w październiku 20</w:t>
              </w:r>
              <w:r w:rsidR="005B48C0" w:rsidRPr="003715B1">
                <w:rPr>
                  <w:rStyle w:val="Hipercze"/>
                  <w:rFonts w:ascii="Fira Sans" w:eastAsiaTheme="minorHAnsi" w:hAnsi="Fira Sans"/>
                  <w:sz w:val="19"/>
                  <w:szCs w:val="22"/>
                </w:rPr>
                <w:t>20</w:t>
              </w:r>
              <w:r w:rsidR="006A3C5F" w:rsidRPr="003715B1">
                <w:rPr>
                  <w:rStyle w:val="Hipercze"/>
                  <w:rFonts w:ascii="Fira Sans" w:eastAsiaTheme="minorHAnsi" w:hAnsi="Fira Sans"/>
                  <w:sz w:val="19"/>
                  <w:szCs w:val="22"/>
                </w:rPr>
                <w:t xml:space="preserve"> r.</w:t>
              </w:r>
            </w:hyperlink>
          </w:p>
          <w:p w14:paraId="62FF3EE7" w14:textId="77777777" w:rsidR="006A3C5F" w:rsidRPr="006A3C5F" w:rsidRDefault="00CB071C" w:rsidP="006A3C5F">
            <w:pPr>
              <w:rPr>
                <w:rStyle w:val="Hipercze"/>
              </w:rPr>
            </w:pPr>
            <w:hyperlink r:id="rId26" w:history="1">
              <w:r w:rsidR="006A3C5F" w:rsidRPr="006A3C5F">
                <w:rPr>
                  <w:rStyle w:val="Hipercze"/>
                </w:rPr>
                <w:t>Zeszyt metodologiczny Pracujący w gospodarce narodowej</w:t>
              </w:r>
            </w:hyperlink>
          </w:p>
          <w:p w14:paraId="751D1475" w14:textId="77777777" w:rsidR="006A3C5F" w:rsidRPr="00E9755A" w:rsidRDefault="00CB071C" w:rsidP="006A3C5F">
            <w:pPr>
              <w:rPr>
                <w:rStyle w:val="Hipercze"/>
                <w:rFonts w:cs="Arial"/>
                <w:color w:val="001D77"/>
                <w:sz w:val="18"/>
                <w:szCs w:val="30"/>
                <w:shd w:val="clear" w:color="auto" w:fill="F0F0F0"/>
              </w:rPr>
            </w:pPr>
            <w:hyperlink r:id="rId27" w:history="1">
              <w:r w:rsidR="006A3C5F" w:rsidRPr="006A3C5F">
                <w:rPr>
                  <w:rStyle w:val="Hipercze"/>
                </w:rPr>
                <w:t>Zeszyt metodologiczny Wynagrodzenia w gospodarce narodowej</w:t>
              </w:r>
            </w:hyperlink>
          </w:p>
          <w:p w14:paraId="77A6C5F6" w14:textId="77777777" w:rsidR="00531873" w:rsidRPr="00694D63" w:rsidRDefault="00531873" w:rsidP="00531873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Temat dostępny w bazach danych</w:t>
            </w:r>
          </w:p>
          <w:p w14:paraId="54055924" w14:textId="77777777" w:rsidR="002A259B" w:rsidRPr="002A259B" w:rsidRDefault="00CB071C" w:rsidP="002A259B">
            <w:pPr>
              <w:pStyle w:val="Nagwek2"/>
              <w:spacing w:before="120" w:after="120"/>
              <w:outlineLvl w:val="1"/>
              <w:rPr>
                <w:rStyle w:val="Hipercze"/>
                <w:rFonts w:ascii="Fira Sans" w:eastAsiaTheme="minorHAnsi" w:hAnsi="Fira Sans"/>
                <w:sz w:val="19"/>
                <w:szCs w:val="22"/>
              </w:rPr>
            </w:pPr>
            <w:hyperlink r:id="rId28" w:history="1">
              <w:r w:rsidR="002A259B" w:rsidRPr="002A259B">
                <w:rPr>
                  <w:rStyle w:val="Hipercze"/>
                  <w:rFonts w:ascii="Fira Sans" w:eastAsiaTheme="minorHAnsi" w:hAnsi="Fira Sans"/>
                  <w:sz w:val="19"/>
                  <w:szCs w:val="22"/>
                </w:rPr>
                <w:t>Baza BDL – temat rynek pracy</w:t>
              </w:r>
            </w:hyperlink>
          </w:p>
          <w:p w14:paraId="6C398DC5" w14:textId="77777777" w:rsidR="002A259B" w:rsidRPr="002A259B" w:rsidRDefault="00CB071C" w:rsidP="002A259B">
            <w:pPr>
              <w:pStyle w:val="Nagwek2"/>
              <w:spacing w:before="120" w:after="120"/>
              <w:outlineLvl w:val="1"/>
              <w:rPr>
                <w:rStyle w:val="Hipercze"/>
                <w:rFonts w:ascii="Fira Sans" w:eastAsiaTheme="minorHAnsi" w:hAnsi="Fira Sans"/>
                <w:sz w:val="19"/>
                <w:szCs w:val="22"/>
              </w:rPr>
            </w:pPr>
            <w:hyperlink r:id="rId29" w:history="1">
              <w:r w:rsidR="002A259B" w:rsidRPr="002A259B">
                <w:rPr>
                  <w:rStyle w:val="Hipercze"/>
                  <w:rFonts w:ascii="Fira Sans" w:eastAsiaTheme="minorHAnsi" w:hAnsi="Fira Sans"/>
                  <w:sz w:val="19"/>
                  <w:szCs w:val="22"/>
                </w:rPr>
                <w:t>Baza BDM – temat rynek pracy</w:t>
              </w:r>
            </w:hyperlink>
          </w:p>
          <w:p w14:paraId="7700BAA5" w14:textId="77777777" w:rsidR="00531873" w:rsidRPr="00694D63" w:rsidRDefault="00531873" w:rsidP="00531873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 w:rsidRPr="00694D63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14:paraId="72054459" w14:textId="77777777" w:rsidR="002A259B" w:rsidRPr="002A259B" w:rsidRDefault="00CB071C" w:rsidP="002A259B">
            <w:pPr>
              <w:pStyle w:val="Nagwek2"/>
              <w:spacing w:before="120" w:after="120"/>
              <w:outlineLvl w:val="1"/>
              <w:rPr>
                <w:rStyle w:val="Hipercze"/>
                <w:rFonts w:ascii="Fira Sans" w:eastAsiaTheme="minorHAnsi" w:hAnsi="Fira Sans"/>
                <w:sz w:val="19"/>
                <w:szCs w:val="22"/>
              </w:rPr>
            </w:pPr>
            <w:hyperlink r:id="rId30" w:history="1">
              <w:r w:rsidR="002A259B" w:rsidRPr="002A259B">
                <w:rPr>
                  <w:rStyle w:val="Hipercze"/>
                  <w:rFonts w:ascii="Fira Sans" w:eastAsiaTheme="minorHAnsi" w:hAnsi="Fira Sans"/>
                  <w:sz w:val="19"/>
                  <w:szCs w:val="22"/>
                </w:rPr>
                <w:t>Przeciętne zatrudnienie</w:t>
              </w:r>
            </w:hyperlink>
          </w:p>
          <w:p w14:paraId="4F1C06A3" w14:textId="77777777" w:rsidR="002A259B" w:rsidRPr="002A259B" w:rsidRDefault="00CB071C" w:rsidP="002A259B">
            <w:pPr>
              <w:pStyle w:val="Nagwek2"/>
              <w:spacing w:before="120" w:after="120"/>
              <w:outlineLvl w:val="1"/>
              <w:rPr>
                <w:rStyle w:val="Hipercze"/>
                <w:rFonts w:ascii="Fira Sans" w:eastAsiaTheme="minorHAnsi" w:hAnsi="Fira Sans"/>
                <w:sz w:val="19"/>
                <w:szCs w:val="22"/>
              </w:rPr>
            </w:pPr>
            <w:hyperlink r:id="rId31" w:history="1">
              <w:r w:rsidR="002A259B" w:rsidRPr="002A259B">
                <w:rPr>
                  <w:rStyle w:val="Hipercze"/>
                  <w:rFonts w:ascii="Fira Sans" w:eastAsiaTheme="minorHAnsi" w:hAnsi="Fira Sans"/>
                  <w:sz w:val="19"/>
                  <w:szCs w:val="22"/>
                </w:rPr>
                <w:t>Wynagrodzenia do obliczania przeciętnego miesięcznego wynagrodzenia</w:t>
              </w:r>
            </w:hyperlink>
          </w:p>
          <w:p w14:paraId="0137823F" w14:textId="77777777" w:rsidR="00531873" w:rsidRPr="002A259B" w:rsidRDefault="00531873" w:rsidP="00531873">
            <w:pPr>
              <w:rPr>
                <w:rStyle w:val="Hipercze"/>
              </w:rPr>
            </w:pPr>
          </w:p>
          <w:p w14:paraId="498C54FF" w14:textId="77777777" w:rsidR="00531873" w:rsidRPr="002A259B" w:rsidRDefault="00531873" w:rsidP="00531873">
            <w:pPr>
              <w:rPr>
                <w:b/>
                <w:color w:val="000000" w:themeColor="text1"/>
                <w:szCs w:val="24"/>
              </w:rPr>
            </w:pPr>
          </w:p>
          <w:p w14:paraId="27A597A0" w14:textId="77777777" w:rsidR="00531873" w:rsidRPr="002A259B" w:rsidRDefault="00531873" w:rsidP="00531873">
            <w:pPr>
              <w:rPr>
                <w:b/>
                <w:color w:val="000000" w:themeColor="text1"/>
                <w:szCs w:val="24"/>
              </w:rPr>
            </w:pPr>
          </w:p>
          <w:p w14:paraId="16B6A407" w14:textId="77777777" w:rsidR="00531873" w:rsidRPr="002A259B" w:rsidRDefault="00531873" w:rsidP="00531873">
            <w:pPr>
              <w:rPr>
                <w:b/>
                <w:color w:val="000000" w:themeColor="text1"/>
                <w:szCs w:val="24"/>
              </w:rPr>
            </w:pPr>
          </w:p>
        </w:tc>
      </w:tr>
    </w:tbl>
    <w:p w14:paraId="0390E3C6" w14:textId="77777777" w:rsidR="000470AA" w:rsidRPr="002A259B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9"/>
        <w:gridCol w:w="3924"/>
      </w:tblGrid>
      <w:tr w:rsidR="000470AA" w:rsidRPr="002A259B" w14:paraId="53CF9539" w14:textId="77777777" w:rsidTr="00E23337">
        <w:trPr>
          <w:trHeight w:val="1912"/>
        </w:trPr>
        <w:tc>
          <w:tcPr>
            <w:tcW w:w="4379" w:type="dxa"/>
          </w:tcPr>
          <w:p w14:paraId="687EE0E5" w14:textId="77777777" w:rsidR="000470AA" w:rsidRPr="004A1D19" w:rsidRDefault="000470AA" w:rsidP="00D00796">
            <w:pPr>
              <w:pStyle w:val="Nagwek3"/>
              <w:spacing w:before="0" w:line="240" w:lineRule="auto"/>
              <w:rPr>
                <w:rFonts w:ascii="Fira Sans" w:hAnsi="Fira Sans"/>
                <w:color w:val="auto"/>
                <w:lang w:val="fi-FI"/>
              </w:rPr>
            </w:pPr>
          </w:p>
        </w:tc>
        <w:tc>
          <w:tcPr>
            <w:tcW w:w="3942" w:type="dxa"/>
          </w:tcPr>
          <w:p w14:paraId="66869358" w14:textId="77777777" w:rsidR="000470AA" w:rsidRPr="002A259B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szCs w:val="20"/>
              </w:rPr>
            </w:pPr>
          </w:p>
        </w:tc>
      </w:tr>
    </w:tbl>
    <w:p w14:paraId="5D9C8804" w14:textId="77777777" w:rsidR="00D261A2" w:rsidRPr="002A259B" w:rsidRDefault="00D261A2" w:rsidP="005260FC">
      <w:pPr>
        <w:rPr>
          <w:sz w:val="18"/>
        </w:rPr>
      </w:pPr>
    </w:p>
    <w:sectPr w:rsidR="00D261A2" w:rsidRPr="002A259B" w:rsidSect="003B18B6">
      <w:headerReference w:type="default" r:id="rId32"/>
      <w:footerReference w:type="default" r:id="rId33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1AF1" w14:textId="77777777" w:rsidR="00CB071C" w:rsidRDefault="00CB071C" w:rsidP="000662E2">
      <w:pPr>
        <w:spacing w:after="0" w:line="240" w:lineRule="auto"/>
      </w:pPr>
      <w:r>
        <w:separator/>
      </w:r>
    </w:p>
  </w:endnote>
  <w:endnote w:type="continuationSeparator" w:id="0">
    <w:p w14:paraId="064DE697" w14:textId="77777777" w:rsidR="00CB071C" w:rsidRDefault="00CB071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Light">
    <w:charset w:val="EE"/>
    <w:family w:val="swiss"/>
    <w:pitch w:val="variable"/>
    <w:sig w:usb0="600002FF" w:usb1="02000001" w:usb2="00000000" w:usb3="00000000" w:csb0="0000019F" w:csb1="00000000"/>
  </w:font>
  <w:font w:name="Fira Sans SemiBold">
    <w:charset w:val="EE"/>
    <w:family w:val="swiss"/>
    <w:pitch w:val="variable"/>
    <w:sig w:usb0="600002FF" w:usb1="02000001" w:usb2="00000000" w:usb3="00000000" w:csb0="0000019F" w:csb1="00000000"/>
  </w:font>
  <w:font w:name="Fira Sans Medium"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575277"/>
      <w:docPartObj>
        <w:docPartGallery w:val="Page Numbers (Bottom of Page)"/>
        <w:docPartUnique/>
      </w:docPartObj>
    </w:sdtPr>
    <w:sdtEndPr/>
    <w:sdtContent>
      <w:p w14:paraId="7AE38BD0" w14:textId="77777777" w:rsidR="00621FEA" w:rsidRDefault="00CB071C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8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836088"/>
      <w:docPartObj>
        <w:docPartGallery w:val="Page Numbers (Bottom of Page)"/>
        <w:docPartUnique/>
      </w:docPartObj>
    </w:sdtPr>
    <w:sdtEndPr/>
    <w:sdtContent>
      <w:p w14:paraId="66E487C3" w14:textId="77777777" w:rsidR="00621FEA" w:rsidRDefault="00CB071C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8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636839"/>
      <w:docPartObj>
        <w:docPartGallery w:val="Page Numbers (Bottom of Page)"/>
        <w:docPartUnique/>
      </w:docPartObj>
    </w:sdtPr>
    <w:sdtEndPr/>
    <w:sdtContent>
      <w:p w14:paraId="398407A6" w14:textId="77777777" w:rsidR="00621FEA" w:rsidRDefault="00CB071C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89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8987" w14:textId="77777777" w:rsidR="00CB071C" w:rsidRDefault="00CB071C" w:rsidP="000662E2">
      <w:pPr>
        <w:spacing w:after="0" w:line="240" w:lineRule="auto"/>
      </w:pPr>
      <w:r>
        <w:separator/>
      </w:r>
    </w:p>
  </w:footnote>
  <w:footnote w:type="continuationSeparator" w:id="0">
    <w:p w14:paraId="360784F6" w14:textId="77777777" w:rsidR="00CB071C" w:rsidRDefault="00CB071C" w:rsidP="000662E2">
      <w:pPr>
        <w:spacing w:after="0" w:line="240" w:lineRule="auto"/>
      </w:pPr>
      <w:r>
        <w:continuationSeparator/>
      </w:r>
    </w:p>
  </w:footnote>
  <w:footnote w:id="1">
    <w:p w14:paraId="11FC746D" w14:textId="77777777" w:rsidR="00621FEA" w:rsidRPr="00526041" w:rsidRDefault="00621FEA" w:rsidP="00976E2C">
      <w:pPr>
        <w:pStyle w:val="Tekstprzypisudolnego"/>
      </w:pPr>
      <w:r w:rsidRPr="006E448C">
        <w:rPr>
          <w:rStyle w:val="Odwoanieprzypisudolnego"/>
        </w:rPr>
        <w:footnoteRef/>
      </w:r>
      <w:r w:rsidRPr="006E448C">
        <w:t xml:space="preserve"> </w:t>
      </w:r>
      <w:r w:rsidRPr="00BD4270">
        <w:rPr>
          <w:sz w:val="19"/>
          <w:szCs w:val="19"/>
        </w:rPr>
        <w:t>Przeciętne zatrudnienie po przeliczeniu wymiarów etatów osób niepełnozatrudnionych na pełne etaty.</w:t>
      </w:r>
    </w:p>
  </w:footnote>
  <w:footnote w:id="2">
    <w:p w14:paraId="1D0B2B0E" w14:textId="77777777" w:rsidR="00621FEA" w:rsidRPr="00F8556E" w:rsidRDefault="00621FEA" w:rsidP="00976E2C">
      <w:pPr>
        <w:pStyle w:val="Tekstprzypisudolnego"/>
        <w:rPr>
          <w:sz w:val="19"/>
          <w:szCs w:val="19"/>
        </w:rPr>
      </w:pPr>
      <w:r>
        <w:rPr>
          <w:rStyle w:val="Odwoanieprzypisudolnego"/>
        </w:rPr>
        <w:footnoteRef/>
      </w:r>
      <w:r>
        <w:t xml:space="preserve"> </w:t>
      </w:r>
      <w:r w:rsidRPr="00F8556E">
        <w:rPr>
          <w:sz w:val="19"/>
          <w:szCs w:val="19"/>
        </w:rPr>
        <w:t xml:space="preserve">Opis działalności zaliczanych do sektora przedsiębiorstw zamieszczono na str. </w:t>
      </w:r>
      <w:r w:rsidR="006151EB">
        <w:rPr>
          <w:sz w:val="19"/>
          <w:szCs w:val="19"/>
        </w:rPr>
        <w:t>3</w:t>
      </w:r>
      <w:r w:rsidRPr="00F8556E">
        <w:rPr>
          <w:sz w:val="19"/>
          <w:szCs w:val="19"/>
        </w:rPr>
        <w:t>.</w:t>
      </w:r>
    </w:p>
  </w:footnote>
  <w:footnote w:id="3">
    <w:p w14:paraId="507F6711" w14:textId="77777777" w:rsidR="00621FEA" w:rsidRPr="00FC269E" w:rsidRDefault="00621FEA" w:rsidP="00FC03C3">
      <w:pPr>
        <w:pStyle w:val="Tekstprzypisudolnego"/>
        <w:spacing w:before="0"/>
        <w:rPr>
          <w:sz w:val="19"/>
          <w:szCs w:val="19"/>
        </w:rPr>
      </w:pPr>
      <w:r w:rsidRPr="00FC269E">
        <w:rPr>
          <w:rStyle w:val="Odwoanieprzypisudolnego"/>
          <w:sz w:val="19"/>
          <w:szCs w:val="19"/>
        </w:rPr>
        <w:footnoteRef/>
      </w:r>
      <w:r w:rsidRPr="00FC269E">
        <w:rPr>
          <w:sz w:val="19"/>
          <w:szCs w:val="19"/>
        </w:rPr>
        <w:t xml:space="preserve"> Załącznik do objaśnień sprawozdawczości z zatrudnienia i wynagrodzeń: </w:t>
      </w:r>
      <w:hyperlink r:id="rId1" w:history="1">
        <w:r w:rsidRPr="00FC269E">
          <w:rPr>
            <w:rStyle w:val="Hipercze"/>
            <w:sz w:val="19"/>
            <w:szCs w:val="19"/>
          </w:rPr>
          <w:t>http://form.stat.gov.pl/formularze/2020/objasnienia/zalacznik_do_objasnien.pdf</w:t>
        </w:r>
      </w:hyperlink>
      <w:r w:rsidRPr="00FC269E">
        <w:rPr>
          <w:sz w:val="19"/>
          <w:szCs w:val="19"/>
        </w:rPr>
        <w:t xml:space="preserve">. </w:t>
      </w:r>
    </w:p>
  </w:footnote>
  <w:footnote w:id="4">
    <w:p w14:paraId="42A1CCBE" w14:textId="77777777" w:rsidR="0015207F" w:rsidRPr="00FC269E" w:rsidRDefault="0015207F" w:rsidP="0015207F">
      <w:pPr>
        <w:pStyle w:val="Tekstprzypisudolnego"/>
        <w:rPr>
          <w:sz w:val="19"/>
          <w:szCs w:val="19"/>
        </w:rPr>
      </w:pPr>
      <w:r w:rsidRPr="00FC269E">
        <w:rPr>
          <w:rStyle w:val="Odwoanieprzypisudolnego"/>
          <w:sz w:val="19"/>
          <w:szCs w:val="19"/>
        </w:rPr>
        <w:footnoteRef/>
      </w:r>
      <w:r w:rsidRPr="00FC269E">
        <w:rPr>
          <w:sz w:val="19"/>
          <w:szCs w:val="19"/>
        </w:rPr>
        <w:t xml:space="preserve"> </w:t>
      </w:r>
      <w:r w:rsidRPr="00FC269E">
        <w:rPr>
          <w:rFonts w:cs="Arial"/>
          <w:sz w:val="19"/>
          <w:szCs w:val="19"/>
        </w:rPr>
        <w:t>W ramach sektora przedsiębiorstw, sekcja ta obejmuje tylko działalność „Leśnictwo i pozyskiwanie drewna” (dział 02) oraz „Rybołówstwo w wodach morskich” (klasa 03.11).</w:t>
      </w:r>
    </w:p>
  </w:footnote>
  <w:footnote w:id="5">
    <w:p w14:paraId="54387F7F" w14:textId="77777777" w:rsidR="00621FEA" w:rsidRPr="00621FEA" w:rsidRDefault="00621FEA" w:rsidP="00FC269E">
      <w:pPr>
        <w:pStyle w:val="Tekstprzypisudolnego"/>
        <w:rPr>
          <w:sz w:val="16"/>
          <w:szCs w:val="16"/>
        </w:rPr>
      </w:pPr>
      <w:r w:rsidRPr="00FC269E">
        <w:rPr>
          <w:rStyle w:val="Odwoanieprzypisudolnego"/>
          <w:sz w:val="19"/>
          <w:szCs w:val="19"/>
        </w:rPr>
        <w:footnoteRef/>
      </w:r>
      <w:r w:rsidRPr="00FC269E">
        <w:rPr>
          <w:sz w:val="19"/>
          <w:szCs w:val="19"/>
        </w:rPr>
        <w:t xml:space="preserve"> W ramach sektora przedsiębiorstw, sekcja ta nie bada </w:t>
      </w:r>
      <w:r w:rsidRPr="00FC269E">
        <w:rPr>
          <w:rFonts w:cs="Arial"/>
          <w:sz w:val="19"/>
          <w:szCs w:val="19"/>
        </w:rPr>
        <w:t>działalności „Działalność organizacji członkowskich” (dział 94).</w:t>
      </w:r>
    </w:p>
  </w:footnote>
  <w:footnote w:id="6">
    <w:p w14:paraId="16800940" w14:textId="77777777" w:rsidR="00621FEA" w:rsidRPr="00AF195C" w:rsidRDefault="00621FEA" w:rsidP="00FC269E">
      <w:pPr>
        <w:pStyle w:val="Tekstprzypisudolnego"/>
        <w:rPr>
          <w:sz w:val="19"/>
          <w:szCs w:val="19"/>
        </w:rPr>
      </w:pPr>
      <w:r w:rsidRPr="00AF195C">
        <w:rPr>
          <w:rStyle w:val="Odwoanieprzypisudolnego"/>
          <w:sz w:val="19"/>
          <w:szCs w:val="19"/>
        </w:rPr>
        <w:footnoteRef/>
      </w:r>
      <w:r w:rsidRPr="00AF195C">
        <w:rPr>
          <w:rStyle w:val="Odwoanieprzypisudolnego"/>
          <w:sz w:val="19"/>
          <w:szCs w:val="19"/>
        </w:rPr>
        <w:t xml:space="preserve"> </w:t>
      </w:r>
      <w:r w:rsidRPr="00AF195C">
        <w:rPr>
          <w:rFonts w:eastAsia="Calibri"/>
          <w:sz w:val="19"/>
          <w:szCs w:val="19"/>
          <w:shd w:val="clear" w:color="auto" w:fill="FFFFFF"/>
        </w:rPr>
        <w:t>Zeszyt Metodologiczny Meldunek o działalności gospodarczej przedsiębiorstw:</w:t>
      </w:r>
      <w:r w:rsidRPr="00AF195C">
        <w:rPr>
          <w:sz w:val="19"/>
          <w:szCs w:val="19"/>
        </w:rPr>
        <w:t xml:space="preserve"> </w:t>
      </w:r>
      <w:hyperlink r:id="rId2" w:history="1">
        <w:r w:rsidRPr="00AF195C">
          <w:rPr>
            <w:rStyle w:val="Hipercze"/>
            <w:sz w:val="19"/>
            <w:szCs w:val="19"/>
          </w:rPr>
          <w:t>https://stat.gov.pl/obszary-tematyczne/podmioty-gospodarcze-wyniki-finansowe/przedsiebiorstwa-niefinansowe/zeszyt-metodologiczny-miesieczny-meldunek-o-dzialalnosci-gospodarczej-przedsiebiorstw,31,1.html</w:t>
        </w:r>
      </w:hyperlink>
      <w:r w:rsidRPr="00AF195C">
        <w:rPr>
          <w:sz w:val="19"/>
          <w:szCs w:val="19"/>
        </w:rPr>
        <w:t xml:space="preserve">. </w:t>
      </w:r>
    </w:p>
  </w:footnote>
  <w:footnote w:id="7">
    <w:p w14:paraId="48EF951F" w14:textId="77777777" w:rsidR="00621FEA" w:rsidRPr="00AA0352" w:rsidRDefault="00621FEA" w:rsidP="00AA0352">
      <w:pPr>
        <w:rPr>
          <w:color w:val="1F497D"/>
        </w:rPr>
      </w:pPr>
      <w:r w:rsidRPr="00AF195C">
        <w:rPr>
          <w:rStyle w:val="Odwoanieprzypisudolnego"/>
          <w:szCs w:val="19"/>
        </w:rPr>
        <w:footnoteRef/>
      </w:r>
      <w:r w:rsidRPr="00AF195C">
        <w:rPr>
          <w:szCs w:val="19"/>
        </w:rPr>
        <w:t xml:space="preserve"> Formularz badania DG-1 wraz z objaśnieniami: </w:t>
      </w:r>
      <w:hyperlink r:id="rId3" w:history="1">
        <w:r w:rsidR="00AA0352">
          <w:rPr>
            <w:rStyle w:val="Hipercze"/>
          </w:rPr>
          <w:t>http://form.stat.gov.pl/formularze/2022/passive/DG-1.pdf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2A59" w14:textId="77777777" w:rsidR="00621FEA" w:rsidRDefault="00CB071C">
    <w:pPr>
      <w:pStyle w:val="Nagwek"/>
    </w:pPr>
    <w:r>
      <w:rPr>
        <w:noProof/>
        <w:lang w:eastAsia="pl-PL"/>
      </w:rPr>
      <w:pict w14:anchorId="0FA3725F">
        <v:rect id="Prostokąt 12" o:spid="_x0000_s1028" style="position:absolute;margin-left:411.2pt;margin-top:-322.85pt;width:147.4pt;height:1803.55pt;z-index:-251642880;visibility:visible;mso-width-relative:margin;mso-height-relative:margin;v-text-anchor:middle" wrapcoords="-110 0 -110 21591 21600 21591 21600 0 -1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US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" fillcolor="#f2f2f2" stroked="f" strokeweight="1pt">
          <w10:wrap type="tight"/>
        </v:rect>
      </w:pict>
    </w:r>
  </w:p>
  <w:p w14:paraId="7A345EC3" w14:textId="77777777" w:rsidR="00621FEA" w:rsidRDefault="00621F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BE17" w14:textId="77777777" w:rsidR="00621FEA" w:rsidRDefault="00621FEA">
    <w:pPr>
      <w:pStyle w:val="Nagwek"/>
      <w:rPr>
        <w:noProof/>
        <w:lang w:eastAsia="pl-PL"/>
      </w:rPr>
    </w:pPr>
    <w:r>
      <w:rPr>
        <w:noProof/>
        <w:shd w:val="clear" w:color="auto" w:fill="FFFFFF"/>
        <w:lang w:eastAsia="pl-PL"/>
      </w:rPr>
      <w:drawing>
        <wp:anchor distT="0" distB="0" distL="114300" distR="114300" simplePos="0" relativeHeight="251671552" behindDoc="0" locked="0" layoutInCell="1" allowOverlap="1" wp14:anchorId="0C67568B" wp14:editId="736FD687">
          <wp:simplePos x="0" y="0"/>
          <wp:positionH relativeFrom="column">
            <wp:posOffset>13335</wp:posOffset>
          </wp:positionH>
          <wp:positionV relativeFrom="paragraph">
            <wp:posOffset>153670</wp:posOffset>
          </wp:positionV>
          <wp:extent cx="1125855" cy="431800"/>
          <wp:effectExtent l="0" t="0" r="0" b="6350"/>
          <wp:wrapSquare wrapText="bothSides"/>
          <wp:docPr id="7" name="Obraz 7" descr="Logo Głównego Urzędu Statystycznego i logo Narodowego Spisu Powszechnego Ludności i Mieszkań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NSP_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6" t="19342" r="59741" b="19726"/>
                  <a:stretch/>
                </pic:blipFill>
                <pic:spPr bwMode="auto">
                  <a:xfrm>
                    <a:off x="0" y="0"/>
                    <a:ext cx="1125855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B071C">
      <w:rPr>
        <w:noProof/>
        <w:lang w:eastAsia="pl-PL"/>
      </w:rPr>
      <w:pict w14:anchorId="2485F68D">
        <v:shape id="Schemat blokowy: opóźnienie 6" o:spid="_x0000_s1027" alt="Informacja sygnalna" style="position:absolute;margin-left:396.6pt;margin-top:15.65pt;width:162.25pt;height:28.15pt;flip:x;z-index:251668480;visibility:visible;mso-position-horizontal-relative:text;mso-position-vertical-relative:text;mso-width-relative:margin;mso-height-relative:margin;v-text-anchor:middle" coordsize="3527018,612140" o:spt="100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14:paraId="6EF7F088" w14:textId="77777777" w:rsidR="00621FEA" w:rsidRPr="003C6C8D" w:rsidRDefault="00621FEA" w:rsidP="005D2F6B">
                <w:pPr>
                  <w:spacing w:before="0" w:after="0" w:line="240" w:lineRule="auto"/>
                  <w:ind w:left="227"/>
                  <w:jc w:val="center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 w:rsidR="00CB071C">
      <w:rPr>
        <w:noProof/>
        <w:lang w:eastAsia="pl-PL"/>
      </w:rPr>
      <w:pict w14:anchorId="42503C4A">
        <v:rect id="Prostokąt 10" o:spid="_x0000_s1026" alt="Data publikacji: 21.06.2022 r." style="position:absolute;margin-left:411.1pt;margin-top:40.3pt;width:147.4pt;height:1803.55pt;z-index:-251650048;visibility:visible;mso-position-horizontal-relative:text;mso-position-vertical-relative:text;mso-width-relative:margin;mso-height-relative:margin;v-text-anchor:middle" wrapcoords="-110 0 -110 21591 21600 21591 21600 0 -110 0" fillcolor="#f2f2f2" stroked="f" strokeweight="1pt">
          <w10:wrap type="tight"/>
        </v:rect>
      </w:pict>
    </w:r>
    <w:r>
      <w:rPr>
        <w:noProof/>
        <w:lang w:eastAsia="pl-PL"/>
      </w:rPr>
      <w:t xml:space="preserve"> </w:t>
    </w:r>
    <w:r w:rsidRPr="00540C5C">
      <w:rPr>
        <w:noProof/>
      </w:rPr>
      <w:t xml:space="preserve"> </w:t>
    </w:r>
  </w:p>
  <w:p w14:paraId="0D8656EB" w14:textId="77777777" w:rsidR="00621FEA" w:rsidRDefault="00621FEA">
    <w:pPr>
      <w:pStyle w:val="Nagwek"/>
      <w:rPr>
        <w:noProof/>
        <w:lang w:eastAsia="pl-PL"/>
      </w:rPr>
    </w:pPr>
  </w:p>
  <w:p w14:paraId="75C131AF" w14:textId="77777777" w:rsidR="00621FEA" w:rsidRDefault="00621FEA">
    <w:pPr>
      <w:pStyle w:val="Nagwek"/>
      <w:rPr>
        <w:noProof/>
        <w:lang w:eastAsia="pl-PL"/>
      </w:rPr>
    </w:pPr>
  </w:p>
  <w:p w14:paraId="0F9C0F3F" w14:textId="77777777" w:rsidR="00621FEA" w:rsidRDefault="00CB071C">
    <w:pPr>
      <w:pStyle w:val="Nagwek"/>
      <w:rPr>
        <w:noProof/>
        <w:lang w:eastAsia="pl-PL"/>
      </w:rPr>
    </w:pPr>
    <w:r>
      <w:rPr>
        <w:noProof/>
        <w:lang w:eastAsia="pl-PL"/>
      </w:rPr>
      <w:pict w14:anchorId="1B25BE2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Data publikacji informacji sygnalnej: 21.04.2022 r. " style="position:absolute;margin-left:416.4pt;margin-top:20.95pt;width:112.8pt;height:26.5pt;z-index:251669504;visibility:visible;mso-wrap-distance-top:3.6pt;mso-wrap-distance-bottom:3.6pt;mso-width-relative:margin;mso-height-relative:margin" filled="f" stroked="f">
          <v:textbox style="mso-next-textbox:#_x0000_s1025">
            <w:txbxContent>
              <w:p w14:paraId="23868D76" w14:textId="77777777" w:rsidR="00621FEA" w:rsidRPr="00A01B40" w:rsidRDefault="00C17358" w:rsidP="00F049AB">
                <w:pPr>
                  <w:pStyle w:val="Datainformacjisygnalnej"/>
                </w:pPr>
                <w:r>
                  <w:t>2</w:t>
                </w:r>
                <w:r w:rsidR="00E42D27">
                  <w:t>1</w:t>
                </w:r>
                <w:r w:rsidR="00621FEA">
                  <w:t>.0</w:t>
                </w:r>
                <w:r w:rsidR="00E42D27">
                  <w:t>6</w:t>
                </w:r>
                <w:r w:rsidR="00621FEA">
                  <w:t>.2022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B899" w14:textId="77777777" w:rsidR="00621FEA" w:rsidRDefault="00621FEA">
    <w:pPr>
      <w:pStyle w:val="Nagwek"/>
    </w:pPr>
  </w:p>
  <w:p w14:paraId="59BABB71" w14:textId="77777777" w:rsidR="00621FEA" w:rsidRDefault="00621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2.7pt;height:125.1pt;visibility:visible;mso-wrap-style:square" o:bullet="t">
        <v:imagedata r:id="rId1" o:title=""/>
      </v:shape>
    </w:pict>
  </w:numPicBullet>
  <w:numPicBullet w:numPicBulletId="1">
    <w:pict>
      <v:shape id="_x0000_i1043" type="#_x0000_t75" style="width:123.3pt;height:125.1pt;visibility:visible;mso-wrap-style:square" o:bullet="t">
        <v:imagedata r:id="rId2" o:title=""/>
      </v:shape>
    </w:pict>
  </w:numPicBullet>
  <w:abstractNum w:abstractNumId="0" w15:restartNumberingAfterBreak="0">
    <w:nsid w:val="09814555"/>
    <w:multiLevelType w:val="hybridMultilevel"/>
    <w:tmpl w:val="183E75B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7F332C"/>
    <w:multiLevelType w:val="hybridMultilevel"/>
    <w:tmpl w:val="9670BE8C"/>
    <w:lvl w:ilvl="0" w:tplc="B218E3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E2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CF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EB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4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E1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07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21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0A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6A66F3E"/>
    <w:multiLevelType w:val="multilevel"/>
    <w:tmpl w:val="209A0748"/>
    <w:lvl w:ilvl="0">
      <w:start w:val="1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pStyle w:val="Tekstwypunktowania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6C5356"/>
    <w:multiLevelType w:val="multilevel"/>
    <w:tmpl w:val="C38C8C98"/>
    <w:lvl w:ilvl="0">
      <w:start w:val="104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 w16cid:durableId="2138527333">
    <w:abstractNumId w:val="4"/>
  </w:num>
  <w:num w:numId="2" w16cid:durableId="1351178130">
    <w:abstractNumId w:val="1"/>
  </w:num>
  <w:num w:numId="3" w16cid:durableId="1652178765">
    <w:abstractNumId w:val="2"/>
  </w:num>
  <w:num w:numId="4" w16cid:durableId="140602807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254904">
    <w:abstractNumId w:val="5"/>
    <w:lvlOverride w:ilvl="0">
      <w:startOverride w:val="10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230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D87"/>
    <w:rsid w:val="00001C5B"/>
    <w:rsid w:val="00003437"/>
    <w:rsid w:val="0000709F"/>
    <w:rsid w:val="00007F4D"/>
    <w:rsid w:val="000108B8"/>
    <w:rsid w:val="00010FA8"/>
    <w:rsid w:val="000152F5"/>
    <w:rsid w:val="00025423"/>
    <w:rsid w:val="00027E60"/>
    <w:rsid w:val="000430E2"/>
    <w:rsid w:val="0004582E"/>
    <w:rsid w:val="000470AA"/>
    <w:rsid w:val="00057CA1"/>
    <w:rsid w:val="000603BD"/>
    <w:rsid w:val="000632F5"/>
    <w:rsid w:val="000634E6"/>
    <w:rsid w:val="000647A9"/>
    <w:rsid w:val="000662E2"/>
    <w:rsid w:val="00066883"/>
    <w:rsid w:val="00071B39"/>
    <w:rsid w:val="00074DD8"/>
    <w:rsid w:val="00075759"/>
    <w:rsid w:val="000806F7"/>
    <w:rsid w:val="00085684"/>
    <w:rsid w:val="00085854"/>
    <w:rsid w:val="00087433"/>
    <w:rsid w:val="00093B81"/>
    <w:rsid w:val="00097840"/>
    <w:rsid w:val="000B0727"/>
    <w:rsid w:val="000B5D11"/>
    <w:rsid w:val="000C135D"/>
    <w:rsid w:val="000C6F95"/>
    <w:rsid w:val="000D1D43"/>
    <w:rsid w:val="000D225C"/>
    <w:rsid w:val="000D22A0"/>
    <w:rsid w:val="000D2A5C"/>
    <w:rsid w:val="000D327B"/>
    <w:rsid w:val="000D39F0"/>
    <w:rsid w:val="000E0918"/>
    <w:rsid w:val="000E79A9"/>
    <w:rsid w:val="000F369E"/>
    <w:rsid w:val="001011C3"/>
    <w:rsid w:val="00101FDB"/>
    <w:rsid w:val="00106DA3"/>
    <w:rsid w:val="00110214"/>
    <w:rsid w:val="00110D87"/>
    <w:rsid w:val="00112399"/>
    <w:rsid w:val="00114DB9"/>
    <w:rsid w:val="00116087"/>
    <w:rsid w:val="00117711"/>
    <w:rsid w:val="00130296"/>
    <w:rsid w:val="00133F59"/>
    <w:rsid w:val="00134145"/>
    <w:rsid w:val="00136736"/>
    <w:rsid w:val="00136740"/>
    <w:rsid w:val="00136D67"/>
    <w:rsid w:val="001423B6"/>
    <w:rsid w:val="001437F1"/>
    <w:rsid w:val="001448A7"/>
    <w:rsid w:val="00146621"/>
    <w:rsid w:val="0015207F"/>
    <w:rsid w:val="001617E3"/>
    <w:rsid w:val="00162325"/>
    <w:rsid w:val="00166702"/>
    <w:rsid w:val="00191E86"/>
    <w:rsid w:val="001951DA"/>
    <w:rsid w:val="00196E7D"/>
    <w:rsid w:val="001A4323"/>
    <w:rsid w:val="001B053D"/>
    <w:rsid w:val="001B07BE"/>
    <w:rsid w:val="001C3269"/>
    <w:rsid w:val="001D19B6"/>
    <w:rsid w:val="001D1DB4"/>
    <w:rsid w:val="001D1EEB"/>
    <w:rsid w:val="001D23F1"/>
    <w:rsid w:val="001D25F9"/>
    <w:rsid w:val="001D61ED"/>
    <w:rsid w:val="001E5B2D"/>
    <w:rsid w:val="001E6B58"/>
    <w:rsid w:val="001F05E6"/>
    <w:rsid w:val="0020156C"/>
    <w:rsid w:val="00216428"/>
    <w:rsid w:val="00216634"/>
    <w:rsid w:val="00237274"/>
    <w:rsid w:val="00242D31"/>
    <w:rsid w:val="002466E4"/>
    <w:rsid w:val="00251EAD"/>
    <w:rsid w:val="0025481E"/>
    <w:rsid w:val="002574F9"/>
    <w:rsid w:val="00262B61"/>
    <w:rsid w:val="00262CC6"/>
    <w:rsid w:val="00263C8F"/>
    <w:rsid w:val="00263E08"/>
    <w:rsid w:val="00276811"/>
    <w:rsid w:val="00282699"/>
    <w:rsid w:val="002926DF"/>
    <w:rsid w:val="00296697"/>
    <w:rsid w:val="002A1A80"/>
    <w:rsid w:val="002A259B"/>
    <w:rsid w:val="002B0472"/>
    <w:rsid w:val="002B6B12"/>
    <w:rsid w:val="002B74D2"/>
    <w:rsid w:val="002C21F0"/>
    <w:rsid w:val="002D01DF"/>
    <w:rsid w:val="002D5E8E"/>
    <w:rsid w:val="002E2F28"/>
    <w:rsid w:val="002E35E3"/>
    <w:rsid w:val="002E3EB3"/>
    <w:rsid w:val="002E6140"/>
    <w:rsid w:val="002E6985"/>
    <w:rsid w:val="002E71B6"/>
    <w:rsid w:val="002F35F6"/>
    <w:rsid w:val="002F77C8"/>
    <w:rsid w:val="00301D55"/>
    <w:rsid w:val="00304F22"/>
    <w:rsid w:val="00306C7C"/>
    <w:rsid w:val="003116AE"/>
    <w:rsid w:val="00312354"/>
    <w:rsid w:val="003132CC"/>
    <w:rsid w:val="003137AD"/>
    <w:rsid w:val="00314F86"/>
    <w:rsid w:val="00317F4D"/>
    <w:rsid w:val="00322EDD"/>
    <w:rsid w:val="003309FA"/>
    <w:rsid w:val="00332320"/>
    <w:rsid w:val="00333803"/>
    <w:rsid w:val="00342880"/>
    <w:rsid w:val="00347BF8"/>
    <w:rsid w:val="00347D72"/>
    <w:rsid w:val="00351A27"/>
    <w:rsid w:val="00353F45"/>
    <w:rsid w:val="00357611"/>
    <w:rsid w:val="0036432A"/>
    <w:rsid w:val="00364AF9"/>
    <w:rsid w:val="00367237"/>
    <w:rsid w:val="0037077F"/>
    <w:rsid w:val="003715B1"/>
    <w:rsid w:val="00372411"/>
    <w:rsid w:val="00373882"/>
    <w:rsid w:val="00373BD9"/>
    <w:rsid w:val="00382DC3"/>
    <w:rsid w:val="003843DB"/>
    <w:rsid w:val="00384AC5"/>
    <w:rsid w:val="003864E8"/>
    <w:rsid w:val="00393761"/>
    <w:rsid w:val="00394E26"/>
    <w:rsid w:val="00396691"/>
    <w:rsid w:val="00397D18"/>
    <w:rsid w:val="003A1B36"/>
    <w:rsid w:val="003A45E4"/>
    <w:rsid w:val="003B1454"/>
    <w:rsid w:val="003B18B6"/>
    <w:rsid w:val="003C161B"/>
    <w:rsid w:val="003C5476"/>
    <w:rsid w:val="003C59E0"/>
    <w:rsid w:val="003C6C8D"/>
    <w:rsid w:val="003D082A"/>
    <w:rsid w:val="003D2656"/>
    <w:rsid w:val="003D4F95"/>
    <w:rsid w:val="003D5F42"/>
    <w:rsid w:val="003D60A9"/>
    <w:rsid w:val="003E4367"/>
    <w:rsid w:val="003E6748"/>
    <w:rsid w:val="003F4401"/>
    <w:rsid w:val="003F4C97"/>
    <w:rsid w:val="003F666D"/>
    <w:rsid w:val="003F7FE6"/>
    <w:rsid w:val="00400193"/>
    <w:rsid w:val="00401025"/>
    <w:rsid w:val="00412414"/>
    <w:rsid w:val="00412A17"/>
    <w:rsid w:val="00416EAF"/>
    <w:rsid w:val="00420CB2"/>
    <w:rsid w:val="004212E7"/>
    <w:rsid w:val="00423C88"/>
    <w:rsid w:val="0042446D"/>
    <w:rsid w:val="0042625F"/>
    <w:rsid w:val="00426A32"/>
    <w:rsid w:val="0042746D"/>
    <w:rsid w:val="00427BF8"/>
    <w:rsid w:val="004315EF"/>
    <w:rsid w:val="00431C02"/>
    <w:rsid w:val="00437395"/>
    <w:rsid w:val="00445047"/>
    <w:rsid w:val="00446749"/>
    <w:rsid w:val="00453EB7"/>
    <w:rsid w:val="004563EB"/>
    <w:rsid w:val="004636E8"/>
    <w:rsid w:val="00463E39"/>
    <w:rsid w:val="004657FC"/>
    <w:rsid w:val="004667DB"/>
    <w:rsid w:val="00471929"/>
    <w:rsid w:val="004733F6"/>
    <w:rsid w:val="00474E69"/>
    <w:rsid w:val="00475EA2"/>
    <w:rsid w:val="00476601"/>
    <w:rsid w:val="00483E9F"/>
    <w:rsid w:val="00485A2C"/>
    <w:rsid w:val="00485A88"/>
    <w:rsid w:val="0049621B"/>
    <w:rsid w:val="004A1D19"/>
    <w:rsid w:val="004C074E"/>
    <w:rsid w:val="004C13CA"/>
    <w:rsid w:val="004C1895"/>
    <w:rsid w:val="004C226E"/>
    <w:rsid w:val="004C6D40"/>
    <w:rsid w:val="004E2637"/>
    <w:rsid w:val="004E6AA8"/>
    <w:rsid w:val="004E7D29"/>
    <w:rsid w:val="004F0C3C"/>
    <w:rsid w:val="004F2280"/>
    <w:rsid w:val="004F23BB"/>
    <w:rsid w:val="004F63FC"/>
    <w:rsid w:val="00505004"/>
    <w:rsid w:val="00505654"/>
    <w:rsid w:val="00505894"/>
    <w:rsid w:val="00505A92"/>
    <w:rsid w:val="00507E4A"/>
    <w:rsid w:val="005140D0"/>
    <w:rsid w:val="005154AB"/>
    <w:rsid w:val="005203F1"/>
    <w:rsid w:val="00521BC3"/>
    <w:rsid w:val="005260FC"/>
    <w:rsid w:val="00531873"/>
    <w:rsid w:val="00533632"/>
    <w:rsid w:val="00534013"/>
    <w:rsid w:val="00540C5C"/>
    <w:rsid w:val="00541E6E"/>
    <w:rsid w:val="0054251F"/>
    <w:rsid w:val="005520D8"/>
    <w:rsid w:val="00552CAB"/>
    <w:rsid w:val="00555CFB"/>
    <w:rsid w:val="00556ADB"/>
    <w:rsid w:val="00556CF1"/>
    <w:rsid w:val="0057602B"/>
    <w:rsid w:val="005762A7"/>
    <w:rsid w:val="00580E86"/>
    <w:rsid w:val="00587CEE"/>
    <w:rsid w:val="00590636"/>
    <w:rsid w:val="005916D7"/>
    <w:rsid w:val="00592E36"/>
    <w:rsid w:val="0059427F"/>
    <w:rsid w:val="005A3892"/>
    <w:rsid w:val="005A44E4"/>
    <w:rsid w:val="005A698C"/>
    <w:rsid w:val="005B48C0"/>
    <w:rsid w:val="005C0CAC"/>
    <w:rsid w:val="005D062E"/>
    <w:rsid w:val="005D2F6B"/>
    <w:rsid w:val="005E0694"/>
    <w:rsid w:val="005E0799"/>
    <w:rsid w:val="005E10F9"/>
    <w:rsid w:val="005E1200"/>
    <w:rsid w:val="005E376E"/>
    <w:rsid w:val="005E3E88"/>
    <w:rsid w:val="005F45EE"/>
    <w:rsid w:val="005F5A80"/>
    <w:rsid w:val="006041BC"/>
    <w:rsid w:val="006044B7"/>
    <w:rsid w:val="006044FF"/>
    <w:rsid w:val="006063A8"/>
    <w:rsid w:val="00607CC5"/>
    <w:rsid w:val="0061179B"/>
    <w:rsid w:val="006125F9"/>
    <w:rsid w:val="006151EB"/>
    <w:rsid w:val="00621F26"/>
    <w:rsid w:val="00621FEA"/>
    <w:rsid w:val="00622187"/>
    <w:rsid w:val="00622C74"/>
    <w:rsid w:val="006232E5"/>
    <w:rsid w:val="00627176"/>
    <w:rsid w:val="00633014"/>
    <w:rsid w:val="0063437B"/>
    <w:rsid w:val="00635A9B"/>
    <w:rsid w:val="0064017E"/>
    <w:rsid w:val="006462B4"/>
    <w:rsid w:val="00654BB6"/>
    <w:rsid w:val="006673CA"/>
    <w:rsid w:val="00673C26"/>
    <w:rsid w:val="00674DE5"/>
    <w:rsid w:val="00677ACA"/>
    <w:rsid w:val="006812AF"/>
    <w:rsid w:val="0068327D"/>
    <w:rsid w:val="00691534"/>
    <w:rsid w:val="0069227C"/>
    <w:rsid w:val="00693880"/>
    <w:rsid w:val="00694AF0"/>
    <w:rsid w:val="006A3C5F"/>
    <w:rsid w:val="006A4686"/>
    <w:rsid w:val="006B075F"/>
    <w:rsid w:val="006B0E9E"/>
    <w:rsid w:val="006B486D"/>
    <w:rsid w:val="006B5AE4"/>
    <w:rsid w:val="006B669B"/>
    <w:rsid w:val="006C22A4"/>
    <w:rsid w:val="006C77A8"/>
    <w:rsid w:val="006D1507"/>
    <w:rsid w:val="006D4054"/>
    <w:rsid w:val="006D6616"/>
    <w:rsid w:val="006E02EC"/>
    <w:rsid w:val="006E3C4F"/>
    <w:rsid w:val="006E571E"/>
    <w:rsid w:val="006E6F41"/>
    <w:rsid w:val="006E73E6"/>
    <w:rsid w:val="006F2A22"/>
    <w:rsid w:val="006F535B"/>
    <w:rsid w:val="006F6EE4"/>
    <w:rsid w:val="00702B55"/>
    <w:rsid w:val="0071711F"/>
    <w:rsid w:val="00717EB6"/>
    <w:rsid w:val="007211B1"/>
    <w:rsid w:val="00724338"/>
    <w:rsid w:val="007277DA"/>
    <w:rsid w:val="007302EF"/>
    <w:rsid w:val="0073093C"/>
    <w:rsid w:val="00731D27"/>
    <w:rsid w:val="00737A7A"/>
    <w:rsid w:val="00746187"/>
    <w:rsid w:val="0076254F"/>
    <w:rsid w:val="00764D7E"/>
    <w:rsid w:val="00777A04"/>
    <w:rsid w:val="007801F5"/>
    <w:rsid w:val="00783CA4"/>
    <w:rsid w:val="007842FB"/>
    <w:rsid w:val="00786124"/>
    <w:rsid w:val="00794BAE"/>
    <w:rsid w:val="0079514B"/>
    <w:rsid w:val="00795252"/>
    <w:rsid w:val="00795F7C"/>
    <w:rsid w:val="007A2DC1"/>
    <w:rsid w:val="007A4647"/>
    <w:rsid w:val="007B195C"/>
    <w:rsid w:val="007C588D"/>
    <w:rsid w:val="007C7D79"/>
    <w:rsid w:val="007D0869"/>
    <w:rsid w:val="007D14C4"/>
    <w:rsid w:val="007D3319"/>
    <w:rsid w:val="007D335D"/>
    <w:rsid w:val="007D4A26"/>
    <w:rsid w:val="007D605C"/>
    <w:rsid w:val="007E3314"/>
    <w:rsid w:val="007E3514"/>
    <w:rsid w:val="007E4B03"/>
    <w:rsid w:val="007F2275"/>
    <w:rsid w:val="007F324B"/>
    <w:rsid w:val="007F473A"/>
    <w:rsid w:val="007F4B7E"/>
    <w:rsid w:val="007F4D2C"/>
    <w:rsid w:val="0080553C"/>
    <w:rsid w:val="00805B46"/>
    <w:rsid w:val="00805DB4"/>
    <w:rsid w:val="0081223F"/>
    <w:rsid w:val="00821A00"/>
    <w:rsid w:val="00823593"/>
    <w:rsid w:val="00825DC2"/>
    <w:rsid w:val="00834AD3"/>
    <w:rsid w:val="008418E2"/>
    <w:rsid w:val="00841E07"/>
    <w:rsid w:val="00843795"/>
    <w:rsid w:val="00847A41"/>
    <w:rsid w:val="00847F0F"/>
    <w:rsid w:val="00850985"/>
    <w:rsid w:val="00852448"/>
    <w:rsid w:val="00860400"/>
    <w:rsid w:val="00862780"/>
    <w:rsid w:val="00864A37"/>
    <w:rsid w:val="00864B25"/>
    <w:rsid w:val="00877F6C"/>
    <w:rsid w:val="0088258A"/>
    <w:rsid w:val="00886332"/>
    <w:rsid w:val="008925F0"/>
    <w:rsid w:val="00892B2D"/>
    <w:rsid w:val="0089448A"/>
    <w:rsid w:val="008954D8"/>
    <w:rsid w:val="00897877"/>
    <w:rsid w:val="008A0244"/>
    <w:rsid w:val="008A0E73"/>
    <w:rsid w:val="008A26D9"/>
    <w:rsid w:val="008A7B5B"/>
    <w:rsid w:val="008B12D2"/>
    <w:rsid w:val="008B6D0A"/>
    <w:rsid w:val="008B6E76"/>
    <w:rsid w:val="008C0C29"/>
    <w:rsid w:val="008D02DA"/>
    <w:rsid w:val="008D144B"/>
    <w:rsid w:val="008D2BF1"/>
    <w:rsid w:val="008D6239"/>
    <w:rsid w:val="008D76BC"/>
    <w:rsid w:val="008E7DBA"/>
    <w:rsid w:val="008F0829"/>
    <w:rsid w:val="008F3638"/>
    <w:rsid w:val="008F4441"/>
    <w:rsid w:val="008F6B20"/>
    <w:rsid w:val="008F6F31"/>
    <w:rsid w:val="008F74DF"/>
    <w:rsid w:val="00902274"/>
    <w:rsid w:val="009127BA"/>
    <w:rsid w:val="00920AAE"/>
    <w:rsid w:val="00921C4F"/>
    <w:rsid w:val="009227A6"/>
    <w:rsid w:val="00933EC1"/>
    <w:rsid w:val="009371C7"/>
    <w:rsid w:val="00937591"/>
    <w:rsid w:val="00944463"/>
    <w:rsid w:val="009446AD"/>
    <w:rsid w:val="00945E39"/>
    <w:rsid w:val="009530DB"/>
    <w:rsid w:val="00953676"/>
    <w:rsid w:val="00956F30"/>
    <w:rsid w:val="00960BC9"/>
    <w:rsid w:val="00966417"/>
    <w:rsid w:val="00966902"/>
    <w:rsid w:val="00966C9A"/>
    <w:rsid w:val="009705EE"/>
    <w:rsid w:val="009739DD"/>
    <w:rsid w:val="00976E2C"/>
    <w:rsid w:val="00977927"/>
    <w:rsid w:val="0098135C"/>
    <w:rsid w:val="0098156A"/>
    <w:rsid w:val="00991BAC"/>
    <w:rsid w:val="00992458"/>
    <w:rsid w:val="0099757D"/>
    <w:rsid w:val="009A3C5B"/>
    <w:rsid w:val="009A6EA0"/>
    <w:rsid w:val="009B0DAE"/>
    <w:rsid w:val="009B2061"/>
    <w:rsid w:val="009B33BA"/>
    <w:rsid w:val="009B7A09"/>
    <w:rsid w:val="009C1335"/>
    <w:rsid w:val="009C1AB2"/>
    <w:rsid w:val="009C217E"/>
    <w:rsid w:val="009C7251"/>
    <w:rsid w:val="009D2045"/>
    <w:rsid w:val="009E0545"/>
    <w:rsid w:val="009E2E91"/>
    <w:rsid w:val="009F2346"/>
    <w:rsid w:val="009F5B61"/>
    <w:rsid w:val="009F6C62"/>
    <w:rsid w:val="00A01B40"/>
    <w:rsid w:val="00A139F5"/>
    <w:rsid w:val="00A301A5"/>
    <w:rsid w:val="00A314F8"/>
    <w:rsid w:val="00A32E16"/>
    <w:rsid w:val="00A365F4"/>
    <w:rsid w:val="00A36A08"/>
    <w:rsid w:val="00A3790D"/>
    <w:rsid w:val="00A47D80"/>
    <w:rsid w:val="00A53132"/>
    <w:rsid w:val="00A563F2"/>
    <w:rsid w:val="00A566E8"/>
    <w:rsid w:val="00A618CF"/>
    <w:rsid w:val="00A66347"/>
    <w:rsid w:val="00A711CD"/>
    <w:rsid w:val="00A810F9"/>
    <w:rsid w:val="00A82D31"/>
    <w:rsid w:val="00A85E7E"/>
    <w:rsid w:val="00A86ECC"/>
    <w:rsid w:val="00A86FCC"/>
    <w:rsid w:val="00A90A6D"/>
    <w:rsid w:val="00A971E5"/>
    <w:rsid w:val="00AA0352"/>
    <w:rsid w:val="00AA0D1B"/>
    <w:rsid w:val="00AA6AB2"/>
    <w:rsid w:val="00AA710D"/>
    <w:rsid w:val="00AB096C"/>
    <w:rsid w:val="00AB3EDB"/>
    <w:rsid w:val="00AB586C"/>
    <w:rsid w:val="00AB64F3"/>
    <w:rsid w:val="00AB689E"/>
    <w:rsid w:val="00AB6D25"/>
    <w:rsid w:val="00AC710C"/>
    <w:rsid w:val="00AD0E56"/>
    <w:rsid w:val="00AD22EC"/>
    <w:rsid w:val="00AE229B"/>
    <w:rsid w:val="00AE2D4B"/>
    <w:rsid w:val="00AE4DEB"/>
    <w:rsid w:val="00AE4F99"/>
    <w:rsid w:val="00AF195C"/>
    <w:rsid w:val="00AF3BD0"/>
    <w:rsid w:val="00AF4474"/>
    <w:rsid w:val="00B04680"/>
    <w:rsid w:val="00B07A14"/>
    <w:rsid w:val="00B11B69"/>
    <w:rsid w:val="00B139DF"/>
    <w:rsid w:val="00B14952"/>
    <w:rsid w:val="00B16871"/>
    <w:rsid w:val="00B25B45"/>
    <w:rsid w:val="00B31E5A"/>
    <w:rsid w:val="00B47359"/>
    <w:rsid w:val="00B4771D"/>
    <w:rsid w:val="00B529B5"/>
    <w:rsid w:val="00B5507D"/>
    <w:rsid w:val="00B653AB"/>
    <w:rsid w:val="00B65F9E"/>
    <w:rsid w:val="00B66B19"/>
    <w:rsid w:val="00B7386E"/>
    <w:rsid w:val="00B826AB"/>
    <w:rsid w:val="00B84C43"/>
    <w:rsid w:val="00B85614"/>
    <w:rsid w:val="00B914E9"/>
    <w:rsid w:val="00B956EE"/>
    <w:rsid w:val="00BA2BA1"/>
    <w:rsid w:val="00BA3447"/>
    <w:rsid w:val="00BA3562"/>
    <w:rsid w:val="00BB4F09"/>
    <w:rsid w:val="00BB54B5"/>
    <w:rsid w:val="00BB7140"/>
    <w:rsid w:val="00BD4270"/>
    <w:rsid w:val="00BD4E33"/>
    <w:rsid w:val="00C030DE"/>
    <w:rsid w:val="00C051A8"/>
    <w:rsid w:val="00C1286A"/>
    <w:rsid w:val="00C1410F"/>
    <w:rsid w:val="00C14111"/>
    <w:rsid w:val="00C17358"/>
    <w:rsid w:val="00C2045B"/>
    <w:rsid w:val="00C20FEB"/>
    <w:rsid w:val="00C22105"/>
    <w:rsid w:val="00C244B6"/>
    <w:rsid w:val="00C24DA8"/>
    <w:rsid w:val="00C27BF1"/>
    <w:rsid w:val="00C3702F"/>
    <w:rsid w:val="00C44E83"/>
    <w:rsid w:val="00C4500A"/>
    <w:rsid w:val="00C62238"/>
    <w:rsid w:val="00C6295A"/>
    <w:rsid w:val="00C63274"/>
    <w:rsid w:val="00C64A37"/>
    <w:rsid w:val="00C65CD2"/>
    <w:rsid w:val="00C7158E"/>
    <w:rsid w:val="00C7250B"/>
    <w:rsid w:val="00C7346B"/>
    <w:rsid w:val="00C77C0E"/>
    <w:rsid w:val="00C83C40"/>
    <w:rsid w:val="00C84AD3"/>
    <w:rsid w:val="00C872D6"/>
    <w:rsid w:val="00C8766C"/>
    <w:rsid w:val="00C91687"/>
    <w:rsid w:val="00C924A8"/>
    <w:rsid w:val="00C945FE"/>
    <w:rsid w:val="00C96FAA"/>
    <w:rsid w:val="00C97A04"/>
    <w:rsid w:val="00CA107B"/>
    <w:rsid w:val="00CA484D"/>
    <w:rsid w:val="00CA4FB6"/>
    <w:rsid w:val="00CB071C"/>
    <w:rsid w:val="00CB13DD"/>
    <w:rsid w:val="00CB2F90"/>
    <w:rsid w:val="00CB6AD4"/>
    <w:rsid w:val="00CC739E"/>
    <w:rsid w:val="00CD0E77"/>
    <w:rsid w:val="00CD1EBB"/>
    <w:rsid w:val="00CD28CF"/>
    <w:rsid w:val="00CD58B7"/>
    <w:rsid w:val="00CD7967"/>
    <w:rsid w:val="00CF18EE"/>
    <w:rsid w:val="00CF2622"/>
    <w:rsid w:val="00CF30BD"/>
    <w:rsid w:val="00CF4099"/>
    <w:rsid w:val="00D00796"/>
    <w:rsid w:val="00D03312"/>
    <w:rsid w:val="00D13C9D"/>
    <w:rsid w:val="00D2512F"/>
    <w:rsid w:val="00D25A05"/>
    <w:rsid w:val="00D261A2"/>
    <w:rsid w:val="00D33834"/>
    <w:rsid w:val="00D47641"/>
    <w:rsid w:val="00D574C5"/>
    <w:rsid w:val="00D616D2"/>
    <w:rsid w:val="00D622BB"/>
    <w:rsid w:val="00D63B5F"/>
    <w:rsid w:val="00D650DC"/>
    <w:rsid w:val="00D67253"/>
    <w:rsid w:val="00D70EF7"/>
    <w:rsid w:val="00D749C7"/>
    <w:rsid w:val="00D8397C"/>
    <w:rsid w:val="00D901E5"/>
    <w:rsid w:val="00D94EED"/>
    <w:rsid w:val="00D95E91"/>
    <w:rsid w:val="00D96026"/>
    <w:rsid w:val="00D972F6"/>
    <w:rsid w:val="00DA1CCA"/>
    <w:rsid w:val="00DA331D"/>
    <w:rsid w:val="00DA7C1C"/>
    <w:rsid w:val="00DB147A"/>
    <w:rsid w:val="00DB1B7A"/>
    <w:rsid w:val="00DB706E"/>
    <w:rsid w:val="00DC101F"/>
    <w:rsid w:val="00DC54BB"/>
    <w:rsid w:val="00DC6708"/>
    <w:rsid w:val="00DD011A"/>
    <w:rsid w:val="00DD5BDD"/>
    <w:rsid w:val="00DE2400"/>
    <w:rsid w:val="00DE57B0"/>
    <w:rsid w:val="00DE58F1"/>
    <w:rsid w:val="00DE6B58"/>
    <w:rsid w:val="00DF390C"/>
    <w:rsid w:val="00DF5814"/>
    <w:rsid w:val="00DF5E32"/>
    <w:rsid w:val="00E01436"/>
    <w:rsid w:val="00E024CF"/>
    <w:rsid w:val="00E03E79"/>
    <w:rsid w:val="00E045BD"/>
    <w:rsid w:val="00E04D6C"/>
    <w:rsid w:val="00E06B72"/>
    <w:rsid w:val="00E15F00"/>
    <w:rsid w:val="00E17B77"/>
    <w:rsid w:val="00E20EC1"/>
    <w:rsid w:val="00E231AB"/>
    <w:rsid w:val="00E23337"/>
    <w:rsid w:val="00E23F3E"/>
    <w:rsid w:val="00E259EA"/>
    <w:rsid w:val="00E25D33"/>
    <w:rsid w:val="00E31DBD"/>
    <w:rsid w:val="00E32061"/>
    <w:rsid w:val="00E33F48"/>
    <w:rsid w:val="00E36B2A"/>
    <w:rsid w:val="00E42D27"/>
    <w:rsid w:val="00E42FF9"/>
    <w:rsid w:val="00E43E2C"/>
    <w:rsid w:val="00E44790"/>
    <w:rsid w:val="00E45162"/>
    <w:rsid w:val="00E463B1"/>
    <w:rsid w:val="00E46E44"/>
    <w:rsid w:val="00E4714C"/>
    <w:rsid w:val="00E5178D"/>
    <w:rsid w:val="00E51AEB"/>
    <w:rsid w:val="00E522A7"/>
    <w:rsid w:val="00E5349E"/>
    <w:rsid w:val="00E53692"/>
    <w:rsid w:val="00E54452"/>
    <w:rsid w:val="00E5465E"/>
    <w:rsid w:val="00E63B0C"/>
    <w:rsid w:val="00E65275"/>
    <w:rsid w:val="00E664C5"/>
    <w:rsid w:val="00E671A2"/>
    <w:rsid w:val="00E676EF"/>
    <w:rsid w:val="00E76D26"/>
    <w:rsid w:val="00E76EE5"/>
    <w:rsid w:val="00E86EE7"/>
    <w:rsid w:val="00E95036"/>
    <w:rsid w:val="00E95B03"/>
    <w:rsid w:val="00E95B8E"/>
    <w:rsid w:val="00EA1AF5"/>
    <w:rsid w:val="00EB1390"/>
    <w:rsid w:val="00EB2C71"/>
    <w:rsid w:val="00EB3333"/>
    <w:rsid w:val="00EB4340"/>
    <w:rsid w:val="00EB46DB"/>
    <w:rsid w:val="00EB556D"/>
    <w:rsid w:val="00EB5A7D"/>
    <w:rsid w:val="00EB68BA"/>
    <w:rsid w:val="00ED55C0"/>
    <w:rsid w:val="00ED682B"/>
    <w:rsid w:val="00EE41D5"/>
    <w:rsid w:val="00EF00C6"/>
    <w:rsid w:val="00EF40B0"/>
    <w:rsid w:val="00F0166F"/>
    <w:rsid w:val="00F037A4"/>
    <w:rsid w:val="00F049AB"/>
    <w:rsid w:val="00F142DB"/>
    <w:rsid w:val="00F163B5"/>
    <w:rsid w:val="00F24FE6"/>
    <w:rsid w:val="00F27C8F"/>
    <w:rsid w:val="00F3206B"/>
    <w:rsid w:val="00F32749"/>
    <w:rsid w:val="00F37172"/>
    <w:rsid w:val="00F403A6"/>
    <w:rsid w:val="00F4477E"/>
    <w:rsid w:val="00F46269"/>
    <w:rsid w:val="00F469BB"/>
    <w:rsid w:val="00F60BA8"/>
    <w:rsid w:val="00F62065"/>
    <w:rsid w:val="00F67D8F"/>
    <w:rsid w:val="00F72CEE"/>
    <w:rsid w:val="00F802BE"/>
    <w:rsid w:val="00F80E93"/>
    <w:rsid w:val="00F8556E"/>
    <w:rsid w:val="00F86024"/>
    <w:rsid w:val="00F8611A"/>
    <w:rsid w:val="00F9239F"/>
    <w:rsid w:val="00F935B3"/>
    <w:rsid w:val="00F94C21"/>
    <w:rsid w:val="00FA2917"/>
    <w:rsid w:val="00FA34FC"/>
    <w:rsid w:val="00FA5128"/>
    <w:rsid w:val="00FB0F48"/>
    <w:rsid w:val="00FB42D4"/>
    <w:rsid w:val="00FB5906"/>
    <w:rsid w:val="00FB762F"/>
    <w:rsid w:val="00FC03C3"/>
    <w:rsid w:val="00FC22C0"/>
    <w:rsid w:val="00FC269E"/>
    <w:rsid w:val="00FC2AED"/>
    <w:rsid w:val="00FC604F"/>
    <w:rsid w:val="00FD08AE"/>
    <w:rsid w:val="00FD5EA7"/>
    <w:rsid w:val="00FE36CF"/>
    <w:rsid w:val="00FF0246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41AFDD4E"/>
  <w15:docId w15:val="{6667374D-53A7-4DC3-B198-6EF6F2D5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CD1EBB"/>
    <w:pPr>
      <w:keepNext/>
      <w:spacing w:before="36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CD1EBB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link w:val="LIDZnak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link w:val="AkapitzlistZnak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link w:val="tytuinformacjiZnak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link w:val="tekstnaniebieskimtleZnak"/>
    <w:qFormat/>
    <w:rsid w:val="00074DD8"/>
    <w:pPr>
      <w:spacing w:before="0" w:after="0" w:line="240" w:lineRule="auto"/>
    </w:pPr>
    <w:rPr>
      <w:sz w:val="20"/>
    </w:rPr>
  </w:style>
  <w:style w:type="character" w:customStyle="1" w:styleId="tytuinformacjiZnak">
    <w:name w:val="tytuł informacji Znak"/>
    <w:basedOn w:val="Domylnaczcionkaakapitu"/>
    <w:link w:val="tytuinformacji"/>
    <w:rsid w:val="007D605C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8E"/>
    <w:rPr>
      <w:rFonts w:ascii="Fira Sans" w:hAnsi="Fira San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B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400"/>
    <w:rPr>
      <w:rFonts w:ascii="Fira Sans" w:hAnsi="Fira Sans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9AB"/>
    <w:rPr>
      <w:color w:val="605E5C"/>
      <w:shd w:val="clear" w:color="auto" w:fill="E1DFDD"/>
    </w:rPr>
  </w:style>
  <w:style w:type="paragraph" w:customStyle="1" w:styleId="Tytuinfomacjisygnalnej">
    <w:name w:val="Tytuł infomacji sygnalnej"/>
    <w:basedOn w:val="tytuinformacji"/>
    <w:link w:val="TytuinfomacjisygnalnejZnak"/>
    <w:qFormat/>
    <w:rsid w:val="00F049AB"/>
    <w:pPr>
      <w:suppressAutoHyphens/>
      <w:spacing w:after="600"/>
    </w:pPr>
    <w:rPr>
      <w:shd w:val="clear" w:color="auto" w:fill="FFFFFF"/>
    </w:rPr>
  </w:style>
  <w:style w:type="paragraph" w:customStyle="1" w:styleId="Ikonawskanika">
    <w:name w:val="Ikona wskaźnika"/>
    <w:basedOn w:val="Normalny"/>
    <w:link w:val="Ikona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character" w:customStyle="1" w:styleId="TytuinfomacjisygnalnejZnak">
    <w:name w:val="Tytuł infomacji sygnalnej Znak"/>
    <w:basedOn w:val="tytuinformacjiZnak"/>
    <w:link w:val="Tytuinfomacjisygnalnej"/>
    <w:rsid w:val="00F049AB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Wartowskanika">
    <w:name w:val="Wartość wskaźnika"/>
    <w:basedOn w:val="Normalny"/>
    <w:link w:val="Warto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F049AB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F049AB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F049AB"/>
    <w:rPr>
      <w:rFonts w:ascii="Fira Sans SemiBold" w:hAnsi="Fira Sans SemiBold"/>
      <w:color w:val="FFFFFF" w:themeColor="background1"/>
      <w:sz w:val="40"/>
      <w:szCs w:val="56"/>
    </w:rPr>
  </w:style>
  <w:style w:type="paragraph" w:customStyle="1" w:styleId="Lead">
    <w:name w:val="Lead"/>
    <w:basedOn w:val="LID"/>
    <w:link w:val="LeadZnak"/>
    <w:qFormat/>
    <w:rsid w:val="00F049AB"/>
    <w:pPr>
      <w:spacing w:before="360"/>
    </w:pPr>
  </w:style>
  <w:style w:type="character" w:customStyle="1" w:styleId="tekstnaniebieskimtleZnak">
    <w:name w:val="tekst na niebieskim tle Znak"/>
    <w:basedOn w:val="Domylnaczcionkaakapitu"/>
    <w:link w:val="tekstnaniebieskimtle"/>
    <w:rsid w:val="00F049AB"/>
    <w:rPr>
      <w:rFonts w:ascii="Fira Sans" w:hAnsi="Fira Sans"/>
      <w:sz w:val="20"/>
    </w:rPr>
  </w:style>
  <w:style w:type="character" w:customStyle="1" w:styleId="OpiswskanikaZnak">
    <w:name w:val="Opis wskaźnika Znak"/>
    <w:basedOn w:val="tekstnaniebieskimtleZnak"/>
    <w:link w:val="Opiswskanika"/>
    <w:rsid w:val="00F049AB"/>
    <w:rPr>
      <w:rFonts w:ascii="Fira Sans" w:hAnsi="Fira Sans"/>
      <w:color w:val="FFFFFF" w:themeColor="background1"/>
      <w:sz w:val="20"/>
    </w:rPr>
  </w:style>
  <w:style w:type="paragraph" w:customStyle="1" w:styleId="Datainformacjisygnalnej">
    <w:name w:val="Data informacji sygnalnej"/>
    <w:basedOn w:val="Normalny"/>
    <w:link w:val="DatainformacjisygnalnejZnak"/>
    <w:qFormat/>
    <w:rsid w:val="00F049AB"/>
    <w:pPr>
      <w:jc w:val="both"/>
    </w:pPr>
    <w:rPr>
      <w:rFonts w:ascii="Fira Sans SemiBold" w:hAnsi="Fira Sans SemiBold"/>
      <w:color w:val="001D77"/>
      <w:sz w:val="20"/>
      <w:szCs w:val="20"/>
    </w:rPr>
  </w:style>
  <w:style w:type="character" w:customStyle="1" w:styleId="LIDZnak">
    <w:name w:val="LID Znak"/>
    <w:basedOn w:val="Domylnaczcionkaakapitu"/>
    <w:link w:val="LID"/>
    <w:rsid w:val="00F049AB"/>
    <w:rPr>
      <w:rFonts w:ascii="Fira Sans" w:hAnsi="Fira Sans"/>
      <w:b/>
      <w:noProof/>
      <w:sz w:val="19"/>
      <w:szCs w:val="19"/>
      <w:lang w:eastAsia="pl-PL"/>
    </w:rPr>
  </w:style>
  <w:style w:type="character" w:customStyle="1" w:styleId="LeadZnak">
    <w:name w:val="Lead Znak"/>
    <w:basedOn w:val="LIDZnak"/>
    <w:link w:val="Lead"/>
    <w:rsid w:val="00F049AB"/>
    <w:rPr>
      <w:rFonts w:ascii="Fira Sans" w:hAnsi="Fira Sans"/>
      <w:b/>
      <w:noProof/>
      <w:sz w:val="19"/>
      <w:szCs w:val="19"/>
      <w:lang w:eastAsia="pl-PL"/>
    </w:rPr>
  </w:style>
  <w:style w:type="paragraph" w:customStyle="1" w:styleId="Tytutablicy">
    <w:name w:val="Tytuł tablicy"/>
    <w:basedOn w:val="Nagwek1"/>
    <w:link w:val="TytutablicyZnak"/>
    <w:qFormat/>
    <w:rsid w:val="00CD1EBB"/>
    <w:rPr>
      <w:rFonts w:ascii="Fira Sans" w:hAnsi="Fira Sans"/>
      <w:b/>
      <w:color w:val="000000" w:themeColor="text1"/>
      <w:szCs w:val="19"/>
    </w:rPr>
  </w:style>
  <w:style w:type="character" w:customStyle="1" w:styleId="DatainformacjisygnalnejZnak">
    <w:name w:val="Data informacji sygnalnej Znak"/>
    <w:basedOn w:val="Domylnaczcionkaakapitu"/>
    <w:link w:val="Datainformacjisygnalnej"/>
    <w:rsid w:val="00F049AB"/>
    <w:rPr>
      <w:rFonts w:ascii="Fira Sans SemiBold" w:hAnsi="Fira Sans SemiBold"/>
      <w:color w:val="001D77"/>
      <w:sz w:val="20"/>
      <w:szCs w:val="20"/>
    </w:rPr>
  </w:style>
  <w:style w:type="paragraph" w:customStyle="1" w:styleId="Tablicagwka">
    <w:name w:val="Tablica główka"/>
    <w:basedOn w:val="Akapitzlist"/>
    <w:link w:val="TablicagwkaZnak"/>
    <w:qFormat/>
    <w:rsid w:val="00F049AB"/>
    <w:rPr>
      <w:rFonts w:eastAsia="Times New Roman" w:cs="Calibri"/>
      <w:szCs w:val="19"/>
      <w:lang w:eastAsia="pl-PL"/>
    </w:rPr>
  </w:style>
  <w:style w:type="character" w:customStyle="1" w:styleId="TytutablicyZnak">
    <w:name w:val="Tytuł tablicy Znak"/>
    <w:basedOn w:val="Nagwek1Znak"/>
    <w:link w:val="Tytutablicy"/>
    <w:rsid w:val="00CD1EBB"/>
    <w:rPr>
      <w:rFonts w:ascii="Fira Sans" w:eastAsia="Times New Roman" w:hAnsi="Fira Sans" w:cs="Times New Roman"/>
      <w:b/>
      <w:bCs/>
      <w:color w:val="000000" w:themeColor="text1"/>
      <w:sz w:val="19"/>
      <w:szCs w:val="19"/>
      <w:lang w:eastAsia="pl-PL"/>
    </w:rPr>
  </w:style>
  <w:style w:type="paragraph" w:customStyle="1" w:styleId="Tablicagwkarodek">
    <w:name w:val="Tablica główka środek"/>
    <w:basedOn w:val="Normalny"/>
    <w:link w:val="TablicagwkarodekZnak"/>
    <w:qFormat/>
    <w:rsid w:val="00F049AB"/>
    <w:pPr>
      <w:jc w:val="center"/>
    </w:pPr>
    <w:rPr>
      <w:rFonts w:eastAsia="Times New Roman" w:cs="Calibri"/>
      <w:szCs w:val="19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049AB"/>
    <w:rPr>
      <w:rFonts w:ascii="Fira Sans" w:hAnsi="Fira Sans"/>
      <w:sz w:val="19"/>
    </w:rPr>
  </w:style>
  <w:style w:type="character" w:customStyle="1" w:styleId="TablicagwkaZnak">
    <w:name w:val="Tablica główka Znak"/>
    <w:basedOn w:val="AkapitzlistZnak"/>
    <w:link w:val="Tablicagwka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danerodek">
    <w:name w:val="Tablica dane środek"/>
    <w:basedOn w:val="Normalny"/>
    <w:link w:val="TablicadanerodekZnak"/>
    <w:qFormat/>
    <w:rsid w:val="00966C9A"/>
    <w:pPr>
      <w:jc w:val="right"/>
    </w:pPr>
    <w:rPr>
      <w:rFonts w:eastAsia="Times New Roman" w:cs="Calibri"/>
      <w:szCs w:val="19"/>
      <w:lang w:eastAsia="pl-PL"/>
    </w:rPr>
  </w:style>
  <w:style w:type="character" w:customStyle="1" w:styleId="TablicagwkarodekZnak">
    <w:name w:val="Tablica główka środek Znak"/>
    <w:basedOn w:val="Domylnaczcionkaakapitu"/>
    <w:link w:val="Tablicagwkarodek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">
    <w:name w:val="Tablica boczek"/>
    <w:basedOn w:val="Normalny"/>
    <w:link w:val="TablicaboczekZnak"/>
    <w:qFormat/>
    <w:rsid w:val="00966C9A"/>
    <w:rPr>
      <w:rFonts w:eastAsia="Times New Roman" w:cs="Calibri"/>
      <w:szCs w:val="19"/>
      <w:lang w:eastAsia="pl-PL"/>
    </w:rPr>
  </w:style>
  <w:style w:type="character" w:customStyle="1" w:styleId="TablicadanerodekZnak">
    <w:name w:val="Tablica dane środek Znak"/>
    <w:basedOn w:val="Domylnaczcionkaakapitu"/>
    <w:link w:val="Tablicadanerod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1">
    <w:name w:val="Tablica boczek wcięcie 1"/>
    <w:basedOn w:val="Normalny"/>
    <w:link w:val="Tablicaboczekwcicie1Znak"/>
    <w:qFormat/>
    <w:rsid w:val="00966C9A"/>
    <w:pPr>
      <w:ind w:firstLine="176"/>
    </w:pPr>
    <w:rPr>
      <w:szCs w:val="19"/>
    </w:rPr>
  </w:style>
  <w:style w:type="character" w:customStyle="1" w:styleId="TablicaboczekZnak">
    <w:name w:val="Tablica boczek Znak"/>
    <w:basedOn w:val="Domylnaczcionkaakapitu"/>
    <w:link w:val="Tablicabocz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2">
    <w:name w:val="Tablica boczek wcięcie 2"/>
    <w:basedOn w:val="Normalny"/>
    <w:link w:val="Tablicaboczekwcicie2Znak"/>
    <w:qFormat/>
    <w:rsid w:val="00966C9A"/>
    <w:pPr>
      <w:ind w:left="318"/>
    </w:pPr>
    <w:rPr>
      <w:szCs w:val="19"/>
    </w:rPr>
  </w:style>
  <w:style w:type="character" w:customStyle="1" w:styleId="Tablicaboczekwcicie1Znak">
    <w:name w:val="Tablica boczek wcięcie 1 Znak"/>
    <w:basedOn w:val="Domylnaczcionkaakapitu"/>
    <w:link w:val="Tablicaboczekwcicie1"/>
    <w:rsid w:val="00966C9A"/>
    <w:rPr>
      <w:rFonts w:ascii="Fira Sans" w:hAnsi="Fira Sans"/>
      <w:sz w:val="19"/>
      <w:szCs w:val="19"/>
    </w:rPr>
  </w:style>
  <w:style w:type="paragraph" w:customStyle="1" w:styleId="Tablicanotka">
    <w:name w:val="Tablica notka"/>
    <w:basedOn w:val="Normalny"/>
    <w:link w:val="TablicanotkaZnak"/>
    <w:qFormat/>
    <w:rsid w:val="00966C9A"/>
    <w:rPr>
      <w:noProof/>
      <w:spacing w:val="-2"/>
      <w:sz w:val="16"/>
      <w:szCs w:val="16"/>
    </w:rPr>
  </w:style>
  <w:style w:type="character" w:customStyle="1" w:styleId="Tablicaboczekwcicie2Znak">
    <w:name w:val="Tablica boczek wcięcie 2 Znak"/>
    <w:basedOn w:val="Domylnaczcionkaakapitu"/>
    <w:link w:val="Tablicaboczekwcicie2"/>
    <w:rsid w:val="00966C9A"/>
    <w:rPr>
      <w:rFonts w:ascii="Fira Sans" w:hAnsi="Fira Sans"/>
      <w:sz w:val="19"/>
      <w:szCs w:val="19"/>
    </w:rPr>
  </w:style>
  <w:style w:type="paragraph" w:customStyle="1" w:styleId="Przypis">
    <w:name w:val="Przypis"/>
    <w:basedOn w:val="Tekstprzypisudolnego"/>
    <w:link w:val="PrzypisZnak"/>
    <w:qFormat/>
    <w:rsid w:val="00966C9A"/>
    <w:rPr>
      <w:sz w:val="19"/>
      <w:szCs w:val="19"/>
      <w:shd w:val="clear" w:color="auto" w:fill="FFFFFF"/>
      <w:lang w:val="en-GB"/>
    </w:rPr>
  </w:style>
  <w:style w:type="character" w:customStyle="1" w:styleId="TablicanotkaZnak">
    <w:name w:val="Tablica notka Znak"/>
    <w:basedOn w:val="Domylnaczcionkaakapitu"/>
    <w:link w:val="Tablicanotka"/>
    <w:rsid w:val="00966C9A"/>
    <w:rPr>
      <w:rFonts w:ascii="Fira Sans" w:hAnsi="Fira Sans"/>
      <w:noProof/>
      <w:spacing w:val="-2"/>
      <w:sz w:val="16"/>
      <w:szCs w:val="16"/>
    </w:rPr>
  </w:style>
  <w:style w:type="paragraph" w:customStyle="1" w:styleId="Tekstwypunktowania">
    <w:name w:val="Tekst wypunktowania"/>
    <w:basedOn w:val="Normalny"/>
    <w:link w:val="TekstwypunktowaniaZnak"/>
    <w:qFormat/>
    <w:rsid w:val="00966C9A"/>
    <w:pPr>
      <w:numPr>
        <w:ilvl w:val="1"/>
        <w:numId w:val="4"/>
      </w:numPr>
      <w:spacing w:after="0" w:line="276" w:lineRule="auto"/>
      <w:ind w:left="425" w:hanging="425"/>
    </w:pPr>
    <w:rPr>
      <w:shd w:val="clear" w:color="auto" w:fill="FFFFFF"/>
      <w:lang w:val="en-GB"/>
    </w:rPr>
  </w:style>
  <w:style w:type="character" w:customStyle="1" w:styleId="PrzypisZnak">
    <w:name w:val="Przypis Znak"/>
    <w:basedOn w:val="TekstprzypisudolnegoZnak"/>
    <w:link w:val="Przypis"/>
    <w:rsid w:val="00966C9A"/>
    <w:rPr>
      <w:rFonts w:ascii="Fira Sans" w:hAnsi="Fira Sans"/>
      <w:sz w:val="19"/>
      <w:szCs w:val="19"/>
      <w:lang w:val="en-GB"/>
    </w:rPr>
  </w:style>
  <w:style w:type="paragraph" w:customStyle="1" w:styleId="Tytuwykresu0">
    <w:name w:val="Tytuł wykresu"/>
    <w:basedOn w:val="Nagwek1"/>
    <w:link w:val="TytuwykresuZnak"/>
    <w:qFormat/>
    <w:rsid w:val="00966C9A"/>
    <w:rPr>
      <w:b/>
      <w:noProof/>
      <w:color w:val="auto"/>
    </w:rPr>
  </w:style>
  <w:style w:type="character" w:customStyle="1" w:styleId="TekstwypunktowaniaZnak">
    <w:name w:val="Tekst wypunktowania Znak"/>
    <w:basedOn w:val="Domylnaczcionkaakapitu"/>
    <w:link w:val="Tekstwypunktowania"/>
    <w:rsid w:val="00966C9A"/>
    <w:rPr>
      <w:rFonts w:ascii="Fira Sans" w:hAnsi="Fira Sans"/>
      <w:sz w:val="19"/>
      <w:lang w:val="en-GB"/>
    </w:rPr>
  </w:style>
  <w:style w:type="character" w:customStyle="1" w:styleId="TytuwykresuZnak">
    <w:name w:val="Tytuł wykresu Znak"/>
    <w:basedOn w:val="Nagwek1Znak"/>
    <w:link w:val="Tytuwykresu0"/>
    <w:rsid w:val="00966C9A"/>
    <w:rPr>
      <w:rFonts w:ascii="Fira Sans SemiBold" w:eastAsia="Times New Roman" w:hAnsi="Fira Sans SemiBold" w:cs="Times New Roman"/>
      <w:b/>
      <w:bCs/>
      <w:noProof/>
      <w:color w:val="001D77"/>
      <w:sz w:val="19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A45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hyperlink" Target="https://stat.gov.pl/obszary-tematyczne/rynek-pracy/zasady-metodyczne-rocznik-pracy/zeszyt-metodologiczny-pracujacy-w-gospodarce-narodowej,7,1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hyperlink" Target="https://stat.gov.pl/obszary-tematyczne/rynek-pracy/pracujacy-zatrudnieni-wynagrodzenia-koszty-pracy/struktura-wynagrodzen-wedlug-zawodow-w-pazdzierniku-2020-roku,4,10.html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obslugaprasowa@stat.gov.pl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://bdm.stat.gov.p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24" Type="http://schemas.openxmlformats.org/officeDocument/2006/relationships/hyperlink" Target="https://stat.gov.pl/obszary-tematyczne/rynek-pracy/pracujacy-zatrudnieni-wynagrodzenia-koszty-pracy/zatrudnienie-i-wynagrodzenia-w-gospodarce-narodowej-w-2021-roku,1,45.html" TargetMode="External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stat.gov.pl/obszary-tematyczne/rynek-pracy/pracujacy-zatrudnieni-wynagrodzenia-koszty-pracy/" TargetMode="External"/><Relationship Id="rId28" Type="http://schemas.openxmlformats.org/officeDocument/2006/relationships/hyperlink" Target="https://bdl.stat.gov.pl/BDL/dane/podgrup/temat" TargetMode="External"/><Relationship Id="rId10" Type="http://schemas.openxmlformats.org/officeDocument/2006/relationships/chart" Target="charts/chart1.xml"/><Relationship Id="rId19" Type="http://schemas.openxmlformats.org/officeDocument/2006/relationships/image" Target="media/image6.png"/><Relationship Id="rId31" Type="http://schemas.openxmlformats.org/officeDocument/2006/relationships/hyperlink" Target="https://stat.gov.pl/metainformacje/slownik-pojec/pojecia-stosowane-w-statystyce-publicznej/742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image" Target="media/image9.png"/><Relationship Id="rId27" Type="http://schemas.openxmlformats.org/officeDocument/2006/relationships/hyperlink" Target="https://stat.gov.pl/obszary-tematyczne/rynek-pracy/zasady-metodyczne-rocznik-pracy/zeszyt-metodologiczny-wynagrodzenia-w-gospodarce-narodowej,6,1.html" TargetMode="External"/><Relationship Id="rId30" Type="http://schemas.openxmlformats.org/officeDocument/2006/relationships/hyperlink" Target="http://stat.gov.pl/metainformacje/slownik-pojec/pojecia-stosowane-w-statystyce-publicznej/376,pojecie.html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form.stat.gov.pl/formularze/2022/passive/DG-1.pdf" TargetMode="External"/><Relationship Id="rId2" Type="http://schemas.openxmlformats.org/officeDocument/2006/relationships/hyperlink" Target="https://stat.gov.pl/obszary-tematyczne/podmioty-gospodarcze-wyniki-finansowe/przedsiebiorstwa-niefinansowe/zeszyt-metodologiczny-miesieczny-meldunek-o-dzialalnosci-gospodarczej-przedsiebiorstw,31,1.html" TargetMode="External"/><Relationship Id="rId1" Type="http://schemas.openxmlformats.org/officeDocument/2006/relationships/hyperlink" Target="http://form.stat.gov.pl/formularze/2020/objasnienia/zalacznik_do_objasnien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dytka\DG-1\Inf%20sygnalne%20i%20komunikaty\Sygnalne\2022\wykresy%20sygnalna_EL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dytka\DG-1\Inf%20sygnalne%20i%20komunikaty\Sygnalne\2022\wykresy%20sygnalna_EL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70837957337328E-2"/>
          <c:y val="8.6234567901234765E-2"/>
          <c:w val="0.87241187972308865"/>
          <c:h val="0.666111111111111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'gl wykres z dod osia'!$D$1</c:f>
              <c:strCache>
                <c:ptCount val="1"/>
                <c:pt idx="0">
                  <c:v>Liczby bezwzględne (lewa skala)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'gl wykres z dod osia'!$B$91:$C$119</c:f>
              <c:multiLvlStrCache>
                <c:ptCount val="29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'gl wykres z dod osia'!$D$26:$D$54</c:f>
              <c:numCache>
                <c:formatCode>0.0</c:formatCode>
                <c:ptCount val="29"/>
                <c:pt idx="0">
                  <c:v>6440.9</c:v>
                </c:pt>
                <c:pt idx="1">
                  <c:v>6445.9</c:v>
                </c:pt>
                <c:pt idx="2">
                  <c:v>6411.7</c:v>
                </c:pt>
                <c:pt idx="3">
                  <c:v>6258.8</c:v>
                </c:pt>
                <c:pt idx="4">
                  <c:v>6173.9</c:v>
                </c:pt>
                <c:pt idx="5">
                  <c:v>6185.8</c:v>
                </c:pt>
                <c:pt idx="6">
                  <c:v>6252</c:v>
                </c:pt>
                <c:pt idx="7">
                  <c:v>6295</c:v>
                </c:pt>
                <c:pt idx="8">
                  <c:v>6312.4</c:v>
                </c:pt>
                <c:pt idx="9">
                  <c:v>6318.3</c:v>
                </c:pt>
                <c:pt idx="10">
                  <c:v>6318.9</c:v>
                </c:pt>
                <c:pt idx="11">
                  <c:v>6329</c:v>
                </c:pt>
                <c:pt idx="12">
                  <c:v>6314.1</c:v>
                </c:pt>
                <c:pt idx="13">
                  <c:v>6334</c:v>
                </c:pt>
                <c:pt idx="14">
                  <c:v>6330.3</c:v>
                </c:pt>
                <c:pt idx="15">
                  <c:v>6316.9</c:v>
                </c:pt>
                <c:pt idx="16">
                  <c:v>6338.5</c:v>
                </c:pt>
                <c:pt idx="17">
                  <c:v>6359.3</c:v>
                </c:pt>
                <c:pt idx="18">
                  <c:v>6361.7</c:v>
                </c:pt>
                <c:pt idx="19">
                  <c:v>6352</c:v>
                </c:pt>
                <c:pt idx="20">
                  <c:v>6347.2</c:v>
                </c:pt>
                <c:pt idx="21">
                  <c:v>6351.1</c:v>
                </c:pt>
                <c:pt idx="22">
                  <c:v>6363.7</c:v>
                </c:pt>
                <c:pt idx="23">
                  <c:v>6361.6</c:v>
                </c:pt>
                <c:pt idx="24">
                  <c:v>6459.8</c:v>
                </c:pt>
                <c:pt idx="25">
                  <c:v>6474.9</c:v>
                </c:pt>
                <c:pt idx="26">
                  <c:v>6484.9</c:v>
                </c:pt>
                <c:pt idx="27">
                  <c:v>6496.6</c:v>
                </c:pt>
                <c:pt idx="28">
                  <c:v>6491.6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3B-4693-A74E-B067A46452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7990400"/>
        <c:axId val="135352704"/>
      </c:barChart>
      <c:lineChart>
        <c:grouping val="standard"/>
        <c:varyColors val="0"/>
        <c:ser>
          <c:idx val="1"/>
          <c:order val="1"/>
          <c:tx>
            <c:strRef>
              <c:f>'gl wykres z dod osia'!$D$66</c:f>
              <c:strCache>
                <c:ptCount val="1"/>
                <c:pt idx="0">
                  <c:v>Wskaźniki dynamiki, analogiczny miesiąc roku poprzedniego=100 (prawa skala)</c:v>
                </c:pt>
              </c:strCache>
            </c:strRef>
          </c:tx>
          <c:spPr>
            <a:ln>
              <a:solidFill>
                <a:srgbClr val="008542"/>
              </a:solidFill>
            </a:ln>
          </c:spPr>
          <c:marker>
            <c:symbol val="none"/>
          </c:marker>
          <c:cat>
            <c:strRef>
              <c:f>'gl wykres z dod osia'!$C$91:$C$119</c:f>
              <c:strCache>
                <c:ptCount val="29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01</c:v>
                </c:pt>
                <c:pt idx="25">
                  <c:v>02</c:v>
                </c:pt>
                <c:pt idx="26">
                  <c:v>03</c:v>
                </c:pt>
                <c:pt idx="27">
                  <c:v>04</c:v>
                </c:pt>
                <c:pt idx="28">
                  <c:v>05</c:v>
                </c:pt>
              </c:strCache>
            </c:strRef>
          </c:cat>
          <c:val>
            <c:numRef>
              <c:f>'gl wykres z dod osia'!$D$91:$D$119</c:f>
              <c:numCache>
                <c:formatCode>0.0</c:formatCode>
                <c:ptCount val="29"/>
                <c:pt idx="0">
                  <c:v>101.1</c:v>
                </c:pt>
                <c:pt idx="1">
                  <c:v>101.1</c:v>
                </c:pt>
                <c:pt idx="2">
                  <c:v>100.3</c:v>
                </c:pt>
                <c:pt idx="3">
                  <c:v>97.9</c:v>
                </c:pt>
                <c:pt idx="4">
                  <c:v>96.8</c:v>
                </c:pt>
                <c:pt idx="5">
                  <c:v>96.7</c:v>
                </c:pt>
                <c:pt idx="6">
                  <c:v>97.7</c:v>
                </c:pt>
                <c:pt idx="7">
                  <c:v>98.5</c:v>
                </c:pt>
                <c:pt idx="8">
                  <c:v>98.8</c:v>
                </c:pt>
                <c:pt idx="9">
                  <c:v>99</c:v>
                </c:pt>
                <c:pt idx="10" formatCode="0.00">
                  <c:v>98.8</c:v>
                </c:pt>
                <c:pt idx="11" formatCode="0.00">
                  <c:v>99</c:v>
                </c:pt>
                <c:pt idx="12" formatCode="0.00">
                  <c:v>98</c:v>
                </c:pt>
                <c:pt idx="13" formatCode="0.00">
                  <c:v>98.3</c:v>
                </c:pt>
                <c:pt idx="14" formatCode="0.00">
                  <c:v>98.7</c:v>
                </c:pt>
                <c:pt idx="15" formatCode="0.00">
                  <c:v>100.9</c:v>
                </c:pt>
                <c:pt idx="16" formatCode="0.00">
                  <c:v>102.7</c:v>
                </c:pt>
                <c:pt idx="17" formatCode="0.00">
                  <c:v>102.8</c:v>
                </c:pt>
                <c:pt idx="18" formatCode="General">
                  <c:v>101.8</c:v>
                </c:pt>
                <c:pt idx="19" formatCode="General">
                  <c:v>100.9</c:v>
                </c:pt>
                <c:pt idx="20" formatCode="General">
                  <c:v>100.6</c:v>
                </c:pt>
                <c:pt idx="21" formatCode="General">
                  <c:v>100.5</c:v>
                </c:pt>
                <c:pt idx="22" formatCode="General">
                  <c:v>100.7</c:v>
                </c:pt>
                <c:pt idx="23" formatCode="General">
                  <c:v>100.5</c:v>
                </c:pt>
                <c:pt idx="24" formatCode="General">
                  <c:v>102.3</c:v>
                </c:pt>
                <c:pt idx="25" formatCode="General">
                  <c:v>102.2</c:v>
                </c:pt>
                <c:pt idx="26" formatCode="General">
                  <c:v>102.4</c:v>
                </c:pt>
                <c:pt idx="27" formatCode="General">
                  <c:v>102.8</c:v>
                </c:pt>
                <c:pt idx="28" formatCode="General">
                  <c:v>102.4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93B-4693-A74E-B067A46452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368704"/>
        <c:axId val="135354624"/>
      </c:lineChart>
      <c:catAx>
        <c:axId val="12799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pl-PL"/>
          </a:p>
        </c:txPr>
        <c:crossAx val="135352704"/>
        <c:crosses val="autoZero"/>
        <c:auto val="1"/>
        <c:lblAlgn val="ctr"/>
        <c:lblOffset val="100"/>
        <c:noMultiLvlLbl val="0"/>
      </c:catAx>
      <c:valAx>
        <c:axId val="135352704"/>
        <c:scaling>
          <c:orientation val="minMax"/>
          <c:max val="6500"/>
          <c:min val="400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b="0"/>
                  <a:t>w tys.</a:t>
                </a:r>
              </a:p>
            </c:rich>
          </c:tx>
          <c:layout>
            <c:manualLayout>
              <c:xMode val="edge"/>
              <c:yMode val="edge"/>
              <c:x val="2.2371364653244298E-3"/>
              <c:y val="6.6049382716047798E-4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127990400"/>
        <c:crosses val="autoZero"/>
        <c:crossBetween val="between"/>
        <c:majorUnit val="250"/>
      </c:valAx>
      <c:valAx>
        <c:axId val="135354624"/>
        <c:scaling>
          <c:orientation val="minMax"/>
          <c:max val="130"/>
          <c:min val="70"/>
        </c:scaling>
        <c:delete val="0"/>
        <c:axPos val="r"/>
        <c:numFmt formatCode="0" sourceLinked="0"/>
        <c:majorTickMark val="out"/>
        <c:minorTickMark val="none"/>
        <c:tickLblPos val="nextTo"/>
        <c:spPr>
          <a:ln>
            <a:noFill/>
          </a:ln>
        </c:spPr>
        <c:crossAx val="135368704"/>
        <c:crosses val="max"/>
        <c:crossBetween val="between"/>
        <c:majorUnit val="5"/>
      </c:valAx>
      <c:catAx>
        <c:axId val="1353687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535462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0701050844481014E-2"/>
          <c:y val="0.87979753086420065"/>
          <c:w val="0.87098927689801076"/>
          <c:h val="0.12020246913580244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rot="0" vert="wordArtVert"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70837957337384E-2"/>
          <c:y val="8.6234567901234668E-2"/>
          <c:w val="0.87241187972308865"/>
          <c:h val="0.66611111111111165"/>
        </c:manualLayout>
      </c:layout>
      <c:lineChart>
        <c:grouping val="standard"/>
        <c:varyColors val="0"/>
        <c:ser>
          <c:idx val="0"/>
          <c:order val="0"/>
          <c:tx>
            <c:strRef>
              <c:f>'wykres wynagrodzenie glowny'!$B$2</c:f>
              <c:strCache>
                <c:ptCount val="1"/>
                <c:pt idx="0">
                  <c:v>Przeciętne miesięczne wynagrodzenie brutto w sektorze przedsiębiorstw</c:v>
                </c:pt>
              </c:strCache>
            </c:strRef>
          </c:tx>
          <c:spPr>
            <a:ln>
              <a:solidFill>
                <a:srgbClr val="001D77"/>
              </a:solidFill>
            </a:ln>
            <a:effectLst/>
          </c:spPr>
          <c:marker>
            <c:symbol val="none"/>
          </c:marker>
          <c:cat>
            <c:multiLvlStrRef>
              <c:f>'gl wykres z dod osia'!$B$91:$C$119</c:f>
              <c:multiLvlStrCache>
                <c:ptCount val="29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'wykres wynagrodzenie glowny'!$D$27:$D$55</c:f>
              <c:numCache>
                <c:formatCode>0.00</c:formatCode>
                <c:ptCount val="29"/>
                <c:pt idx="0">
                  <c:v>5282.8</c:v>
                </c:pt>
                <c:pt idx="1">
                  <c:v>5330.48</c:v>
                </c:pt>
                <c:pt idx="2">
                  <c:v>5489.21</c:v>
                </c:pt>
                <c:pt idx="3">
                  <c:v>5285.01</c:v>
                </c:pt>
                <c:pt idx="4">
                  <c:v>5119.9399999999996</c:v>
                </c:pt>
                <c:pt idx="5">
                  <c:v>5286</c:v>
                </c:pt>
                <c:pt idx="6">
                  <c:v>5381.6500000000024</c:v>
                </c:pt>
                <c:pt idx="7">
                  <c:v>5337.6500000000024</c:v>
                </c:pt>
                <c:pt idx="8">
                  <c:v>5371.56</c:v>
                </c:pt>
                <c:pt idx="9">
                  <c:v>5458.88</c:v>
                </c:pt>
                <c:pt idx="10">
                  <c:v>5484.07</c:v>
                </c:pt>
                <c:pt idx="11">
                  <c:v>5973.75</c:v>
                </c:pt>
                <c:pt idx="12">
                  <c:v>5536.8</c:v>
                </c:pt>
                <c:pt idx="13">
                  <c:v>5568.8200000000024</c:v>
                </c:pt>
                <c:pt idx="14">
                  <c:v>5929.05</c:v>
                </c:pt>
                <c:pt idx="15">
                  <c:v>5805.72</c:v>
                </c:pt>
                <c:pt idx="16">
                  <c:v>5637.34</c:v>
                </c:pt>
                <c:pt idx="17">
                  <c:v>5802.42</c:v>
                </c:pt>
                <c:pt idx="18">
                  <c:v>5851.87</c:v>
                </c:pt>
                <c:pt idx="19">
                  <c:v>5843.75</c:v>
                </c:pt>
                <c:pt idx="20">
                  <c:v>5841.1600000000044</c:v>
                </c:pt>
                <c:pt idx="21">
                  <c:v>5917.1500000000024</c:v>
                </c:pt>
                <c:pt idx="22">
                  <c:v>6022.49</c:v>
                </c:pt>
                <c:pt idx="23">
                  <c:v>6644.39</c:v>
                </c:pt>
                <c:pt idx="24">
                  <c:v>6064.24</c:v>
                </c:pt>
                <c:pt idx="25">
                  <c:v>6220.04</c:v>
                </c:pt>
                <c:pt idx="26">
                  <c:v>6665.64</c:v>
                </c:pt>
                <c:pt idx="27">
                  <c:v>6626.95</c:v>
                </c:pt>
                <c:pt idx="28">
                  <c:v>6399.59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37F-4072-B63D-B0E0A18979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387776"/>
        <c:axId val="135389568"/>
      </c:lineChart>
      <c:catAx>
        <c:axId val="135387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pl-PL"/>
          </a:p>
        </c:txPr>
        <c:crossAx val="135389568"/>
        <c:crosses val="autoZero"/>
        <c:auto val="1"/>
        <c:lblAlgn val="ctr"/>
        <c:lblOffset val="100"/>
        <c:noMultiLvlLbl val="0"/>
      </c:catAx>
      <c:valAx>
        <c:axId val="135389568"/>
        <c:scaling>
          <c:orientation val="minMax"/>
          <c:min val="400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b="0"/>
                  <a:t>w zł</a:t>
                </a:r>
              </a:p>
            </c:rich>
          </c:tx>
          <c:layout>
            <c:manualLayout>
              <c:xMode val="edge"/>
              <c:yMode val="edge"/>
              <c:x val="2.2371364653244294E-3"/>
              <c:y val="6.6049382716047743E-4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135387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rot="0" vert="wordArtVert"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Przecietne_zatrudnienie_i_wynagrodzenie_sektor_przedsiębiorstw_V2022.docx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STAT\WINIARZA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Props1.xml><?xml version="1.0" encoding="utf-8"?>
<ds:datastoreItem xmlns:ds="http://schemas.openxmlformats.org/officeDocument/2006/customXml" ds:itemID="{07A2B634-1102-40FC-A770-996E2E719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E3303-A917-4182-A291-5ACE212FB0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1344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Przeciętne zatrudnienie i wynagrodzenie w sektorze przedsiębiorstw w maju 2022 roku</dc:title>
  <dc:subject>Przeciętne zatrudnienie i wynagrodzenie w sektorze przedsiębiorstw</dc:subject>
  <dc:creator>Główny Urząd Statystyczny</dc:creator>
  <cp:keywords>płace; zarobki; pracujący; zatrudnieni; wynagrodzenie</cp:keywords>
  <cp:lastPrinted>2022-05-19T13:03:00Z</cp:lastPrinted>
  <dcterms:created xsi:type="dcterms:W3CDTF">2022-06-21T06:22:00Z</dcterms:created>
  <dcterms:modified xsi:type="dcterms:W3CDTF">2022-06-21T06:22:00Z</dcterms:modified>
  <cp:category>Pracujący. Zatrudnieni. Wynagrodzenia. Koszty pracy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/>
  </property>
  <property fmtid="{D5CDD505-2E9C-101B-9397-08002B2CF9AE}" pid="4" name="UNPPisma">
    <vt:lpwstr>2022-28926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Morawska Beata</vt:lpwstr>
  </property>
  <property fmtid="{D5CDD505-2E9C-101B-9397-08002B2CF9AE}" pid="8" name="AutorInicjaly">
    <vt:lpwstr>BM</vt:lpwstr>
  </property>
  <property fmtid="{D5CDD505-2E9C-101B-9397-08002B2CF9AE}" pid="9" name="AutorNrTelefonu">
    <vt:lpwstr>37-15</vt:lpwstr>
  </property>
  <property fmtid="{D5CDD505-2E9C-101B-9397-08002B2CF9AE}" pid="10" name="Stanowisko">
    <vt:lpwstr>główny specjalista</vt:lpwstr>
  </property>
  <property fmtid="{D5CDD505-2E9C-101B-9397-08002B2CF9AE}" pid="11" name="OpisPisma">
    <vt:lpwstr>Wzory informacji sygnalnych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2022-02-04</vt:lpwstr>
  </property>
  <property fmtid="{D5CDD505-2E9C-101B-9397-08002B2CF9AE}" pid="15" name="Wydzial">
    <vt:lpwstr>Wydział Opracowań Graficznych</vt:lpwstr>
  </property>
  <property fmtid="{D5CDD505-2E9C-101B-9397-08002B2CF9AE}" pid="16" name="KodWydzialu">
    <vt:lpwstr>OS-03</vt:lpwstr>
  </property>
  <property fmtid="{D5CDD505-2E9C-101B-9397-08002B2CF9AE}" pid="17" name="ZaakceptowanePrzez">
    <vt:lpwstr>n/d</vt:lpwstr>
  </property>
  <property fmtid="{D5CDD505-2E9C-101B-9397-08002B2CF9AE}" pid="18" name="PrzekazanieDo">
    <vt:lpwstr>Karolina Banaszek</vt:lpwstr>
  </property>
  <property fmtid="{D5CDD505-2E9C-101B-9397-08002B2CF9AE}" pid="19" name="PrzekazanieDoStanowisko">
    <vt:lpwstr>zastępca dyrektora departamentu</vt:lpwstr>
  </property>
  <property fmtid="{D5CDD505-2E9C-101B-9397-08002B2CF9AE}" pid="20" name="PrzekazanieDoKomorkaPracownika">
    <vt:lpwstr>Z-ca Dyrektora DK(DK-II)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