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90D" w:rsidRPr="00C30E6D" w:rsidRDefault="0026490D" w:rsidP="0026490D">
      <w:pPr>
        <w:pStyle w:val="tytuinformacji"/>
        <w:rPr>
          <w:sz w:val="18"/>
          <w:shd w:val="clear" w:color="auto" w:fill="FFFFFF"/>
        </w:rPr>
      </w:pPr>
      <w:r w:rsidRPr="0026490D">
        <w:rPr>
          <w:shd w:val="clear" w:color="auto" w:fill="FFFFFF"/>
        </w:rPr>
        <w:t>Przeciętne zatrudnienie</w:t>
      </w:r>
      <w:r w:rsidR="00526041">
        <w:rPr>
          <w:rStyle w:val="Odwoanieprzypisudolnego"/>
          <w:shd w:val="clear" w:color="auto" w:fill="FFFFFF"/>
        </w:rPr>
        <w:footnoteReference w:id="1"/>
      </w:r>
      <w:r w:rsidRPr="0026490D">
        <w:rPr>
          <w:shd w:val="clear" w:color="auto" w:fill="FFFFFF"/>
        </w:rPr>
        <w:t xml:space="preserve"> i wynagrodzenie w</w:t>
      </w:r>
      <w:r w:rsidR="00CE74AF">
        <w:rPr>
          <w:shd w:val="clear" w:color="auto" w:fill="FFFFFF"/>
        </w:rPr>
        <w:t> </w:t>
      </w:r>
      <w:r w:rsidR="00B84181">
        <w:rPr>
          <w:shd w:val="clear" w:color="auto" w:fill="FFFFFF"/>
        </w:rPr>
        <w:t xml:space="preserve">sektorze przedsiębiorstw w </w:t>
      </w:r>
      <w:r w:rsidR="007256E0">
        <w:rPr>
          <w:shd w:val="clear" w:color="auto" w:fill="FFFFFF"/>
        </w:rPr>
        <w:t>grudniu</w:t>
      </w:r>
      <w:r w:rsidR="00B84181">
        <w:rPr>
          <w:shd w:val="clear" w:color="auto" w:fill="FFFFFF"/>
        </w:rPr>
        <w:t xml:space="preserve"> </w:t>
      </w:r>
      <w:r w:rsidR="00767D12">
        <w:rPr>
          <w:shd w:val="clear" w:color="auto" w:fill="FFFFFF"/>
        </w:rPr>
        <w:t>2021</w:t>
      </w:r>
      <w:r w:rsidRPr="0026490D">
        <w:rPr>
          <w:shd w:val="clear" w:color="auto" w:fill="FFFFFF"/>
        </w:rPr>
        <w:t xml:space="preserve"> r.</w:t>
      </w:r>
      <w:r w:rsidR="00C30E6D">
        <w:rPr>
          <w:shd w:val="clear" w:color="auto" w:fill="FFFFFF"/>
        </w:rPr>
        <w:br/>
      </w:r>
    </w:p>
    <w:p w:rsidR="00385802" w:rsidRDefault="009A61FF" w:rsidP="00385802">
      <w:pPr>
        <w:pStyle w:val="LID"/>
      </w:pPr>
      <w:r>
        <w:rPr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39" type="#_x0000_t202" style="position:absolute;margin-left:.25pt;margin-top:7.05pt;width:180.25pt;height:92.1pt;z-index:25168998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" fillcolor="#001d77" stroked="f">
            <v:textbox>
              <w:txbxContent>
                <w:p w:rsidR="00385802" w:rsidRPr="00564813" w:rsidRDefault="00385802" w:rsidP="00385802">
                  <w:pPr>
                    <w:spacing w:after="0" w:line="240" w:lineRule="auto"/>
                    <w:rPr>
                      <w:rFonts w:ascii="Fira Sans SemiBold" w:hAnsi="Fira Sans SemiBold"/>
                      <w:color w:val="FFFFFF"/>
                      <w:sz w:val="72"/>
                    </w:rPr>
                  </w:pPr>
                  <w:r>
                    <w:rPr>
                      <w:rFonts w:ascii="Fira Sans Light" w:hAnsi="Fira Sans Light"/>
                      <w:b/>
                      <w:noProof/>
                      <w:color w:val="001D77"/>
                      <w:sz w:val="22"/>
                      <w:lang w:eastAsia="pl-PL"/>
                    </w:rPr>
                    <w:drawing>
                      <wp:inline distT="0" distB="0" distL="0" distR="0">
                        <wp:extent cx="340360" cy="340360"/>
                        <wp:effectExtent l="19050" t="0" r="2540" b="0"/>
                        <wp:docPr id="6" name="Obraz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0360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001D77"/>
                      <w:lang w:eastAsia="pl-PL"/>
                    </w:rPr>
                    <w:t xml:space="preserve"> 22</w:t>
                  </w:r>
                  <w:r>
                    <w:rPr>
                      <w:rFonts w:ascii="Fira Sans SemiBold" w:hAnsi="Fira Sans SemiBold"/>
                      <w:color w:val="FFFFFF"/>
                      <w:sz w:val="72"/>
                    </w:rPr>
                    <w:t>0,5</w:t>
                  </w:r>
                  <w:r w:rsidRPr="00564813">
                    <w:rPr>
                      <w:rFonts w:ascii="Fira Sans SemiBold" w:hAnsi="Fira Sans SemiBold"/>
                      <w:color w:val="FFFFFF"/>
                      <w:sz w:val="72"/>
                    </w:rPr>
                    <w:t>%</w:t>
                  </w:r>
                </w:p>
                <w:p w:rsidR="00385802" w:rsidRPr="005526BC" w:rsidRDefault="00385802" w:rsidP="00385802">
                  <w:pPr>
                    <w:spacing w:after="0" w:line="240" w:lineRule="auto"/>
                    <w:rPr>
                      <w:color w:val="FFFFFF"/>
                      <w:szCs w:val="19"/>
                    </w:rPr>
                  </w:pPr>
                  <w:r>
                    <w:rPr>
                      <w:szCs w:val="19"/>
                    </w:rPr>
                    <w:t>Wzrost</w:t>
                  </w:r>
                  <w:r w:rsidRPr="005526BC">
                    <w:rPr>
                      <w:szCs w:val="19"/>
                    </w:rPr>
                    <w:t xml:space="preserve"> r/r przeciętnego zatrudnienia w</w:t>
                  </w:r>
                  <w:r>
                    <w:rPr>
                      <w:szCs w:val="19"/>
                    </w:rPr>
                    <w:t> </w:t>
                  </w:r>
                  <w:r w:rsidRPr="005526BC">
                    <w:rPr>
                      <w:szCs w:val="19"/>
                    </w:rPr>
                    <w:t>sektorze przedsiębiorstw</w:t>
                  </w:r>
                </w:p>
              </w:txbxContent>
            </v:textbox>
            <w10:wrap type="square" anchorx="margin"/>
          </v:shape>
        </w:pict>
      </w:r>
      <w:r w:rsidR="00385802">
        <w:t>W grudniu 2021</w:t>
      </w:r>
      <w:r w:rsidR="00385802" w:rsidRPr="00705D39">
        <w:t xml:space="preserve"> r. przeciętne zatrudnienie </w:t>
      </w:r>
      <w:r w:rsidR="00385802" w:rsidRPr="00705D39">
        <w:br/>
        <w:t xml:space="preserve">w sektorze przedsiębiorstw </w:t>
      </w:r>
      <w:r w:rsidR="00385802">
        <w:t xml:space="preserve">w porównaniu z grudniem 2020 r. </w:t>
      </w:r>
      <w:r w:rsidR="00385802" w:rsidRPr="00705D39">
        <w:t xml:space="preserve">było </w:t>
      </w:r>
      <w:r w:rsidR="00385802">
        <w:t>wyższe</w:t>
      </w:r>
      <w:r w:rsidR="00385802" w:rsidRPr="00705D39">
        <w:t xml:space="preserve"> o </w:t>
      </w:r>
      <w:r w:rsidR="00385802">
        <w:t>0,5</w:t>
      </w:r>
      <w:r w:rsidR="00385802" w:rsidRPr="00705D39">
        <w:t>% i wyniosło 6</w:t>
      </w:r>
      <w:r w:rsidR="00385802">
        <w:t>361,6 tys. etatów.</w:t>
      </w:r>
      <w:r w:rsidR="00F00FFC">
        <w:t xml:space="preserve"> W stosunku do poprzedniego miesiąca przeciętne zatrudnienie </w:t>
      </w:r>
      <w:r w:rsidR="00F050E6">
        <w:t>pozostało</w:t>
      </w:r>
      <w:r w:rsidR="00F00FFC">
        <w:t xml:space="preserve"> na podobnym poziomie (dynamika 100,0%).</w:t>
      </w:r>
    </w:p>
    <w:p w:rsidR="00385802" w:rsidRDefault="00385802" w:rsidP="008E6B43">
      <w:pPr>
        <w:pStyle w:val="LID"/>
        <w:spacing w:before="0" w:after="0"/>
      </w:pPr>
    </w:p>
    <w:p w:rsidR="00385802" w:rsidRDefault="00817749" w:rsidP="00817749">
      <w:pPr>
        <w:pStyle w:val="LID"/>
      </w:pPr>
      <w:r>
        <w:t xml:space="preserve">    </w:t>
      </w:r>
    </w:p>
    <w:p w:rsidR="00385802" w:rsidRDefault="009A61FF" w:rsidP="00385802">
      <w:pPr>
        <w:pStyle w:val="LID"/>
        <w:rPr>
          <w:b w:val="0"/>
          <w:color w:val="212492"/>
          <w:spacing w:val="-2"/>
        </w:rPr>
      </w:pPr>
      <w:r>
        <w:rPr>
          <w:rFonts w:eastAsia="Calibri"/>
        </w:rPr>
        <w:pict>
          <v:shape id="_x0000_s1040" type="#_x0000_t202" style="position:absolute;margin-left:.25pt;margin-top:2.55pt;width:180.25pt;height:97.55pt;z-index:2516910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" fillcolor="#001d77" stroked="f">
            <v:textbox>
              <w:txbxContent>
                <w:p w:rsidR="00385802" w:rsidRPr="00564813" w:rsidRDefault="00385802" w:rsidP="00385802">
                  <w:pPr>
                    <w:spacing w:after="0" w:line="240" w:lineRule="auto"/>
                    <w:rPr>
                      <w:rFonts w:ascii="Fira Sans SemiBold" w:hAnsi="Fira Sans SemiBold"/>
                      <w:color w:val="FFFFFF"/>
                      <w:sz w:val="72"/>
                    </w:rPr>
                  </w:pPr>
                  <w:r>
                    <w:rPr>
                      <w:rFonts w:ascii="Fira Sans Light" w:hAnsi="Fira Sans Light"/>
                      <w:b/>
                      <w:noProof/>
                      <w:color w:val="001D77"/>
                      <w:sz w:val="22"/>
                      <w:lang w:eastAsia="pl-PL"/>
                    </w:rPr>
                    <w:drawing>
                      <wp:inline distT="0" distB="0" distL="0" distR="0">
                        <wp:extent cx="340360" cy="340360"/>
                        <wp:effectExtent l="19050" t="0" r="2540" b="0"/>
                        <wp:docPr id="7" name="Obraz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0360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001D77"/>
                      <w:lang w:eastAsia="pl-PL"/>
                    </w:rPr>
                    <w:t xml:space="preserve"> 22</w:t>
                  </w:r>
                  <w:r>
                    <w:rPr>
                      <w:rFonts w:ascii="Fira Sans SemiBold" w:hAnsi="Fira Sans SemiBold"/>
                      <w:color w:val="FFFFFF"/>
                      <w:sz w:val="72"/>
                    </w:rPr>
                    <w:t>11,2</w:t>
                  </w:r>
                  <w:r w:rsidRPr="00564813">
                    <w:rPr>
                      <w:rFonts w:ascii="Fira Sans SemiBold" w:hAnsi="Fira Sans SemiBold"/>
                      <w:color w:val="FFFFFF"/>
                      <w:sz w:val="72"/>
                    </w:rPr>
                    <w:t>%</w:t>
                  </w:r>
                </w:p>
                <w:p w:rsidR="00385802" w:rsidRPr="005526BC" w:rsidRDefault="00385802" w:rsidP="00385802">
                  <w:pPr>
                    <w:spacing w:after="0" w:line="240" w:lineRule="auto"/>
                    <w:rPr>
                      <w:color w:val="FFFFFF"/>
                      <w:szCs w:val="19"/>
                    </w:rPr>
                  </w:pPr>
                  <w:r>
                    <w:rPr>
                      <w:szCs w:val="19"/>
                    </w:rPr>
                    <w:t>Wzrost</w:t>
                  </w:r>
                  <w:r w:rsidRPr="005526BC">
                    <w:rPr>
                      <w:szCs w:val="19"/>
                    </w:rPr>
                    <w:t xml:space="preserve"> r/r przeciętnego </w:t>
                  </w:r>
                  <w:r>
                    <w:rPr>
                      <w:szCs w:val="19"/>
                    </w:rPr>
                    <w:t>miesięcznego wynagrodzenia brutto</w:t>
                  </w:r>
                  <w:r w:rsidRPr="005526BC">
                    <w:rPr>
                      <w:szCs w:val="19"/>
                    </w:rPr>
                    <w:t xml:space="preserve"> w</w:t>
                  </w:r>
                  <w:r>
                    <w:rPr>
                      <w:szCs w:val="19"/>
                    </w:rPr>
                    <w:t> </w:t>
                  </w:r>
                  <w:r w:rsidRPr="005526BC">
                    <w:rPr>
                      <w:szCs w:val="19"/>
                    </w:rPr>
                    <w:t>sektorze przedsiębiorstw</w:t>
                  </w:r>
                </w:p>
              </w:txbxContent>
            </v:textbox>
            <w10:wrap type="square" anchorx="margin"/>
          </v:shape>
        </w:pict>
      </w:r>
      <w:r w:rsidR="00385802">
        <w:t>P</w:t>
      </w:r>
      <w:r w:rsidR="00385802" w:rsidRPr="00705D39">
        <w:t>rzeciętne mi</w:t>
      </w:r>
      <w:r w:rsidR="00385802">
        <w:t xml:space="preserve">esięczne wynagrodzenie w sektorze przedsiębiorstw w grudniu 2021 r.  w porównaniu z grudniem 2020 </w:t>
      </w:r>
      <w:r w:rsidR="00C60085">
        <w:t xml:space="preserve">r. </w:t>
      </w:r>
      <w:r w:rsidR="00385802" w:rsidRPr="00705D39">
        <w:t xml:space="preserve">było </w:t>
      </w:r>
      <w:r w:rsidR="00385802">
        <w:t>wyższe</w:t>
      </w:r>
      <w:r w:rsidR="00F00FFC">
        <w:t xml:space="preserve"> </w:t>
      </w:r>
      <w:r w:rsidR="00F00FFC" w:rsidRPr="00F00FFC">
        <w:t>o</w:t>
      </w:r>
      <w:r w:rsidR="00F00FFC">
        <w:t> </w:t>
      </w:r>
      <w:r w:rsidR="00385802" w:rsidRPr="00F00FFC">
        <w:t>11</w:t>
      </w:r>
      <w:r w:rsidR="00385802">
        <w:t>,2</w:t>
      </w:r>
      <w:r w:rsidR="00385802" w:rsidRPr="00705D39">
        <w:t xml:space="preserve">% i wyniosło </w:t>
      </w:r>
      <w:r w:rsidR="00385802">
        <w:t xml:space="preserve">6644,39 </w:t>
      </w:r>
      <w:r w:rsidR="00385802" w:rsidRPr="00705D39">
        <w:t>zł</w:t>
      </w:r>
      <w:r w:rsidR="00385802">
        <w:t>otych (brutto).</w:t>
      </w:r>
      <w:r w:rsidR="00F00FFC">
        <w:t xml:space="preserve"> Względem listopada 2021 r. przeciętne miesięczne wynagrodzenie brutto wzrosło o 10,3%.</w:t>
      </w:r>
      <w:r w:rsidR="00385802">
        <w:t xml:space="preserve"> </w:t>
      </w:r>
    </w:p>
    <w:p w:rsidR="00385802" w:rsidRDefault="00385802" w:rsidP="00C52E91">
      <w:pPr>
        <w:spacing w:before="0" w:after="0"/>
        <w:rPr>
          <w:rFonts w:eastAsia="Calibri"/>
          <w:shd w:val="clear" w:color="auto" w:fill="FFFFFF"/>
        </w:rPr>
      </w:pPr>
    </w:p>
    <w:p w:rsidR="00385802" w:rsidRDefault="00385802" w:rsidP="00C52E91">
      <w:pPr>
        <w:spacing w:before="0" w:after="0"/>
        <w:rPr>
          <w:rFonts w:eastAsia="Calibri"/>
          <w:shd w:val="clear" w:color="auto" w:fill="FFFFFF"/>
        </w:rPr>
      </w:pPr>
    </w:p>
    <w:p w:rsidR="004C3D61" w:rsidRDefault="009A61FF" w:rsidP="00B11CF2">
      <w:pPr>
        <w:spacing w:after="0"/>
        <w:rPr>
          <w:rFonts w:eastAsia="Calibri"/>
          <w:shd w:val="clear" w:color="auto" w:fill="FFFFFF"/>
        </w:rPr>
      </w:pPr>
      <w:r>
        <w:rPr>
          <w:rFonts w:eastAsia="Calibri"/>
          <w:noProof/>
          <w:lang w:val="en-GB" w:eastAsia="en-GB"/>
        </w:rPr>
        <w:pict>
          <v:shape id="_x0000_s1027" type="#_x0000_t202" style="position:absolute;margin-left:418.85pt;margin-top:1.95pt;width:135.85pt;height:105.75pt;z-index:-251641856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" filled="f" stroked="f">
            <v:textbox style="mso-next-textbox:#_x0000_s1027">
              <w:txbxContent>
                <w:p w:rsidR="00531EDD" w:rsidRPr="00705D39" w:rsidRDefault="00531EDD" w:rsidP="00531EDD">
                  <w:pPr>
                    <w:pStyle w:val="tekstzboku"/>
                    <w:rPr>
                      <w:bCs w:val="0"/>
                    </w:rPr>
                  </w:pPr>
                  <w:r w:rsidRPr="00CE4352">
                    <w:rPr>
                      <w:b/>
                    </w:rPr>
                    <w:t>Sektor przedsiębiorstw</w:t>
                  </w:r>
                  <w:r>
                    <w:t xml:space="preserve"> stanowi część gospodarki narodowej, to znaczy</w:t>
                  </w:r>
                  <w:r w:rsidR="00070691">
                    <w:t>,</w:t>
                  </w:r>
                  <w:r>
                    <w:t xml:space="preserve"> że dane dotyczą wybranych podmiotów prowadzących działalność gospodarczą</w:t>
                  </w:r>
                </w:p>
              </w:txbxContent>
            </v:textbox>
            <w10:wrap type="tight"/>
          </v:shape>
        </w:pict>
      </w:r>
      <w:r w:rsidR="00125615">
        <w:rPr>
          <w:rFonts w:eastAsia="Calibri"/>
          <w:shd w:val="clear" w:color="auto" w:fill="FFFFFF"/>
        </w:rPr>
        <w:t>D</w:t>
      </w:r>
      <w:r w:rsidR="00B5169C" w:rsidRPr="00890841">
        <w:rPr>
          <w:rFonts w:eastAsia="Calibri"/>
          <w:shd w:val="clear" w:color="auto" w:fill="FFFFFF"/>
        </w:rPr>
        <w:t xml:space="preserve">ane </w:t>
      </w:r>
      <w:r w:rsidR="00734A34" w:rsidRPr="00890841">
        <w:rPr>
          <w:rFonts w:eastAsia="Calibri"/>
          <w:shd w:val="clear" w:color="auto" w:fill="FFFFFF"/>
        </w:rPr>
        <w:t xml:space="preserve">odnoszące się do </w:t>
      </w:r>
      <w:r w:rsidR="00B5169C" w:rsidRPr="00890841">
        <w:rPr>
          <w:rFonts w:eastAsia="Calibri"/>
          <w:shd w:val="clear" w:color="auto" w:fill="FFFFFF"/>
        </w:rPr>
        <w:t>sektora przedsiębiorstw</w:t>
      </w:r>
      <w:r w:rsidR="00890841" w:rsidRPr="00890841">
        <w:rPr>
          <w:rFonts w:eastAsia="Calibri"/>
          <w:shd w:val="clear" w:color="auto" w:fill="FFFFFF"/>
        </w:rPr>
        <w:t xml:space="preserve"> </w:t>
      </w:r>
      <w:r w:rsidR="00B5169C" w:rsidRPr="00890841">
        <w:rPr>
          <w:rFonts w:eastAsia="Calibri"/>
          <w:shd w:val="clear" w:color="auto" w:fill="FFFFFF"/>
        </w:rPr>
        <w:t>dotyczą podmiotów, w których</w:t>
      </w:r>
      <w:r w:rsidR="00B5169C" w:rsidRPr="004F7579">
        <w:rPr>
          <w:rFonts w:eastAsia="Calibri"/>
          <w:shd w:val="clear" w:color="auto" w:fill="FFFFFF"/>
        </w:rPr>
        <w:t xml:space="preserve"> </w:t>
      </w:r>
      <w:r w:rsidR="00B5169C" w:rsidRPr="00890841">
        <w:rPr>
          <w:rFonts w:eastAsia="Calibri"/>
          <w:shd w:val="clear" w:color="auto" w:fill="FFFFFF"/>
        </w:rPr>
        <w:t>prowadz</w:t>
      </w:r>
      <w:r w:rsidR="006234D3" w:rsidRPr="00890841">
        <w:rPr>
          <w:rFonts w:eastAsia="Calibri"/>
          <w:shd w:val="clear" w:color="auto" w:fill="FFFFFF"/>
        </w:rPr>
        <w:t>ona jest</w:t>
      </w:r>
      <w:r w:rsidR="00B5169C" w:rsidRPr="00890841">
        <w:rPr>
          <w:rFonts w:eastAsia="Calibri"/>
          <w:shd w:val="clear" w:color="auto" w:fill="FFFFFF"/>
        </w:rPr>
        <w:t xml:space="preserve"> działalność gospodarcz</w:t>
      </w:r>
      <w:r w:rsidR="00FF1AB6">
        <w:rPr>
          <w:rFonts w:eastAsia="Calibri"/>
          <w:shd w:val="clear" w:color="auto" w:fill="FFFFFF"/>
        </w:rPr>
        <w:t>a</w:t>
      </w:r>
      <w:r w:rsidR="00B5169C" w:rsidRPr="00890841">
        <w:rPr>
          <w:rFonts w:eastAsia="Calibri"/>
          <w:shd w:val="clear" w:color="auto" w:fill="FFFFFF"/>
        </w:rPr>
        <w:t xml:space="preserve"> zaklasyfikowan</w:t>
      </w:r>
      <w:r w:rsidR="006234D3" w:rsidRPr="00890841">
        <w:rPr>
          <w:rFonts w:eastAsia="Calibri"/>
          <w:shd w:val="clear" w:color="auto" w:fill="FFFFFF"/>
        </w:rPr>
        <w:t>a</w:t>
      </w:r>
      <w:r w:rsidR="00B5169C" w:rsidRPr="00890841">
        <w:rPr>
          <w:rFonts w:eastAsia="Calibri"/>
          <w:shd w:val="clear" w:color="auto" w:fill="FFFFFF"/>
        </w:rPr>
        <w:t xml:space="preserve"> do </w:t>
      </w:r>
      <w:r w:rsidR="00B5169C" w:rsidRPr="004C3D61">
        <w:rPr>
          <w:rFonts w:eastAsia="Calibri"/>
          <w:b/>
          <w:shd w:val="clear" w:color="auto" w:fill="FFFFFF"/>
        </w:rPr>
        <w:t>wybranyc</w:t>
      </w:r>
      <w:r w:rsidR="00142EC6" w:rsidRPr="004C3D61">
        <w:rPr>
          <w:rFonts w:eastAsia="Calibri"/>
          <w:b/>
          <w:shd w:val="clear" w:color="auto" w:fill="FFFFFF"/>
        </w:rPr>
        <w:t>h rodzajów działalności PKD 2007</w:t>
      </w:r>
      <w:r w:rsidR="00890841" w:rsidRPr="004C3D61">
        <w:rPr>
          <w:rStyle w:val="Odwoanieprzypisudolnego"/>
          <w:rFonts w:eastAsia="Calibri"/>
          <w:b/>
          <w:shd w:val="clear" w:color="auto" w:fill="FFFFFF"/>
        </w:rPr>
        <w:footnoteReference w:id="2"/>
      </w:r>
      <w:r w:rsidR="00890841" w:rsidRPr="004C3D61">
        <w:rPr>
          <w:rFonts w:eastAsia="Calibri"/>
          <w:b/>
          <w:shd w:val="clear" w:color="auto" w:fill="FFFFFF"/>
        </w:rPr>
        <w:t xml:space="preserve">, </w:t>
      </w:r>
      <w:r w:rsidR="00DF5C93" w:rsidRPr="004C3D61">
        <w:rPr>
          <w:rFonts w:eastAsia="Calibri"/>
          <w:b/>
          <w:shd w:val="clear" w:color="auto" w:fill="FFFFFF"/>
        </w:rPr>
        <w:t>a</w:t>
      </w:r>
      <w:r w:rsidR="00DF5C93" w:rsidRPr="00890841">
        <w:rPr>
          <w:rFonts w:eastAsia="Calibri"/>
          <w:shd w:val="clear" w:color="auto" w:fill="FFFFFF"/>
        </w:rPr>
        <w:t xml:space="preserve"> </w:t>
      </w:r>
      <w:r w:rsidR="00DF5C93" w:rsidRPr="004C3D61">
        <w:rPr>
          <w:rFonts w:eastAsia="Calibri"/>
          <w:b/>
          <w:shd w:val="clear" w:color="auto" w:fill="FFFFFF"/>
        </w:rPr>
        <w:t>liczba pracujących przekracza 9 osób</w:t>
      </w:r>
      <w:r w:rsidR="00B5169C" w:rsidRPr="00890841">
        <w:rPr>
          <w:rFonts w:eastAsia="Calibri"/>
          <w:shd w:val="clear" w:color="auto" w:fill="FFFFFF"/>
        </w:rPr>
        <w:t>.</w:t>
      </w:r>
      <w:r w:rsidR="004C3D61">
        <w:rPr>
          <w:rFonts w:eastAsia="Calibri"/>
          <w:shd w:val="clear" w:color="auto" w:fill="FFFFFF"/>
        </w:rPr>
        <w:t xml:space="preserve"> </w:t>
      </w:r>
      <w:r w:rsidR="004C3D61" w:rsidRPr="004C3D61">
        <w:rPr>
          <w:rFonts w:eastAsia="Calibri"/>
          <w:shd w:val="clear" w:color="auto" w:fill="FFFFFF"/>
        </w:rPr>
        <w:t>W związku z tym, badanie nie obejmuje, m.in.</w:t>
      </w:r>
      <w:r w:rsidR="004C3D61" w:rsidRPr="004C3D61">
        <w:rPr>
          <w:i/>
          <w:iCs/>
          <w:color w:val="1F497D"/>
          <w:sz w:val="18"/>
          <w:szCs w:val="18"/>
        </w:rPr>
        <w:t xml:space="preserve"> </w:t>
      </w:r>
      <w:r w:rsidR="004C3D61" w:rsidRPr="004C3D61">
        <w:rPr>
          <w:rFonts w:eastAsia="Calibri"/>
          <w:shd w:val="clear" w:color="auto" w:fill="FFFFFF"/>
        </w:rPr>
        <w:t>adm</w:t>
      </w:r>
      <w:r w:rsidR="00CB2315">
        <w:rPr>
          <w:rFonts w:eastAsia="Calibri"/>
          <w:shd w:val="clear" w:color="auto" w:fill="FFFFFF"/>
        </w:rPr>
        <w:t xml:space="preserve">inistracji publicznej, edukacji, </w:t>
      </w:r>
      <w:r w:rsidR="004C3D61" w:rsidRPr="004C3D61">
        <w:rPr>
          <w:rFonts w:eastAsia="Calibri"/>
          <w:shd w:val="clear" w:color="auto" w:fill="FFFFFF"/>
        </w:rPr>
        <w:t>opieki zdrowotnej i pomocy społecznej</w:t>
      </w:r>
      <w:r w:rsidR="004C3D61">
        <w:rPr>
          <w:rFonts w:eastAsia="Calibri"/>
          <w:shd w:val="clear" w:color="auto" w:fill="FFFFFF"/>
        </w:rPr>
        <w:t>.</w:t>
      </w:r>
      <w:r w:rsidR="00B5169C" w:rsidRPr="00890841">
        <w:rPr>
          <w:rFonts w:eastAsia="Calibri"/>
          <w:shd w:val="clear" w:color="auto" w:fill="FFFFFF"/>
        </w:rPr>
        <w:t xml:space="preserve"> </w:t>
      </w:r>
    </w:p>
    <w:p w:rsidR="001C6EA3" w:rsidRPr="00B11CF2" w:rsidRDefault="00BD2A4F" w:rsidP="00B11CF2">
      <w:pPr>
        <w:spacing w:after="0"/>
        <w:rPr>
          <w:rFonts w:eastAsia="Calibri"/>
          <w:sz w:val="10"/>
          <w:szCs w:val="10"/>
          <w:shd w:val="clear" w:color="auto" w:fill="FFFFFF"/>
        </w:rPr>
      </w:pPr>
      <w:r w:rsidRPr="00890841">
        <w:rPr>
          <w:rFonts w:eastAsia="Calibri"/>
          <w:shd w:val="clear" w:color="auto" w:fill="FFFFFF"/>
        </w:rPr>
        <w:t xml:space="preserve">Źródłem danych jest </w:t>
      </w:r>
      <w:r w:rsidR="00890841" w:rsidRPr="00890841">
        <w:rPr>
          <w:rFonts w:eastAsia="Calibri"/>
          <w:shd w:val="clear" w:color="auto" w:fill="FFFFFF"/>
        </w:rPr>
        <w:t>„</w:t>
      </w:r>
      <w:r w:rsidR="00890841" w:rsidRPr="00890841">
        <w:t>Meldu</w:t>
      </w:r>
      <w:r w:rsidR="00890841">
        <w:t>nek o działalności gospo</w:t>
      </w:r>
      <w:r w:rsidR="004F7579">
        <w:softHyphen/>
      </w:r>
      <w:r w:rsidR="00890841">
        <w:t>darczej</w:t>
      </w:r>
      <w:r w:rsidR="00890841" w:rsidRPr="00055513">
        <w:t>”</w:t>
      </w:r>
      <w:r w:rsidR="00FF1AB6" w:rsidRPr="00055513">
        <w:t xml:space="preserve"> (DG</w:t>
      </w:r>
      <w:r w:rsidR="00D94B2D">
        <w:noBreakHyphen/>
      </w:r>
      <w:r w:rsidR="00FF1AB6" w:rsidRPr="00055513">
        <w:t>1)</w:t>
      </w:r>
      <w:r w:rsidR="00890841" w:rsidRPr="00055513">
        <w:t>.</w:t>
      </w:r>
      <w:r w:rsidR="00890841">
        <w:t xml:space="preserve"> W</w:t>
      </w:r>
      <w:r w:rsidR="00B57116">
        <w:rPr>
          <w:rFonts w:eastAsia="Calibri"/>
          <w:shd w:val="clear" w:color="auto" w:fill="FFFFFF"/>
        </w:rPr>
        <w:t> </w:t>
      </w:r>
      <w:r w:rsidR="00C4710C" w:rsidRPr="00882F42">
        <w:rPr>
          <w:rFonts w:eastAsia="Calibri"/>
          <w:shd w:val="clear" w:color="auto" w:fill="FFFFFF"/>
        </w:rPr>
        <w:t xml:space="preserve">ramach tego </w:t>
      </w:r>
      <w:r w:rsidR="00FF1AB6" w:rsidRPr="00055513">
        <w:rPr>
          <w:rFonts w:eastAsia="Calibri"/>
          <w:shd w:val="clear" w:color="auto" w:fill="FFFFFF"/>
        </w:rPr>
        <w:t>sprawoz</w:t>
      </w:r>
      <w:r w:rsidR="002751A8">
        <w:rPr>
          <w:rFonts w:eastAsia="Calibri"/>
          <w:shd w:val="clear" w:color="auto" w:fill="FFFFFF"/>
        </w:rPr>
        <w:softHyphen/>
      </w:r>
      <w:r w:rsidR="00FF1AB6" w:rsidRPr="00055513">
        <w:rPr>
          <w:rFonts w:eastAsia="Calibri"/>
          <w:shd w:val="clear" w:color="auto" w:fill="FFFFFF"/>
        </w:rPr>
        <w:t>dania</w:t>
      </w:r>
      <w:r w:rsidR="00C4710C" w:rsidRPr="00882F42">
        <w:rPr>
          <w:rFonts w:eastAsia="Calibri"/>
          <w:shd w:val="clear" w:color="auto" w:fill="FFFFFF"/>
        </w:rPr>
        <w:t xml:space="preserve">, podmioty o liczbie pracujących 50 lub więcej </w:t>
      </w:r>
      <w:r w:rsidR="00C4710C" w:rsidRPr="00A73209">
        <w:rPr>
          <w:rFonts w:eastAsia="Calibri"/>
          <w:shd w:val="clear" w:color="auto" w:fill="FFFFFF"/>
        </w:rPr>
        <w:t>osób</w:t>
      </w:r>
      <w:r w:rsidR="00C4710C" w:rsidRPr="00882F42">
        <w:rPr>
          <w:rFonts w:eastAsia="Calibri"/>
          <w:shd w:val="clear" w:color="auto" w:fill="FFFFFF"/>
        </w:rPr>
        <w:t xml:space="preserve"> badan</w:t>
      </w:r>
      <w:r w:rsidR="004C3D61">
        <w:rPr>
          <w:rFonts w:eastAsia="Calibri"/>
          <w:shd w:val="clear" w:color="auto" w:fill="FFFFFF"/>
        </w:rPr>
        <w:t>e są metodą pełną, a pod</w:t>
      </w:r>
      <w:r w:rsidR="002751A8">
        <w:rPr>
          <w:rFonts w:eastAsia="Calibri"/>
          <w:shd w:val="clear" w:color="auto" w:fill="FFFFFF"/>
        </w:rPr>
        <w:softHyphen/>
      </w:r>
      <w:r w:rsidR="004C3D61">
        <w:rPr>
          <w:rFonts w:eastAsia="Calibri"/>
          <w:shd w:val="clear" w:color="auto" w:fill="FFFFFF"/>
        </w:rPr>
        <w:t>mioty o </w:t>
      </w:r>
      <w:r w:rsidR="00C4710C" w:rsidRPr="00882F42">
        <w:rPr>
          <w:rFonts w:eastAsia="Calibri"/>
          <w:shd w:val="clear" w:color="auto" w:fill="FFFFFF"/>
        </w:rPr>
        <w:t xml:space="preserve">liczbie pracujących od 10 do </w:t>
      </w:r>
      <w:r w:rsidR="00C4710C" w:rsidRPr="0001330D">
        <w:rPr>
          <w:rFonts w:eastAsia="Calibri"/>
          <w:shd w:val="clear" w:color="auto" w:fill="FFFFFF"/>
        </w:rPr>
        <w:t>49 osób - m</w:t>
      </w:r>
      <w:r w:rsidR="004F7579">
        <w:rPr>
          <w:rFonts w:eastAsia="Calibri"/>
          <w:shd w:val="clear" w:color="auto" w:fill="FFFFFF"/>
        </w:rPr>
        <w:t>e</w:t>
      </w:r>
      <w:r w:rsidR="00C4710C" w:rsidRPr="0001330D">
        <w:rPr>
          <w:rFonts w:eastAsia="Calibri"/>
          <w:shd w:val="clear" w:color="auto" w:fill="FFFFFF"/>
        </w:rPr>
        <w:t>todą reprezentacyjną</w:t>
      </w:r>
      <w:r w:rsidR="00890841" w:rsidRPr="0001330D">
        <w:rPr>
          <w:rFonts w:eastAsia="Calibri"/>
          <w:vertAlign w:val="superscript"/>
        </w:rPr>
        <w:footnoteReference w:id="3"/>
      </w:r>
      <w:r w:rsidR="00890841" w:rsidRPr="0001330D">
        <w:rPr>
          <w:rFonts w:eastAsia="Calibri"/>
          <w:shd w:val="clear" w:color="auto" w:fill="FFFFFF"/>
        </w:rPr>
        <w:t>.</w:t>
      </w:r>
      <w:r w:rsidR="00C4710C" w:rsidRPr="0001330D">
        <w:rPr>
          <w:rFonts w:eastAsia="Calibri"/>
          <w:shd w:val="clear" w:color="auto" w:fill="FFFFFF"/>
        </w:rPr>
        <w:t xml:space="preserve"> </w:t>
      </w:r>
      <w:r w:rsidR="00125615">
        <w:rPr>
          <w:rFonts w:eastAsia="Calibri"/>
          <w:shd w:val="clear" w:color="auto" w:fill="FFFFFF"/>
        </w:rPr>
        <w:br/>
      </w:r>
      <w:r w:rsidR="00B11CF2">
        <w:rPr>
          <w:rFonts w:eastAsia="Calibri"/>
          <w:sz w:val="10"/>
          <w:szCs w:val="10"/>
          <w:shd w:val="clear" w:color="auto" w:fill="FFFFFF"/>
        </w:rPr>
        <w:t xml:space="preserve"> </w:t>
      </w:r>
    </w:p>
    <w:p w:rsidR="003A1615" w:rsidRPr="00CD4A9F" w:rsidRDefault="003A1615" w:rsidP="00B11CF2">
      <w:pPr>
        <w:pStyle w:val="tytuwykresu"/>
        <w:tabs>
          <w:tab w:val="left" w:pos="709"/>
        </w:tabs>
        <w:spacing w:before="0"/>
      </w:pPr>
      <w:r w:rsidRPr="00CD4A9F">
        <w:t>Tablica 1. Przeciętne zatrudnienie i przeciętne miesięczne wynagrodzenie w sektorze</w:t>
      </w:r>
      <w:r w:rsidRPr="00CD4A9F">
        <w:br/>
      </w:r>
      <w:r w:rsidR="00CD4A9F">
        <w:t xml:space="preserve"> </w:t>
      </w:r>
      <w:r w:rsidR="00CD4A9F">
        <w:tab/>
        <w:t xml:space="preserve"> </w:t>
      </w:r>
      <w:r w:rsidRPr="00CD4A9F">
        <w:t xml:space="preserve"> przedsiębiorstw</w:t>
      </w:r>
      <w:r w:rsidR="00B92856" w:rsidRPr="00CD4A9F">
        <w:t xml:space="preserve"> w</w:t>
      </w:r>
      <w:r w:rsidR="00B84181">
        <w:t xml:space="preserve"> </w:t>
      </w:r>
      <w:r w:rsidR="001C2E12">
        <w:t>grudniu</w:t>
      </w:r>
      <w:r w:rsidR="00B84181">
        <w:t xml:space="preserve"> </w:t>
      </w:r>
      <w:r w:rsidR="005755F1" w:rsidRPr="00CD4A9F">
        <w:t>2021</w:t>
      </w:r>
      <w:r w:rsidRPr="00CD4A9F">
        <w:t xml:space="preserve"> r.</w:t>
      </w:r>
    </w:p>
    <w:tbl>
      <w:tblPr>
        <w:tblW w:w="8080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7"/>
        <w:gridCol w:w="1134"/>
        <w:gridCol w:w="993"/>
        <w:gridCol w:w="1417"/>
        <w:gridCol w:w="1134"/>
      </w:tblGrid>
      <w:tr w:rsidR="006915CB" w:rsidRPr="002751A8" w:rsidTr="00C534AB">
        <w:trPr>
          <w:trHeight w:val="558"/>
        </w:trPr>
        <w:tc>
          <w:tcPr>
            <w:tcW w:w="1985" w:type="dxa"/>
            <w:vMerge w:val="restart"/>
            <w:tcBorders>
              <w:top w:val="single" w:sz="4" w:space="0" w:color="FFFFFF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3544" w:type="dxa"/>
            <w:gridSpan w:val="3"/>
            <w:tcBorders>
              <w:top w:val="single" w:sz="4" w:space="0" w:color="FFFFFF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1C2E12" w:rsidP="001F17D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12</w:t>
            </w:r>
            <w:r w:rsidR="006915CB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20</w:t>
            </w:r>
            <w:r w:rsidR="006915CB">
              <w:rPr>
                <w:rFonts w:ascii="Fira Sans" w:hAnsi="Fira Sans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FFFFFF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6915CB" w:rsidRPr="00CC690C" w:rsidRDefault="001C2E12" w:rsidP="001C2E12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01-12 </w:t>
            </w:r>
            <w:r w:rsidR="006915CB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20</w:t>
            </w:r>
            <w:r w:rsidR="006915CB">
              <w:rPr>
                <w:rFonts w:ascii="Fira Sans" w:hAnsi="Fira Sans" w:cs="Arial"/>
                <w:color w:val="000000"/>
                <w:sz w:val="16"/>
                <w:szCs w:val="16"/>
              </w:rPr>
              <w:t>21</w:t>
            </w:r>
          </w:p>
        </w:tc>
      </w:tr>
      <w:tr w:rsidR="006915CB" w:rsidRPr="002751A8" w:rsidTr="00C534AB">
        <w:trPr>
          <w:trHeight w:val="791"/>
        </w:trPr>
        <w:tc>
          <w:tcPr>
            <w:tcW w:w="1985" w:type="dxa"/>
            <w:vMerge/>
            <w:tcBorders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w liczbach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bezwzględnych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1C2E12" w:rsidP="00924DBD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11</w:t>
            </w:r>
            <w:r w:rsidR="00924DBD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</w:t>
            </w:r>
            <w:r w:rsidR="006915CB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20</w:t>
            </w:r>
            <w:r w:rsidR="006915CB">
              <w:rPr>
                <w:rFonts w:ascii="Fira Sans" w:hAnsi="Fira Sans" w:cs="Arial"/>
                <w:color w:val="000000"/>
                <w:sz w:val="16"/>
                <w:szCs w:val="16"/>
              </w:rPr>
              <w:t>21</w:t>
            </w:r>
            <w:r w:rsidR="006915CB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=</w:t>
            </w:r>
            <w:r w:rsidR="00537DA4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=</w:t>
            </w:r>
            <w:r w:rsidR="006915CB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1C2E12" w:rsidP="00924DBD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12</w:t>
            </w:r>
            <w:r w:rsidR="00924DBD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</w:t>
            </w:r>
            <w:r w:rsidR="006915CB">
              <w:rPr>
                <w:rFonts w:ascii="Fira Sans" w:hAnsi="Fira Sans" w:cs="Arial"/>
                <w:color w:val="000000"/>
                <w:sz w:val="16"/>
                <w:szCs w:val="16"/>
              </w:rPr>
              <w:t>2020</w:t>
            </w:r>
            <w:r w:rsidR="006915CB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=</w:t>
            </w:r>
            <w:r w:rsidR="00537DA4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=</w:t>
            </w:r>
            <w:r w:rsidR="006915CB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w liczbach bezwzględnych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</w:tcPr>
          <w:p w:rsidR="006915CB" w:rsidRPr="00CC690C" w:rsidRDefault="001C2E12" w:rsidP="001C2E12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01</w:t>
            </w:r>
            <w:r w:rsidR="00BA73AF">
              <w:rPr>
                <w:rFonts w:ascii="Fira Sans" w:hAnsi="Fira Sans" w:cs="Arial"/>
                <w:color w:val="000000"/>
                <w:sz w:val="16"/>
                <w:szCs w:val="16"/>
              </w:rPr>
              <w:t>-</w:t>
            </w:r>
            <w:r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12 </w:t>
            </w:r>
            <w:r w:rsidR="006915CB">
              <w:rPr>
                <w:rFonts w:ascii="Fira Sans" w:hAnsi="Fira Sans" w:cs="Arial"/>
                <w:color w:val="000000"/>
                <w:sz w:val="16"/>
                <w:szCs w:val="16"/>
              </w:rPr>
              <w:t>2020=</w:t>
            </w:r>
            <w:r w:rsidR="00924DBD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=</w:t>
            </w:r>
            <w:r w:rsidR="006915CB">
              <w:rPr>
                <w:rFonts w:ascii="Fira Sans" w:hAnsi="Fira Sans" w:cs="Arial"/>
                <w:color w:val="000000"/>
                <w:sz w:val="16"/>
                <w:szCs w:val="16"/>
              </w:rPr>
              <w:t>100</w:t>
            </w:r>
          </w:p>
        </w:tc>
      </w:tr>
      <w:tr w:rsidR="006915CB" w:rsidRPr="002751A8" w:rsidTr="00C534AB">
        <w:trPr>
          <w:trHeight w:val="574"/>
        </w:trPr>
        <w:tc>
          <w:tcPr>
            <w:tcW w:w="1985" w:type="dxa"/>
            <w:tcBorders>
              <w:top w:val="single" w:sz="12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left" w:pos="2670"/>
                <w:tab w:val="right" w:leader="dot" w:pos="4139"/>
              </w:tabs>
              <w:spacing w:before="0" w:after="0" w:line="240" w:lineRule="exac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/>
                <w:color w:val="000000"/>
                <w:sz w:val="16"/>
                <w:szCs w:val="16"/>
              </w:rPr>
              <w:t>Przeciętne zatrudnienie w tys</w:t>
            </w:r>
            <w:r w:rsidR="00C534AB">
              <w:rPr>
                <w:rFonts w:ascii="Fira Sans" w:hAnsi="Fira Sans"/>
                <w:color w:val="000000"/>
                <w:sz w:val="16"/>
                <w:szCs w:val="16"/>
              </w:rPr>
              <w:t>. etatów</w:t>
            </w:r>
          </w:p>
        </w:tc>
        <w:tc>
          <w:tcPr>
            <w:tcW w:w="1417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377D65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63</w:t>
            </w:r>
            <w:r w:rsidR="00377D65">
              <w:rPr>
                <w:rFonts w:ascii="Fira Sans" w:hAnsi="Fira Sans" w:cs="Arial"/>
                <w:color w:val="000000"/>
                <w:sz w:val="16"/>
                <w:szCs w:val="16"/>
              </w:rPr>
              <w:t>61,6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2E7CC3" w:rsidRDefault="00B84181" w:rsidP="00521470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100,</w:t>
            </w:r>
            <w:r w:rsidR="00521470">
              <w:rPr>
                <w:rFonts w:ascii="Fira Sans" w:hAnsi="Fira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F56B9D" w:rsidP="00521470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531EDD">
              <w:rPr>
                <w:rFonts w:ascii="Fira Sans" w:hAnsi="Fira Sans" w:cs="Arial"/>
                <w:color w:val="000000"/>
                <w:sz w:val="16"/>
                <w:szCs w:val="16"/>
              </w:rPr>
              <w:t>0,</w:t>
            </w:r>
            <w:r w:rsidR="00521470"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6915CB" w:rsidRPr="00CC690C" w:rsidRDefault="00531EDD" w:rsidP="00521470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</w:t>
            </w:r>
            <w:r w:rsidR="00B84181">
              <w:rPr>
                <w:rFonts w:ascii="Fira Sans" w:hAnsi="Fira Sans" w:cs="Arial"/>
                <w:color w:val="000000"/>
                <w:sz w:val="16"/>
                <w:szCs w:val="16"/>
              </w:rPr>
              <w:t>3</w:t>
            </w:r>
            <w:r w:rsidR="00521470">
              <w:rPr>
                <w:rFonts w:ascii="Fira Sans" w:hAnsi="Fira Sans" w:cs="Arial"/>
                <w:color w:val="000000"/>
                <w:sz w:val="16"/>
                <w:szCs w:val="16"/>
              </w:rPr>
              <w:t>45,5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6915CB" w:rsidRPr="00CC690C" w:rsidRDefault="0052448C" w:rsidP="00B8418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100,</w:t>
            </w:r>
            <w:r w:rsidR="00B84181">
              <w:rPr>
                <w:rFonts w:ascii="Fira Sans" w:hAnsi="Fira Sans" w:cs="Arial"/>
                <w:color w:val="000000"/>
                <w:sz w:val="16"/>
                <w:szCs w:val="16"/>
              </w:rPr>
              <w:t>3</w:t>
            </w:r>
          </w:p>
        </w:tc>
      </w:tr>
      <w:tr w:rsidR="006915CB" w:rsidRPr="002751A8" w:rsidTr="00C534AB">
        <w:trPr>
          <w:trHeight w:val="760"/>
        </w:trPr>
        <w:tc>
          <w:tcPr>
            <w:tcW w:w="1985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Przeciętne wynagrodzenie 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ogółem (brutto) w zł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4C3D61" w:rsidP="00E21DB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</w:t>
            </w:r>
            <w:r w:rsidR="00E21DB1">
              <w:rPr>
                <w:rFonts w:ascii="Fira Sans" w:hAnsi="Fira Sans" w:cs="Arial"/>
                <w:color w:val="000000"/>
                <w:sz w:val="16"/>
                <w:szCs w:val="16"/>
              </w:rPr>
              <w:t>644,39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C8120C" w:rsidP="00E21DB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</w:t>
            </w:r>
            <w:r w:rsidR="00E21DB1">
              <w:rPr>
                <w:rFonts w:ascii="Fira Sans" w:hAnsi="Fira Sans" w:cs="Arial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F56B9D" w:rsidP="00E21DB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</w:t>
            </w:r>
            <w:r w:rsidR="00E21DB1">
              <w:rPr>
                <w:rFonts w:ascii="Fira Sans" w:hAnsi="Fira Sans" w:cs="Arial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E21DB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4C3D61">
              <w:rPr>
                <w:rFonts w:ascii="Fira Sans" w:hAnsi="Fira Sans" w:cs="Arial"/>
                <w:color w:val="000000"/>
                <w:sz w:val="16"/>
                <w:szCs w:val="16"/>
              </w:rPr>
              <w:t>8</w:t>
            </w:r>
            <w:r w:rsidR="00E21DB1">
              <w:rPr>
                <w:rFonts w:ascii="Fira Sans" w:hAnsi="Fira Sans" w:cs="Arial"/>
                <w:color w:val="000000"/>
                <w:sz w:val="16"/>
                <w:szCs w:val="16"/>
              </w:rPr>
              <w:t>89,84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6915CB" w:rsidRPr="00CC690C" w:rsidRDefault="006915CB" w:rsidP="00E21DB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0E4840">
              <w:rPr>
                <w:rFonts w:ascii="Fira Sans" w:hAnsi="Fira Sans" w:cs="Arial"/>
                <w:color w:val="000000"/>
                <w:sz w:val="16"/>
                <w:szCs w:val="16"/>
              </w:rPr>
              <w:t>8,</w:t>
            </w:r>
            <w:r w:rsidR="00E21DB1">
              <w:rPr>
                <w:rFonts w:ascii="Fira Sans" w:hAnsi="Fira Sans" w:cs="Arial"/>
                <w:color w:val="000000"/>
                <w:sz w:val="16"/>
                <w:szCs w:val="16"/>
              </w:rPr>
              <w:t>8</w:t>
            </w:r>
          </w:p>
        </w:tc>
      </w:tr>
      <w:tr w:rsidR="006915CB" w:rsidRPr="002751A8" w:rsidTr="00C534AB">
        <w:trPr>
          <w:trHeight w:val="760"/>
        </w:trPr>
        <w:tc>
          <w:tcPr>
            <w:tcW w:w="1985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ind w:left="227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w tym bez wypłat 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 xml:space="preserve">z zysku 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4C3D61" w:rsidP="00E21DB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</w:t>
            </w:r>
            <w:r w:rsidR="00E21DB1">
              <w:rPr>
                <w:rFonts w:ascii="Fira Sans" w:hAnsi="Fira Sans" w:cs="Arial"/>
                <w:color w:val="000000"/>
                <w:sz w:val="16"/>
                <w:szCs w:val="16"/>
              </w:rPr>
              <w:t>644,28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C8120C" w:rsidP="00E21DB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</w:t>
            </w:r>
            <w:r w:rsidR="00E21DB1">
              <w:rPr>
                <w:rFonts w:ascii="Fira Sans" w:hAnsi="Fira Sans" w:cs="Arial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AA7013" w:rsidP="00E21DB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</w:t>
            </w:r>
            <w:r w:rsidR="00E21DB1">
              <w:rPr>
                <w:rFonts w:ascii="Fira Sans" w:hAnsi="Fira Sans" w:cs="Arial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E21DB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4C3D61">
              <w:rPr>
                <w:rFonts w:ascii="Fira Sans" w:hAnsi="Fira Sans" w:cs="Arial"/>
                <w:color w:val="000000"/>
                <w:sz w:val="16"/>
                <w:szCs w:val="16"/>
              </w:rPr>
              <w:t>8</w:t>
            </w:r>
            <w:r w:rsidR="00E21DB1">
              <w:rPr>
                <w:rFonts w:ascii="Fira Sans" w:hAnsi="Fira Sans" w:cs="Arial"/>
                <w:color w:val="000000"/>
                <w:sz w:val="16"/>
                <w:szCs w:val="16"/>
              </w:rPr>
              <w:t>88,80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</w:tcBorders>
            <w:vAlign w:val="center"/>
          </w:tcPr>
          <w:p w:rsidR="006915CB" w:rsidRPr="00CC690C" w:rsidRDefault="006915CB" w:rsidP="00E21DB1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0E4840">
              <w:rPr>
                <w:rFonts w:ascii="Fira Sans" w:hAnsi="Fira Sans" w:cs="Arial"/>
                <w:color w:val="000000"/>
                <w:sz w:val="16"/>
                <w:szCs w:val="16"/>
              </w:rPr>
              <w:t>8,</w:t>
            </w:r>
            <w:r w:rsidR="00E21DB1">
              <w:rPr>
                <w:rFonts w:ascii="Fira Sans" w:hAnsi="Fira Sans" w:cs="Arial"/>
                <w:color w:val="000000"/>
                <w:sz w:val="16"/>
                <w:szCs w:val="16"/>
              </w:rPr>
              <w:t>8</w:t>
            </w:r>
          </w:p>
        </w:tc>
      </w:tr>
    </w:tbl>
    <w:p w:rsidR="00385802" w:rsidRDefault="00385802" w:rsidP="00C30E6D">
      <w:pPr>
        <w:spacing w:after="0"/>
        <w:rPr>
          <w:rFonts w:eastAsia="Calibri"/>
          <w:shd w:val="clear" w:color="auto" w:fill="FFFFFF"/>
        </w:rPr>
      </w:pPr>
    </w:p>
    <w:p w:rsidR="00125615" w:rsidRDefault="005124A2" w:rsidP="00C30E6D">
      <w:pPr>
        <w:spacing w:after="0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lastRenderedPageBreak/>
        <w:t>W</w:t>
      </w:r>
      <w:r w:rsidR="00DF7D2F">
        <w:rPr>
          <w:rFonts w:eastAsia="Calibri"/>
          <w:shd w:val="clear" w:color="auto" w:fill="FFFFFF"/>
        </w:rPr>
        <w:t xml:space="preserve"> </w:t>
      </w:r>
      <w:r w:rsidR="00E21DB1">
        <w:rPr>
          <w:rFonts w:eastAsia="Calibri"/>
          <w:shd w:val="clear" w:color="auto" w:fill="FFFFFF"/>
        </w:rPr>
        <w:t>grudniu</w:t>
      </w:r>
      <w:r w:rsidR="00DF7D2F">
        <w:rPr>
          <w:rFonts w:eastAsia="Calibri"/>
          <w:shd w:val="clear" w:color="auto" w:fill="FFFFFF"/>
        </w:rPr>
        <w:t xml:space="preserve"> </w:t>
      </w:r>
      <w:r w:rsidR="00A3351B">
        <w:rPr>
          <w:rFonts w:eastAsia="Calibri"/>
          <w:shd w:val="clear" w:color="auto" w:fill="FFFFFF"/>
        </w:rPr>
        <w:t>2021</w:t>
      </w:r>
      <w:r w:rsidR="00BB78FC" w:rsidRPr="00705D39">
        <w:rPr>
          <w:rFonts w:eastAsia="Calibri"/>
          <w:shd w:val="clear" w:color="auto" w:fill="FFFFFF"/>
        </w:rPr>
        <w:t xml:space="preserve"> r.</w:t>
      </w:r>
      <w:r w:rsidR="000F6227">
        <w:rPr>
          <w:rFonts w:eastAsia="Calibri"/>
          <w:shd w:val="clear" w:color="auto" w:fill="FFFFFF"/>
        </w:rPr>
        <w:t xml:space="preserve"> </w:t>
      </w:r>
      <w:r w:rsidR="000F6227" w:rsidRPr="006F44E3">
        <w:rPr>
          <w:rFonts w:eastAsia="Calibri"/>
          <w:b/>
          <w:shd w:val="clear" w:color="auto" w:fill="FFFFFF"/>
        </w:rPr>
        <w:t>przeciętne zatrudnienie</w:t>
      </w:r>
      <w:r w:rsidR="00004589" w:rsidRPr="006F44E3">
        <w:rPr>
          <w:rFonts w:eastAsia="Calibri"/>
          <w:b/>
          <w:shd w:val="clear" w:color="auto" w:fill="FFFFFF"/>
        </w:rPr>
        <w:t xml:space="preserve"> w sektorze przedsiębiorstw</w:t>
      </w:r>
      <w:r w:rsidR="00A3351B">
        <w:rPr>
          <w:rFonts w:eastAsia="Calibri"/>
          <w:shd w:val="clear" w:color="auto" w:fill="FFFFFF"/>
        </w:rPr>
        <w:t xml:space="preserve"> </w:t>
      </w:r>
      <w:r w:rsidR="00E21DB1">
        <w:rPr>
          <w:rFonts w:eastAsia="Calibri"/>
          <w:shd w:val="clear" w:color="auto" w:fill="FFFFFF"/>
        </w:rPr>
        <w:t xml:space="preserve">pozostało </w:t>
      </w:r>
      <w:r w:rsidR="00CB2315">
        <w:rPr>
          <w:rFonts w:eastAsia="Calibri"/>
          <w:shd w:val="clear" w:color="auto" w:fill="FFFFFF"/>
        </w:rPr>
        <w:t>na poziomie zbliżonym do odnoto</w:t>
      </w:r>
      <w:r w:rsidR="00E21DB1">
        <w:rPr>
          <w:rFonts w:eastAsia="Calibri"/>
          <w:shd w:val="clear" w:color="auto" w:fill="FFFFFF"/>
        </w:rPr>
        <w:t>wanego w listopadzie 2021</w:t>
      </w:r>
      <w:r w:rsidR="00E21DB1" w:rsidRPr="00002C4B">
        <w:rPr>
          <w:rFonts w:eastAsia="Calibri"/>
          <w:sz w:val="16"/>
          <w:szCs w:val="16"/>
          <w:shd w:val="clear" w:color="auto" w:fill="FFFFFF"/>
        </w:rPr>
        <w:t xml:space="preserve"> </w:t>
      </w:r>
      <w:r w:rsidR="00E21DB1">
        <w:rPr>
          <w:rFonts w:eastAsia="Calibri"/>
          <w:shd w:val="clear" w:color="auto" w:fill="FFFFFF"/>
        </w:rPr>
        <w:t>r</w:t>
      </w:r>
      <w:r w:rsidR="00E21DB1" w:rsidRPr="00002C4B">
        <w:rPr>
          <w:rFonts w:eastAsia="Calibri"/>
          <w:sz w:val="16"/>
          <w:szCs w:val="16"/>
          <w:shd w:val="clear" w:color="auto" w:fill="FFFFFF"/>
        </w:rPr>
        <w:t xml:space="preserve">., </w:t>
      </w:r>
      <w:r w:rsidR="00CB2315">
        <w:rPr>
          <w:rFonts w:eastAsia="Calibri"/>
          <w:shd w:val="clear" w:color="auto" w:fill="FFFFFF"/>
        </w:rPr>
        <w:t>podczas gdy</w:t>
      </w:r>
      <w:r w:rsidR="00002C4B">
        <w:rPr>
          <w:rFonts w:eastAsia="Calibri"/>
          <w:shd w:val="clear" w:color="auto" w:fill="FFFFFF"/>
        </w:rPr>
        <w:t xml:space="preserve"> w listopadzie 2021</w:t>
      </w:r>
      <w:r w:rsidR="00002C4B" w:rsidRPr="00002C4B">
        <w:rPr>
          <w:rFonts w:eastAsia="Calibri"/>
          <w:sz w:val="16"/>
          <w:szCs w:val="16"/>
          <w:shd w:val="clear" w:color="auto" w:fill="FFFFFF"/>
        </w:rPr>
        <w:t xml:space="preserve"> </w:t>
      </w:r>
      <w:r w:rsidR="00916FFE">
        <w:rPr>
          <w:rFonts w:eastAsia="Calibri"/>
          <w:shd w:val="clear" w:color="auto" w:fill="FFFFFF"/>
        </w:rPr>
        <w:t>r</w:t>
      </w:r>
      <w:r w:rsidR="00916FFE" w:rsidRPr="00002C4B">
        <w:rPr>
          <w:rFonts w:eastAsia="Calibri"/>
          <w:sz w:val="16"/>
          <w:szCs w:val="16"/>
          <w:shd w:val="clear" w:color="auto" w:fill="FFFFFF"/>
        </w:rPr>
        <w:t xml:space="preserve">. </w:t>
      </w:r>
      <w:r w:rsidR="00E21DB1">
        <w:rPr>
          <w:rFonts w:eastAsia="Calibri"/>
          <w:shd w:val="clear" w:color="auto" w:fill="FFFFFF"/>
        </w:rPr>
        <w:t>względem października 2021</w:t>
      </w:r>
      <w:r w:rsidR="00916FFE">
        <w:rPr>
          <w:rFonts w:eastAsia="Calibri"/>
          <w:shd w:val="clear" w:color="auto" w:fill="FFFFFF"/>
        </w:rPr>
        <w:t xml:space="preserve"> r.</w:t>
      </w:r>
      <w:r w:rsidR="00E21DB1">
        <w:rPr>
          <w:rFonts w:eastAsia="Calibri"/>
          <w:shd w:val="clear" w:color="auto" w:fill="FFFFFF"/>
        </w:rPr>
        <w:t xml:space="preserve"> zaobserwowano jego minimalny wzrost o 0,2%. </w:t>
      </w:r>
    </w:p>
    <w:p w:rsidR="00330124" w:rsidRDefault="004D4A01" w:rsidP="00C30E6D">
      <w:pPr>
        <w:spacing w:after="0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Porównując</w:t>
      </w:r>
      <w:r w:rsidR="00023E11">
        <w:rPr>
          <w:rFonts w:eastAsia="Calibri"/>
          <w:shd w:val="clear" w:color="auto" w:fill="FFFFFF"/>
        </w:rPr>
        <w:t xml:space="preserve"> </w:t>
      </w:r>
      <w:r w:rsidR="00E21DB1">
        <w:rPr>
          <w:rFonts w:eastAsia="Calibri"/>
          <w:shd w:val="clear" w:color="auto" w:fill="FFFFFF"/>
        </w:rPr>
        <w:t>grudzień</w:t>
      </w:r>
      <w:r w:rsidR="00023E11">
        <w:rPr>
          <w:rFonts w:eastAsia="Calibri"/>
          <w:shd w:val="clear" w:color="auto" w:fill="FFFFFF"/>
        </w:rPr>
        <w:t xml:space="preserve"> 2021 r. do analogicznego miesiąca 2020 </w:t>
      </w:r>
      <w:r w:rsidR="00620B29">
        <w:rPr>
          <w:rFonts w:eastAsia="Calibri"/>
          <w:shd w:val="clear" w:color="auto" w:fill="FFFFFF"/>
        </w:rPr>
        <w:t>r.</w:t>
      </w:r>
      <w:r w:rsidR="00674887">
        <w:rPr>
          <w:rFonts w:eastAsia="Calibri"/>
          <w:shd w:val="clear" w:color="auto" w:fill="FFFFFF"/>
        </w:rPr>
        <w:t xml:space="preserve"> </w:t>
      </w:r>
      <w:r w:rsidR="00FE6F7F">
        <w:rPr>
          <w:rFonts w:eastAsia="Calibri"/>
          <w:shd w:val="clear" w:color="auto" w:fill="FFFFFF"/>
        </w:rPr>
        <w:t>przeciętne</w:t>
      </w:r>
      <w:r w:rsidR="000B599C">
        <w:rPr>
          <w:rFonts w:eastAsia="Calibri"/>
          <w:shd w:val="clear" w:color="auto" w:fill="FFFFFF"/>
        </w:rPr>
        <w:t xml:space="preserve"> zatrudnienie wzrosło</w:t>
      </w:r>
      <w:r w:rsidR="00FE6F7F">
        <w:rPr>
          <w:rFonts w:eastAsia="Calibri"/>
          <w:shd w:val="clear" w:color="auto" w:fill="FFFFFF"/>
        </w:rPr>
        <w:t xml:space="preserve"> </w:t>
      </w:r>
      <w:r w:rsidR="00F767B3">
        <w:rPr>
          <w:rFonts w:eastAsia="Calibri"/>
          <w:shd w:val="clear" w:color="auto" w:fill="FFFFFF"/>
        </w:rPr>
        <w:t xml:space="preserve">o </w:t>
      </w:r>
      <w:r w:rsidR="00577ED3">
        <w:rPr>
          <w:rFonts w:eastAsia="Calibri"/>
          <w:shd w:val="clear" w:color="auto" w:fill="FFFFFF"/>
        </w:rPr>
        <w:t>0</w:t>
      </w:r>
      <w:r w:rsidR="00F767B3">
        <w:rPr>
          <w:rFonts w:eastAsia="Calibri"/>
          <w:shd w:val="clear" w:color="auto" w:fill="FFFFFF"/>
        </w:rPr>
        <w:t>,</w:t>
      </w:r>
      <w:r w:rsidR="00E21DB1">
        <w:rPr>
          <w:rFonts w:eastAsia="Calibri"/>
          <w:shd w:val="clear" w:color="auto" w:fill="FFFFFF"/>
        </w:rPr>
        <w:t>5</w:t>
      </w:r>
      <w:r w:rsidR="00C65DCF">
        <w:rPr>
          <w:rFonts w:eastAsia="Calibri"/>
          <w:shd w:val="clear" w:color="auto" w:fill="FFFFFF"/>
        </w:rPr>
        <w:t>%.</w:t>
      </w:r>
      <w:r w:rsidR="00023E11">
        <w:rPr>
          <w:rFonts w:eastAsia="Calibri"/>
          <w:shd w:val="clear" w:color="auto" w:fill="FFFFFF"/>
        </w:rPr>
        <w:t xml:space="preserve"> </w:t>
      </w:r>
    </w:p>
    <w:p w:rsidR="00E37596" w:rsidRDefault="0047609C" w:rsidP="00E37596">
      <w:pPr>
        <w:pStyle w:val="tytuwykresu"/>
        <w:spacing w:before="240"/>
        <w:rPr>
          <w:shd w:val="clear" w:color="auto" w:fill="FFFFFF"/>
        </w:rPr>
      </w:pPr>
      <w:r w:rsidRPr="00D82C73">
        <w:t>Wykres 1.</w:t>
      </w:r>
      <w:r w:rsidRPr="00D82C73">
        <w:rPr>
          <w:shd w:val="clear" w:color="auto" w:fill="FFFFFF"/>
        </w:rPr>
        <w:t xml:space="preserve"> Przeciętne zatrudnienie w sektorze przedsiębiorstw</w:t>
      </w:r>
    </w:p>
    <w:p w:rsidR="00DC4B88" w:rsidRDefault="00CA5BDB" w:rsidP="00E37596">
      <w:pPr>
        <w:pStyle w:val="tytuwykresu"/>
        <w:spacing w:before="240"/>
        <w:rPr>
          <w:rFonts w:eastAsia="Calibri"/>
          <w:b w:val="0"/>
          <w:sz w:val="19"/>
          <w:szCs w:val="19"/>
          <w:shd w:val="clear" w:color="auto" w:fill="FFFFFF"/>
        </w:rPr>
      </w:pPr>
      <w:r w:rsidRPr="00CA5BDB">
        <w:rPr>
          <w:rFonts w:eastAsia="Calibri"/>
          <w:b w:val="0"/>
          <w:noProof/>
          <w:sz w:val="19"/>
          <w:szCs w:val="19"/>
          <w:shd w:val="clear" w:color="auto" w:fill="FFFFFF"/>
          <w:lang w:eastAsia="pl-PL"/>
        </w:rPr>
        <w:drawing>
          <wp:anchor distT="0" distB="0" distL="114300" distR="114300" simplePos="0" relativeHeight="251696128" behindDoc="0" locked="1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47625</wp:posOffset>
            </wp:positionV>
            <wp:extent cx="5113020" cy="3061970"/>
            <wp:effectExtent l="19050" t="0" r="0" b="0"/>
            <wp:wrapTopAndBottom/>
            <wp:docPr id="3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D0253A" w:rsidRPr="00CD5A8E">
        <w:rPr>
          <w:rFonts w:eastAsia="Calibri"/>
          <w:b w:val="0"/>
          <w:sz w:val="19"/>
          <w:szCs w:val="19"/>
          <w:shd w:val="clear" w:color="auto" w:fill="FFFFFF"/>
        </w:rPr>
        <w:t>W</w:t>
      </w:r>
      <w:r w:rsidR="0047609C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związku </w:t>
      </w:r>
      <w:r w:rsidR="006C06BD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z </w:t>
      </w:r>
      <w:r w:rsidR="0047609C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zaistniałą sytuacją epidemiczną i jej wpływem na rynek pracy, od marca do maja </w:t>
      </w:r>
      <w:r w:rsidR="00B562BD" w:rsidRPr="00CD5A8E">
        <w:rPr>
          <w:rFonts w:eastAsia="Calibri"/>
          <w:b w:val="0"/>
          <w:sz w:val="19"/>
          <w:szCs w:val="19"/>
          <w:shd w:val="clear" w:color="auto" w:fill="FFFFFF"/>
        </w:rPr>
        <w:t>2020 r.</w:t>
      </w:r>
      <w:r w:rsidR="007A6FE8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  <w:r w:rsidR="00385E94" w:rsidRPr="00CD5A8E">
        <w:rPr>
          <w:rFonts w:eastAsia="Calibri"/>
          <w:b w:val="0"/>
          <w:sz w:val="19"/>
          <w:szCs w:val="19"/>
          <w:shd w:val="clear" w:color="auto" w:fill="FFFFFF"/>
        </w:rPr>
        <w:t>odnotow</w:t>
      </w:r>
      <w:r w:rsidR="009B327B" w:rsidRPr="00CD5A8E">
        <w:rPr>
          <w:rFonts w:eastAsia="Calibri"/>
          <w:b w:val="0"/>
          <w:sz w:val="19"/>
          <w:szCs w:val="19"/>
          <w:shd w:val="clear" w:color="auto" w:fill="FFFFFF"/>
        </w:rPr>
        <w:t>yw</w:t>
      </w:r>
      <w:r w:rsidR="00385E94" w:rsidRPr="00CD5A8E">
        <w:rPr>
          <w:rFonts w:eastAsia="Calibri"/>
          <w:b w:val="0"/>
          <w:sz w:val="19"/>
          <w:szCs w:val="19"/>
          <w:shd w:val="clear" w:color="auto" w:fill="FFFFFF"/>
        </w:rPr>
        <w:t>ano</w:t>
      </w:r>
      <w:r w:rsidR="007A6FE8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spadek przeciętnego </w:t>
      </w:r>
      <w:r w:rsidR="006A1EF8" w:rsidRPr="00CD5A8E">
        <w:rPr>
          <w:rFonts w:eastAsia="Calibri"/>
          <w:b w:val="0"/>
          <w:sz w:val="19"/>
          <w:szCs w:val="19"/>
          <w:shd w:val="clear" w:color="auto" w:fill="FFFFFF"/>
        </w:rPr>
        <w:t>zatrudni</w:t>
      </w:r>
      <w:r w:rsidR="007A6FE8" w:rsidRPr="00CD5A8E">
        <w:rPr>
          <w:rFonts w:eastAsia="Calibri"/>
          <w:b w:val="0"/>
          <w:sz w:val="19"/>
          <w:szCs w:val="19"/>
          <w:shd w:val="clear" w:color="auto" w:fill="FFFFFF"/>
        </w:rPr>
        <w:t>enia</w:t>
      </w:r>
      <w:r w:rsidR="00004589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  <w:r w:rsidR="00401623">
        <w:rPr>
          <w:rFonts w:eastAsia="Calibri"/>
          <w:b w:val="0"/>
          <w:sz w:val="19"/>
          <w:szCs w:val="19"/>
          <w:shd w:val="clear" w:color="auto" w:fill="FFFFFF"/>
        </w:rPr>
        <w:t xml:space="preserve">w sektorze przedsiębiorstw </w:t>
      </w:r>
      <w:r w:rsidR="0047609C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miesiąc do miesiąca, natomiast </w:t>
      </w:r>
      <w:r w:rsidR="00674887">
        <w:rPr>
          <w:rFonts w:eastAsia="Calibri"/>
          <w:b w:val="0"/>
          <w:sz w:val="19"/>
          <w:szCs w:val="19"/>
          <w:shd w:val="clear" w:color="auto" w:fill="FFFFFF"/>
        </w:rPr>
        <w:t xml:space="preserve">od czerwca </w:t>
      </w:r>
      <w:r w:rsidR="00110ED3" w:rsidRPr="00CD5A8E">
        <w:rPr>
          <w:rFonts w:eastAsia="Calibri"/>
          <w:b w:val="0"/>
          <w:sz w:val="19"/>
          <w:szCs w:val="19"/>
          <w:shd w:val="clear" w:color="auto" w:fill="FFFFFF"/>
        </w:rPr>
        <w:t>2020 r.</w:t>
      </w:r>
      <w:r w:rsidR="00C42AC6">
        <w:rPr>
          <w:rFonts w:eastAsia="Calibri"/>
          <w:b w:val="0"/>
          <w:sz w:val="19"/>
          <w:szCs w:val="19"/>
          <w:shd w:val="clear" w:color="auto" w:fill="FFFFFF"/>
        </w:rPr>
        <w:t xml:space="preserve"> do grudnia 2020 r. </w:t>
      </w:r>
      <w:r w:rsidR="004441C9">
        <w:rPr>
          <w:rFonts w:eastAsia="Calibri"/>
          <w:b w:val="0"/>
          <w:sz w:val="19"/>
          <w:szCs w:val="19"/>
          <w:shd w:val="clear" w:color="auto" w:fill="FFFFFF"/>
        </w:rPr>
        <w:t xml:space="preserve">zaobserwowano jego </w:t>
      </w:r>
      <w:r w:rsidR="00385E94" w:rsidRPr="00CD5A8E">
        <w:rPr>
          <w:rFonts w:eastAsia="Calibri"/>
          <w:b w:val="0"/>
          <w:sz w:val="19"/>
          <w:szCs w:val="19"/>
          <w:shd w:val="clear" w:color="auto" w:fill="FFFFFF"/>
        </w:rPr>
        <w:t>wzrost</w:t>
      </w:r>
      <w:r w:rsidR="008E4238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. </w:t>
      </w:r>
      <w:r w:rsidR="00C42AC6">
        <w:rPr>
          <w:rFonts w:eastAsia="Calibri"/>
          <w:b w:val="0"/>
          <w:sz w:val="19"/>
          <w:szCs w:val="19"/>
          <w:shd w:val="clear" w:color="auto" w:fill="FFFFFF"/>
        </w:rPr>
        <w:t>W </w:t>
      </w:r>
      <w:r w:rsidR="008D53B1">
        <w:rPr>
          <w:rFonts w:eastAsia="Calibri"/>
          <w:b w:val="0"/>
          <w:sz w:val="19"/>
          <w:szCs w:val="19"/>
          <w:shd w:val="clear" w:color="auto" w:fill="FFFFFF"/>
        </w:rPr>
        <w:t xml:space="preserve">2021 roku </w:t>
      </w:r>
      <w:r w:rsidR="006026DE">
        <w:rPr>
          <w:rFonts w:eastAsia="Calibri"/>
          <w:b w:val="0"/>
          <w:sz w:val="19"/>
          <w:szCs w:val="19"/>
          <w:shd w:val="clear" w:color="auto" w:fill="FFFFFF"/>
        </w:rPr>
        <w:t>przeciętne zatrudnienie ulega</w:t>
      </w:r>
      <w:r w:rsidR="008D53B1">
        <w:rPr>
          <w:rFonts w:eastAsia="Calibri"/>
          <w:b w:val="0"/>
          <w:sz w:val="19"/>
          <w:szCs w:val="19"/>
          <w:shd w:val="clear" w:color="auto" w:fill="FFFFFF"/>
        </w:rPr>
        <w:t>ło</w:t>
      </w:r>
      <w:r w:rsidR="006026DE">
        <w:rPr>
          <w:rFonts w:eastAsia="Calibri"/>
          <w:b w:val="0"/>
          <w:sz w:val="19"/>
          <w:szCs w:val="19"/>
          <w:shd w:val="clear" w:color="auto" w:fill="FFFFFF"/>
        </w:rPr>
        <w:t xml:space="preserve"> niewielkim zmianom</w:t>
      </w:r>
      <w:r w:rsidR="00C42AC6">
        <w:rPr>
          <w:rFonts w:eastAsia="Calibri"/>
          <w:b w:val="0"/>
          <w:sz w:val="19"/>
          <w:szCs w:val="19"/>
          <w:shd w:val="clear" w:color="auto" w:fill="FFFFFF"/>
        </w:rPr>
        <w:t xml:space="preserve">, jednak nadal nie powróciło do wartości odnotowywanych na początku 2020 r. </w:t>
      </w:r>
      <w:r w:rsidR="008D53B1">
        <w:rPr>
          <w:rFonts w:eastAsia="Calibri"/>
          <w:b w:val="0"/>
          <w:sz w:val="19"/>
          <w:szCs w:val="19"/>
          <w:shd w:val="clear" w:color="auto" w:fill="FFFFFF"/>
        </w:rPr>
        <w:t>W</w:t>
      </w:r>
      <w:r w:rsidR="00236B45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  <w:r w:rsidR="00E21DB1">
        <w:rPr>
          <w:rFonts w:eastAsia="Calibri"/>
          <w:b w:val="0"/>
          <w:sz w:val="19"/>
          <w:szCs w:val="19"/>
          <w:shd w:val="clear" w:color="auto" w:fill="FFFFFF"/>
        </w:rPr>
        <w:t>grudniu</w:t>
      </w:r>
      <w:r w:rsidR="00236B45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  <w:r w:rsidR="00110ED3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2021 r. </w:t>
      </w:r>
      <w:r w:rsidR="002C02B3">
        <w:rPr>
          <w:rFonts w:eastAsia="Calibri"/>
          <w:b w:val="0"/>
          <w:sz w:val="19"/>
          <w:szCs w:val="19"/>
          <w:shd w:val="clear" w:color="auto" w:fill="FFFFFF"/>
        </w:rPr>
        <w:t>w stosunku do poprzed</w:t>
      </w:r>
      <w:r w:rsidR="00E63D4B">
        <w:rPr>
          <w:rFonts w:eastAsia="Calibri"/>
          <w:b w:val="0"/>
          <w:sz w:val="19"/>
          <w:szCs w:val="19"/>
          <w:shd w:val="clear" w:color="auto" w:fill="FFFFFF"/>
        </w:rPr>
        <w:softHyphen/>
      </w:r>
      <w:r w:rsidR="002C02B3">
        <w:rPr>
          <w:rFonts w:eastAsia="Calibri"/>
          <w:b w:val="0"/>
          <w:sz w:val="19"/>
          <w:szCs w:val="19"/>
          <w:shd w:val="clear" w:color="auto" w:fill="FFFFFF"/>
        </w:rPr>
        <w:t xml:space="preserve">niego miesiąca </w:t>
      </w:r>
      <w:r w:rsidR="004D4A01">
        <w:rPr>
          <w:rFonts w:eastAsia="Calibri"/>
          <w:b w:val="0"/>
          <w:sz w:val="19"/>
          <w:szCs w:val="19"/>
          <w:shd w:val="clear" w:color="auto" w:fill="FFFFFF"/>
        </w:rPr>
        <w:t>przeciętne zatrudnienie</w:t>
      </w:r>
      <w:r w:rsidR="00B144C2">
        <w:rPr>
          <w:rFonts w:eastAsia="Calibri"/>
          <w:b w:val="0"/>
          <w:sz w:val="19"/>
          <w:szCs w:val="19"/>
          <w:shd w:val="clear" w:color="auto" w:fill="FFFFFF"/>
        </w:rPr>
        <w:t xml:space="preserve"> pozostało na </w:t>
      </w:r>
      <w:r w:rsidR="006A3DF6">
        <w:rPr>
          <w:rFonts w:eastAsia="Calibri"/>
          <w:b w:val="0"/>
          <w:sz w:val="19"/>
          <w:szCs w:val="19"/>
          <w:shd w:val="clear" w:color="auto" w:fill="FFFFFF"/>
        </w:rPr>
        <w:t xml:space="preserve">zbliżonym </w:t>
      </w:r>
      <w:r w:rsidR="00B144C2">
        <w:rPr>
          <w:rFonts w:eastAsia="Calibri"/>
          <w:b w:val="0"/>
          <w:sz w:val="19"/>
          <w:szCs w:val="19"/>
          <w:shd w:val="clear" w:color="auto" w:fill="FFFFFF"/>
        </w:rPr>
        <w:t xml:space="preserve">poziomie, tj. nieznacznie </w:t>
      </w:r>
      <w:r w:rsidR="00620B29">
        <w:rPr>
          <w:rFonts w:eastAsia="Calibri"/>
          <w:b w:val="0"/>
          <w:sz w:val="19"/>
          <w:szCs w:val="19"/>
          <w:shd w:val="clear" w:color="auto" w:fill="FFFFFF"/>
        </w:rPr>
        <w:t>zmniejszyło</w:t>
      </w:r>
      <w:r w:rsidR="004D4A01">
        <w:rPr>
          <w:rFonts w:eastAsia="Calibri"/>
          <w:b w:val="0"/>
          <w:sz w:val="19"/>
          <w:szCs w:val="19"/>
          <w:shd w:val="clear" w:color="auto" w:fill="FFFFFF"/>
        </w:rPr>
        <w:t xml:space="preserve"> się o </w:t>
      </w:r>
      <w:r w:rsidR="00577ED3">
        <w:rPr>
          <w:rFonts w:eastAsia="Calibri"/>
          <w:b w:val="0"/>
          <w:sz w:val="19"/>
          <w:szCs w:val="19"/>
          <w:shd w:val="clear" w:color="auto" w:fill="FFFFFF"/>
        </w:rPr>
        <w:t xml:space="preserve">ok. </w:t>
      </w:r>
      <w:r w:rsidR="006B67DB">
        <w:rPr>
          <w:rFonts w:eastAsia="Calibri"/>
          <w:b w:val="0"/>
          <w:sz w:val="19"/>
          <w:szCs w:val="19"/>
          <w:shd w:val="clear" w:color="auto" w:fill="FFFFFF"/>
        </w:rPr>
        <w:t>2,</w:t>
      </w:r>
      <w:r w:rsidR="00E21DB1">
        <w:rPr>
          <w:rFonts w:eastAsia="Calibri"/>
          <w:b w:val="0"/>
          <w:sz w:val="19"/>
          <w:szCs w:val="19"/>
          <w:shd w:val="clear" w:color="auto" w:fill="FFFFFF"/>
        </w:rPr>
        <w:t>2</w:t>
      </w:r>
      <w:r w:rsidR="00577ED3">
        <w:rPr>
          <w:rFonts w:eastAsia="Calibri"/>
          <w:b w:val="0"/>
          <w:sz w:val="19"/>
          <w:szCs w:val="19"/>
          <w:shd w:val="clear" w:color="auto" w:fill="FFFFFF"/>
        </w:rPr>
        <w:t xml:space="preserve"> tys. etatów</w:t>
      </w:r>
      <w:r w:rsidR="00395AAA">
        <w:rPr>
          <w:rFonts w:eastAsia="Calibri"/>
          <w:b w:val="0"/>
          <w:sz w:val="19"/>
          <w:szCs w:val="19"/>
          <w:shd w:val="clear" w:color="auto" w:fill="FFFFFF"/>
        </w:rPr>
        <w:t>.</w:t>
      </w:r>
    </w:p>
    <w:p w:rsidR="00450774" w:rsidRPr="00463922" w:rsidRDefault="00450774" w:rsidP="00CC6846">
      <w:pPr>
        <w:pStyle w:val="tytuwykresu"/>
        <w:rPr>
          <w:rFonts w:eastAsia="Calibri"/>
          <w:shd w:val="clear" w:color="auto" w:fill="FFFFFF"/>
        </w:rPr>
      </w:pPr>
      <w:r>
        <w:rPr>
          <w:rFonts w:eastAsia="Calibri"/>
          <w:b w:val="0"/>
          <w:sz w:val="19"/>
          <w:szCs w:val="19"/>
          <w:shd w:val="clear" w:color="auto" w:fill="FFFFFF"/>
        </w:rPr>
        <w:t>W okresie narastającym całego roku 2021 w porównaniu z rokiem 2020 najgłębszy spadek prze</w:t>
      </w:r>
      <w:r w:rsidR="00E63D4B">
        <w:rPr>
          <w:rFonts w:eastAsia="Calibri"/>
          <w:b w:val="0"/>
          <w:sz w:val="19"/>
          <w:szCs w:val="19"/>
          <w:shd w:val="clear" w:color="auto" w:fill="FFFFFF"/>
        </w:rPr>
        <w:softHyphen/>
      </w:r>
      <w:r>
        <w:rPr>
          <w:rFonts w:eastAsia="Calibri"/>
          <w:b w:val="0"/>
          <w:sz w:val="19"/>
          <w:szCs w:val="19"/>
          <w:shd w:val="clear" w:color="auto" w:fill="FFFFFF"/>
        </w:rPr>
        <w:t>ciętnego zatrudnienia w sektorze przedsiębiorstw zaobserwo</w:t>
      </w:r>
      <w:r w:rsidR="00E63D4B">
        <w:rPr>
          <w:rFonts w:eastAsia="Calibri"/>
          <w:b w:val="0"/>
          <w:sz w:val="19"/>
          <w:szCs w:val="19"/>
          <w:shd w:val="clear" w:color="auto" w:fill="FFFFFF"/>
        </w:rPr>
        <w:t>wano w sekcji „Zakwaterowanie i </w:t>
      </w:r>
      <w:r>
        <w:rPr>
          <w:rFonts w:eastAsia="Calibri"/>
          <w:b w:val="0"/>
          <w:sz w:val="19"/>
          <w:szCs w:val="19"/>
          <w:shd w:val="clear" w:color="auto" w:fill="FFFFFF"/>
        </w:rPr>
        <w:t>gastronomia” (o 10,6%), natomiast najwyższy wzrost wystąpił w sekcji „Informacja i komuni</w:t>
      </w:r>
      <w:r w:rsidR="00E63D4B">
        <w:rPr>
          <w:rFonts w:eastAsia="Calibri"/>
          <w:b w:val="0"/>
          <w:sz w:val="19"/>
          <w:szCs w:val="19"/>
          <w:shd w:val="clear" w:color="auto" w:fill="FFFFFF"/>
        </w:rPr>
        <w:softHyphen/>
      </w:r>
      <w:r>
        <w:rPr>
          <w:rFonts w:eastAsia="Calibri"/>
          <w:b w:val="0"/>
          <w:sz w:val="19"/>
          <w:szCs w:val="19"/>
          <w:shd w:val="clear" w:color="auto" w:fill="FFFFFF"/>
        </w:rPr>
        <w:t>kacja (o 4,7%).</w:t>
      </w:r>
    </w:p>
    <w:p w:rsidR="00552EFF" w:rsidRDefault="00552EFF" w:rsidP="00552EFF">
      <w:pPr>
        <w:ind w:left="851" w:hanging="851"/>
        <w:rPr>
          <w:rFonts w:ascii="Fira Sans SemiBold" w:eastAsia="Times New Roman" w:hAnsi="Fira Sans SemiBold"/>
          <w:bCs/>
          <w:color w:val="001D77"/>
          <w:szCs w:val="24"/>
          <w:lang w:eastAsia="pl-PL"/>
        </w:rPr>
      </w:pPr>
      <w:r>
        <w:rPr>
          <w:b/>
          <w:noProof/>
          <w:spacing w:val="-2"/>
          <w:sz w:val="18"/>
          <w:lang w:eastAsia="pl-PL"/>
        </w:rPr>
        <w:t>Tablica</w:t>
      </w:r>
      <w:r w:rsidRPr="00FF7045">
        <w:rPr>
          <w:b/>
          <w:noProof/>
          <w:spacing w:val="-2"/>
          <w:sz w:val="18"/>
          <w:lang w:eastAsia="pl-PL"/>
        </w:rPr>
        <w:t xml:space="preserve"> </w:t>
      </w:r>
      <w:r w:rsidR="007523C5">
        <w:rPr>
          <w:b/>
          <w:noProof/>
          <w:spacing w:val="-2"/>
          <w:sz w:val="18"/>
          <w:lang w:eastAsia="pl-PL"/>
        </w:rPr>
        <w:t>2</w:t>
      </w:r>
      <w:r w:rsidRPr="00FF7045">
        <w:rPr>
          <w:b/>
          <w:noProof/>
          <w:spacing w:val="-2"/>
          <w:sz w:val="18"/>
          <w:lang w:eastAsia="pl-PL"/>
        </w:rPr>
        <w:t xml:space="preserve">. </w:t>
      </w:r>
      <w:r>
        <w:rPr>
          <w:b/>
          <w:noProof/>
          <w:spacing w:val="-2"/>
          <w:sz w:val="18"/>
          <w:lang w:eastAsia="pl-PL"/>
        </w:rPr>
        <w:t xml:space="preserve"> </w:t>
      </w:r>
      <w:r w:rsidRPr="00FF7045">
        <w:rPr>
          <w:b/>
          <w:noProof/>
          <w:spacing w:val="-2"/>
          <w:sz w:val="18"/>
          <w:lang w:eastAsia="pl-PL"/>
        </w:rPr>
        <w:t xml:space="preserve">Przeciętne </w:t>
      </w:r>
      <w:r>
        <w:rPr>
          <w:b/>
          <w:noProof/>
          <w:spacing w:val="-2"/>
          <w:sz w:val="18"/>
          <w:lang w:eastAsia="pl-PL"/>
        </w:rPr>
        <w:t>zatrudnienie</w:t>
      </w:r>
      <w:r w:rsidRPr="00FF7045">
        <w:rPr>
          <w:b/>
          <w:noProof/>
          <w:spacing w:val="-2"/>
          <w:sz w:val="18"/>
          <w:lang w:eastAsia="pl-PL"/>
        </w:rPr>
        <w:t xml:space="preserve"> </w:t>
      </w:r>
      <w:r w:rsidR="00773C65">
        <w:rPr>
          <w:b/>
          <w:noProof/>
          <w:spacing w:val="-2"/>
          <w:sz w:val="18"/>
          <w:lang w:eastAsia="pl-PL"/>
        </w:rPr>
        <w:t xml:space="preserve">w sektorze przedsiębiorstw </w:t>
      </w:r>
      <w:r w:rsidR="00450774">
        <w:rPr>
          <w:b/>
          <w:noProof/>
          <w:spacing w:val="-2"/>
          <w:sz w:val="18"/>
          <w:lang w:eastAsia="pl-PL"/>
        </w:rPr>
        <w:t xml:space="preserve">w grudniu 2021 r. </w:t>
      </w:r>
      <w:r>
        <w:rPr>
          <w:b/>
          <w:noProof/>
          <w:spacing w:val="-2"/>
          <w:sz w:val="18"/>
          <w:lang w:eastAsia="pl-PL"/>
        </w:rPr>
        <w:t xml:space="preserve">według rodzajów </w:t>
      </w:r>
      <w:r w:rsidR="00773C65">
        <w:rPr>
          <w:b/>
          <w:noProof/>
          <w:spacing w:val="-2"/>
          <w:sz w:val="18"/>
          <w:lang w:eastAsia="pl-PL"/>
        </w:rPr>
        <w:br/>
      </w:r>
      <w:r>
        <w:rPr>
          <w:b/>
          <w:noProof/>
          <w:spacing w:val="-2"/>
          <w:sz w:val="18"/>
          <w:lang w:eastAsia="pl-PL"/>
        </w:rPr>
        <w:t>działalności PKD 2007</w:t>
      </w:r>
    </w:p>
    <w:tbl>
      <w:tblPr>
        <w:tblW w:w="8188" w:type="dxa"/>
        <w:tblBorders>
          <w:bottom w:val="single" w:sz="12" w:space="0" w:color="001D77"/>
          <w:insideH w:val="single" w:sz="4" w:space="0" w:color="001D77"/>
          <w:insideV w:val="single" w:sz="4" w:space="0" w:color="001D77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1134"/>
        <w:gridCol w:w="993"/>
        <w:gridCol w:w="944"/>
        <w:gridCol w:w="1040"/>
        <w:gridCol w:w="1134"/>
      </w:tblGrid>
      <w:tr w:rsidR="00552EFF" w:rsidRPr="009A6652" w:rsidTr="003D65FE">
        <w:trPr>
          <w:trHeight w:val="450"/>
          <w:tblHeader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552EFF" w:rsidRPr="00993903" w:rsidRDefault="00552EFF" w:rsidP="00F7515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WYSZCZEGÓLNIENIE</w:t>
            </w:r>
          </w:p>
          <w:p w:rsidR="00552EFF" w:rsidRPr="00993903" w:rsidRDefault="00552EFF" w:rsidP="00F7515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071" w:type="dxa"/>
            <w:gridSpan w:val="3"/>
            <w:tcBorders>
              <w:bottom w:val="single" w:sz="4" w:space="0" w:color="001D77"/>
            </w:tcBorders>
            <w:shd w:val="clear" w:color="auto" w:fill="auto"/>
            <w:vAlign w:val="center"/>
          </w:tcPr>
          <w:p w:rsidR="00552EFF" w:rsidRPr="00993903" w:rsidRDefault="00552EFF" w:rsidP="00F7515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12 2021</w:t>
            </w:r>
          </w:p>
        </w:tc>
        <w:tc>
          <w:tcPr>
            <w:tcW w:w="2174" w:type="dxa"/>
            <w:gridSpan w:val="2"/>
            <w:tcBorders>
              <w:bottom w:val="single" w:sz="4" w:space="0" w:color="001D77"/>
            </w:tcBorders>
            <w:shd w:val="clear" w:color="auto" w:fill="auto"/>
            <w:vAlign w:val="center"/>
          </w:tcPr>
          <w:p w:rsidR="00552EFF" w:rsidRPr="00993903" w:rsidRDefault="00552EFF" w:rsidP="00F7515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01–12 2021</w:t>
            </w:r>
          </w:p>
        </w:tc>
      </w:tr>
      <w:tr w:rsidR="00552EFF" w:rsidRPr="009A6652" w:rsidTr="00450774">
        <w:trPr>
          <w:trHeight w:val="565"/>
          <w:tblHeader/>
        </w:trPr>
        <w:tc>
          <w:tcPr>
            <w:tcW w:w="2943" w:type="dxa"/>
            <w:vMerge/>
            <w:tcBorders>
              <w:bottom w:val="single" w:sz="12" w:space="0" w:color="001D77"/>
            </w:tcBorders>
            <w:shd w:val="clear" w:color="auto" w:fill="auto"/>
            <w:vAlign w:val="center"/>
          </w:tcPr>
          <w:p w:rsidR="00552EFF" w:rsidRPr="00993903" w:rsidRDefault="00552EFF" w:rsidP="00F7515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552EFF" w:rsidRPr="00993903" w:rsidRDefault="00552EFF" w:rsidP="003063C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</w:t>
            </w:r>
            <w:r w:rsidR="003063C3">
              <w:rPr>
                <w:sz w:val="16"/>
                <w:szCs w:val="16"/>
              </w:rPr>
              <w:t>tys. etatów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552EFF" w:rsidRPr="00993903" w:rsidRDefault="00552EFF" w:rsidP="00F7515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11 </w:t>
            </w:r>
            <w:r w:rsidRPr="00CC690C">
              <w:rPr>
                <w:rFonts w:cs="Arial"/>
                <w:color w:val="000000"/>
                <w:sz w:val="16"/>
                <w:szCs w:val="16"/>
              </w:rPr>
              <w:t>20</w:t>
            </w:r>
            <w:r>
              <w:rPr>
                <w:rFonts w:cs="Arial"/>
                <w:color w:val="000000"/>
                <w:sz w:val="16"/>
                <w:szCs w:val="16"/>
              </w:rPr>
              <w:t>21</w:t>
            </w:r>
            <w:r w:rsidRPr="00CC690C">
              <w:rPr>
                <w:rFonts w:cs="Arial"/>
                <w:color w:val="000000"/>
                <w:sz w:val="16"/>
                <w:szCs w:val="16"/>
              </w:rPr>
              <w:t>=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=100</w:t>
            </w:r>
          </w:p>
        </w:tc>
        <w:tc>
          <w:tcPr>
            <w:tcW w:w="94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552EFF" w:rsidRPr="00993903" w:rsidRDefault="00552EFF" w:rsidP="00F7515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2020= =100</w:t>
            </w:r>
          </w:p>
        </w:tc>
        <w:tc>
          <w:tcPr>
            <w:tcW w:w="1040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552EFF" w:rsidRPr="00993903" w:rsidRDefault="003063C3" w:rsidP="00F7515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tys. etatów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552EFF" w:rsidRDefault="00552EFF" w:rsidP="00F7515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 2020=</w:t>
            </w:r>
          </w:p>
          <w:p w:rsidR="00552EFF" w:rsidRPr="00993903" w:rsidRDefault="00552EFF" w:rsidP="00F7515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=100</w:t>
            </w:r>
          </w:p>
        </w:tc>
      </w:tr>
      <w:tr w:rsidR="00552EFF" w:rsidRPr="00993903" w:rsidTr="003063C3">
        <w:tblPrEx>
          <w:tblBorders>
            <w:bottom w:val="none" w:sz="0" w:space="0" w:color="auto"/>
          </w:tblBorders>
        </w:tblPrEx>
        <w:trPr>
          <w:trHeight w:val="398"/>
        </w:trPr>
        <w:tc>
          <w:tcPr>
            <w:tcW w:w="2943" w:type="dxa"/>
            <w:tcBorders>
              <w:top w:val="single" w:sz="12" w:space="0" w:color="001D77"/>
            </w:tcBorders>
            <w:shd w:val="clear" w:color="auto" w:fill="auto"/>
            <w:vAlign w:val="bottom"/>
          </w:tcPr>
          <w:p w:rsidR="00552EFF" w:rsidRPr="00447DEB" w:rsidRDefault="00552EFF" w:rsidP="00F75157">
            <w:pPr>
              <w:tabs>
                <w:tab w:val="left" w:leader="dot" w:pos="3714"/>
              </w:tabs>
              <w:autoSpaceDE w:val="0"/>
              <w:autoSpaceDN w:val="0"/>
              <w:adjustRightInd w:val="0"/>
              <w:spacing w:before="0" w:after="0"/>
              <w:rPr>
                <w:b/>
                <w:spacing w:val="-4"/>
                <w:sz w:val="16"/>
                <w:szCs w:val="16"/>
              </w:rPr>
            </w:pPr>
            <w:r>
              <w:rPr>
                <w:b/>
                <w:spacing w:val="-4"/>
                <w:sz w:val="16"/>
                <w:szCs w:val="16"/>
              </w:rPr>
              <w:t>SEKTOR PRZEDSIĘBIORSTW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52EFF" w:rsidRPr="00F103F0" w:rsidRDefault="00C92301" w:rsidP="00F75157">
            <w:pPr>
              <w:spacing w:before="0" w:after="0"/>
              <w:ind w:right="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6361,6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52EFF" w:rsidRPr="00F103F0" w:rsidRDefault="00044CE3" w:rsidP="00044CE3">
            <w:pPr>
              <w:spacing w:before="0" w:after="0"/>
              <w:ind w:right="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552EFF" w:rsidRPr="00447DEB" w:rsidRDefault="00552EFF" w:rsidP="00773C65">
            <w:pPr>
              <w:spacing w:before="0" w:after="0"/>
              <w:ind w:right="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773C65">
              <w:rPr>
                <w:b/>
                <w:bCs/>
                <w:sz w:val="16"/>
                <w:szCs w:val="16"/>
              </w:rPr>
              <w:t>00,5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552EFF" w:rsidRPr="00447DEB" w:rsidRDefault="00C92301" w:rsidP="00F75157">
            <w:pPr>
              <w:spacing w:before="0" w:after="0"/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6345,5</w:t>
            </w:r>
          </w:p>
        </w:tc>
        <w:tc>
          <w:tcPr>
            <w:tcW w:w="1134" w:type="dxa"/>
            <w:vAlign w:val="bottom"/>
          </w:tcPr>
          <w:p w:rsidR="00552EFF" w:rsidRPr="00447DEB" w:rsidRDefault="00044CE3" w:rsidP="00F75157">
            <w:pPr>
              <w:spacing w:before="0" w:after="0"/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100,3</w:t>
            </w:r>
          </w:p>
        </w:tc>
      </w:tr>
      <w:tr w:rsidR="007523C5" w:rsidRPr="009A6652" w:rsidTr="003063C3">
        <w:tblPrEx>
          <w:tblBorders>
            <w:bottom w:val="none" w:sz="0" w:space="0" w:color="auto"/>
          </w:tblBorders>
        </w:tblPrEx>
        <w:tc>
          <w:tcPr>
            <w:tcW w:w="2943" w:type="dxa"/>
            <w:shd w:val="clear" w:color="auto" w:fill="auto"/>
            <w:vAlign w:val="bottom"/>
          </w:tcPr>
          <w:p w:rsidR="007523C5" w:rsidRPr="00993903" w:rsidRDefault="007523C5" w:rsidP="00F75157">
            <w:pPr>
              <w:spacing w:before="0" w:after="0" w:line="240" w:lineRule="auto"/>
              <w:rPr>
                <w:sz w:val="16"/>
                <w:szCs w:val="16"/>
              </w:rPr>
            </w:pPr>
            <w:r w:rsidRPr="00993903">
              <w:rPr>
                <w:rFonts w:cs="Arial"/>
                <w:sz w:val="16"/>
                <w:szCs w:val="16"/>
              </w:rPr>
              <w:t xml:space="preserve">Rolnictwo, leśnictwo, łowiectwo </w:t>
            </w:r>
            <w:r w:rsidRPr="00993903">
              <w:rPr>
                <w:rFonts w:cs="Arial"/>
                <w:sz w:val="16"/>
                <w:szCs w:val="16"/>
              </w:rPr>
              <w:br/>
              <w:t xml:space="preserve">i </w:t>
            </w:r>
            <w:proofErr w:type="spellStart"/>
            <w:r w:rsidRPr="00993903">
              <w:rPr>
                <w:rFonts w:cs="Arial"/>
                <w:sz w:val="16"/>
                <w:szCs w:val="16"/>
              </w:rPr>
              <w:t>rybactwo</w:t>
            </w:r>
            <w:r w:rsidRPr="00890479">
              <w:rPr>
                <w:rFonts w:cs="Arial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7523C5" w:rsidRPr="00C92301" w:rsidRDefault="007523C5" w:rsidP="00C92301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C92301">
              <w:rPr>
                <w:bCs/>
                <w:color w:val="000000"/>
                <w:sz w:val="16"/>
                <w:szCs w:val="16"/>
              </w:rPr>
              <w:t>33,5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523C5" w:rsidRPr="007523C5" w:rsidRDefault="007523C5" w:rsidP="007523C5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7523C5">
              <w:rPr>
                <w:bCs/>
                <w:color w:val="000000"/>
                <w:sz w:val="16"/>
                <w:szCs w:val="16"/>
              </w:rPr>
              <w:t xml:space="preserve">100,2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7523C5" w:rsidRPr="00773C65" w:rsidRDefault="007523C5" w:rsidP="00710A3A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773C65">
              <w:rPr>
                <w:bCs/>
                <w:color w:val="000000"/>
                <w:sz w:val="16"/>
                <w:szCs w:val="16"/>
              </w:rPr>
              <w:t xml:space="preserve">96,8 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523C5" w:rsidRPr="00C92301" w:rsidRDefault="007523C5" w:rsidP="00C92301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C92301">
              <w:rPr>
                <w:bCs/>
                <w:color w:val="000000"/>
                <w:sz w:val="16"/>
                <w:szCs w:val="16"/>
              </w:rPr>
              <w:t>33,5</w:t>
            </w:r>
          </w:p>
        </w:tc>
        <w:tc>
          <w:tcPr>
            <w:tcW w:w="1134" w:type="dxa"/>
            <w:vAlign w:val="bottom"/>
          </w:tcPr>
          <w:p w:rsidR="007523C5" w:rsidRPr="00773C65" w:rsidRDefault="007523C5" w:rsidP="00773C65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773C65">
              <w:rPr>
                <w:rFonts w:cs="Arial"/>
                <w:bCs/>
                <w:sz w:val="16"/>
                <w:szCs w:val="16"/>
              </w:rPr>
              <w:t xml:space="preserve">95,5 </w:t>
            </w:r>
          </w:p>
        </w:tc>
      </w:tr>
      <w:tr w:rsidR="007523C5" w:rsidRPr="009A6652" w:rsidTr="003063C3">
        <w:tblPrEx>
          <w:tblBorders>
            <w:bottom w:val="none" w:sz="0" w:space="0" w:color="auto"/>
          </w:tblBorders>
        </w:tblPrEx>
        <w:tc>
          <w:tcPr>
            <w:tcW w:w="2943" w:type="dxa"/>
            <w:shd w:val="clear" w:color="auto" w:fill="auto"/>
            <w:vAlign w:val="bottom"/>
          </w:tcPr>
          <w:p w:rsidR="007523C5" w:rsidRPr="00993903" w:rsidRDefault="007523C5" w:rsidP="00F75157">
            <w:pPr>
              <w:tabs>
                <w:tab w:val="left" w:leader="dot" w:pos="3714"/>
              </w:tabs>
              <w:autoSpaceDE w:val="0"/>
              <w:autoSpaceDN w:val="0"/>
              <w:adjustRightInd w:val="0"/>
              <w:spacing w:before="0" w:after="0"/>
              <w:rPr>
                <w:sz w:val="16"/>
                <w:szCs w:val="16"/>
              </w:rPr>
            </w:pPr>
            <w:r w:rsidRPr="00993903">
              <w:rPr>
                <w:sz w:val="16"/>
                <w:szCs w:val="16"/>
              </w:rPr>
              <w:t xml:space="preserve">Górnictwo i wydobywanie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23C5" w:rsidRPr="00C92301" w:rsidRDefault="007523C5" w:rsidP="00C92301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C92301">
              <w:rPr>
                <w:bCs/>
                <w:color w:val="000000"/>
                <w:sz w:val="16"/>
                <w:szCs w:val="16"/>
              </w:rPr>
              <w:t>119,3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523C5" w:rsidRPr="007523C5" w:rsidRDefault="007523C5" w:rsidP="007523C5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7523C5">
              <w:rPr>
                <w:bCs/>
                <w:color w:val="000000"/>
                <w:sz w:val="16"/>
                <w:szCs w:val="16"/>
              </w:rPr>
              <w:t xml:space="preserve">99,0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7523C5" w:rsidRPr="00773C65" w:rsidRDefault="007523C5" w:rsidP="00710A3A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773C65">
              <w:rPr>
                <w:bCs/>
                <w:color w:val="000000"/>
                <w:sz w:val="16"/>
                <w:szCs w:val="16"/>
              </w:rPr>
              <w:t xml:space="preserve">96,5 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523C5" w:rsidRPr="00C92301" w:rsidRDefault="007523C5" w:rsidP="00C92301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C92301">
              <w:rPr>
                <w:bCs/>
                <w:color w:val="000000"/>
                <w:sz w:val="16"/>
                <w:szCs w:val="16"/>
              </w:rPr>
              <w:t>122,8</w:t>
            </w:r>
          </w:p>
        </w:tc>
        <w:tc>
          <w:tcPr>
            <w:tcW w:w="1134" w:type="dxa"/>
            <w:vAlign w:val="bottom"/>
          </w:tcPr>
          <w:p w:rsidR="007523C5" w:rsidRPr="00773C65" w:rsidRDefault="007523C5" w:rsidP="00773C65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773C65">
              <w:rPr>
                <w:rFonts w:cs="Arial"/>
                <w:bCs/>
                <w:sz w:val="16"/>
                <w:szCs w:val="16"/>
              </w:rPr>
              <w:t xml:space="preserve">97,7 </w:t>
            </w:r>
          </w:p>
        </w:tc>
      </w:tr>
      <w:tr w:rsidR="007523C5" w:rsidRPr="009A6652" w:rsidTr="003063C3">
        <w:tblPrEx>
          <w:tblBorders>
            <w:bottom w:val="none" w:sz="0" w:space="0" w:color="auto"/>
          </w:tblBorders>
        </w:tblPrEx>
        <w:tc>
          <w:tcPr>
            <w:tcW w:w="2943" w:type="dxa"/>
            <w:shd w:val="clear" w:color="auto" w:fill="auto"/>
            <w:vAlign w:val="bottom"/>
          </w:tcPr>
          <w:p w:rsidR="007523C5" w:rsidRPr="00993903" w:rsidRDefault="007523C5" w:rsidP="00F75157">
            <w:pPr>
              <w:spacing w:before="0" w:after="0" w:line="240" w:lineRule="auto"/>
              <w:rPr>
                <w:sz w:val="16"/>
                <w:szCs w:val="16"/>
              </w:rPr>
            </w:pPr>
            <w:r w:rsidRPr="00993903">
              <w:rPr>
                <w:rFonts w:cs="Arial"/>
                <w:sz w:val="16"/>
                <w:szCs w:val="16"/>
              </w:rPr>
              <w:t>Przetwórstwo przemysłowe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23C5" w:rsidRPr="00C92301" w:rsidRDefault="007523C5" w:rsidP="00C92301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C92301">
              <w:rPr>
                <w:bCs/>
                <w:color w:val="000000"/>
                <w:sz w:val="16"/>
                <w:szCs w:val="16"/>
              </w:rPr>
              <w:t>2350,8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523C5" w:rsidRPr="007523C5" w:rsidRDefault="007523C5" w:rsidP="007523C5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7523C5">
              <w:rPr>
                <w:bCs/>
                <w:color w:val="000000"/>
                <w:sz w:val="16"/>
                <w:szCs w:val="16"/>
              </w:rPr>
              <w:t xml:space="preserve">99,6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7523C5" w:rsidRPr="00773C65" w:rsidRDefault="007523C5" w:rsidP="00710A3A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773C65">
              <w:rPr>
                <w:bCs/>
                <w:color w:val="000000"/>
                <w:sz w:val="16"/>
                <w:szCs w:val="16"/>
              </w:rPr>
              <w:t xml:space="preserve">100,4 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523C5" w:rsidRPr="00C92301" w:rsidRDefault="007523C5" w:rsidP="00C92301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C92301">
              <w:rPr>
                <w:bCs/>
                <w:color w:val="000000"/>
                <w:sz w:val="16"/>
                <w:szCs w:val="16"/>
              </w:rPr>
              <w:t>2359,9</w:t>
            </w:r>
          </w:p>
        </w:tc>
        <w:tc>
          <w:tcPr>
            <w:tcW w:w="1134" w:type="dxa"/>
            <w:vAlign w:val="bottom"/>
          </w:tcPr>
          <w:p w:rsidR="007523C5" w:rsidRPr="00773C65" w:rsidRDefault="007523C5" w:rsidP="00773C65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773C65">
              <w:rPr>
                <w:rFonts w:cs="Arial"/>
                <w:bCs/>
                <w:sz w:val="16"/>
                <w:szCs w:val="16"/>
              </w:rPr>
              <w:t xml:space="preserve">100,6 </w:t>
            </w:r>
          </w:p>
        </w:tc>
      </w:tr>
      <w:tr w:rsidR="007523C5" w:rsidRPr="009A6652" w:rsidTr="003063C3">
        <w:tblPrEx>
          <w:tblBorders>
            <w:bottom w:val="none" w:sz="0" w:space="0" w:color="auto"/>
          </w:tblBorders>
        </w:tblPrEx>
        <w:tc>
          <w:tcPr>
            <w:tcW w:w="2943" w:type="dxa"/>
            <w:shd w:val="clear" w:color="auto" w:fill="auto"/>
            <w:vAlign w:val="bottom"/>
          </w:tcPr>
          <w:p w:rsidR="007523C5" w:rsidRPr="00993903" w:rsidRDefault="007523C5" w:rsidP="00F75157">
            <w:pPr>
              <w:spacing w:before="0" w:after="0" w:line="240" w:lineRule="auto"/>
              <w:rPr>
                <w:sz w:val="16"/>
                <w:szCs w:val="16"/>
              </w:rPr>
            </w:pPr>
            <w:r w:rsidRPr="00993903">
              <w:rPr>
                <w:rFonts w:cs="Arial"/>
                <w:sz w:val="16"/>
                <w:szCs w:val="16"/>
              </w:rPr>
              <w:t xml:space="preserve">Wytwarzanie i zaopatrywanie </w:t>
            </w:r>
            <w:r w:rsidRPr="00993903">
              <w:rPr>
                <w:rFonts w:cs="Arial"/>
                <w:sz w:val="16"/>
                <w:szCs w:val="16"/>
              </w:rPr>
              <w:br/>
              <w:t>w energię elektryczną, gaz, parę wodną i gorącą wodę</w:t>
            </w:r>
            <w:r w:rsidRPr="00993903">
              <w:rPr>
                <w:rFonts w:cs="Arial"/>
                <w:sz w:val="16"/>
                <w:szCs w:val="16"/>
                <w:vertAlign w:val="superscript"/>
              </w:rPr>
              <w:t>∆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23C5" w:rsidRPr="00C92301" w:rsidRDefault="007523C5" w:rsidP="00C92301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C92301">
              <w:rPr>
                <w:bCs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523C5" w:rsidRPr="007523C5" w:rsidRDefault="007523C5" w:rsidP="007523C5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7523C5">
              <w:rPr>
                <w:bCs/>
                <w:color w:val="000000"/>
                <w:sz w:val="16"/>
                <w:szCs w:val="16"/>
              </w:rPr>
              <w:t xml:space="preserve">100,0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7523C5" w:rsidRPr="00773C65" w:rsidRDefault="007523C5" w:rsidP="00710A3A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773C65">
              <w:rPr>
                <w:bCs/>
                <w:color w:val="000000"/>
                <w:sz w:val="16"/>
                <w:szCs w:val="16"/>
              </w:rPr>
              <w:t xml:space="preserve">97,5 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523C5" w:rsidRPr="00C92301" w:rsidRDefault="007523C5" w:rsidP="00C92301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C92301">
              <w:rPr>
                <w:bCs/>
                <w:color w:val="000000"/>
                <w:sz w:val="16"/>
                <w:szCs w:val="16"/>
              </w:rPr>
              <w:t>112,9</w:t>
            </w:r>
          </w:p>
        </w:tc>
        <w:tc>
          <w:tcPr>
            <w:tcW w:w="1134" w:type="dxa"/>
            <w:vAlign w:val="bottom"/>
          </w:tcPr>
          <w:p w:rsidR="007523C5" w:rsidRPr="00773C65" w:rsidRDefault="007523C5" w:rsidP="00773C65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773C65">
              <w:rPr>
                <w:rFonts w:cs="Arial"/>
                <w:bCs/>
                <w:sz w:val="16"/>
                <w:szCs w:val="16"/>
              </w:rPr>
              <w:t xml:space="preserve">97,3 </w:t>
            </w:r>
          </w:p>
        </w:tc>
      </w:tr>
      <w:tr w:rsidR="007523C5" w:rsidRPr="009A6652" w:rsidTr="003063C3">
        <w:tblPrEx>
          <w:tblBorders>
            <w:bottom w:val="none" w:sz="0" w:space="0" w:color="auto"/>
          </w:tblBorders>
        </w:tblPrEx>
        <w:tc>
          <w:tcPr>
            <w:tcW w:w="2943" w:type="dxa"/>
            <w:shd w:val="clear" w:color="auto" w:fill="auto"/>
            <w:vAlign w:val="bottom"/>
          </w:tcPr>
          <w:p w:rsidR="007523C5" w:rsidRPr="00993903" w:rsidRDefault="007523C5" w:rsidP="00F75157">
            <w:pPr>
              <w:spacing w:before="0" w:after="0" w:line="240" w:lineRule="auto"/>
              <w:rPr>
                <w:sz w:val="16"/>
                <w:szCs w:val="16"/>
              </w:rPr>
            </w:pPr>
            <w:r w:rsidRPr="00993903">
              <w:rPr>
                <w:rFonts w:cs="Arial"/>
                <w:sz w:val="16"/>
                <w:szCs w:val="16"/>
              </w:rPr>
              <w:t>Dostawa wody: gospodarowanie ściekami i odpadami; rekultywacja</w:t>
            </w:r>
            <w:r w:rsidRPr="00993903">
              <w:rPr>
                <w:rFonts w:cs="Arial"/>
                <w:sz w:val="16"/>
                <w:szCs w:val="16"/>
                <w:vertAlign w:val="superscript"/>
              </w:rPr>
              <w:t>∆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23C5" w:rsidRPr="00C92301" w:rsidRDefault="007523C5" w:rsidP="00C92301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C92301">
              <w:rPr>
                <w:bCs/>
                <w:color w:val="000000"/>
                <w:sz w:val="16"/>
                <w:szCs w:val="16"/>
              </w:rPr>
              <w:t>134,8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523C5" w:rsidRPr="007523C5" w:rsidRDefault="007523C5" w:rsidP="007523C5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7523C5">
              <w:rPr>
                <w:bCs/>
                <w:color w:val="000000"/>
                <w:sz w:val="16"/>
                <w:szCs w:val="16"/>
              </w:rPr>
              <w:t xml:space="preserve">99,8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7523C5" w:rsidRPr="00773C65" w:rsidRDefault="007523C5" w:rsidP="00710A3A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773C65">
              <w:rPr>
                <w:bCs/>
                <w:color w:val="000000"/>
                <w:sz w:val="16"/>
                <w:szCs w:val="16"/>
              </w:rPr>
              <w:t xml:space="preserve">101,1 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523C5" w:rsidRPr="00C92301" w:rsidRDefault="007523C5" w:rsidP="00C92301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C92301">
              <w:rPr>
                <w:bCs/>
                <w:color w:val="000000"/>
                <w:sz w:val="16"/>
                <w:szCs w:val="16"/>
              </w:rPr>
              <w:t>134,7</w:t>
            </w:r>
          </w:p>
        </w:tc>
        <w:tc>
          <w:tcPr>
            <w:tcW w:w="1134" w:type="dxa"/>
            <w:vAlign w:val="bottom"/>
          </w:tcPr>
          <w:p w:rsidR="007523C5" w:rsidRPr="00773C65" w:rsidRDefault="007523C5" w:rsidP="00773C65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773C65">
              <w:rPr>
                <w:rFonts w:cs="Arial"/>
                <w:bCs/>
                <w:sz w:val="16"/>
                <w:szCs w:val="16"/>
              </w:rPr>
              <w:t xml:space="preserve">101,8 </w:t>
            </w:r>
          </w:p>
        </w:tc>
      </w:tr>
      <w:tr w:rsidR="007523C5" w:rsidRPr="009A6652" w:rsidTr="003063C3">
        <w:tblPrEx>
          <w:tblBorders>
            <w:bottom w:val="none" w:sz="0" w:space="0" w:color="auto"/>
          </w:tblBorders>
        </w:tblPrEx>
        <w:tc>
          <w:tcPr>
            <w:tcW w:w="2943" w:type="dxa"/>
            <w:shd w:val="clear" w:color="auto" w:fill="auto"/>
            <w:vAlign w:val="bottom"/>
          </w:tcPr>
          <w:p w:rsidR="007523C5" w:rsidRPr="00993903" w:rsidRDefault="007523C5" w:rsidP="00F75157">
            <w:pPr>
              <w:spacing w:before="0" w:after="0" w:line="240" w:lineRule="auto"/>
              <w:rPr>
                <w:sz w:val="16"/>
                <w:szCs w:val="16"/>
              </w:rPr>
            </w:pPr>
            <w:r w:rsidRPr="00993903">
              <w:rPr>
                <w:rFonts w:cs="Arial"/>
                <w:sz w:val="16"/>
                <w:szCs w:val="16"/>
              </w:rPr>
              <w:t>Budownictwo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23C5" w:rsidRPr="00C92301" w:rsidRDefault="007523C5" w:rsidP="00C92301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C92301">
              <w:rPr>
                <w:bCs/>
                <w:color w:val="000000"/>
                <w:sz w:val="16"/>
                <w:szCs w:val="16"/>
              </w:rPr>
              <w:t>418,4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523C5" w:rsidRPr="007523C5" w:rsidRDefault="007523C5" w:rsidP="007523C5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7523C5">
              <w:rPr>
                <w:bCs/>
                <w:color w:val="000000"/>
                <w:sz w:val="16"/>
                <w:szCs w:val="16"/>
              </w:rPr>
              <w:t xml:space="preserve">99,8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7523C5" w:rsidRPr="00773C65" w:rsidRDefault="007523C5" w:rsidP="00710A3A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773C65">
              <w:rPr>
                <w:bCs/>
                <w:color w:val="000000"/>
                <w:sz w:val="16"/>
                <w:szCs w:val="16"/>
              </w:rPr>
              <w:t xml:space="preserve">99,8 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523C5" w:rsidRPr="00C92301" w:rsidRDefault="007523C5" w:rsidP="00C92301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C92301">
              <w:rPr>
                <w:bCs/>
                <w:color w:val="000000"/>
                <w:sz w:val="16"/>
                <w:szCs w:val="16"/>
              </w:rPr>
              <w:t>422,7</w:t>
            </w:r>
          </w:p>
        </w:tc>
        <w:tc>
          <w:tcPr>
            <w:tcW w:w="1134" w:type="dxa"/>
            <w:vAlign w:val="bottom"/>
          </w:tcPr>
          <w:p w:rsidR="007523C5" w:rsidRPr="00773C65" w:rsidRDefault="007523C5" w:rsidP="00773C65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773C65">
              <w:rPr>
                <w:rFonts w:cs="Arial"/>
                <w:bCs/>
                <w:sz w:val="16"/>
                <w:szCs w:val="16"/>
              </w:rPr>
              <w:t xml:space="preserve">99,6 </w:t>
            </w:r>
          </w:p>
        </w:tc>
      </w:tr>
      <w:tr w:rsidR="007523C5" w:rsidRPr="009A6652" w:rsidTr="003063C3">
        <w:tblPrEx>
          <w:tblBorders>
            <w:bottom w:val="none" w:sz="0" w:space="0" w:color="auto"/>
          </w:tblBorders>
        </w:tblPrEx>
        <w:tc>
          <w:tcPr>
            <w:tcW w:w="2943" w:type="dxa"/>
            <w:shd w:val="clear" w:color="auto" w:fill="auto"/>
            <w:vAlign w:val="bottom"/>
          </w:tcPr>
          <w:p w:rsidR="007523C5" w:rsidRPr="00993903" w:rsidRDefault="007523C5" w:rsidP="00F75157">
            <w:pPr>
              <w:spacing w:before="0" w:after="0" w:line="240" w:lineRule="auto"/>
              <w:rPr>
                <w:sz w:val="16"/>
                <w:szCs w:val="16"/>
              </w:rPr>
            </w:pPr>
            <w:r w:rsidRPr="00993903">
              <w:rPr>
                <w:rFonts w:cs="Arial"/>
                <w:sz w:val="16"/>
                <w:szCs w:val="16"/>
              </w:rPr>
              <w:lastRenderedPageBreak/>
              <w:t>Handel; naprawa pojazdów samochodowych</w:t>
            </w:r>
            <w:r w:rsidRPr="00993903">
              <w:rPr>
                <w:rFonts w:cs="Arial"/>
                <w:sz w:val="16"/>
                <w:szCs w:val="16"/>
                <w:vertAlign w:val="superscript"/>
              </w:rPr>
              <w:t>∆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23C5" w:rsidRPr="00C92301" w:rsidRDefault="007523C5" w:rsidP="00C92301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C92301">
              <w:rPr>
                <w:bCs/>
                <w:color w:val="000000"/>
                <w:sz w:val="16"/>
                <w:szCs w:val="16"/>
              </w:rPr>
              <w:t>1307,9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523C5" w:rsidRPr="007523C5" w:rsidRDefault="007523C5" w:rsidP="007523C5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7523C5">
              <w:rPr>
                <w:bCs/>
                <w:color w:val="000000"/>
                <w:sz w:val="16"/>
                <w:szCs w:val="16"/>
              </w:rPr>
              <w:t xml:space="preserve">100,5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7523C5" w:rsidRPr="00773C65" w:rsidRDefault="007523C5" w:rsidP="00710A3A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773C65">
              <w:rPr>
                <w:bCs/>
                <w:color w:val="000000"/>
                <w:sz w:val="16"/>
                <w:szCs w:val="16"/>
              </w:rPr>
              <w:t xml:space="preserve">100,6 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523C5" w:rsidRPr="00C92301" w:rsidRDefault="007523C5" w:rsidP="00C92301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C92301">
              <w:rPr>
                <w:bCs/>
                <w:color w:val="000000"/>
                <w:sz w:val="16"/>
                <w:szCs w:val="16"/>
              </w:rPr>
              <w:t>1294,2</w:t>
            </w:r>
          </w:p>
        </w:tc>
        <w:tc>
          <w:tcPr>
            <w:tcW w:w="1134" w:type="dxa"/>
            <w:vAlign w:val="bottom"/>
          </w:tcPr>
          <w:p w:rsidR="007523C5" w:rsidRPr="00773C65" w:rsidRDefault="007523C5" w:rsidP="00773C65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773C65">
              <w:rPr>
                <w:rFonts w:cs="Arial"/>
                <w:bCs/>
                <w:sz w:val="16"/>
                <w:szCs w:val="16"/>
              </w:rPr>
              <w:t xml:space="preserve">100,1 </w:t>
            </w:r>
          </w:p>
        </w:tc>
      </w:tr>
      <w:tr w:rsidR="007523C5" w:rsidRPr="009A6652" w:rsidTr="003063C3">
        <w:tblPrEx>
          <w:tblBorders>
            <w:bottom w:val="none" w:sz="0" w:space="0" w:color="auto"/>
          </w:tblBorders>
        </w:tblPrEx>
        <w:tc>
          <w:tcPr>
            <w:tcW w:w="2943" w:type="dxa"/>
            <w:shd w:val="clear" w:color="auto" w:fill="auto"/>
            <w:vAlign w:val="bottom"/>
          </w:tcPr>
          <w:p w:rsidR="007523C5" w:rsidRPr="00993903" w:rsidRDefault="007523C5" w:rsidP="00F75157">
            <w:pPr>
              <w:spacing w:before="0" w:after="0" w:line="240" w:lineRule="auto"/>
              <w:rPr>
                <w:sz w:val="16"/>
                <w:szCs w:val="16"/>
              </w:rPr>
            </w:pPr>
            <w:r w:rsidRPr="00993903">
              <w:rPr>
                <w:rFonts w:cs="Arial"/>
                <w:sz w:val="16"/>
                <w:szCs w:val="16"/>
              </w:rPr>
              <w:t>Transport i gospodarka magazynowa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23C5" w:rsidRPr="00C92301" w:rsidRDefault="007523C5" w:rsidP="00C92301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C92301">
              <w:rPr>
                <w:bCs/>
                <w:color w:val="000000"/>
                <w:sz w:val="16"/>
                <w:szCs w:val="16"/>
              </w:rPr>
              <w:t>633,3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523C5" w:rsidRPr="007523C5" w:rsidRDefault="007523C5" w:rsidP="007523C5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7523C5">
              <w:rPr>
                <w:bCs/>
                <w:color w:val="000000"/>
                <w:sz w:val="16"/>
                <w:szCs w:val="16"/>
              </w:rPr>
              <w:t xml:space="preserve">99,7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7523C5" w:rsidRPr="00773C65" w:rsidRDefault="007523C5" w:rsidP="00710A3A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773C65">
              <w:rPr>
                <w:bCs/>
                <w:color w:val="000000"/>
                <w:sz w:val="16"/>
                <w:szCs w:val="16"/>
              </w:rPr>
              <w:t xml:space="preserve">101,2 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523C5" w:rsidRPr="00C92301" w:rsidRDefault="007523C5" w:rsidP="00C92301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C92301">
              <w:rPr>
                <w:bCs/>
                <w:color w:val="000000"/>
                <w:sz w:val="16"/>
                <w:szCs w:val="16"/>
              </w:rPr>
              <w:t>632,3</w:t>
            </w:r>
          </w:p>
        </w:tc>
        <w:tc>
          <w:tcPr>
            <w:tcW w:w="1134" w:type="dxa"/>
            <w:vAlign w:val="bottom"/>
          </w:tcPr>
          <w:p w:rsidR="007523C5" w:rsidRPr="00773C65" w:rsidRDefault="007523C5" w:rsidP="00773C65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773C65">
              <w:rPr>
                <w:rFonts w:cs="Arial"/>
                <w:bCs/>
                <w:sz w:val="16"/>
                <w:szCs w:val="16"/>
              </w:rPr>
              <w:t xml:space="preserve">101,6 </w:t>
            </w:r>
          </w:p>
        </w:tc>
      </w:tr>
      <w:tr w:rsidR="007523C5" w:rsidRPr="006A7AD6" w:rsidTr="003063C3">
        <w:tblPrEx>
          <w:tblBorders>
            <w:bottom w:val="none" w:sz="0" w:space="0" w:color="auto"/>
          </w:tblBorders>
        </w:tblPrEx>
        <w:tc>
          <w:tcPr>
            <w:tcW w:w="2943" w:type="dxa"/>
            <w:shd w:val="clear" w:color="auto" w:fill="auto"/>
            <w:vAlign w:val="bottom"/>
          </w:tcPr>
          <w:p w:rsidR="007523C5" w:rsidRPr="00993903" w:rsidRDefault="007523C5" w:rsidP="00F75157">
            <w:pPr>
              <w:spacing w:before="0" w:after="0" w:line="240" w:lineRule="auto"/>
              <w:rPr>
                <w:sz w:val="16"/>
                <w:szCs w:val="16"/>
              </w:rPr>
            </w:pPr>
            <w:r w:rsidRPr="00993903">
              <w:rPr>
                <w:rFonts w:cs="Arial"/>
                <w:sz w:val="16"/>
                <w:szCs w:val="16"/>
              </w:rPr>
              <w:t>Zakwaterowanie i gastronomia</w:t>
            </w:r>
            <w:r w:rsidRPr="00993903">
              <w:rPr>
                <w:rFonts w:cs="Arial"/>
                <w:sz w:val="16"/>
                <w:szCs w:val="16"/>
                <w:vertAlign w:val="superscript"/>
              </w:rPr>
              <w:t>∆</w:t>
            </w:r>
            <w:r w:rsidRPr="0099390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23C5" w:rsidRPr="00C92301" w:rsidRDefault="007523C5" w:rsidP="00C92301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C92301">
              <w:rPr>
                <w:bCs/>
                <w:color w:val="000000"/>
                <w:sz w:val="16"/>
                <w:szCs w:val="16"/>
              </w:rPr>
              <w:t>118,4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523C5" w:rsidRPr="007523C5" w:rsidRDefault="007523C5" w:rsidP="007523C5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7523C5">
              <w:rPr>
                <w:bCs/>
                <w:color w:val="000000"/>
                <w:sz w:val="16"/>
                <w:szCs w:val="16"/>
              </w:rPr>
              <w:t xml:space="preserve">100,5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7523C5" w:rsidRPr="00773C65" w:rsidRDefault="007523C5" w:rsidP="00710A3A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773C65">
              <w:rPr>
                <w:bCs/>
                <w:color w:val="000000"/>
                <w:sz w:val="16"/>
                <w:szCs w:val="16"/>
              </w:rPr>
              <w:t xml:space="preserve">99,9 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523C5" w:rsidRPr="00C92301" w:rsidRDefault="007523C5" w:rsidP="00C92301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C92301">
              <w:rPr>
                <w:bCs/>
                <w:color w:val="000000"/>
                <w:sz w:val="16"/>
                <w:szCs w:val="16"/>
              </w:rPr>
              <w:t>113,9</w:t>
            </w:r>
          </w:p>
        </w:tc>
        <w:tc>
          <w:tcPr>
            <w:tcW w:w="1134" w:type="dxa"/>
            <w:vAlign w:val="bottom"/>
          </w:tcPr>
          <w:p w:rsidR="007523C5" w:rsidRPr="00773C65" w:rsidRDefault="007523C5" w:rsidP="00773C65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773C65">
              <w:rPr>
                <w:rFonts w:cs="Arial"/>
                <w:bCs/>
                <w:sz w:val="16"/>
                <w:szCs w:val="16"/>
              </w:rPr>
              <w:t xml:space="preserve">89,4 </w:t>
            </w:r>
          </w:p>
        </w:tc>
      </w:tr>
      <w:tr w:rsidR="007523C5" w:rsidRPr="006A7AD6" w:rsidTr="003063C3">
        <w:tblPrEx>
          <w:tblBorders>
            <w:bottom w:val="none" w:sz="0" w:space="0" w:color="auto"/>
          </w:tblBorders>
        </w:tblPrEx>
        <w:tc>
          <w:tcPr>
            <w:tcW w:w="2943" w:type="dxa"/>
            <w:shd w:val="clear" w:color="auto" w:fill="auto"/>
            <w:vAlign w:val="bottom"/>
          </w:tcPr>
          <w:p w:rsidR="007523C5" w:rsidRPr="00993903" w:rsidRDefault="007523C5" w:rsidP="00F75157">
            <w:pPr>
              <w:spacing w:before="0" w:after="0" w:line="240" w:lineRule="auto"/>
              <w:rPr>
                <w:sz w:val="16"/>
                <w:szCs w:val="16"/>
              </w:rPr>
            </w:pPr>
            <w:r w:rsidRPr="00993903">
              <w:rPr>
                <w:rFonts w:cs="Arial"/>
                <w:sz w:val="16"/>
                <w:szCs w:val="16"/>
              </w:rPr>
              <w:t>Informacja i komunikacja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23C5" w:rsidRPr="00C92301" w:rsidRDefault="007523C5" w:rsidP="00C92301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C92301">
              <w:rPr>
                <w:bCs/>
                <w:color w:val="000000"/>
                <w:sz w:val="16"/>
                <w:szCs w:val="16"/>
              </w:rPr>
              <w:t>270,3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523C5" w:rsidRPr="007523C5" w:rsidRDefault="007523C5" w:rsidP="007523C5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7523C5">
              <w:rPr>
                <w:bCs/>
                <w:color w:val="000000"/>
                <w:sz w:val="16"/>
                <w:szCs w:val="16"/>
              </w:rPr>
              <w:t xml:space="preserve">100,7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7523C5" w:rsidRPr="00773C65" w:rsidRDefault="007523C5" w:rsidP="00710A3A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773C65">
              <w:rPr>
                <w:bCs/>
                <w:color w:val="000000"/>
                <w:sz w:val="16"/>
                <w:szCs w:val="16"/>
              </w:rPr>
              <w:t xml:space="preserve">107,2 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523C5" w:rsidRPr="00C92301" w:rsidRDefault="007523C5" w:rsidP="00C92301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C92301">
              <w:rPr>
                <w:bCs/>
                <w:color w:val="000000"/>
                <w:sz w:val="16"/>
                <w:szCs w:val="16"/>
              </w:rPr>
              <w:t>261,8</w:t>
            </w:r>
          </w:p>
        </w:tc>
        <w:tc>
          <w:tcPr>
            <w:tcW w:w="1134" w:type="dxa"/>
            <w:vAlign w:val="bottom"/>
          </w:tcPr>
          <w:p w:rsidR="007523C5" w:rsidRPr="00773C65" w:rsidRDefault="007523C5" w:rsidP="00773C65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773C65">
              <w:rPr>
                <w:rFonts w:cs="Arial"/>
                <w:bCs/>
                <w:sz w:val="16"/>
                <w:szCs w:val="16"/>
              </w:rPr>
              <w:t xml:space="preserve">104,7 </w:t>
            </w:r>
          </w:p>
        </w:tc>
      </w:tr>
      <w:tr w:rsidR="007523C5" w:rsidRPr="009A6652" w:rsidTr="003063C3">
        <w:tblPrEx>
          <w:tblBorders>
            <w:bottom w:val="none" w:sz="0" w:space="0" w:color="auto"/>
          </w:tblBorders>
        </w:tblPrEx>
        <w:tc>
          <w:tcPr>
            <w:tcW w:w="2943" w:type="dxa"/>
            <w:shd w:val="clear" w:color="auto" w:fill="auto"/>
            <w:vAlign w:val="bottom"/>
          </w:tcPr>
          <w:p w:rsidR="007523C5" w:rsidRPr="00993903" w:rsidRDefault="007523C5" w:rsidP="00F75157">
            <w:pPr>
              <w:spacing w:before="0" w:after="0" w:line="240" w:lineRule="auto"/>
              <w:rPr>
                <w:sz w:val="16"/>
                <w:szCs w:val="16"/>
              </w:rPr>
            </w:pPr>
            <w:r w:rsidRPr="00993903">
              <w:rPr>
                <w:rFonts w:cs="Arial"/>
                <w:sz w:val="16"/>
                <w:szCs w:val="16"/>
              </w:rPr>
              <w:t>Obsługa rynku nieruchomości</w:t>
            </w:r>
            <w:r w:rsidRPr="00993903">
              <w:rPr>
                <w:rFonts w:cs="Arial"/>
                <w:sz w:val="16"/>
                <w:szCs w:val="16"/>
                <w:vertAlign w:val="superscript"/>
              </w:rPr>
              <w:t>∆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23C5" w:rsidRPr="00C92301" w:rsidRDefault="007523C5" w:rsidP="00C92301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C92301">
              <w:rPr>
                <w:bCs/>
                <w:color w:val="000000"/>
                <w:sz w:val="16"/>
                <w:szCs w:val="16"/>
              </w:rPr>
              <w:t>91,7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523C5" w:rsidRPr="007523C5" w:rsidRDefault="007523C5" w:rsidP="007523C5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7523C5">
              <w:rPr>
                <w:bCs/>
                <w:color w:val="000000"/>
                <w:sz w:val="16"/>
                <w:szCs w:val="16"/>
              </w:rPr>
              <w:t xml:space="preserve">100,0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7523C5" w:rsidRPr="00773C65" w:rsidRDefault="007523C5" w:rsidP="00710A3A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773C65">
              <w:rPr>
                <w:bCs/>
                <w:color w:val="000000"/>
                <w:sz w:val="16"/>
                <w:szCs w:val="16"/>
              </w:rPr>
              <w:t xml:space="preserve">97,3 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523C5" w:rsidRPr="00C92301" w:rsidRDefault="007523C5" w:rsidP="00C92301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C92301">
              <w:rPr>
                <w:bCs/>
                <w:color w:val="000000"/>
                <w:sz w:val="16"/>
                <w:szCs w:val="16"/>
              </w:rPr>
              <w:t>91,6</w:t>
            </w:r>
          </w:p>
        </w:tc>
        <w:tc>
          <w:tcPr>
            <w:tcW w:w="1134" w:type="dxa"/>
            <w:vAlign w:val="bottom"/>
          </w:tcPr>
          <w:p w:rsidR="007523C5" w:rsidRPr="00773C65" w:rsidRDefault="007523C5" w:rsidP="00773C65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773C65">
              <w:rPr>
                <w:rFonts w:cs="Arial"/>
                <w:bCs/>
                <w:sz w:val="16"/>
                <w:szCs w:val="16"/>
              </w:rPr>
              <w:t xml:space="preserve">95,9 </w:t>
            </w:r>
          </w:p>
        </w:tc>
      </w:tr>
      <w:tr w:rsidR="007523C5" w:rsidRPr="009A6652" w:rsidTr="003063C3">
        <w:tblPrEx>
          <w:tblBorders>
            <w:bottom w:val="none" w:sz="0" w:space="0" w:color="auto"/>
          </w:tblBorders>
        </w:tblPrEx>
        <w:tc>
          <w:tcPr>
            <w:tcW w:w="2943" w:type="dxa"/>
            <w:shd w:val="clear" w:color="auto" w:fill="auto"/>
            <w:vAlign w:val="bottom"/>
          </w:tcPr>
          <w:p w:rsidR="007523C5" w:rsidRPr="00993903" w:rsidRDefault="007523C5" w:rsidP="00F75157">
            <w:pPr>
              <w:spacing w:before="0" w:after="0" w:line="240" w:lineRule="auto"/>
              <w:rPr>
                <w:sz w:val="16"/>
                <w:szCs w:val="16"/>
              </w:rPr>
            </w:pPr>
            <w:r w:rsidRPr="00993903">
              <w:rPr>
                <w:rFonts w:cs="Arial"/>
                <w:sz w:val="16"/>
                <w:szCs w:val="16"/>
              </w:rPr>
              <w:t xml:space="preserve">Działalność profesjonalna, </w:t>
            </w:r>
            <w:r>
              <w:rPr>
                <w:rFonts w:cs="Arial"/>
                <w:sz w:val="16"/>
                <w:szCs w:val="16"/>
              </w:rPr>
              <w:t>naukowa i </w:t>
            </w:r>
            <w:proofErr w:type="spellStart"/>
            <w:r w:rsidRPr="00993903">
              <w:rPr>
                <w:rFonts w:cs="Arial"/>
                <w:sz w:val="16"/>
                <w:szCs w:val="16"/>
              </w:rPr>
              <w:t>techniczna</w:t>
            </w:r>
            <w:r>
              <w:rPr>
                <w:rFonts w:cs="Arial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7523C5" w:rsidRPr="00C92301" w:rsidRDefault="007523C5" w:rsidP="00C92301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C92301">
              <w:rPr>
                <w:bCs/>
                <w:color w:val="000000"/>
                <w:sz w:val="16"/>
                <w:szCs w:val="16"/>
              </w:rPr>
              <w:t>253,9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523C5" w:rsidRPr="007523C5" w:rsidRDefault="007523C5" w:rsidP="007523C5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7523C5">
              <w:rPr>
                <w:bCs/>
                <w:color w:val="000000"/>
                <w:sz w:val="16"/>
                <w:szCs w:val="16"/>
              </w:rPr>
              <w:t xml:space="preserve">100,6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7523C5" w:rsidRPr="00773C65" w:rsidRDefault="007523C5" w:rsidP="00710A3A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773C65">
              <w:rPr>
                <w:bCs/>
                <w:color w:val="000000"/>
                <w:sz w:val="16"/>
                <w:szCs w:val="16"/>
              </w:rPr>
              <w:t xml:space="preserve">103,3 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523C5" w:rsidRPr="00C92301" w:rsidRDefault="007523C5" w:rsidP="00C92301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C92301">
              <w:rPr>
                <w:bCs/>
                <w:color w:val="000000"/>
                <w:sz w:val="16"/>
                <w:szCs w:val="16"/>
              </w:rPr>
              <w:t>246,4</w:t>
            </w:r>
          </w:p>
        </w:tc>
        <w:tc>
          <w:tcPr>
            <w:tcW w:w="1134" w:type="dxa"/>
            <w:vAlign w:val="bottom"/>
          </w:tcPr>
          <w:p w:rsidR="007523C5" w:rsidRPr="00773C65" w:rsidRDefault="007523C5" w:rsidP="00773C65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773C65">
              <w:rPr>
                <w:rFonts w:cs="Arial"/>
                <w:bCs/>
                <w:sz w:val="16"/>
                <w:szCs w:val="16"/>
              </w:rPr>
              <w:t xml:space="preserve">100,8 </w:t>
            </w:r>
          </w:p>
        </w:tc>
      </w:tr>
      <w:tr w:rsidR="007523C5" w:rsidRPr="009A6652" w:rsidTr="003063C3">
        <w:tblPrEx>
          <w:tblBorders>
            <w:bottom w:val="none" w:sz="0" w:space="0" w:color="auto"/>
          </w:tblBorders>
        </w:tblPrEx>
        <w:tc>
          <w:tcPr>
            <w:tcW w:w="2943" w:type="dxa"/>
            <w:shd w:val="clear" w:color="auto" w:fill="auto"/>
            <w:vAlign w:val="bottom"/>
          </w:tcPr>
          <w:p w:rsidR="007523C5" w:rsidRPr="00993903" w:rsidRDefault="007523C5" w:rsidP="00F75157">
            <w:pPr>
              <w:spacing w:before="0" w:after="0" w:line="240" w:lineRule="auto"/>
              <w:rPr>
                <w:sz w:val="16"/>
                <w:szCs w:val="16"/>
              </w:rPr>
            </w:pPr>
            <w:r w:rsidRPr="00993903">
              <w:rPr>
                <w:rFonts w:cs="Arial"/>
                <w:sz w:val="16"/>
                <w:szCs w:val="16"/>
              </w:rPr>
              <w:t>Administrowanie i działalność wspierająca</w:t>
            </w:r>
            <w:r w:rsidRPr="00993903">
              <w:rPr>
                <w:rFonts w:cs="Arial"/>
                <w:sz w:val="16"/>
                <w:szCs w:val="16"/>
                <w:vertAlign w:val="superscript"/>
              </w:rPr>
              <w:t>∆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23C5" w:rsidRPr="00C92301" w:rsidRDefault="007523C5" w:rsidP="00C92301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C92301">
              <w:rPr>
                <w:bCs/>
                <w:color w:val="000000"/>
                <w:sz w:val="16"/>
                <w:szCs w:val="16"/>
              </w:rPr>
              <w:t>397,4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523C5" w:rsidRPr="007523C5" w:rsidRDefault="007523C5" w:rsidP="007523C5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7523C5">
              <w:rPr>
                <w:bCs/>
                <w:color w:val="000000"/>
                <w:sz w:val="16"/>
                <w:szCs w:val="16"/>
              </w:rPr>
              <w:t xml:space="preserve">100,2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7523C5" w:rsidRPr="00773C65" w:rsidRDefault="007523C5" w:rsidP="00710A3A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773C65">
              <w:rPr>
                <w:bCs/>
                <w:color w:val="000000"/>
                <w:sz w:val="16"/>
                <w:szCs w:val="16"/>
              </w:rPr>
              <w:t xml:space="preserve">98,2 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523C5" w:rsidRPr="00C92301" w:rsidRDefault="007523C5" w:rsidP="00C92301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C92301">
              <w:rPr>
                <w:bCs/>
                <w:color w:val="000000"/>
                <w:sz w:val="16"/>
                <w:szCs w:val="16"/>
              </w:rPr>
              <w:t>400,8</w:t>
            </w:r>
          </w:p>
        </w:tc>
        <w:tc>
          <w:tcPr>
            <w:tcW w:w="1134" w:type="dxa"/>
            <w:vAlign w:val="bottom"/>
          </w:tcPr>
          <w:p w:rsidR="007523C5" w:rsidRPr="00773C65" w:rsidRDefault="007523C5" w:rsidP="00773C65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773C65">
              <w:rPr>
                <w:rFonts w:cs="Arial"/>
                <w:bCs/>
                <w:sz w:val="16"/>
                <w:szCs w:val="16"/>
              </w:rPr>
              <w:t xml:space="preserve">101,7 </w:t>
            </w:r>
          </w:p>
        </w:tc>
      </w:tr>
      <w:tr w:rsidR="007523C5" w:rsidRPr="009A6652" w:rsidTr="003063C3">
        <w:tblPrEx>
          <w:tblBorders>
            <w:bottom w:val="none" w:sz="0" w:space="0" w:color="auto"/>
          </w:tblBorders>
        </w:tblPrEx>
        <w:tc>
          <w:tcPr>
            <w:tcW w:w="2943" w:type="dxa"/>
            <w:shd w:val="clear" w:color="auto" w:fill="auto"/>
            <w:vAlign w:val="bottom"/>
          </w:tcPr>
          <w:p w:rsidR="007523C5" w:rsidRPr="00993903" w:rsidRDefault="007523C5" w:rsidP="00F75157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  <w:r w:rsidRPr="00993903">
              <w:rPr>
                <w:rFonts w:cs="Arial"/>
                <w:sz w:val="16"/>
                <w:szCs w:val="16"/>
              </w:rPr>
              <w:t>Działalność związana z kulturą, rozrywką i rekreacją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23C5" w:rsidRPr="00C92301" w:rsidRDefault="007523C5" w:rsidP="00C92301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C92301">
              <w:rPr>
                <w:bCs/>
                <w:color w:val="000000"/>
                <w:sz w:val="16"/>
                <w:szCs w:val="16"/>
              </w:rPr>
              <w:t>89,6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523C5" w:rsidRPr="007523C5" w:rsidRDefault="007523C5" w:rsidP="007523C5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7523C5">
              <w:rPr>
                <w:bCs/>
                <w:color w:val="000000"/>
                <w:sz w:val="16"/>
                <w:szCs w:val="16"/>
              </w:rPr>
              <w:t xml:space="preserve">100,2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7523C5" w:rsidRPr="00773C65" w:rsidRDefault="007523C5" w:rsidP="00710A3A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773C65">
              <w:rPr>
                <w:bCs/>
                <w:color w:val="000000"/>
                <w:sz w:val="16"/>
                <w:szCs w:val="16"/>
              </w:rPr>
              <w:t xml:space="preserve">99,2 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523C5" w:rsidRPr="00C92301" w:rsidRDefault="007523C5" w:rsidP="00C92301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C92301">
              <w:rPr>
                <w:bCs/>
                <w:color w:val="000000"/>
                <w:sz w:val="16"/>
                <w:szCs w:val="16"/>
              </w:rPr>
              <w:t>88,6</w:t>
            </w:r>
          </w:p>
        </w:tc>
        <w:tc>
          <w:tcPr>
            <w:tcW w:w="1134" w:type="dxa"/>
            <w:vAlign w:val="bottom"/>
          </w:tcPr>
          <w:p w:rsidR="007523C5" w:rsidRPr="00773C65" w:rsidRDefault="007523C5" w:rsidP="00773C65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773C65">
              <w:rPr>
                <w:rFonts w:cs="Arial"/>
                <w:bCs/>
                <w:sz w:val="16"/>
                <w:szCs w:val="16"/>
              </w:rPr>
              <w:t xml:space="preserve">97,1 </w:t>
            </w:r>
          </w:p>
        </w:tc>
      </w:tr>
      <w:tr w:rsidR="007523C5" w:rsidRPr="009A6652" w:rsidTr="003063C3">
        <w:tblPrEx>
          <w:tblBorders>
            <w:bottom w:val="none" w:sz="0" w:space="0" w:color="auto"/>
          </w:tblBorders>
        </w:tblPrEx>
        <w:tc>
          <w:tcPr>
            <w:tcW w:w="2943" w:type="dxa"/>
            <w:shd w:val="clear" w:color="auto" w:fill="auto"/>
            <w:vAlign w:val="bottom"/>
          </w:tcPr>
          <w:p w:rsidR="007523C5" w:rsidRPr="00993903" w:rsidRDefault="007523C5" w:rsidP="00F75157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  <w:r w:rsidRPr="00993903">
              <w:rPr>
                <w:rFonts w:cs="Arial"/>
                <w:sz w:val="16"/>
                <w:szCs w:val="16"/>
              </w:rPr>
              <w:t xml:space="preserve">Pozostała działalność </w:t>
            </w:r>
            <w:proofErr w:type="spellStart"/>
            <w:r w:rsidRPr="00993903">
              <w:rPr>
                <w:rFonts w:cs="Arial"/>
                <w:sz w:val="16"/>
                <w:szCs w:val="16"/>
              </w:rPr>
              <w:t>usługowa</w:t>
            </w:r>
            <w:r>
              <w:rPr>
                <w:rFonts w:cs="Arial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7523C5" w:rsidRPr="00C92301" w:rsidRDefault="007523C5" w:rsidP="00C92301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C92301">
              <w:rPr>
                <w:bCs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523C5" w:rsidRPr="007523C5" w:rsidRDefault="007523C5" w:rsidP="007523C5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7523C5">
              <w:rPr>
                <w:bCs/>
                <w:color w:val="000000"/>
                <w:sz w:val="16"/>
                <w:szCs w:val="16"/>
              </w:rPr>
              <w:t xml:space="preserve">100,8 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7523C5" w:rsidRPr="00773C65" w:rsidRDefault="007523C5" w:rsidP="00710A3A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773C65">
              <w:rPr>
                <w:bCs/>
                <w:color w:val="000000"/>
                <w:sz w:val="16"/>
                <w:szCs w:val="16"/>
              </w:rPr>
              <w:t xml:space="preserve">102,3 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7523C5" w:rsidRPr="00C92301" w:rsidRDefault="007523C5" w:rsidP="00C92301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C92301">
              <w:rPr>
                <w:bCs/>
                <w:color w:val="000000"/>
                <w:sz w:val="16"/>
                <w:szCs w:val="16"/>
              </w:rPr>
              <w:t>29,6</w:t>
            </w:r>
          </w:p>
        </w:tc>
        <w:tc>
          <w:tcPr>
            <w:tcW w:w="1134" w:type="dxa"/>
            <w:vAlign w:val="bottom"/>
          </w:tcPr>
          <w:p w:rsidR="007523C5" w:rsidRPr="00773C65" w:rsidRDefault="007523C5" w:rsidP="00773C65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773C65">
              <w:rPr>
                <w:rFonts w:cs="Arial"/>
                <w:bCs/>
                <w:sz w:val="16"/>
                <w:szCs w:val="16"/>
              </w:rPr>
              <w:t xml:space="preserve">98,8 </w:t>
            </w:r>
          </w:p>
        </w:tc>
      </w:tr>
    </w:tbl>
    <w:p w:rsidR="00552EFF" w:rsidRDefault="00552EFF" w:rsidP="00ED4B3B">
      <w:pPr>
        <w:autoSpaceDE w:val="0"/>
        <w:autoSpaceDN w:val="0"/>
        <w:spacing w:line="240" w:lineRule="auto"/>
        <w:rPr>
          <w:rFonts w:ascii="Fira Sans SemiBold" w:eastAsia="Times New Roman" w:hAnsi="Fira Sans SemiBold"/>
          <w:bCs/>
          <w:color w:val="001D77"/>
          <w:szCs w:val="24"/>
          <w:lang w:eastAsia="pl-PL"/>
        </w:rPr>
      </w:pPr>
      <w:r w:rsidRPr="002933D7">
        <w:rPr>
          <w:rFonts w:cs="Arial"/>
          <w:b/>
          <w:sz w:val="16"/>
          <w:szCs w:val="16"/>
        </w:rPr>
        <w:t>a</w:t>
      </w:r>
      <w:r>
        <w:rPr>
          <w:rFonts w:cs="Arial"/>
          <w:sz w:val="16"/>
          <w:szCs w:val="16"/>
        </w:rPr>
        <w:t xml:space="preserve"> W ramach sektora przedsiębiorstw sekcja ta o</w:t>
      </w:r>
      <w:r w:rsidRPr="006D672A">
        <w:rPr>
          <w:rFonts w:cs="Arial"/>
          <w:sz w:val="16"/>
          <w:szCs w:val="16"/>
        </w:rPr>
        <w:t xml:space="preserve">bejmuje tylko działalność </w:t>
      </w:r>
      <w:r>
        <w:rPr>
          <w:rFonts w:cs="Arial"/>
          <w:sz w:val="16"/>
          <w:szCs w:val="16"/>
        </w:rPr>
        <w:t>„</w:t>
      </w:r>
      <w:r w:rsidRPr="006D672A">
        <w:rPr>
          <w:rFonts w:cs="Arial"/>
          <w:sz w:val="16"/>
          <w:szCs w:val="16"/>
        </w:rPr>
        <w:t>Leśnictwo i pozyskiwanie drewna</w:t>
      </w:r>
      <w:r>
        <w:rPr>
          <w:rFonts w:cs="Arial"/>
          <w:sz w:val="16"/>
          <w:szCs w:val="16"/>
        </w:rPr>
        <w:t>”</w:t>
      </w:r>
      <w:r w:rsidRPr="006D672A">
        <w:rPr>
          <w:rFonts w:cs="Arial"/>
          <w:sz w:val="16"/>
          <w:szCs w:val="16"/>
        </w:rPr>
        <w:t xml:space="preserve"> (dział 02) oraz </w:t>
      </w:r>
      <w:r>
        <w:rPr>
          <w:rFonts w:cs="Arial"/>
          <w:sz w:val="16"/>
          <w:szCs w:val="16"/>
        </w:rPr>
        <w:t>„</w:t>
      </w:r>
      <w:r w:rsidRPr="006D672A">
        <w:rPr>
          <w:rFonts w:cs="Arial"/>
          <w:sz w:val="16"/>
          <w:szCs w:val="16"/>
        </w:rPr>
        <w:t xml:space="preserve">Rybołówstwo </w:t>
      </w:r>
      <w:r>
        <w:rPr>
          <w:rFonts w:cs="Arial"/>
          <w:sz w:val="16"/>
          <w:szCs w:val="16"/>
        </w:rPr>
        <w:t xml:space="preserve">w wodach morskich” (klasa 03.11); </w:t>
      </w:r>
      <w:r w:rsidRPr="002933D7">
        <w:rPr>
          <w:rFonts w:cs="Arial"/>
          <w:b/>
          <w:sz w:val="16"/>
          <w:szCs w:val="16"/>
        </w:rPr>
        <w:t>b</w:t>
      </w:r>
      <w:r w:rsidRPr="0046654D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Z</w:t>
      </w:r>
      <w:r w:rsidRPr="0046654D">
        <w:rPr>
          <w:rFonts w:cs="Arial"/>
          <w:sz w:val="16"/>
          <w:szCs w:val="16"/>
        </w:rPr>
        <w:t xml:space="preserve"> wyłączeniem działalności </w:t>
      </w:r>
      <w:r>
        <w:rPr>
          <w:rFonts w:cs="Arial"/>
          <w:sz w:val="16"/>
          <w:szCs w:val="16"/>
        </w:rPr>
        <w:t>„</w:t>
      </w:r>
      <w:r w:rsidRPr="0046654D">
        <w:rPr>
          <w:rFonts w:cs="Arial"/>
          <w:sz w:val="16"/>
          <w:szCs w:val="16"/>
        </w:rPr>
        <w:t>Badania naukowe i prace rozwojowe</w:t>
      </w:r>
      <w:r>
        <w:rPr>
          <w:rFonts w:cs="Arial"/>
          <w:sz w:val="16"/>
          <w:szCs w:val="16"/>
        </w:rPr>
        <w:t>” (dział 72) i „Działalność weterynaryjna”</w:t>
      </w:r>
      <w:r w:rsidRPr="0046654D">
        <w:rPr>
          <w:rFonts w:cs="Arial"/>
          <w:sz w:val="16"/>
          <w:szCs w:val="16"/>
        </w:rPr>
        <w:t xml:space="preserve"> (dział 75)</w:t>
      </w:r>
      <w:r>
        <w:rPr>
          <w:rFonts w:cs="Arial"/>
          <w:sz w:val="16"/>
          <w:szCs w:val="16"/>
        </w:rPr>
        <w:t xml:space="preserve">; </w:t>
      </w:r>
      <w:r w:rsidRPr="002933D7">
        <w:rPr>
          <w:rFonts w:cs="Arial"/>
          <w:b/>
          <w:sz w:val="16"/>
          <w:szCs w:val="16"/>
        </w:rPr>
        <w:t>c</w:t>
      </w:r>
      <w:r>
        <w:rPr>
          <w:rFonts w:cs="Arial"/>
          <w:sz w:val="16"/>
          <w:szCs w:val="16"/>
        </w:rPr>
        <w:t xml:space="preserve"> Z</w:t>
      </w:r>
      <w:r w:rsidRPr="0046654D">
        <w:rPr>
          <w:rFonts w:cs="Arial"/>
          <w:sz w:val="16"/>
          <w:szCs w:val="16"/>
        </w:rPr>
        <w:t xml:space="preserve"> wyłączeniem działalności „Działalność organizacji członkowskich” (dział 94).</w:t>
      </w:r>
      <w:r>
        <w:rPr>
          <w:rFonts w:cs="Arial"/>
          <w:sz w:val="16"/>
          <w:szCs w:val="16"/>
        </w:rPr>
        <w:br/>
        <w:t>Z</w:t>
      </w:r>
      <w:r w:rsidRPr="00C20843">
        <w:rPr>
          <w:rFonts w:cs="Arial"/>
          <w:sz w:val="16"/>
          <w:szCs w:val="16"/>
        </w:rPr>
        <w:t>nak (∆)  — oznacza, że nazwy zostały skrócone w stosunku do obowiązującej klasyfikacji</w:t>
      </w:r>
      <w:r>
        <w:rPr>
          <w:rFonts w:cs="Arial"/>
          <w:sz w:val="16"/>
          <w:szCs w:val="16"/>
        </w:rPr>
        <w:t xml:space="preserve"> PKD 2007.</w:t>
      </w:r>
    </w:p>
    <w:p w:rsidR="00CF6010" w:rsidRDefault="009A61FF" w:rsidP="00F050E6">
      <w:pPr>
        <w:spacing w:before="600"/>
        <w:rPr>
          <w:szCs w:val="19"/>
        </w:rPr>
      </w:pPr>
      <w:r>
        <w:rPr>
          <w:noProof/>
          <w:szCs w:val="19"/>
          <w:lang w:eastAsia="pl-PL"/>
        </w:rPr>
        <w:pict>
          <v:shape id="_x0000_s1034" type="#_x0000_t202" style="position:absolute;margin-left:416.65pt;margin-top:19.5pt;width:135.85pt;height:136.5pt;z-index:-251628544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" filled="f" stroked="f">
            <v:textbox style="mso-next-textbox:#_x0000_s1034">
              <w:txbxContent>
                <w:p w:rsidR="00395AAA" w:rsidRPr="00FD5ADA" w:rsidRDefault="00395AAA" w:rsidP="00395AAA">
                  <w:pPr>
                    <w:pStyle w:val="tekstzboku"/>
                    <w:rPr>
                      <w:bCs w:val="0"/>
                    </w:rPr>
                  </w:pPr>
                  <w:r>
                    <w:rPr>
                      <w:bCs w:val="0"/>
                    </w:rPr>
                    <w:t xml:space="preserve">Przeciętne miesięczne wynagrodzenie brutto w sektorze przedsiębiorstw obejmuje wynagrodzenie zasadnicze oraz dodatkowe składowe wynagrodzeń, m.in. premie, nagrody, wynagrodzenie za płacę w godzinach nadliczbowych oraz odprawy emerytalne  </w:t>
                  </w:r>
                </w:p>
              </w:txbxContent>
            </v:textbox>
            <w10:wrap type="tight"/>
          </v:shape>
        </w:pict>
      </w:r>
      <w:r w:rsidR="00236B45">
        <w:rPr>
          <w:szCs w:val="19"/>
        </w:rPr>
        <w:t xml:space="preserve">W </w:t>
      </w:r>
      <w:r w:rsidR="00CF6010">
        <w:rPr>
          <w:szCs w:val="19"/>
        </w:rPr>
        <w:t>grudniu</w:t>
      </w:r>
      <w:r w:rsidR="00236B45">
        <w:rPr>
          <w:szCs w:val="19"/>
        </w:rPr>
        <w:t xml:space="preserve"> </w:t>
      </w:r>
      <w:r w:rsidR="003F1AB1">
        <w:rPr>
          <w:szCs w:val="19"/>
        </w:rPr>
        <w:t>202</w:t>
      </w:r>
      <w:r w:rsidR="00110ED3">
        <w:rPr>
          <w:szCs w:val="19"/>
        </w:rPr>
        <w:t>1</w:t>
      </w:r>
      <w:r w:rsidR="003F1AB1">
        <w:rPr>
          <w:szCs w:val="19"/>
        </w:rPr>
        <w:t xml:space="preserve"> r</w:t>
      </w:r>
      <w:r w:rsidR="00577ED3">
        <w:rPr>
          <w:szCs w:val="19"/>
        </w:rPr>
        <w:t>.</w:t>
      </w:r>
      <w:r w:rsidR="00330124">
        <w:rPr>
          <w:szCs w:val="19"/>
        </w:rPr>
        <w:t xml:space="preserve"> </w:t>
      </w:r>
      <w:r w:rsidR="00330124" w:rsidRPr="00330124">
        <w:rPr>
          <w:b/>
          <w:szCs w:val="19"/>
        </w:rPr>
        <w:t>przeciętne miesięczne wynagrodzenie brutto w sektorze przedsiębiorstw</w:t>
      </w:r>
      <w:r w:rsidR="008979B8">
        <w:rPr>
          <w:b/>
          <w:szCs w:val="19"/>
        </w:rPr>
        <w:t xml:space="preserve"> </w:t>
      </w:r>
      <w:r w:rsidR="007417B2">
        <w:rPr>
          <w:szCs w:val="19"/>
        </w:rPr>
        <w:t>zwiększyło się</w:t>
      </w:r>
      <w:r w:rsidR="00236B45">
        <w:rPr>
          <w:szCs w:val="19"/>
        </w:rPr>
        <w:t xml:space="preserve"> względem </w:t>
      </w:r>
      <w:r w:rsidR="00CF6010">
        <w:rPr>
          <w:szCs w:val="19"/>
        </w:rPr>
        <w:t>listopada</w:t>
      </w:r>
      <w:r w:rsidR="006B67DB">
        <w:rPr>
          <w:szCs w:val="19"/>
        </w:rPr>
        <w:t xml:space="preserve"> 2021 r. o 1</w:t>
      </w:r>
      <w:r w:rsidR="00CF6010">
        <w:rPr>
          <w:szCs w:val="19"/>
        </w:rPr>
        <w:t>0</w:t>
      </w:r>
      <w:r w:rsidR="006B67DB">
        <w:rPr>
          <w:szCs w:val="19"/>
        </w:rPr>
        <w:t>,</w:t>
      </w:r>
      <w:r w:rsidR="00CF6010">
        <w:rPr>
          <w:szCs w:val="19"/>
        </w:rPr>
        <w:t>3</w:t>
      </w:r>
      <w:r w:rsidR="00236B45">
        <w:rPr>
          <w:szCs w:val="19"/>
        </w:rPr>
        <w:t>%</w:t>
      </w:r>
      <w:r w:rsidR="00CF6010">
        <w:rPr>
          <w:szCs w:val="19"/>
        </w:rPr>
        <w:t xml:space="preserve">, </w:t>
      </w:r>
      <w:r w:rsidR="0048308C">
        <w:rPr>
          <w:szCs w:val="19"/>
        </w:rPr>
        <w:t>podczas gdy</w:t>
      </w:r>
      <w:r w:rsidR="00CF6010">
        <w:rPr>
          <w:szCs w:val="19"/>
        </w:rPr>
        <w:t xml:space="preserve"> w grudniu 2020 </w:t>
      </w:r>
      <w:r w:rsidR="00B850CE">
        <w:rPr>
          <w:szCs w:val="19"/>
        </w:rPr>
        <w:t>r.</w:t>
      </w:r>
      <w:r w:rsidR="00CF6010">
        <w:rPr>
          <w:szCs w:val="19"/>
        </w:rPr>
        <w:t xml:space="preserve"> względem listopada 2020 </w:t>
      </w:r>
      <w:r w:rsidR="00B850CE">
        <w:rPr>
          <w:szCs w:val="19"/>
        </w:rPr>
        <w:t>r.</w:t>
      </w:r>
      <w:r w:rsidR="00CF6010">
        <w:rPr>
          <w:szCs w:val="19"/>
        </w:rPr>
        <w:t xml:space="preserve"> dynamika wzrostu wyniosła 8,9%. </w:t>
      </w:r>
    </w:p>
    <w:p w:rsidR="006B67DB" w:rsidRDefault="00574966" w:rsidP="007417B2">
      <w:pPr>
        <w:rPr>
          <w:szCs w:val="19"/>
        </w:rPr>
      </w:pPr>
      <w:r>
        <w:rPr>
          <w:szCs w:val="19"/>
        </w:rPr>
        <w:t>Wzrost wynagrodzeń w grudniu 2021 r. względem listopada 2021 r. spowodowany był m.in</w:t>
      </w:r>
      <w:r w:rsidR="00542C31">
        <w:rPr>
          <w:szCs w:val="19"/>
        </w:rPr>
        <w:t>.</w:t>
      </w:r>
      <w:r w:rsidR="00482AFD">
        <w:rPr>
          <w:szCs w:val="19"/>
        </w:rPr>
        <w:t xml:space="preserve"> wypłatami premii kwartalnych, </w:t>
      </w:r>
      <w:r w:rsidR="00082115">
        <w:rPr>
          <w:szCs w:val="19"/>
        </w:rPr>
        <w:t>świątecznych</w:t>
      </w:r>
      <w:r>
        <w:rPr>
          <w:szCs w:val="19"/>
        </w:rPr>
        <w:t xml:space="preserve">, </w:t>
      </w:r>
      <w:r w:rsidR="00482AFD">
        <w:rPr>
          <w:szCs w:val="19"/>
        </w:rPr>
        <w:t>nagró</w:t>
      </w:r>
      <w:r w:rsidR="009C3DD7">
        <w:rPr>
          <w:szCs w:val="19"/>
        </w:rPr>
        <w:t>d z okazji Dnia Górnika</w:t>
      </w:r>
      <w:r>
        <w:rPr>
          <w:szCs w:val="19"/>
        </w:rPr>
        <w:t xml:space="preserve">, </w:t>
      </w:r>
      <w:r w:rsidR="009C3DD7">
        <w:rPr>
          <w:szCs w:val="19"/>
        </w:rPr>
        <w:t>nagród rocznych</w:t>
      </w:r>
      <w:r>
        <w:rPr>
          <w:szCs w:val="19"/>
        </w:rPr>
        <w:t xml:space="preserve">, </w:t>
      </w:r>
      <w:r w:rsidR="00082115">
        <w:rPr>
          <w:szCs w:val="19"/>
        </w:rPr>
        <w:t xml:space="preserve">uznaniowych, jubileuszowych, dodatkowych nagród jednorazowych, rozliczenia </w:t>
      </w:r>
      <w:r>
        <w:rPr>
          <w:szCs w:val="19"/>
        </w:rPr>
        <w:t>wynagrodzeń za pracę w godzinach nadliczbowych</w:t>
      </w:r>
      <w:r w:rsidR="009C3DD7">
        <w:rPr>
          <w:szCs w:val="19"/>
        </w:rPr>
        <w:t xml:space="preserve"> oraz</w:t>
      </w:r>
      <w:r w:rsidR="00482AFD">
        <w:rPr>
          <w:szCs w:val="19"/>
        </w:rPr>
        <w:t xml:space="preserve"> odpraw emerytalnych </w:t>
      </w:r>
      <w:r w:rsidR="00482AFD" w:rsidRPr="002D6BA5">
        <w:rPr>
          <w:szCs w:val="19"/>
        </w:rPr>
        <w:t xml:space="preserve">(które obok wynagrodzeń zasadniczych </w:t>
      </w:r>
      <w:r w:rsidR="00482AFD">
        <w:rPr>
          <w:szCs w:val="19"/>
        </w:rPr>
        <w:t>również</w:t>
      </w:r>
      <w:r w:rsidR="00482AFD" w:rsidRPr="002D6BA5">
        <w:rPr>
          <w:szCs w:val="19"/>
        </w:rPr>
        <w:t xml:space="preserve"> zaliczane są do składników wynagrodzeń</w:t>
      </w:r>
      <w:r w:rsidR="00482AFD" w:rsidRPr="002D6BA5">
        <w:rPr>
          <w:rStyle w:val="Odwoanieprzypisudolnego"/>
          <w:szCs w:val="19"/>
        </w:rPr>
        <w:footnoteReference w:id="4"/>
      </w:r>
      <w:r w:rsidR="00482AFD">
        <w:rPr>
          <w:szCs w:val="19"/>
        </w:rPr>
        <w:t>).</w:t>
      </w:r>
      <w:r w:rsidR="00AF3D7E">
        <w:rPr>
          <w:szCs w:val="19"/>
        </w:rPr>
        <w:t xml:space="preserve"> </w:t>
      </w:r>
      <w:r w:rsidR="006B67DB">
        <w:rPr>
          <w:szCs w:val="19"/>
        </w:rPr>
        <w:t>Najwyższy wzrost wynagro</w:t>
      </w:r>
      <w:r w:rsidR="00932104">
        <w:rPr>
          <w:szCs w:val="19"/>
        </w:rPr>
        <w:softHyphen/>
      </w:r>
      <w:r w:rsidR="006B67DB">
        <w:rPr>
          <w:szCs w:val="19"/>
        </w:rPr>
        <w:t xml:space="preserve">dzeń względem poprzedniego miesiąca </w:t>
      </w:r>
      <w:r w:rsidR="007417B2">
        <w:rPr>
          <w:szCs w:val="19"/>
        </w:rPr>
        <w:t>odnotowano</w:t>
      </w:r>
      <w:r w:rsidR="006B67DB">
        <w:rPr>
          <w:szCs w:val="19"/>
        </w:rPr>
        <w:t xml:space="preserve"> w sekcji </w:t>
      </w:r>
      <w:r w:rsidR="00627DBC">
        <w:rPr>
          <w:szCs w:val="19"/>
        </w:rPr>
        <w:t>„</w:t>
      </w:r>
      <w:r w:rsidR="00985250">
        <w:rPr>
          <w:szCs w:val="19"/>
        </w:rPr>
        <w:t>Rolnictwo, leśnictwo, łowiec</w:t>
      </w:r>
      <w:r w:rsidR="00932104">
        <w:rPr>
          <w:szCs w:val="19"/>
        </w:rPr>
        <w:softHyphen/>
      </w:r>
      <w:r w:rsidR="00985250">
        <w:rPr>
          <w:szCs w:val="19"/>
        </w:rPr>
        <w:t>two i rybactwo”</w:t>
      </w:r>
      <w:r w:rsidR="00985250">
        <w:rPr>
          <w:rStyle w:val="Odwoanieprzypisudolnego"/>
          <w:szCs w:val="19"/>
        </w:rPr>
        <w:footnoteReference w:id="5"/>
      </w:r>
      <w:r w:rsidR="00985250">
        <w:rPr>
          <w:szCs w:val="19"/>
        </w:rPr>
        <w:t xml:space="preserve"> (o 112,3%), gdzie wynagrodzenia wyniosły 14751,91 zł (miesiąc wcześniej 6949,39 zł), </w:t>
      </w:r>
      <w:r w:rsidR="00CE3C2A">
        <w:rPr>
          <w:szCs w:val="19"/>
        </w:rPr>
        <w:t>„</w:t>
      </w:r>
      <w:r w:rsidR="00985250">
        <w:rPr>
          <w:szCs w:val="19"/>
        </w:rPr>
        <w:t>G</w:t>
      </w:r>
      <w:r w:rsidR="007417B2">
        <w:rPr>
          <w:szCs w:val="19"/>
        </w:rPr>
        <w:t>órnictwo i </w:t>
      </w:r>
      <w:r w:rsidR="00985250">
        <w:rPr>
          <w:szCs w:val="19"/>
        </w:rPr>
        <w:t>wydobywanie” (o 55,5</w:t>
      </w:r>
      <w:r w:rsidR="006B67DB">
        <w:rPr>
          <w:szCs w:val="19"/>
        </w:rPr>
        <w:t xml:space="preserve">%), gdzie </w:t>
      </w:r>
      <w:r w:rsidR="00CC6846">
        <w:rPr>
          <w:szCs w:val="19"/>
        </w:rPr>
        <w:t xml:space="preserve">przeciętna </w:t>
      </w:r>
      <w:r w:rsidR="006B67DB">
        <w:rPr>
          <w:szCs w:val="19"/>
        </w:rPr>
        <w:t>płac</w:t>
      </w:r>
      <w:r w:rsidR="00CC6846">
        <w:rPr>
          <w:szCs w:val="19"/>
        </w:rPr>
        <w:t>a brutto</w:t>
      </w:r>
      <w:r w:rsidR="006B67DB">
        <w:rPr>
          <w:szCs w:val="19"/>
        </w:rPr>
        <w:t xml:space="preserve"> wyniosł</w:t>
      </w:r>
      <w:r w:rsidR="00CC6846">
        <w:rPr>
          <w:szCs w:val="19"/>
        </w:rPr>
        <w:t>a</w:t>
      </w:r>
      <w:r w:rsidR="006B67DB">
        <w:rPr>
          <w:szCs w:val="19"/>
        </w:rPr>
        <w:t xml:space="preserve"> 1</w:t>
      </w:r>
      <w:r w:rsidR="00985250">
        <w:rPr>
          <w:szCs w:val="19"/>
        </w:rPr>
        <w:t>6224,97</w:t>
      </w:r>
      <w:r w:rsidR="006B67DB">
        <w:rPr>
          <w:szCs w:val="19"/>
        </w:rPr>
        <w:t xml:space="preserve"> zł (miesiąc wcześniej </w:t>
      </w:r>
      <w:r w:rsidR="00985250">
        <w:rPr>
          <w:szCs w:val="19"/>
        </w:rPr>
        <w:t>10436,85 zł), „Działalność związana z kulturą, rozrywką i rekre</w:t>
      </w:r>
      <w:r w:rsidR="00932104">
        <w:rPr>
          <w:szCs w:val="19"/>
        </w:rPr>
        <w:softHyphen/>
      </w:r>
      <w:r w:rsidR="00985250">
        <w:rPr>
          <w:szCs w:val="19"/>
        </w:rPr>
        <w:t>a</w:t>
      </w:r>
      <w:r w:rsidR="00932104">
        <w:rPr>
          <w:szCs w:val="19"/>
        </w:rPr>
        <w:softHyphen/>
      </w:r>
      <w:r w:rsidR="00985250">
        <w:rPr>
          <w:szCs w:val="19"/>
        </w:rPr>
        <w:t xml:space="preserve">cją” (o 25,0%), gdzie wynagrodzenia zwiększyły się do 6551,03 zł (miesiąc wcześniej wyniosły 5239,98 zł). </w:t>
      </w:r>
    </w:p>
    <w:p w:rsidR="00C27C83" w:rsidRDefault="00132A3E" w:rsidP="00552EFF">
      <w:pPr>
        <w:spacing w:before="0" w:after="0"/>
        <w:rPr>
          <w:szCs w:val="19"/>
        </w:rPr>
      </w:pPr>
      <w:r>
        <w:rPr>
          <w:szCs w:val="19"/>
        </w:rPr>
        <w:t xml:space="preserve">W skali roku </w:t>
      </w:r>
      <w:r w:rsidRPr="00D033A8">
        <w:rPr>
          <w:szCs w:val="19"/>
        </w:rPr>
        <w:t>(</w:t>
      </w:r>
      <w:r>
        <w:rPr>
          <w:szCs w:val="19"/>
        </w:rPr>
        <w:t>grudzień</w:t>
      </w:r>
      <w:r w:rsidRPr="00D033A8">
        <w:rPr>
          <w:szCs w:val="19"/>
        </w:rPr>
        <w:t xml:space="preserve"> </w:t>
      </w:r>
      <w:r>
        <w:rPr>
          <w:szCs w:val="19"/>
        </w:rPr>
        <w:t>2021</w:t>
      </w:r>
      <w:r w:rsidRPr="00D033A8">
        <w:rPr>
          <w:szCs w:val="19"/>
        </w:rPr>
        <w:t xml:space="preserve"> r. do </w:t>
      </w:r>
      <w:r>
        <w:rPr>
          <w:szCs w:val="19"/>
        </w:rPr>
        <w:t>grudnia 2020</w:t>
      </w:r>
      <w:r w:rsidRPr="00D033A8">
        <w:rPr>
          <w:szCs w:val="19"/>
        </w:rPr>
        <w:t xml:space="preserve"> r.) przeciętne miesięczne wynagrodzenie </w:t>
      </w:r>
      <w:r>
        <w:rPr>
          <w:szCs w:val="19"/>
        </w:rPr>
        <w:t xml:space="preserve">brutto </w:t>
      </w:r>
      <w:r w:rsidRPr="00D033A8">
        <w:rPr>
          <w:szCs w:val="19"/>
        </w:rPr>
        <w:t>wzrosło o </w:t>
      </w:r>
      <w:r>
        <w:rPr>
          <w:szCs w:val="19"/>
        </w:rPr>
        <w:t xml:space="preserve">11,2%. Przed rokiem (grudzień 2020 r. do grudnia 2019 r.) odnotowano dynamikę wzrostu płac na poziomie 6,6%. </w:t>
      </w:r>
    </w:p>
    <w:p w:rsidR="00C27C83" w:rsidRDefault="00C27C83">
      <w:pPr>
        <w:spacing w:before="0" w:after="0" w:line="240" w:lineRule="auto"/>
        <w:rPr>
          <w:szCs w:val="19"/>
        </w:rPr>
      </w:pPr>
      <w:r>
        <w:rPr>
          <w:szCs w:val="19"/>
        </w:rPr>
        <w:br w:type="page"/>
      </w:r>
    </w:p>
    <w:p w:rsidR="00C27C83" w:rsidRDefault="009A61FF" w:rsidP="00C27C83">
      <w:pPr>
        <w:spacing w:before="0" w:after="0"/>
        <w:rPr>
          <w:b/>
          <w:noProof/>
          <w:spacing w:val="-2"/>
          <w:sz w:val="18"/>
          <w:lang w:eastAsia="pl-PL"/>
        </w:rPr>
      </w:pPr>
      <w:r>
        <w:rPr>
          <w:noProof/>
          <w:szCs w:val="19"/>
          <w:lang w:val="en-GB" w:eastAsia="en-GB"/>
        </w:rPr>
        <w:lastRenderedPageBreak/>
        <w:pict>
          <v:shape id="_x0000_s1041" type="#_x0000_t202" style="position:absolute;margin-left:416.65pt;margin-top:2.45pt;width:135.85pt;height:109.35pt;z-index:-251621376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" filled="f" stroked="f">
            <v:textbox style="mso-next-textbox:#_x0000_s1041">
              <w:txbxContent>
                <w:p w:rsidR="00C27C83" w:rsidRPr="00FD5ADA" w:rsidRDefault="00C27C83" w:rsidP="00C27C83">
                  <w:pPr>
                    <w:pStyle w:val="tekstzboku"/>
                    <w:rPr>
                      <w:bCs w:val="0"/>
                    </w:rPr>
                  </w:pPr>
                  <w:r>
                    <w:rPr>
                      <w:bCs w:val="0"/>
                    </w:rPr>
                    <w:t xml:space="preserve">Zjawisko wzrostu płac w grudniu jest obserwowane co roku, m.in. z uwagi na wypłacane w niektórych jednostkach dodatkowe premie i nagrody </w:t>
                  </w:r>
                </w:p>
              </w:txbxContent>
            </v:textbox>
            <w10:wrap type="tight"/>
          </v:shape>
        </w:pict>
      </w:r>
      <w:r w:rsidR="00C27C83" w:rsidRPr="00FF7045">
        <w:rPr>
          <w:b/>
          <w:noProof/>
          <w:spacing w:val="-2"/>
          <w:sz w:val="18"/>
          <w:lang w:eastAsia="pl-PL"/>
        </w:rPr>
        <w:t>Wykres 2. Przeciętne miesięczne wynagrodzenie brutto w sektorze przedsiębiorstw</w:t>
      </w:r>
      <w:r w:rsidR="007271B9" w:rsidRPr="007271B9">
        <w:rPr>
          <w:b/>
          <w:noProof/>
          <w:spacing w:val="-2"/>
          <w:sz w:val="18"/>
          <w:lang w:eastAsia="pl-PL"/>
        </w:rPr>
        <w:drawing>
          <wp:anchor distT="0" distB="0" distL="114300" distR="114300" simplePos="0" relativeHeight="251697152" behindDoc="0" locked="1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196850</wp:posOffset>
            </wp:positionV>
            <wp:extent cx="5124450" cy="3057525"/>
            <wp:effectExtent l="19050" t="0" r="0" b="0"/>
            <wp:wrapTopAndBottom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C27C83" w:rsidRDefault="00C27C83" w:rsidP="00C27C83">
      <w:pPr>
        <w:rPr>
          <w:szCs w:val="19"/>
        </w:rPr>
      </w:pPr>
      <w:r>
        <w:rPr>
          <w:bCs/>
          <w:szCs w:val="19"/>
        </w:rPr>
        <w:t xml:space="preserve">Narastająco w </w:t>
      </w:r>
      <w:r w:rsidRPr="009118C4">
        <w:rPr>
          <w:bCs/>
          <w:szCs w:val="19"/>
        </w:rPr>
        <w:t xml:space="preserve">okresie </w:t>
      </w:r>
      <w:r>
        <w:rPr>
          <w:bCs/>
          <w:szCs w:val="19"/>
        </w:rPr>
        <w:t>całego roku</w:t>
      </w:r>
      <w:r w:rsidRPr="009118C4">
        <w:rPr>
          <w:bCs/>
          <w:szCs w:val="19"/>
        </w:rPr>
        <w:t xml:space="preserve"> 202</w:t>
      </w:r>
      <w:r>
        <w:rPr>
          <w:bCs/>
          <w:szCs w:val="19"/>
        </w:rPr>
        <w:t>1</w:t>
      </w:r>
      <w:r w:rsidRPr="009118C4">
        <w:rPr>
          <w:bCs/>
          <w:szCs w:val="19"/>
        </w:rPr>
        <w:t xml:space="preserve"> r. przeci</w:t>
      </w:r>
      <w:r>
        <w:rPr>
          <w:bCs/>
          <w:szCs w:val="19"/>
        </w:rPr>
        <w:t xml:space="preserve">ętne miesięczne wynagrodzenie brutto w sektorze przedsiębiorstw w stosunku do poprzedniego roku wzrosło we wszystkich sekcjach PKD 2007 </w:t>
      </w:r>
      <w:r w:rsidRPr="00877482">
        <w:rPr>
          <w:szCs w:val="19"/>
        </w:rPr>
        <w:t>od </w:t>
      </w:r>
      <w:r>
        <w:rPr>
          <w:szCs w:val="19"/>
        </w:rPr>
        <w:t>5,3%</w:t>
      </w:r>
      <w:r w:rsidRPr="00877482">
        <w:rPr>
          <w:szCs w:val="19"/>
        </w:rPr>
        <w:t xml:space="preserve"> w sekcji „</w:t>
      </w:r>
      <w:r>
        <w:rPr>
          <w:szCs w:val="19"/>
        </w:rPr>
        <w:t xml:space="preserve">Wytwarzanie i zaopatrywanie </w:t>
      </w:r>
      <w:r w:rsidRPr="008034FA">
        <w:rPr>
          <w:szCs w:val="19"/>
        </w:rPr>
        <w:t>w energię elektryczną, gaz, parę wodną i gorącą wodę</w:t>
      </w:r>
      <w:r w:rsidRPr="00877482">
        <w:rPr>
          <w:szCs w:val="19"/>
        </w:rPr>
        <w:t xml:space="preserve">” do </w:t>
      </w:r>
      <w:r>
        <w:rPr>
          <w:szCs w:val="19"/>
        </w:rPr>
        <w:t>14,6</w:t>
      </w:r>
      <w:r w:rsidRPr="00877482">
        <w:rPr>
          <w:szCs w:val="19"/>
        </w:rPr>
        <w:t>% w sekcji „</w:t>
      </w:r>
      <w:r w:rsidRPr="005D21DF">
        <w:rPr>
          <w:szCs w:val="19"/>
        </w:rPr>
        <w:t>Rolnictwo, leśnictwo, łowiectwo i rybactwo</w:t>
      </w:r>
      <w:r>
        <w:rPr>
          <w:szCs w:val="19"/>
        </w:rPr>
        <w:t>”</w:t>
      </w:r>
      <w:r>
        <w:rPr>
          <w:rStyle w:val="Odwoanieprzypisudolnego"/>
          <w:szCs w:val="19"/>
        </w:rPr>
        <w:footnoteReference w:id="6"/>
      </w:r>
      <w:r>
        <w:rPr>
          <w:szCs w:val="19"/>
        </w:rPr>
        <w:t>,</w:t>
      </w:r>
      <w:r w:rsidRPr="00572A21">
        <w:rPr>
          <w:szCs w:val="19"/>
        </w:rPr>
        <w:t xml:space="preserve"> </w:t>
      </w:r>
      <w:r w:rsidRPr="009118C4">
        <w:rPr>
          <w:szCs w:val="19"/>
        </w:rPr>
        <w:t>co dało ogółem wzrost w</w:t>
      </w:r>
      <w:r>
        <w:rPr>
          <w:szCs w:val="19"/>
        </w:rPr>
        <w:t> </w:t>
      </w:r>
      <w:r w:rsidRPr="009118C4">
        <w:rPr>
          <w:szCs w:val="19"/>
        </w:rPr>
        <w:t>sektorze przedsięb</w:t>
      </w:r>
      <w:r>
        <w:rPr>
          <w:szCs w:val="19"/>
        </w:rPr>
        <w:t>iorstw o 8,8%</w:t>
      </w:r>
      <w:r w:rsidRPr="009118C4">
        <w:rPr>
          <w:szCs w:val="19"/>
        </w:rPr>
        <w:t>.</w:t>
      </w:r>
      <w:r>
        <w:rPr>
          <w:szCs w:val="19"/>
        </w:rPr>
        <w:t xml:space="preserve"> Najwyższą przeciętną płacę brutto w sektorze przedsiębiorstw w okresie narastającym odnotowano w sekcji „Informacja i komunikacja” w wysokości 10084,83 zł (wzrost o 9,0% względem analogicznego okresu roku poprzedniego), zaś najniższą w sekcji „Zakwaterowanie i gastronomia” na poziomie 4236,31 zł (pomimo wzrostu w odniesieniu do sytuacji sprzed roku o 12,5%).</w:t>
      </w:r>
    </w:p>
    <w:p w:rsidR="004562C0" w:rsidRDefault="004562C0" w:rsidP="00C27C83">
      <w:pPr>
        <w:rPr>
          <w:rFonts w:ascii="Fira Sans SemiBold" w:eastAsia="Times New Roman" w:hAnsi="Fira Sans SemiBold"/>
          <w:bCs/>
          <w:color w:val="001D77"/>
          <w:szCs w:val="24"/>
          <w:lang w:eastAsia="pl-PL"/>
        </w:rPr>
      </w:pPr>
      <w:r>
        <w:rPr>
          <w:b/>
          <w:noProof/>
          <w:spacing w:val="-2"/>
          <w:sz w:val="18"/>
          <w:lang w:eastAsia="pl-PL"/>
        </w:rPr>
        <w:t>Tablica</w:t>
      </w:r>
      <w:r w:rsidRPr="00FF7045">
        <w:rPr>
          <w:b/>
          <w:noProof/>
          <w:spacing w:val="-2"/>
          <w:sz w:val="18"/>
          <w:lang w:eastAsia="pl-PL"/>
        </w:rPr>
        <w:t xml:space="preserve"> </w:t>
      </w:r>
      <w:r w:rsidR="007523C5">
        <w:rPr>
          <w:b/>
          <w:noProof/>
          <w:spacing w:val="-2"/>
          <w:sz w:val="18"/>
          <w:lang w:eastAsia="pl-PL"/>
        </w:rPr>
        <w:t>3</w:t>
      </w:r>
      <w:r w:rsidRPr="00FF7045">
        <w:rPr>
          <w:b/>
          <w:noProof/>
          <w:spacing w:val="-2"/>
          <w:sz w:val="18"/>
          <w:lang w:eastAsia="pl-PL"/>
        </w:rPr>
        <w:t xml:space="preserve">. </w:t>
      </w:r>
      <w:r w:rsidR="00890479">
        <w:rPr>
          <w:b/>
          <w:noProof/>
          <w:spacing w:val="-2"/>
          <w:sz w:val="18"/>
          <w:lang w:eastAsia="pl-PL"/>
        </w:rPr>
        <w:t xml:space="preserve"> </w:t>
      </w:r>
      <w:r w:rsidRPr="00FF7045">
        <w:rPr>
          <w:b/>
          <w:noProof/>
          <w:spacing w:val="-2"/>
          <w:sz w:val="18"/>
          <w:lang w:eastAsia="pl-PL"/>
        </w:rPr>
        <w:t>Przeciętne miesięczne wynagrodzenie brutto w sektorze przedsiębiorstw</w:t>
      </w:r>
      <w:r w:rsidR="006D672A">
        <w:rPr>
          <w:b/>
          <w:noProof/>
          <w:spacing w:val="-2"/>
          <w:sz w:val="18"/>
          <w:lang w:eastAsia="pl-PL"/>
        </w:rPr>
        <w:t xml:space="preserve"> </w:t>
      </w:r>
      <w:r w:rsidR="00450774">
        <w:rPr>
          <w:b/>
          <w:noProof/>
          <w:spacing w:val="-2"/>
          <w:sz w:val="18"/>
          <w:lang w:eastAsia="pl-PL"/>
        </w:rPr>
        <w:t xml:space="preserve">w grudniu 2021 r. </w:t>
      </w:r>
      <w:r w:rsidR="00F405A2">
        <w:rPr>
          <w:b/>
          <w:noProof/>
          <w:spacing w:val="-2"/>
          <w:sz w:val="18"/>
          <w:lang w:eastAsia="pl-PL"/>
        </w:rPr>
        <w:t>według</w:t>
      </w:r>
      <w:r w:rsidR="006D672A">
        <w:rPr>
          <w:b/>
          <w:noProof/>
          <w:spacing w:val="-2"/>
          <w:sz w:val="18"/>
          <w:lang w:eastAsia="pl-PL"/>
        </w:rPr>
        <w:t xml:space="preserve"> rodzajów działalności PKD 2007</w:t>
      </w:r>
    </w:p>
    <w:tbl>
      <w:tblPr>
        <w:tblW w:w="8330" w:type="dxa"/>
        <w:tblBorders>
          <w:bottom w:val="single" w:sz="12" w:space="0" w:color="001D77"/>
          <w:insideH w:val="single" w:sz="4" w:space="0" w:color="001D77"/>
          <w:insideV w:val="single" w:sz="4" w:space="0" w:color="001D77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1134"/>
        <w:gridCol w:w="993"/>
        <w:gridCol w:w="944"/>
        <w:gridCol w:w="1182"/>
        <w:gridCol w:w="1134"/>
      </w:tblGrid>
      <w:tr w:rsidR="004562C0" w:rsidRPr="009A6652" w:rsidTr="00450774">
        <w:trPr>
          <w:trHeight w:val="510"/>
          <w:tblHeader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4562C0" w:rsidRPr="00993903" w:rsidRDefault="004562C0" w:rsidP="00CB7D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WYSZCZEGÓLNIENIE</w:t>
            </w:r>
          </w:p>
          <w:p w:rsidR="004562C0" w:rsidRPr="00993903" w:rsidRDefault="004562C0" w:rsidP="00CB7D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071" w:type="dxa"/>
            <w:gridSpan w:val="3"/>
            <w:tcBorders>
              <w:bottom w:val="single" w:sz="4" w:space="0" w:color="001D77"/>
            </w:tcBorders>
            <w:shd w:val="clear" w:color="auto" w:fill="auto"/>
            <w:vAlign w:val="center"/>
          </w:tcPr>
          <w:p w:rsidR="004562C0" w:rsidRPr="00993903" w:rsidRDefault="007D637D" w:rsidP="0096523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4562C0">
              <w:rPr>
                <w:sz w:val="16"/>
                <w:szCs w:val="16"/>
              </w:rPr>
              <w:t xml:space="preserve"> 2021</w:t>
            </w:r>
          </w:p>
        </w:tc>
        <w:tc>
          <w:tcPr>
            <w:tcW w:w="2316" w:type="dxa"/>
            <w:gridSpan w:val="2"/>
            <w:tcBorders>
              <w:bottom w:val="single" w:sz="4" w:space="0" w:color="001D77"/>
            </w:tcBorders>
            <w:shd w:val="clear" w:color="auto" w:fill="auto"/>
            <w:vAlign w:val="center"/>
          </w:tcPr>
          <w:p w:rsidR="00A27049" w:rsidRPr="00993903" w:rsidRDefault="00A27049" w:rsidP="0096523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01–12 </w:t>
            </w:r>
            <w:r w:rsidR="004562C0">
              <w:rPr>
                <w:sz w:val="16"/>
                <w:szCs w:val="16"/>
              </w:rPr>
              <w:t>2021</w:t>
            </w:r>
          </w:p>
        </w:tc>
      </w:tr>
      <w:tr w:rsidR="006D672A" w:rsidRPr="009A6652" w:rsidTr="00450774">
        <w:trPr>
          <w:trHeight w:val="565"/>
          <w:tblHeader/>
        </w:trPr>
        <w:tc>
          <w:tcPr>
            <w:tcW w:w="2943" w:type="dxa"/>
            <w:vMerge/>
            <w:tcBorders>
              <w:bottom w:val="single" w:sz="12" w:space="0" w:color="001D77"/>
            </w:tcBorders>
            <w:shd w:val="clear" w:color="auto" w:fill="auto"/>
            <w:vAlign w:val="center"/>
          </w:tcPr>
          <w:p w:rsidR="004562C0" w:rsidRPr="00993903" w:rsidRDefault="004562C0" w:rsidP="00CB7D2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4562C0" w:rsidRPr="00993903" w:rsidRDefault="008C19C8" w:rsidP="004562C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złotych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4562C0" w:rsidRPr="00993903" w:rsidRDefault="007D637D" w:rsidP="006B067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  <w:r w:rsidR="006B067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4562C0" w:rsidRPr="00CC690C">
              <w:rPr>
                <w:rFonts w:cs="Arial"/>
                <w:color w:val="000000"/>
                <w:sz w:val="16"/>
                <w:szCs w:val="16"/>
              </w:rPr>
              <w:t>20</w:t>
            </w:r>
            <w:r w:rsidR="004562C0">
              <w:rPr>
                <w:rFonts w:cs="Arial"/>
                <w:color w:val="000000"/>
                <w:sz w:val="16"/>
                <w:szCs w:val="16"/>
              </w:rPr>
              <w:t>21</w:t>
            </w:r>
            <w:r w:rsidR="004562C0" w:rsidRPr="00CC690C">
              <w:rPr>
                <w:rFonts w:cs="Arial"/>
                <w:color w:val="000000"/>
                <w:sz w:val="16"/>
                <w:szCs w:val="16"/>
              </w:rPr>
              <w:t>=</w:t>
            </w:r>
            <w:r w:rsidR="006B0674">
              <w:rPr>
                <w:rFonts w:cs="Arial"/>
                <w:color w:val="000000"/>
                <w:sz w:val="16"/>
                <w:szCs w:val="16"/>
              </w:rPr>
              <w:t xml:space="preserve"> =</w:t>
            </w:r>
            <w:r w:rsidR="004562C0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4562C0" w:rsidRPr="00993903" w:rsidRDefault="007D637D" w:rsidP="006B067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4562C0">
              <w:rPr>
                <w:sz w:val="16"/>
                <w:szCs w:val="16"/>
              </w:rPr>
              <w:t xml:space="preserve"> </w:t>
            </w:r>
            <w:r w:rsidR="006B0674">
              <w:rPr>
                <w:sz w:val="16"/>
                <w:szCs w:val="16"/>
              </w:rPr>
              <w:t>2</w:t>
            </w:r>
            <w:r w:rsidR="004562C0">
              <w:rPr>
                <w:sz w:val="16"/>
                <w:szCs w:val="16"/>
              </w:rPr>
              <w:t>020=</w:t>
            </w:r>
            <w:r w:rsidR="006B0674">
              <w:rPr>
                <w:sz w:val="16"/>
                <w:szCs w:val="16"/>
              </w:rPr>
              <w:t xml:space="preserve"> =</w:t>
            </w:r>
            <w:r w:rsidR="004562C0">
              <w:rPr>
                <w:sz w:val="16"/>
                <w:szCs w:val="16"/>
              </w:rPr>
              <w:t>100</w:t>
            </w:r>
          </w:p>
        </w:tc>
        <w:tc>
          <w:tcPr>
            <w:tcW w:w="1182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4562C0" w:rsidRPr="00993903" w:rsidRDefault="008C19C8" w:rsidP="004562C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złotych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6B0674" w:rsidRDefault="00A27049" w:rsidP="0048335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01-12</w:t>
            </w:r>
            <w:r w:rsidR="004562C0">
              <w:rPr>
                <w:sz w:val="16"/>
                <w:szCs w:val="16"/>
              </w:rPr>
              <w:t xml:space="preserve"> 2020</w:t>
            </w:r>
            <w:r w:rsidR="006D672A">
              <w:rPr>
                <w:sz w:val="16"/>
                <w:szCs w:val="16"/>
              </w:rPr>
              <w:t>=</w:t>
            </w:r>
          </w:p>
          <w:p w:rsidR="004562C0" w:rsidRPr="00993903" w:rsidRDefault="006B0674" w:rsidP="0048335E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  <w:r w:rsidR="006D672A">
              <w:rPr>
                <w:sz w:val="16"/>
                <w:szCs w:val="16"/>
              </w:rPr>
              <w:t>100</w:t>
            </w:r>
          </w:p>
        </w:tc>
      </w:tr>
      <w:tr w:rsidR="006D672A" w:rsidRPr="00993903" w:rsidTr="00890479">
        <w:tblPrEx>
          <w:tblBorders>
            <w:bottom w:val="none" w:sz="0" w:space="0" w:color="auto"/>
          </w:tblBorders>
        </w:tblPrEx>
        <w:trPr>
          <w:trHeight w:val="398"/>
        </w:trPr>
        <w:tc>
          <w:tcPr>
            <w:tcW w:w="2943" w:type="dxa"/>
            <w:tcBorders>
              <w:top w:val="single" w:sz="12" w:space="0" w:color="001D77"/>
            </w:tcBorders>
            <w:shd w:val="clear" w:color="auto" w:fill="auto"/>
            <w:vAlign w:val="bottom"/>
          </w:tcPr>
          <w:p w:rsidR="004562C0" w:rsidRPr="00447DEB" w:rsidRDefault="00CC4F0E" w:rsidP="00CB7D23">
            <w:pPr>
              <w:tabs>
                <w:tab w:val="left" w:leader="dot" w:pos="3714"/>
              </w:tabs>
              <w:autoSpaceDE w:val="0"/>
              <w:autoSpaceDN w:val="0"/>
              <w:adjustRightInd w:val="0"/>
              <w:spacing w:before="0" w:after="0"/>
              <w:rPr>
                <w:b/>
                <w:spacing w:val="-4"/>
                <w:sz w:val="16"/>
                <w:szCs w:val="16"/>
              </w:rPr>
            </w:pPr>
            <w:r>
              <w:rPr>
                <w:b/>
                <w:spacing w:val="-4"/>
                <w:sz w:val="16"/>
                <w:szCs w:val="16"/>
              </w:rPr>
              <w:t>SEKTOR PRZEDSIĘBIORSTW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562C0" w:rsidRPr="00F103F0" w:rsidRDefault="005C38B7" w:rsidP="005C38B7">
            <w:pPr>
              <w:spacing w:before="0" w:after="0"/>
              <w:ind w:right="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6644,39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562C0" w:rsidRPr="00F103F0" w:rsidRDefault="00FA350B" w:rsidP="00CB7D23">
            <w:pPr>
              <w:spacing w:before="0" w:after="0"/>
              <w:ind w:right="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110,3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4562C0" w:rsidRPr="00447DEB" w:rsidRDefault="00FA350B" w:rsidP="00CB7D23">
            <w:pPr>
              <w:spacing w:before="0" w:after="0"/>
              <w:ind w:right="5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111,2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4562C0" w:rsidRPr="00447DEB" w:rsidRDefault="00FA350B" w:rsidP="00FA350B">
            <w:pPr>
              <w:spacing w:before="0" w:after="0"/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5889,84</w:t>
            </w:r>
          </w:p>
        </w:tc>
        <w:tc>
          <w:tcPr>
            <w:tcW w:w="1134" w:type="dxa"/>
            <w:vAlign w:val="bottom"/>
          </w:tcPr>
          <w:p w:rsidR="004562C0" w:rsidRPr="00447DEB" w:rsidRDefault="004562C0" w:rsidP="00FA350B">
            <w:pPr>
              <w:spacing w:before="0" w:after="0"/>
              <w:ind w:right="5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447DEB">
              <w:rPr>
                <w:rFonts w:cs="Arial"/>
                <w:b/>
                <w:bCs/>
                <w:sz w:val="16"/>
                <w:szCs w:val="16"/>
              </w:rPr>
              <w:t>10</w:t>
            </w:r>
            <w:r w:rsidR="00FA350B">
              <w:rPr>
                <w:rFonts w:cs="Arial"/>
                <w:b/>
                <w:bCs/>
                <w:sz w:val="16"/>
                <w:szCs w:val="16"/>
              </w:rPr>
              <w:t>8</w:t>
            </w:r>
            <w:r w:rsidRPr="00447DEB">
              <w:rPr>
                <w:rFonts w:cs="Arial"/>
                <w:b/>
                <w:bCs/>
                <w:sz w:val="16"/>
                <w:szCs w:val="16"/>
              </w:rPr>
              <w:t>,</w:t>
            </w:r>
            <w:r w:rsidR="00FA350B">
              <w:rPr>
                <w:rFonts w:cs="Arial"/>
                <w:b/>
                <w:bCs/>
                <w:sz w:val="16"/>
                <w:szCs w:val="16"/>
              </w:rPr>
              <w:t>8</w:t>
            </w:r>
          </w:p>
        </w:tc>
      </w:tr>
      <w:tr w:rsidR="005C38B7" w:rsidRPr="009A6652" w:rsidTr="00890479">
        <w:tblPrEx>
          <w:tblBorders>
            <w:bottom w:val="none" w:sz="0" w:space="0" w:color="auto"/>
          </w:tblBorders>
        </w:tblPrEx>
        <w:tc>
          <w:tcPr>
            <w:tcW w:w="2943" w:type="dxa"/>
            <w:shd w:val="clear" w:color="auto" w:fill="auto"/>
            <w:vAlign w:val="bottom"/>
          </w:tcPr>
          <w:p w:rsidR="005C38B7" w:rsidRPr="00993903" w:rsidRDefault="005C38B7" w:rsidP="00890479">
            <w:pPr>
              <w:spacing w:before="0" w:after="0" w:line="240" w:lineRule="auto"/>
              <w:rPr>
                <w:sz w:val="16"/>
                <w:szCs w:val="16"/>
              </w:rPr>
            </w:pPr>
            <w:r w:rsidRPr="00993903">
              <w:rPr>
                <w:rFonts w:cs="Arial"/>
                <w:sz w:val="16"/>
                <w:szCs w:val="16"/>
              </w:rPr>
              <w:t xml:space="preserve">Rolnictwo, leśnictwo, łowiectwo </w:t>
            </w:r>
            <w:r w:rsidRPr="00993903">
              <w:rPr>
                <w:rFonts w:cs="Arial"/>
                <w:sz w:val="16"/>
                <w:szCs w:val="16"/>
              </w:rPr>
              <w:br/>
              <w:t xml:space="preserve">i </w:t>
            </w:r>
            <w:proofErr w:type="spellStart"/>
            <w:r w:rsidRPr="00993903">
              <w:rPr>
                <w:rFonts w:cs="Arial"/>
                <w:sz w:val="16"/>
                <w:szCs w:val="16"/>
              </w:rPr>
              <w:t>rybactwo</w:t>
            </w:r>
            <w:r w:rsidR="00890479" w:rsidRPr="00890479">
              <w:rPr>
                <w:rFonts w:cs="Arial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5C38B7">
              <w:rPr>
                <w:bCs/>
                <w:color w:val="000000"/>
                <w:sz w:val="16"/>
                <w:szCs w:val="16"/>
              </w:rPr>
              <w:t>14751,91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212,3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133,5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7854,40</w:t>
            </w:r>
          </w:p>
        </w:tc>
        <w:tc>
          <w:tcPr>
            <w:tcW w:w="1134" w:type="dxa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114,6</w:t>
            </w:r>
          </w:p>
        </w:tc>
      </w:tr>
      <w:tr w:rsidR="005C38B7" w:rsidRPr="009A6652" w:rsidTr="00890479">
        <w:tblPrEx>
          <w:tblBorders>
            <w:bottom w:val="none" w:sz="0" w:space="0" w:color="auto"/>
          </w:tblBorders>
        </w:tblPrEx>
        <w:tc>
          <w:tcPr>
            <w:tcW w:w="2943" w:type="dxa"/>
            <w:shd w:val="clear" w:color="auto" w:fill="auto"/>
            <w:vAlign w:val="bottom"/>
          </w:tcPr>
          <w:p w:rsidR="005C38B7" w:rsidRPr="00993903" w:rsidRDefault="005C38B7" w:rsidP="00CB7D23">
            <w:pPr>
              <w:tabs>
                <w:tab w:val="left" w:leader="dot" w:pos="3714"/>
              </w:tabs>
              <w:autoSpaceDE w:val="0"/>
              <w:autoSpaceDN w:val="0"/>
              <w:adjustRightInd w:val="0"/>
              <w:spacing w:before="0" w:after="0"/>
              <w:rPr>
                <w:sz w:val="16"/>
                <w:szCs w:val="16"/>
              </w:rPr>
            </w:pPr>
            <w:r w:rsidRPr="00993903">
              <w:rPr>
                <w:sz w:val="16"/>
                <w:szCs w:val="16"/>
              </w:rPr>
              <w:t xml:space="preserve">Górnictwo i wydobywanie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5C38B7">
              <w:rPr>
                <w:bCs/>
                <w:color w:val="000000"/>
                <w:sz w:val="16"/>
                <w:szCs w:val="16"/>
              </w:rPr>
              <w:t>16224,97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155,5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102,5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9134,20</w:t>
            </w:r>
          </w:p>
        </w:tc>
        <w:tc>
          <w:tcPr>
            <w:tcW w:w="1134" w:type="dxa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106,1</w:t>
            </w:r>
          </w:p>
        </w:tc>
      </w:tr>
      <w:tr w:rsidR="005C38B7" w:rsidRPr="009A6652" w:rsidTr="00890479">
        <w:tblPrEx>
          <w:tblBorders>
            <w:bottom w:val="none" w:sz="0" w:space="0" w:color="auto"/>
          </w:tblBorders>
        </w:tblPrEx>
        <w:tc>
          <w:tcPr>
            <w:tcW w:w="2943" w:type="dxa"/>
            <w:shd w:val="clear" w:color="auto" w:fill="auto"/>
            <w:vAlign w:val="bottom"/>
          </w:tcPr>
          <w:p w:rsidR="005C38B7" w:rsidRPr="00993903" w:rsidRDefault="005C38B7" w:rsidP="00CB7D23">
            <w:pPr>
              <w:spacing w:before="0" w:after="0" w:line="240" w:lineRule="auto"/>
              <w:rPr>
                <w:sz w:val="16"/>
                <w:szCs w:val="16"/>
              </w:rPr>
            </w:pPr>
            <w:r w:rsidRPr="00993903">
              <w:rPr>
                <w:rFonts w:cs="Arial"/>
                <w:sz w:val="16"/>
                <w:szCs w:val="16"/>
              </w:rPr>
              <w:t>Przetwórstwo przemysłowe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5C38B7">
              <w:rPr>
                <w:bCs/>
                <w:color w:val="000000"/>
                <w:sz w:val="16"/>
                <w:szCs w:val="16"/>
              </w:rPr>
              <w:t>6125,39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105,8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110,1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5652,01</w:t>
            </w:r>
          </w:p>
        </w:tc>
        <w:tc>
          <w:tcPr>
            <w:tcW w:w="1134" w:type="dxa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109,3</w:t>
            </w:r>
          </w:p>
        </w:tc>
      </w:tr>
      <w:tr w:rsidR="005C38B7" w:rsidRPr="009A6652" w:rsidTr="00890479">
        <w:tblPrEx>
          <w:tblBorders>
            <w:bottom w:val="none" w:sz="0" w:space="0" w:color="auto"/>
          </w:tblBorders>
        </w:tblPrEx>
        <w:tc>
          <w:tcPr>
            <w:tcW w:w="2943" w:type="dxa"/>
            <w:shd w:val="clear" w:color="auto" w:fill="auto"/>
            <w:vAlign w:val="bottom"/>
          </w:tcPr>
          <w:p w:rsidR="005C38B7" w:rsidRPr="00993903" w:rsidRDefault="005C38B7" w:rsidP="00CB7D23">
            <w:pPr>
              <w:spacing w:before="0" w:after="0" w:line="240" w:lineRule="auto"/>
              <w:rPr>
                <w:sz w:val="16"/>
                <w:szCs w:val="16"/>
              </w:rPr>
            </w:pPr>
            <w:r w:rsidRPr="00993903">
              <w:rPr>
                <w:rFonts w:cs="Arial"/>
                <w:sz w:val="16"/>
                <w:szCs w:val="16"/>
              </w:rPr>
              <w:t xml:space="preserve">Wytwarzanie i zaopatrywanie </w:t>
            </w:r>
            <w:r w:rsidRPr="00993903">
              <w:rPr>
                <w:rFonts w:cs="Arial"/>
                <w:sz w:val="16"/>
                <w:szCs w:val="16"/>
              </w:rPr>
              <w:br/>
              <w:t>w energię elektryczną, gaz, parę wodną i gorącą wodę</w:t>
            </w:r>
            <w:r w:rsidRPr="00993903">
              <w:rPr>
                <w:rFonts w:cs="Arial"/>
                <w:sz w:val="16"/>
                <w:szCs w:val="16"/>
                <w:vertAlign w:val="superscript"/>
              </w:rPr>
              <w:t>∆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5C38B7">
              <w:rPr>
                <w:bCs/>
                <w:color w:val="000000"/>
                <w:sz w:val="16"/>
                <w:szCs w:val="16"/>
              </w:rPr>
              <w:t>9830,85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103,8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97,8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8664,56</w:t>
            </w:r>
          </w:p>
        </w:tc>
        <w:tc>
          <w:tcPr>
            <w:tcW w:w="1134" w:type="dxa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105,3</w:t>
            </w:r>
          </w:p>
        </w:tc>
      </w:tr>
      <w:tr w:rsidR="005C38B7" w:rsidRPr="009A6652" w:rsidTr="00890479">
        <w:tblPrEx>
          <w:tblBorders>
            <w:bottom w:val="none" w:sz="0" w:space="0" w:color="auto"/>
          </w:tblBorders>
        </w:tblPrEx>
        <w:tc>
          <w:tcPr>
            <w:tcW w:w="2943" w:type="dxa"/>
            <w:shd w:val="clear" w:color="auto" w:fill="auto"/>
            <w:vAlign w:val="bottom"/>
          </w:tcPr>
          <w:p w:rsidR="005C38B7" w:rsidRPr="00993903" w:rsidRDefault="005C38B7" w:rsidP="00CB7D23">
            <w:pPr>
              <w:spacing w:before="0" w:after="0" w:line="240" w:lineRule="auto"/>
              <w:rPr>
                <w:sz w:val="16"/>
                <w:szCs w:val="16"/>
              </w:rPr>
            </w:pPr>
            <w:r w:rsidRPr="00993903">
              <w:rPr>
                <w:rFonts w:cs="Arial"/>
                <w:sz w:val="16"/>
                <w:szCs w:val="16"/>
              </w:rPr>
              <w:t>Dostawa wody: gospodarowanie ściekami i odpadami; rekultywacja</w:t>
            </w:r>
            <w:r w:rsidRPr="00993903">
              <w:rPr>
                <w:rFonts w:cs="Arial"/>
                <w:sz w:val="16"/>
                <w:szCs w:val="16"/>
                <w:vertAlign w:val="superscript"/>
              </w:rPr>
              <w:t>∆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5C38B7">
              <w:rPr>
                <w:bCs/>
                <w:color w:val="000000"/>
                <w:sz w:val="16"/>
                <w:szCs w:val="16"/>
              </w:rPr>
              <w:t>6349,06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116,0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110,2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5343,24</w:t>
            </w:r>
          </w:p>
        </w:tc>
        <w:tc>
          <w:tcPr>
            <w:tcW w:w="1134" w:type="dxa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107,0</w:t>
            </w:r>
          </w:p>
        </w:tc>
      </w:tr>
      <w:tr w:rsidR="005C38B7" w:rsidRPr="009A6652" w:rsidTr="00890479">
        <w:tblPrEx>
          <w:tblBorders>
            <w:bottom w:val="none" w:sz="0" w:space="0" w:color="auto"/>
          </w:tblBorders>
        </w:tblPrEx>
        <w:tc>
          <w:tcPr>
            <w:tcW w:w="2943" w:type="dxa"/>
            <w:shd w:val="clear" w:color="auto" w:fill="auto"/>
            <w:vAlign w:val="bottom"/>
          </w:tcPr>
          <w:p w:rsidR="005C38B7" w:rsidRPr="00993903" w:rsidRDefault="005C38B7" w:rsidP="00CB7D23">
            <w:pPr>
              <w:spacing w:before="0" w:after="0" w:line="240" w:lineRule="auto"/>
              <w:rPr>
                <w:sz w:val="16"/>
                <w:szCs w:val="16"/>
              </w:rPr>
            </w:pPr>
            <w:r w:rsidRPr="00993903">
              <w:rPr>
                <w:rFonts w:cs="Arial"/>
                <w:sz w:val="16"/>
                <w:szCs w:val="16"/>
              </w:rPr>
              <w:t>Budownictwo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5C38B7">
              <w:rPr>
                <w:bCs/>
                <w:color w:val="000000"/>
                <w:sz w:val="16"/>
                <w:szCs w:val="16"/>
              </w:rPr>
              <w:t>6359,67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105,5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109,7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5825,75</w:t>
            </w:r>
          </w:p>
        </w:tc>
        <w:tc>
          <w:tcPr>
            <w:tcW w:w="1134" w:type="dxa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107,8</w:t>
            </w:r>
          </w:p>
        </w:tc>
      </w:tr>
      <w:tr w:rsidR="005C38B7" w:rsidRPr="009A6652" w:rsidTr="00890479">
        <w:tblPrEx>
          <w:tblBorders>
            <w:bottom w:val="none" w:sz="0" w:space="0" w:color="auto"/>
          </w:tblBorders>
        </w:tblPrEx>
        <w:tc>
          <w:tcPr>
            <w:tcW w:w="2943" w:type="dxa"/>
            <w:shd w:val="clear" w:color="auto" w:fill="auto"/>
            <w:vAlign w:val="bottom"/>
          </w:tcPr>
          <w:p w:rsidR="005C38B7" w:rsidRPr="00993903" w:rsidRDefault="005C38B7" w:rsidP="00CB7D23">
            <w:pPr>
              <w:spacing w:before="0" w:after="0" w:line="240" w:lineRule="auto"/>
              <w:rPr>
                <w:sz w:val="16"/>
                <w:szCs w:val="16"/>
              </w:rPr>
            </w:pPr>
            <w:r w:rsidRPr="00993903">
              <w:rPr>
                <w:rFonts w:cs="Arial"/>
                <w:sz w:val="16"/>
                <w:szCs w:val="16"/>
              </w:rPr>
              <w:t>Handel; naprawa pojazdów samochodowych</w:t>
            </w:r>
            <w:r w:rsidRPr="00993903">
              <w:rPr>
                <w:rFonts w:cs="Arial"/>
                <w:sz w:val="16"/>
                <w:szCs w:val="16"/>
                <w:vertAlign w:val="superscript"/>
              </w:rPr>
              <w:t>∆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5C38B7">
              <w:rPr>
                <w:bCs/>
                <w:color w:val="000000"/>
                <w:sz w:val="16"/>
                <w:szCs w:val="16"/>
              </w:rPr>
              <w:t>6160,00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111,2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114,4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5529,90</w:t>
            </w:r>
          </w:p>
        </w:tc>
        <w:tc>
          <w:tcPr>
            <w:tcW w:w="1134" w:type="dxa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109,3</w:t>
            </w:r>
          </w:p>
        </w:tc>
      </w:tr>
      <w:tr w:rsidR="005C38B7" w:rsidRPr="009A6652" w:rsidTr="00890479">
        <w:tblPrEx>
          <w:tblBorders>
            <w:bottom w:val="none" w:sz="0" w:space="0" w:color="auto"/>
          </w:tblBorders>
        </w:tblPrEx>
        <w:tc>
          <w:tcPr>
            <w:tcW w:w="2943" w:type="dxa"/>
            <w:shd w:val="clear" w:color="auto" w:fill="auto"/>
            <w:vAlign w:val="bottom"/>
          </w:tcPr>
          <w:p w:rsidR="005C38B7" w:rsidRPr="00993903" w:rsidRDefault="005C38B7" w:rsidP="00CB7D23">
            <w:pPr>
              <w:spacing w:before="0" w:after="0" w:line="240" w:lineRule="auto"/>
              <w:rPr>
                <w:sz w:val="16"/>
                <w:szCs w:val="16"/>
              </w:rPr>
            </w:pPr>
            <w:r w:rsidRPr="00993903">
              <w:rPr>
                <w:rFonts w:cs="Arial"/>
                <w:sz w:val="16"/>
                <w:szCs w:val="16"/>
              </w:rPr>
              <w:t>Transport i gospodarka magazynowa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5C38B7">
              <w:rPr>
                <w:bCs/>
                <w:color w:val="000000"/>
                <w:sz w:val="16"/>
                <w:szCs w:val="16"/>
              </w:rPr>
              <w:t>5615,10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105,8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112,5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5092,64</w:t>
            </w:r>
          </w:p>
        </w:tc>
        <w:tc>
          <w:tcPr>
            <w:tcW w:w="1134" w:type="dxa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107,3</w:t>
            </w:r>
          </w:p>
        </w:tc>
      </w:tr>
      <w:tr w:rsidR="005C38B7" w:rsidRPr="006A7AD6" w:rsidTr="00890479">
        <w:tblPrEx>
          <w:tblBorders>
            <w:bottom w:val="none" w:sz="0" w:space="0" w:color="auto"/>
          </w:tblBorders>
        </w:tblPrEx>
        <w:tc>
          <w:tcPr>
            <w:tcW w:w="2943" w:type="dxa"/>
            <w:shd w:val="clear" w:color="auto" w:fill="auto"/>
            <w:vAlign w:val="bottom"/>
          </w:tcPr>
          <w:p w:rsidR="005C38B7" w:rsidRPr="00993903" w:rsidRDefault="005C38B7" w:rsidP="00CB7D23">
            <w:pPr>
              <w:spacing w:before="0" w:after="0" w:line="240" w:lineRule="auto"/>
              <w:rPr>
                <w:sz w:val="16"/>
                <w:szCs w:val="16"/>
              </w:rPr>
            </w:pPr>
            <w:r w:rsidRPr="00993903">
              <w:rPr>
                <w:rFonts w:cs="Arial"/>
                <w:sz w:val="16"/>
                <w:szCs w:val="16"/>
              </w:rPr>
              <w:t>Zakwaterowanie i gastronomia</w:t>
            </w:r>
            <w:r w:rsidRPr="00993903">
              <w:rPr>
                <w:rFonts w:cs="Arial"/>
                <w:sz w:val="16"/>
                <w:szCs w:val="16"/>
                <w:vertAlign w:val="superscript"/>
              </w:rPr>
              <w:t>∆</w:t>
            </w:r>
            <w:r w:rsidRPr="0099390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5C38B7">
              <w:rPr>
                <w:bCs/>
                <w:color w:val="000000"/>
                <w:sz w:val="16"/>
                <w:szCs w:val="16"/>
              </w:rPr>
              <w:t>4541,34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103,6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120,7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4236,31</w:t>
            </w:r>
          </w:p>
        </w:tc>
        <w:tc>
          <w:tcPr>
            <w:tcW w:w="1134" w:type="dxa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112,5</w:t>
            </w:r>
          </w:p>
        </w:tc>
      </w:tr>
      <w:tr w:rsidR="005C38B7" w:rsidRPr="006A7AD6" w:rsidTr="00890479">
        <w:tblPrEx>
          <w:tblBorders>
            <w:bottom w:val="none" w:sz="0" w:space="0" w:color="auto"/>
          </w:tblBorders>
        </w:tblPrEx>
        <w:tc>
          <w:tcPr>
            <w:tcW w:w="2943" w:type="dxa"/>
            <w:shd w:val="clear" w:color="auto" w:fill="auto"/>
            <w:vAlign w:val="bottom"/>
          </w:tcPr>
          <w:p w:rsidR="005C38B7" w:rsidRPr="00993903" w:rsidRDefault="005C38B7" w:rsidP="00CB7D23">
            <w:pPr>
              <w:spacing w:before="0" w:after="0" w:line="240" w:lineRule="auto"/>
              <w:rPr>
                <w:sz w:val="16"/>
                <w:szCs w:val="16"/>
              </w:rPr>
            </w:pPr>
            <w:r w:rsidRPr="00993903">
              <w:rPr>
                <w:rFonts w:cs="Arial"/>
                <w:sz w:val="16"/>
                <w:szCs w:val="16"/>
              </w:rPr>
              <w:lastRenderedPageBreak/>
              <w:t>Informacja i komunikacja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5C38B7">
              <w:rPr>
                <w:bCs/>
                <w:color w:val="000000"/>
                <w:sz w:val="16"/>
                <w:szCs w:val="16"/>
              </w:rPr>
              <w:t>11154,82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110,4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115,3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10084,83</w:t>
            </w:r>
          </w:p>
        </w:tc>
        <w:tc>
          <w:tcPr>
            <w:tcW w:w="1134" w:type="dxa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109,0</w:t>
            </w:r>
          </w:p>
        </w:tc>
      </w:tr>
      <w:tr w:rsidR="005C38B7" w:rsidRPr="009A6652" w:rsidTr="00890479">
        <w:tblPrEx>
          <w:tblBorders>
            <w:bottom w:val="none" w:sz="0" w:space="0" w:color="auto"/>
          </w:tblBorders>
        </w:tblPrEx>
        <w:tc>
          <w:tcPr>
            <w:tcW w:w="2943" w:type="dxa"/>
            <w:shd w:val="clear" w:color="auto" w:fill="auto"/>
            <w:vAlign w:val="bottom"/>
          </w:tcPr>
          <w:p w:rsidR="005C38B7" w:rsidRPr="00993903" w:rsidRDefault="005C38B7" w:rsidP="00CB7D23">
            <w:pPr>
              <w:spacing w:before="0" w:after="0" w:line="240" w:lineRule="auto"/>
              <w:rPr>
                <w:sz w:val="16"/>
                <w:szCs w:val="16"/>
              </w:rPr>
            </w:pPr>
            <w:r w:rsidRPr="00993903">
              <w:rPr>
                <w:rFonts w:cs="Arial"/>
                <w:sz w:val="16"/>
                <w:szCs w:val="16"/>
              </w:rPr>
              <w:t>Obsługa rynku nieruchomości</w:t>
            </w:r>
            <w:r w:rsidRPr="00993903">
              <w:rPr>
                <w:rFonts w:cs="Arial"/>
                <w:sz w:val="16"/>
                <w:szCs w:val="16"/>
                <w:vertAlign w:val="superscript"/>
              </w:rPr>
              <w:t>∆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5C38B7">
              <w:rPr>
                <w:bCs/>
                <w:color w:val="000000"/>
                <w:sz w:val="16"/>
                <w:szCs w:val="16"/>
              </w:rPr>
              <w:t>7257,38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119,6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107,4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6050,51</w:t>
            </w:r>
          </w:p>
        </w:tc>
        <w:tc>
          <w:tcPr>
            <w:tcW w:w="1134" w:type="dxa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106,4</w:t>
            </w:r>
          </w:p>
        </w:tc>
      </w:tr>
      <w:tr w:rsidR="005C38B7" w:rsidRPr="009A6652" w:rsidTr="00890479">
        <w:tblPrEx>
          <w:tblBorders>
            <w:bottom w:val="none" w:sz="0" w:space="0" w:color="auto"/>
          </w:tblBorders>
        </w:tblPrEx>
        <w:tc>
          <w:tcPr>
            <w:tcW w:w="2943" w:type="dxa"/>
            <w:shd w:val="clear" w:color="auto" w:fill="auto"/>
            <w:vAlign w:val="bottom"/>
          </w:tcPr>
          <w:p w:rsidR="005C38B7" w:rsidRPr="00993903" w:rsidRDefault="005C38B7" w:rsidP="00CB7D23">
            <w:pPr>
              <w:spacing w:before="0" w:after="0" w:line="240" w:lineRule="auto"/>
              <w:rPr>
                <w:sz w:val="16"/>
                <w:szCs w:val="16"/>
              </w:rPr>
            </w:pPr>
            <w:r w:rsidRPr="00993903">
              <w:rPr>
                <w:rFonts w:cs="Arial"/>
                <w:sz w:val="16"/>
                <w:szCs w:val="16"/>
              </w:rPr>
              <w:t xml:space="preserve">Działalność profesjonalna, </w:t>
            </w:r>
            <w:r w:rsidR="00965230">
              <w:rPr>
                <w:rFonts w:cs="Arial"/>
                <w:sz w:val="16"/>
                <w:szCs w:val="16"/>
              </w:rPr>
              <w:t>naukowa i </w:t>
            </w:r>
            <w:proofErr w:type="spellStart"/>
            <w:r w:rsidRPr="00993903">
              <w:rPr>
                <w:rFonts w:cs="Arial"/>
                <w:sz w:val="16"/>
                <w:szCs w:val="16"/>
              </w:rPr>
              <w:t>techniczna</w:t>
            </w:r>
            <w:r>
              <w:rPr>
                <w:rFonts w:cs="Arial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5C38B7">
              <w:rPr>
                <w:bCs/>
                <w:color w:val="000000"/>
                <w:sz w:val="16"/>
                <w:szCs w:val="16"/>
              </w:rPr>
              <w:t>9238,03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112,1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112,6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8288,30</w:t>
            </w:r>
          </w:p>
        </w:tc>
        <w:tc>
          <w:tcPr>
            <w:tcW w:w="1134" w:type="dxa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108,7</w:t>
            </w:r>
          </w:p>
        </w:tc>
      </w:tr>
      <w:tr w:rsidR="005C38B7" w:rsidRPr="009A6652" w:rsidTr="00890479">
        <w:tblPrEx>
          <w:tblBorders>
            <w:bottom w:val="none" w:sz="0" w:space="0" w:color="auto"/>
          </w:tblBorders>
        </w:tblPrEx>
        <w:tc>
          <w:tcPr>
            <w:tcW w:w="2943" w:type="dxa"/>
            <w:shd w:val="clear" w:color="auto" w:fill="auto"/>
            <w:vAlign w:val="bottom"/>
          </w:tcPr>
          <w:p w:rsidR="005C38B7" w:rsidRPr="00993903" w:rsidRDefault="005C38B7" w:rsidP="00CB7D23">
            <w:pPr>
              <w:spacing w:before="0" w:after="0" w:line="240" w:lineRule="auto"/>
              <w:rPr>
                <w:sz w:val="16"/>
                <w:szCs w:val="16"/>
              </w:rPr>
            </w:pPr>
            <w:r w:rsidRPr="00993903">
              <w:rPr>
                <w:rFonts w:cs="Arial"/>
                <w:sz w:val="16"/>
                <w:szCs w:val="16"/>
              </w:rPr>
              <w:t>Administrowanie i działalność wspierająca</w:t>
            </w:r>
            <w:r w:rsidRPr="00993903">
              <w:rPr>
                <w:rFonts w:cs="Arial"/>
                <w:sz w:val="16"/>
                <w:szCs w:val="16"/>
                <w:vertAlign w:val="superscript"/>
              </w:rPr>
              <w:t>∆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5C38B7">
              <w:rPr>
                <w:bCs/>
                <w:color w:val="000000"/>
                <w:sz w:val="16"/>
                <w:szCs w:val="16"/>
              </w:rPr>
              <w:t>4798,70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106,1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111,7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4498,57</w:t>
            </w:r>
          </w:p>
        </w:tc>
        <w:tc>
          <w:tcPr>
            <w:tcW w:w="1134" w:type="dxa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109,8</w:t>
            </w:r>
          </w:p>
        </w:tc>
      </w:tr>
      <w:tr w:rsidR="005C38B7" w:rsidRPr="009A6652" w:rsidTr="00890479">
        <w:tblPrEx>
          <w:tblBorders>
            <w:bottom w:val="none" w:sz="0" w:space="0" w:color="auto"/>
          </w:tblBorders>
        </w:tblPrEx>
        <w:tc>
          <w:tcPr>
            <w:tcW w:w="2943" w:type="dxa"/>
            <w:shd w:val="clear" w:color="auto" w:fill="auto"/>
            <w:vAlign w:val="bottom"/>
          </w:tcPr>
          <w:p w:rsidR="005C38B7" w:rsidRPr="00993903" w:rsidRDefault="005C38B7" w:rsidP="00CB7D23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  <w:r w:rsidRPr="00993903">
              <w:rPr>
                <w:rFonts w:cs="Arial"/>
                <w:sz w:val="16"/>
                <w:szCs w:val="16"/>
              </w:rPr>
              <w:t>Działalność związana z kulturą, rozrywką i rekreacją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5C38B7">
              <w:rPr>
                <w:bCs/>
                <w:color w:val="000000"/>
                <w:sz w:val="16"/>
                <w:szCs w:val="16"/>
              </w:rPr>
              <w:t>6551,03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125,0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106,3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5082,35</w:t>
            </w:r>
          </w:p>
        </w:tc>
        <w:tc>
          <w:tcPr>
            <w:tcW w:w="1134" w:type="dxa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105,8</w:t>
            </w:r>
          </w:p>
        </w:tc>
      </w:tr>
      <w:tr w:rsidR="005C38B7" w:rsidRPr="009A6652" w:rsidTr="00890479">
        <w:tblPrEx>
          <w:tblBorders>
            <w:bottom w:val="none" w:sz="0" w:space="0" w:color="auto"/>
          </w:tblBorders>
        </w:tblPrEx>
        <w:tc>
          <w:tcPr>
            <w:tcW w:w="2943" w:type="dxa"/>
            <w:shd w:val="clear" w:color="auto" w:fill="auto"/>
            <w:vAlign w:val="bottom"/>
          </w:tcPr>
          <w:p w:rsidR="005C38B7" w:rsidRPr="00993903" w:rsidRDefault="005C38B7" w:rsidP="00CB7D23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  <w:r w:rsidRPr="00993903">
              <w:rPr>
                <w:rFonts w:cs="Arial"/>
                <w:sz w:val="16"/>
                <w:szCs w:val="16"/>
              </w:rPr>
              <w:t xml:space="preserve">Pozostała działalność </w:t>
            </w:r>
            <w:proofErr w:type="spellStart"/>
            <w:r w:rsidRPr="00993903">
              <w:rPr>
                <w:rFonts w:cs="Arial"/>
                <w:sz w:val="16"/>
                <w:szCs w:val="16"/>
              </w:rPr>
              <w:t>usługowa</w:t>
            </w:r>
            <w:r>
              <w:rPr>
                <w:rFonts w:cs="Arial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bCs/>
                <w:color w:val="000000"/>
                <w:sz w:val="16"/>
                <w:szCs w:val="16"/>
              </w:rPr>
            </w:pPr>
            <w:r w:rsidRPr="005C38B7">
              <w:rPr>
                <w:bCs/>
                <w:color w:val="000000"/>
                <w:sz w:val="16"/>
                <w:szCs w:val="16"/>
              </w:rPr>
              <w:t>5015,74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105,4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115,6</w:t>
            </w:r>
          </w:p>
        </w:tc>
        <w:tc>
          <w:tcPr>
            <w:tcW w:w="1182" w:type="dxa"/>
            <w:shd w:val="clear" w:color="auto" w:fill="auto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4815,91</w:t>
            </w:r>
          </w:p>
        </w:tc>
        <w:tc>
          <w:tcPr>
            <w:tcW w:w="1134" w:type="dxa"/>
            <w:vAlign w:val="bottom"/>
          </w:tcPr>
          <w:p w:rsidR="005C38B7" w:rsidRPr="005C38B7" w:rsidRDefault="005C38B7" w:rsidP="005C38B7">
            <w:pPr>
              <w:spacing w:before="0" w:after="0"/>
              <w:ind w:right="57"/>
              <w:jc w:val="right"/>
              <w:rPr>
                <w:rFonts w:cs="Arial"/>
                <w:bCs/>
                <w:sz w:val="16"/>
                <w:szCs w:val="16"/>
              </w:rPr>
            </w:pPr>
            <w:r w:rsidRPr="005C38B7">
              <w:rPr>
                <w:rFonts w:cs="Arial"/>
                <w:bCs/>
                <w:sz w:val="16"/>
                <w:szCs w:val="16"/>
              </w:rPr>
              <w:t>113,9</w:t>
            </w:r>
          </w:p>
        </w:tc>
      </w:tr>
    </w:tbl>
    <w:p w:rsidR="004562C0" w:rsidRDefault="00BB1237" w:rsidP="00ED4B3B">
      <w:pPr>
        <w:autoSpaceDE w:val="0"/>
        <w:autoSpaceDN w:val="0"/>
        <w:spacing w:line="240" w:lineRule="auto"/>
        <w:rPr>
          <w:rFonts w:cs="Arial"/>
          <w:sz w:val="16"/>
          <w:szCs w:val="16"/>
        </w:rPr>
      </w:pPr>
      <w:r w:rsidRPr="002933D7">
        <w:rPr>
          <w:rFonts w:cs="Arial"/>
          <w:b/>
          <w:sz w:val="16"/>
          <w:szCs w:val="16"/>
        </w:rPr>
        <w:t>a</w:t>
      </w:r>
      <w:r>
        <w:rPr>
          <w:rFonts w:cs="Arial"/>
          <w:sz w:val="16"/>
          <w:szCs w:val="16"/>
        </w:rPr>
        <w:t xml:space="preserve"> </w:t>
      </w:r>
      <w:r w:rsidR="00CB2315">
        <w:rPr>
          <w:rFonts w:cs="Arial"/>
          <w:sz w:val="16"/>
          <w:szCs w:val="16"/>
        </w:rPr>
        <w:t>W ramach sektora przedsiębiorstw sekcja ta o</w:t>
      </w:r>
      <w:r w:rsidR="006D672A" w:rsidRPr="006D672A">
        <w:rPr>
          <w:rFonts w:cs="Arial"/>
          <w:sz w:val="16"/>
          <w:szCs w:val="16"/>
        </w:rPr>
        <w:t xml:space="preserve">bejmuje tylko działalność </w:t>
      </w:r>
      <w:r w:rsidR="0046654D">
        <w:rPr>
          <w:rFonts w:cs="Arial"/>
          <w:sz w:val="16"/>
          <w:szCs w:val="16"/>
        </w:rPr>
        <w:t>„</w:t>
      </w:r>
      <w:r w:rsidR="006D672A" w:rsidRPr="006D672A">
        <w:rPr>
          <w:rFonts w:cs="Arial"/>
          <w:sz w:val="16"/>
          <w:szCs w:val="16"/>
        </w:rPr>
        <w:t>Leśnictwo i pozyskiwanie drewna</w:t>
      </w:r>
      <w:r w:rsidR="0046654D">
        <w:rPr>
          <w:rFonts w:cs="Arial"/>
          <w:sz w:val="16"/>
          <w:szCs w:val="16"/>
        </w:rPr>
        <w:t>”</w:t>
      </w:r>
      <w:r w:rsidR="006D672A" w:rsidRPr="006D672A">
        <w:rPr>
          <w:rFonts w:cs="Arial"/>
          <w:sz w:val="16"/>
          <w:szCs w:val="16"/>
        </w:rPr>
        <w:t xml:space="preserve"> (dział 02) oraz </w:t>
      </w:r>
      <w:r w:rsidR="0046654D">
        <w:rPr>
          <w:rFonts w:cs="Arial"/>
          <w:sz w:val="16"/>
          <w:szCs w:val="16"/>
        </w:rPr>
        <w:t>„</w:t>
      </w:r>
      <w:r w:rsidR="006D672A" w:rsidRPr="006D672A">
        <w:rPr>
          <w:rFonts w:cs="Arial"/>
          <w:sz w:val="16"/>
          <w:szCs w:val="16"/>
        </w:rPr>
        <w:t xml:space="preserve">Rybołówstwo </w:t>
      </w:r>
      <w:r w:rsidR="006D672A">
        <w:rPr>
          <w:rFonts w:cs="Arial"/>
          <w:sz w:val="16"/>
          <w:szCs w:val="16"/>
        </w:rPr>
        <w:t>w wodach morskich</w:t>
      </w:r>
      <w:r w:rsidR="0046654D">
        <w:rPr>
          <w:rFonts w:cs="Arial"/>
          <w:sz w:val="16"/>
          <w:szCs w:val="16"/>
        </w:rPr>
        <w:t>”</w:t>
      </w:r>
      <w:r w:rsidR="006D672A">
        <w:rPr>
          <w:rFonts w:cs="Arial"/>
          <w:sz w:val="16"/>
          <w:szCs w:val="16"/>
        </w:rPr>
        <w:t xml:space="preserve"> (klasa 03.11)</w:t>
      </w:r>
      <w:r w:rsidR="002933D7">
        <w:rPr>
          <w:rFonts w:cs="Arial"/>
          <w:sz w:val="16"/>
          <w:szCs w:val="16"/>
        </w:rPr>
        <w:t>;</w:t>
      </w:r>
      <w:r>
        <w:rPr>
          <w:rFonts w:cs="Arial"/>
          <w:sz w:val="16"/>
          <w:szCs w:val="16"/>
        </w:rPr>
        <w:t xml:space="preserve"> </w:t>
      </w:r>
      <w:r w:rsidRPr="002933D7">
        <w:rPr>
          <w:rFonts w:cs="Arial"/>
          <w:b/>
          <w:sz w:val="16"/>
          <w:szCs w:val="16"/>
        </w:rPr>
        <w:t>b</w:t>
      </w:r>
      <w:r w:rsidR="0046654D" w:rsidRPr="0046654D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Z</w:t>
      </w:r>
      <w:r w:rsidR="0046654D" w:rsidRPr="0046654D">
        <w:rPr>
          <w:rFonts w:cs="Arial"/>
          <w:sz w:val="16"/>
          <w:szCs w:val="16"/>
        </w:rPr>
        <w:t xml:space="preserve"> wyłączeniem działalności </w:t>
      </w:r>
      <w:r w:rsidR="0046654D">
        <w:rPr>
          <w:rFonts w:cs="Arial"/>
          <w:sz w:val="16"/>
          <w:szCs w:val="16"/>
        </w:rPr>
        <w:t>„</w:t>
      </w:r>
      <w:r w:rsidR="0046654D" w:rsidRPr="0046654D">
        <w:rPr>
          <w:rFonts w:cs="Arial"/>
          <w:sz w:val="16"/>
          <w:szCs w:val="16"/>
        </w:rPr>
        <w:t>Badania naukowe i prace rozwojowe</w:t>
      </w:r>
      <w:r w:rsidR="0046654D">
        <w:rPr>
          <w:rFonts w:cs="Arial"/>
          <w:sz w:val="16"/>
          <w:szCs w:val="16"/>
        </w:rPr>
        <w:t>” (dział 72) i „Działalność weterynaryjna”</w:t>
      </w:r>
      <w:r w:rsidR="0046654D" w:rsidRPr="0046654D">
        <w:rPr>
          <w:rFonts w:cs="Arial"/>
          <w:sz w:val="16"/>
          <w:szCs w:val="16"/>
        </w:rPr>
        <w:t xml:space="preserve"> (dział 75)</w:t>
      </w:r>
      <w:r w:rsidR="0046654D">
        <w:rPr>
          <w:rFonts w:cs="Arial"/>
          <w:sz w:val="16"/>
          <w:szCs w:val="16"/>
        </w:rPr>
        <w:t>;</w:t>
      </w:r>
      <w:r>
        <w:rPr>
          <w:rFonts w:cs="Arial"/>
          <w:sz w:val="16"/>
          <w:szCs w:val="16"/>
        </w:rPr>
        <w:t xml:space="preserve"> </w:t>
      </w:r>
      <w:r w:rsidRPr="002933D7">
        <w:rPr>
          <w:rFonts w:cs="Arial"/>
          <w:b/>
          <w:sz w:val="16"/>
          <w:szCs w:val="16"/>
        </w:rPr>
        <w:t>c</w:t>
      </w:r>
      <w:r w:rsidR="0046654D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Z</w:t>
      </w:r>
      <w:r w:rsidR="0046654D" w:rsidRPr="0046654D">
        <w:rPr>
          <w:rFonts w:cs="Arial"/>
          <w:sz w:val="16"/>
          <w:szCs w:val="16"/>
        </w:rPr>
        <w:t xml:space="preserve"> wyłączeniem działalności „Działalność organizacji członkowskich” (dział 94).</w:t>
      </w:r>
      <w:r w:rsidR="005C38B7">
        <w:rPr>
          <w:rFonts w:cs="Arial"/>
          <w:sz w:val="16"/>
          <w:szCs w:val="16"/>
        </w:rPr>
        <w:br/>
        <w:t>Z</w:t>
      </w:r>
      <w:r w:rsidR="004562C0" w:rsidRPr="00C20843">
        <w:rPr>
          <w:rFonts w:cs="Arial"/>
          <w:sz w:val="16"/>
          <w:szCs w:val="16"/>
        </w:rPr>
        <w:t>nak (∆)  — oznacza, że nazwy zostały skrócone w stosunku do obowiązującej klasyfikacji</w:t>
      </w:r>
      <w:r w:rsidR="00890479">
        <w:rPr>
          <w:rFonts w:cs="Arial"/>
          <w:sz w:val="16"/>
          <w:szCs w:val="16"/>
        </w:rPr>
        <w:t xml:space="preserve"> PKD 2007</w:t>
      </w:r>
      <w:r w:rsidR="00611DFC">
        <w:rPr>
          <w:rFonts w:cs="Arial"/>
          <w:sz w:val="16"/>
          <w:szCs w:val="16"/>
        </w:rPr>
        <w:t>.</w:t>
      </w:r>
    </w:p>
    <w:p w:rsidR="00277484" w:rsidRDefault="00277484" w:rsidP="00B5169C">
      <w:pPr>
        <w:rPr>
          <w:rFonts w:ascii="Fira Sans SemiBold" w:eastAsia="Times New Roman" w:hAnsi="Fira Sans SemiBold"/>
          <w:bCs/>
          <w:color w:val="001D77"/>
          <w:szCs w:val="24"/>
          <w:lang w:eastAsia="pl-PL"/>
        </w:rPr>
      </w:pPr>
    </w:p>
    <w:p w:rsidR="00277484" w:rsidRDefault="00277484" w:rsidP="00B5169C">
      <w:pPr>
        <w:rPr>
          <w:rFonts w:ascii="Fira Sans SemiBold" w:eastAsia="Times New Roman" w:hAnsi="Fira Sans SemiBold"/>
          <w:bCs/>
          <w:color w:val="001D77"/>
          <w:szCs w:val="24"/>
          <w:lang w:eastAsia="pl-PL"/>
        </w:rPr>
      </w:pPr>
    </w:p>
    <w:p w:rsidR="005809C7" w:rsidRPr="00BB0084" w:rsidRDefault="009118C4" w:rsidP="00B5169C">
      <w:pPr>
        <w:rPr>
          <w:rFonts w:ascii="Fira Sans SemiBold" w:eastAsia="Times New Roman" w:hAnsi="Fira Sans SemiBold"/>
          <w:bCs/>
          <w:color w:val="001D77"/>
          <w:szCs w:val="24"/>
          <w:lang w:eastAsia="pl-PL"/>
        </w:rPr>
      </w:pPr>
      <w:r w:rsidRPr="00BB0084">
        <w:rPr>
          <w:rFonts w:ascii="Fira Sans SemiBold" w:eastAsia="Times New Roman" w:hAnsi="Fira Sans SemiBold"/>
          <w:bCs/>
          <w:color w:val="001D77"/>
          <w:szCs w:val="24"/>
          <w:lang w:eastAsia="pl-PL"/>
        </w:rPr>
        <w:t>Wyjaśnienia metodologiczne</w:t>
      </w:r>
    </w:p>
    <w:p w:rsidR="005809C7" w:rsidRDefault="009118C4" w:rsidP="00B5169C">
      <w:pPr>
        <w:rPr>
          <w:szCs w:val="19"/>
        </w:rPr>
      </w:pPr>
      <w:r w:rsidRPr="009118C4">
        <w:rPr>
          <w:rFonts w:eastAsia="Calibri"/>
          <w:b/>
          <w:szCs w:val="19"/>
          <w:shd w:val="clear" w:color="auto" w:fill="FFFFFF"/>
        </w:rPr>
        <w:t>Sektor przedsiębiorstw dotyczy podmiotów, w których liczba pracujących przekracza 9 osób, prowadzących działalność gospodarczą w zakresie:</w:t>
      </w:r>
      <w:r w:rsidRPr="009118C4">
        <w:rPr>
          <w:rFonts w:eastAsia="Calibri"/>
          <w:szCs w:val="19"/>
          <w:shd w:val="clear" w:color="auto" w:fill="FFFFFF"/>
        </w:rPr>
        <w:t xml:space="preserve"> leśnictwa i pozyskiwania drewna; </w:t>
      </w:r>
      <w:r w:rsidRPr="00330312">
        <w:rPr>
          <w:szCs w:val="19"/>
        </w:rPr>
        <w:t>rybołówstwa w</w:t>
      </w:r>
      <w:r w:rsidR="00402BC9">
        <w:rPr>
          <w:szCs w:val="19"/>
        </w:rPr>
        <w:t xml:space="preserve"> </w:t>
      </w:r>
      <w:r w:rsidRPr="00330312">
        <w:rPr>
          <w:szCs w:val="19"/>
        </w:rPr>
        <w:t>wodach morskich; górnictwa i wydobywania; przetwórstwa przemysłowego; wytwarzania i</w:t>
      </w:r>
      <w:r w:rsidR="00402BC9">
        <w:rPr>
          <w:szCs w:val="19"/>
        </w:rPr>
        <w:t xml:space="preserve"> </w:t>
      </w:r>
      <w:r w:rsidRPr="00330312">
        <w:rPr>
          <w:szCs w:val="19"/>
        </w:rPr>
        <w:t>zaopatrywania w energię elektryczną,</w:t>
      </w:r>
      <w:r w:rsidR="00330312">
        <w:rPr>
          <w:szCs w:val="19"/>
        </w:rPr>
        <w:t xml:space="preserve"> gaz, parę wodną, gorącą wodę i </w:t>
      </w:r>
      <w:r w:rsidRPr="00330312">
        <w:rPr>
          <w:szCs w:val="19"/>
        </w:rPr>
        <w:t>powie</w:t>
      </w:r>
      <w:r w:rsidR="00C7754E">
        <w:rPr>
          <w:szCs w:val="19"/>
        </w:rPr>
        <w:softHyphen/>
      </w:r>
      <w:r w:rsidRPr="00330312">
        <w:rPr>
          <w:szCs w:val="19"/>
        </w:rPr>
        <w:t xml:space="preserve">trze do układów klimatyzacyjnych; dostawy </w:t>
      </w:r>
      <w:r w:rsidR="00330312" w:rsidRPr="00330312">
        <w:rPr>
          <w:szCs w:val="19"/>
        </w:rPr>
        <w:t>wody; gospodarowania ściekami i </w:t>
      </w:r>
      <w:r w:rsidRPr="00330312">
        <w:rPr>
          <w:szCs w:val="19"/>
        </w:rPr>
        <w:t>odpadami oraz działalności związanej z</w:t>
      </w:r>
      <w:r w:rsidR="00E5153B">
        <w:rPr>
          <w:szCs w:val="19"/>
        </w:rPr>
        <w:t> </w:t>
      </w:r>
      <w:r w:rsidRPr="00330312">
        <w:rPr>
          <w:szCs w:val="19"/>
        </w:rPr>
        <w:t xml:space="preserve">rekultywacją; </w:t>
      </w:r>
      <w:r w:rsidR="00402BC9">
        <w:rPr>
          <w:szCs w:val="19"/>
        </w:rPr>
        <w:t xml:space="preserve">budownictwa; handlu hurtowego i </w:t>
      </w:r>
      <w:r w:rsidRPr="00330312">
        <w:rPr>
          <w:szCs w:val="19"/>
        </w:rPr>
        <w:t>detalicznego; naprawy pojazdów samochodowych, wł</w:t>
      </w:r>
      <w:r w:rsidR="00330312" w:rsidRPr="00330312">
        <w:rPr>
          <w:szCs w:val="19"/>
        </w:rPr>
        <w:t>ączając moto</w:t>
      </w:r>
      <w:r w:rsidR="00402BC9">
        <w:rPr>
          <w:szCs w:val="19"/>
        </w:rPr>
        <w:t xml:space="preserve">cykle; transportu i </w:t>
      </w:r>
      <w:r w:rsidRPr="00330312">
        <w:rPr>
          <w:szCs w:val="19"/>
        </w:rPr>
        <w:t>gospodarki magazy</w:t>
      </w:r>
      <w:r w:rsidR="00C7754E">
        <w:rPr>
          <w:szCs w:val="19"/>
        </w:rPr>
        <w:softHyphen/>
      </w:r>
      <w:r w:rsidRPr="00330312">
        <w:rPr>
          <w:szCs w:val="19"/>
        </w:rPr>
        <w:t>nowej; działalności związanej z zakwaterowaniem i</w:t>
      </w:r>
      <w:r w:rsidR="00E5153B">
        <w:rPr>
          <w:szCs w:val="19"/>
        </w:rPr>
        <w:t> </w:t>
      </w:r>
      <w:r w:rsidRPr="00330312">
        <w:rPr>
          <w:szCs w:val="19"/>
        </w:rPr>
        <w:t>usługami gastro</w:t>
      </w:r>
      <w:r w:rsidR="00C7754E">
        <w:rPr>
          <w:szCs w:val="19"/>
        </w:rPr>
        <w:t>nomicznymi; informacji i </w:t>
      </w:r>
      <w:r w:rsidRPr="00330312">
        <w:rPr>
          <w:szCs w:val="19"/>
        </w:rPr>
        <w:t>komunikacji; działalności związanej z obsługą rynku nieruchomości; działalności prawniczej, rachunkowo</w:t>
      </w:r>
      <w:r w:rsidRPr="00C7754E">
        <w:rPr>
          <w:sz w:val="16"/>
          <w:szCs w:val="16"/>
        </w:rPr>
        <w:t>-</w:t>
      </w:r>
      <w:r w:rsidRPr="00330312">
        <w:rPr>
          <w:szCs w:val="19"/>
        </w:rPr>
        <w:t>księgowej i doradztwa podatkowego, działalności firm centralnych</w:t>
      </w:r>
      <w:r w:rsidRPr="00C7754E">
        <w:rPr>
          <w:sz w:val="16"/>
          <w:szCs w:val="16"/>
        </w:rPr>
        <w:t xml:space="preserve"> </w:t>
      </w:r>
      <w:r w:rsidRPr="00330312">
        <w:rPr>
          <w:szCs w:val="19"/>
        </w:rPr>
        <w:t>(</w:t>
      </w:r>
      <w:proofErr w:type="spellStart"/>
      <w:r w:rsidRPr="00330312">
        <w:rPr>
          <w:szCs w:val="19"/>
        </w:rPr>
        <w:t>head</w:t>
      </w:r>
      <w:proofErr w:type="spellEnd"/>
      <w:r w:rsidRPr="00C7754E">
        <w:rPr>
          <w:sz w:val="16"/>
          <w:szCs w:val="16"/>
        </w:rPr>
        <w:t xml:space="preserve"> </w:t>
      </w:r>
      <w:proofErr w:type="spellStart"/>
      <w:r w:rsidRPr="00330312">
        <w:rPr>
          <w:szCs w:val="19"/>
        </w:rPr>
        <w:t>offices</w:t>
      </w:r>
      <w:proofErr w:type="spellEnd"/>
      <w:r w:rsidRPr="00330312">
        <w:rPr>
          <w:szCs w:val="19"/>
        </w:rPr>
        <w:t>); doradztwa związanego z zarządzaniem; działalności w zakresie architektury i inżynierii; badań i analiz technicznych; reklamy, badania rynku i opinii publicznej; pozostałej działaln</w:t>
      </w:r>
      <w:r w:rsidR="00330312">
        <w:rPr>
          <w:szCs w:val="19"/>
        </w:rPr>
        <w:t>ości profesjonalnej, naukowej i</w:t>
      </w:r>
      <w:r w:rsidR="00402BC9">
        <w:rPr>
          <w:szCs w:val="19"/>
        </w:rPr>
        <w:t xml:space="preserve"> technicznej; działalności w </w:t>
      </w:r>
      <w:r w:rsidRPr="00330312">
        <w:rPr>
          <w:szCs w:val="19"/>
        </w:rPr>
        <w:t>zakresie usług administrowania i działalności wspie</w:t>
      </w:r>
      <w:r w:rsidR="004773C3">
        <w:rPr>
          <w:szCs w:val="19"/>
        </w:rPr>
        <w:softHyphen/>
      </w:r>
      <w:r w:rsidRPr="00330312">
        <w:rPr>
          <w:szCs w:val="19"/>
        </w:rPr>
        <w:t>rają</w:t>
      </w:r>
      <w:r w:rsidR="00402BC9">
        <w:rPr>
          <w:szCs w:val="19"/>
        </w:rPr>
        <w:t xml:space="preserve">cej; działalności związanej z </w:t>
      </w:r>
      <w:r w:rsidRPr="00330312">
        <w:rPr>
          <w:szCs w:val="19"/>
        </w:rPr>
        <w:t>kultur</w:t>
      </w:r>
      <w:r w:rsidR="00C7754E">
        <w:rPr>
          <w:szCs w:val="19"/>
        </w:rPr>
        <w:t>ą, rozrywką i </w:t>
      </w:r>
      <w:r w:rsidRPr="00330312">
        <w:rPr>
          <w:szCs w:val="19"/>
        </w:rPr>
        <w:t>rekreacją; naprawy i konserwacji komputerów i</w:t>
      </w:r>
      <w:r w:rsidR="00402BC9">
        <w:rPr>
          <w:szCs w:val="19"/>
        </w:rPr>
        <w:t xml:space="preserve"> </w:t>
      </w:r>
      <w:r w:rsidRPr="00330312">
        <w:rPr>
          <w:szCs w:val="19"/>
        </w:rPr>
        <w:t>artykułów użytku osobistego i domowego; pozostałej indywidualnej działalności usługowej.</w:t>
      </w:r>
    </w:p>
    <w:p w:rsidR="005809C7" w:rsidRDefault="00F3548B" w:rsidP="00A153EF">
      <w:pPr>
        <w:rPr>
          <w:szCs w:val="19"/>
        </w:rPr>
      </w:pPr>
      <w:r>
        <w:rPr>
          <w:szCs w:val="19"/>
        </w:rPr>
        <w:t xml:space="preserve">Dane z rynku pracy na formularzu badania DG-1 nie obejmują osób zatrudnionych na podstawie umowy zlecenia i umowy o dzieło </w:t>
      </w:r>
      <w:r w:rsidR="00F66833">
        <w:rPr>
          <w:szCs w:val="19"/>
        </w:rPr>
        <w:t xml:space="preserve">- </w:t>
      </w:r>
      <w:r>
        <w:rPr>
          <w:szCs w:val="19"/>
        </w:rPr>
        <w:t>szczegółowy</w:t>
      </w:r>
      <w:r w:rsidR="00C7754E">
        <w:rPr>
          <w:szCs w:val="19"/>
        </w:rPr>
        <w:t xml:space="preserve"> zakres wyłączeń</w:t>
      </w:r>
      <w:r w:rsidR="00F66833">
        <w:rPr>
          <w:szCs w:val="19"/>
        </w:rPr>
        <w:t xml:space="preserve"> </w:t>
      </w:r>
      <w:r w:rsidR="00B65CA9">
        <w:rPr>
          <w:szCs w:val="19"/>
        </w:rPr>
        <w:t xml:space="preserve">z opisem metod </w:t>
      </w:r>
      <w:r w:rsidR="00F66833">
        <w:rPr>
          <w:szCs w:val="19"/>
        </w:rPr>
        <w:t xml:space="preserve">obliczania zmiennych z rynku pracy </w:t>
      </w:r>
      <w:r w:rsidR="00C7754E">
        <w:rPr>
          <w:szCs w:val="19"/>
        </w:rPr>
        <w:t>znajduj</w:t>
      </w:r>
      <w:r w:rsidR="006A0449">
        <w:rPr>
          <w:szCs w:val="19"/>
        </w:rPr>
        <w:t>e</w:t>
      </w:r>
      <w:r w:rsidR="00F66833">
        <w:rPr>
          <w:szCs w:val="19"/>
        </w:rPr>
        <w:t xml:space="preserve"> </w:t>
      </w:r>
      <w:r w:rsidR="00C7754E">
        <w:rPr>
          <w:szCs w:val="19"/>
        </w:rPr>
        <w:t xml:space="preserve">się </w:t>
      </w:r>
      <w:r w:rsidR="00F66833">
        <w:rPr>
          <w:szCs w:val="19"/>
        </w:rPr>
        <w:t xml:space="preserve">m.in. </w:t>
      </w:r>
      <w:r w:rsidR="00C7754E">
        <w:rPr>
          <w:szCs w:val="19"/>
        </w:rPr>
        <w:t>w</w:t>
      </w:r>
      <w:r w:rsidR="00402BC9">
        <w:rPr>
          <w:szCs w:val="19"/>
        </w:rPr>
        <w:t xml:space="preserve"> </w:t>
      </w:r>
      <w:r>
        <w:rPr>
          <w:szCs w:val="19"/>
        </w:rPr>
        <w:t>objaśnieniach do formularza DG</w:t>
      </w:r>
      <w:r w:rsidR="00E5153B">
        <w:rPr>
          <w:szCs w:val="19"/>
        </w:rPr>
        <w:noBreakHyphen/>
      </w:r>
      <w:r>
        <w:rPr>
          <w:szCs w:val="19"/>
        </w:rPr>
        <w:t>1</w:t>
      </w:r>
      <w:r w:rsidRPr="00D7719E">
        <w:rPr>
          <w:vertAlign w:val="superscript"/>
        </w:rPr>
        <w:footnoteReference w:id="7"/>
      </w:r>
      <w:r>
        <w:rPr>
          <w:szCs w:val="19"/>
        </w:rPr>
        <w:t xml:space="preserve">. </w:t>
      </w:r>
    </w:p>
    <w:p w:rsidR="00402BC9" w:rsidRDefault="00F30B2F" w:rsidP="001921AA">
      <w:pPr>
        <w:spacing w:after="160" w:line="254" w:lineRule="auto"/>
        <w:rPr>
          <w:szCs w:val="19"/>
        </w:rPr>
      </w:pPr>
      <w:r w:rsidRPr="00F30B2F">
        <w:rPr>
          <w:szCs w:val="19"/>
        </w:rPr>
        <w:t>Ze względu na krótki termin w jakim jednostki dostarczają dane w ramach badania na formularzu DG-1, prezentowane wyniki mają charakter wstępny</w:t>
      </w:r>
      <w:r w:rsidR="00012AA5" w:rsidRPr="00012AA5">
        <w:rPr>
          <w:szCs w:val="19"/>
        </w:rPr>
        <w:t xml:space="preserve">. W przypadku braku pełnej ewidencji na dzień sporządzania sprawozdania dopuszcza się wykazywanie danych szacunkowych, zaś w </w:t>
      </w:r>
      <w:r w:rsidR="00CE2703">
        <w:rPr>
          <w:szCs w:val="19"/>
        </w:rPr>
        <w:t>sytuacji</w:t>
      </w:r>
      <w:r w:rsidR="00012AA5" w:rsidRPr="00012AA5">
        <w:rPr>
          <w:szCs w:val="19"/>
        </w:rPr>
        <w:t xml:space="preserve"> konieczności skorygowania danych wykazanych w poprzednich okresach, zmiany uwzględnia się wyłącznie w danych narastających</w:t>
      </w:r>
      <w:r w:rsidR="00402BC9">
        <w:rPr>
          <w:szCs w:val="19"/>
        </w:rPr>
        <w:t>.</w:t>
      </w:r>
    </w:p>
    <w:p w:rsidR="003063C3" w:rsidRDefault="003063C3" w:rsidP="001921AA">
      <w:pPr>
        <w:spacing w:after="160" w:line="254" w:lineRule="auto"/>
        <w:rPr>
          <w:szCs w:val="19"/>
        </w:rPr>
      </w:pPr>
    </w:p>
    <w:p w:rsidR="00694AF0" w:rsidRPr="00001C5B" w:rsidRDefault="001921AA" w:rsidP="001921AA">
      <w:pPr>
        <w:spacing w:after="160" w:line="254" w:lineRule="auto"/>
        <w:rPr>
          <w:sz w:val="18"/>
        </w:rPr>
        <w:sectPr w:rsidR="00694AF0" w:rsidRPr="00001C5B" w:rsidSect="00B726BA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3119" w:bottom="720" w:left="720" w:header="284" w:footer="283" w:gutter="0"/>
          <w:cols w:space="708"/>
          <w:titlePg/>
          <w:docGrid w:linePitch="360"/>
        </w:sectPr>
      </w:pPr>
      <w:r w:rsidRPr="001921AA">
        <w:rPr>
          <w:szCs w:val="19"/>
        </w:rPr>
        <w:t>W przypadku cytowania danych Głównego Urzędu Statystycznego prosimy o zamieszczenie informacji: „Źródło danych GUS”, a w przypadku pub</w:t>
      </w:r>
      <w:r w:rsidR="005168BC">
        <w:rPr>
          <w:szCs w:val="19"/>
        </w:rPr>
        <w:t>likowania obliczeń dokonanych z </w:t>
      </w:r>
      <w:r w:rsidRPr="001921AA">
        <w:rPr>
          <w:szCs w:val="19"/>
        </w:rPr>
        <w:t>wykorzystaniem danych opublikowanych przez GUS prosimy o zamieszczenie informacji: „Opracowanie własne na podstawie danych GUS”.</w:t>
      </w: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6"/>
        <w:gridCol w:w="3927"/>
      </w:tblGrid>
      <w:tr w:rsidR="000470AA" w:rsidRPr="00A94A69" w:rsidTr="00584EC3">
        <w:trPr>
          <w:trHeight w:val="1912"/>
        </w:trPr>
        <w:tc>
          <w:tcPr>
            <w:tcW w:w="4379" w:type="dxa"/>
          </w:tcPr>
          <w:p w:rsidR="000B4C80" w:rsidRDefault="000470AA" w:rsidP="00584EC3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564813">
              <w:rPr>
                <w:rFonts w:cs="Arial"/>
                <w:color w:val="000000"/>
                <w:sz w:val="20"/>
              </w:rPr>
              <w:t>Opracowanie</w:t>
            </w:r>
            <w:r w:rsidR="00A94A69">
              <w:rPr>
                <w:rFonts w:cs="Arial"/>
                <w:color w:val="000000"/>
                <w:sz w:val="20"/>
              </w:rPr>
              <w:t xml:space="preserve"> merytoryczne</w:t>
            </w:r>
            <w:r w:rsidRPr="00564813">
              <w:rPr>
                <w:rFonts w:cs="Arial"/>
                <w:color w:val="000000"/>
                <w:sz w:val="20"/>
              </w:rPr>
              <w:t>:</w:t>
            </w:r>
            <w:r w:rsidR="00584EC3" w:rsidRPr="00564813">
              <w:rPr>
                <w:rFonts w:cs="Arial"/>
                <w:color w:val="000000"/>
                <w:sz w:val="20"/>
              </w:rPr>
              <w:br/>
            </w:r>
            <w:r w:rsidR="000B4C80">
              <w:rPr>
                <w:rFonts w:cs="Arial"/>
                <w:b/>
                <w:color w:val="000000"/>
                <w:sz w:val="20"/>
              </w:rPr>
              <w:t>D</w:t>
            </w:r>
            <w:r w:rsidR="00584EC3" w:rsidRPr="00564813">
              <w:rPr>
                <w:rFonts w:cs="Arial"/>
                <w:b/>
                <w:color w:val="000000"/>
                <w:sz w:val="20"/>
              </w:rPr>
              <w:t>epartament Rynku Pracy</w:t>
            </w:r>
          </w:p>
          <w:p w:rsidR="00584EC3" w:rsidRPr="00564813" w:rsidRDefault="00D56DF3" w:rsidP="00584EC3">
            <w:pPr>
              <w:spacing w:before="0" w:after="0" w:line="276" w:lineRule="auto"/>
              <w:rPr>
                <w:rFonts w:cs="Arial"/>
                <w:color w:val="000000"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Dyrektor </w:t>
            </w:r>
            <w:r w:rsidR="000B4C80">
              <w:rPr>
                <w:rFonts w:cs="Calibri"/>
                <w:b/>
                <w:sz w:val="20"/>
              </w:rPr>
              <w:t>Agnieszka Zgierska</w:t>
            </w:r>
          </w:p>
          <w:p w:rsidR="000470AA" w:rsidRPr="00A94A69" w:rsidRDefault="000470AA" w:rsidP="00584EC3">
            <w:pPr>
              <w:pStyle w:val="Nagwek3"/>
              <w:spacing w:before="0" w:line="240" w:lineRule="auto"/>
              <w:rPr>
                <w:rFonts w:ascii="Fira Sans" w:eastAsia="Fira Sans Light" w:hAnsi="Fira Sans" w:cs="Arial"/>
                <w:color w:val="auto"/>
                <w:sz w:val="20"/>
                <w:szCs w:val="22"/>
              </w:rPr>
            </w:pPr>
            <w:r w:rsidRPr="00A94A69">
              <w:rPr>
                <w:rFonts w:ascii="Fira Sans" w:eastAsia="Fira Sans Light" w:hAnsi="Fira Sans" w:cs="Arial"/>
                <w:color w:val="auto"/>
                <w:sz w:val="20"/>
                <w:szCs w:val="22"/>
              </w:rPr>
              <w:t xml:space="preserve">Tel: </w:t>
            </w:r>
            <w:r w:rsidR="000B4C80">
              <w:rPr>
                <w:rFonts w:ascii="Fira Sans" w:hAnsi="Fira Sans" w:cs="Calibri"/>
                <w:color w:val="auto"/>
                <w:sz w:val="20"/>
                <w:lang w:val="fi-FI"/>
              </w:rPr>
              <w:t>22 608 3</w:t>
            </w:r>
            <w:r w:rsidR="001D4DD6">
              <w:rPr>
                <w:rFonts w:ascii="Fira Sans" w:hAnsi="Fira Sans" w:cs="Calibri"/>
                <w:color w:val="auto"/>
                <w:sz w:val="20"/>
                <w:lang w:val="fi-FI"/>
              </w:rPr>
              <w:t>0 15</w:t>
            </w:r>
          </w:p>
          <w:p w:rsidR="000470AA" w:rsidRPr="00A94A69" w:rsidRDefault="000470AA" w:rsidP="00535BA6">
            <w:pPr>
              <w:pStyle w:val="Nagwek3"/>
              <w:spacing w:before="0" w:line="240" w:lineRule="auto"/>
              <w:rPr>
                <w:rFonts w:ascii="Fira Sans" w:eastAsia="Fira Sans Light" w:hAnsi="Fira Sans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3942" w:type="dxa"/>
          </w:tcPr>
          <w:p w:rsidR="000470AA" w:rsidRPr="00564813" w:rsidRDefault="000470AA" w:rsidP="00E23337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564813">
              <w:rPr>
                <w:rFonts w:cs="Arial"/>
                <w:color w:val="000000"/>
                <w:sz w:val="20"/>
              </w:rPr>
              <w:t>Rozpowszechnianie:</w:t>
            </w:r>
            <w:r w:rsidRPr="00564813">
              <w:rPr>
                <w:rFonts w:cs="Arial"/>
                <w:color w:val="000000"/>
                <w:sz w:val="20"/>
              </w:rPr>
              <w:br/>
            </w:r>
            <w:r w:rsidRPr="00564813">
              <w:rPr>
                <w:rFonts w:cs="Arial"/>
                <w:b/>
                <w:color w:val="000000"/>
                <w:sz w:val="20"/>
              </w:rPr>
              <w:t>Rzecznik Prasowy Prezesa GUS</w:t>
            </w:r>
          </w:p>
          <w:p w:rsidR="000470AA" w:rsidRPr="00CC690C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</w:rPr>
            </w:pPr>
            <w:r w:rsidRPr="00CC690C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 xml:space="preserve">Karolina </w:t>
            </w:r>
            <w:r w:rsidR="00687874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>Banaszek</w:t>
            </w:r>
          </w:p>
          <w:p w:rsidR="000470AA" w:rsidRPr="00564813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/>
              </w:rPr>
            </w:pPr>
            <w:r w:rsidRPr="00564813">
              <w:rPr>
                <w:rFonts w:ascii="Fira Sans" w:hAnsi="Fira Sans" w:cs="Arial"/>
                <w:color w:val="000000"/>
                <w:sz w:val="20"/>
                <w:lang w:val="fi-FI"/>
              </w:rPr>
              <w:t xml:space="preserve">Tel: </w:t>
            </w:r>
            <w:r w:rsidR="00A94A69" w:rsidRPr="00F60BA8">
              <w:rPr>
                <w:rFonts w:ascii="Fira Sans" w:hAnsi="Fira Sans" w:cs="Arial"/>
                <w:color w:val="000000"/>
                <w:sz w:val="20"/>
                <w:lang w:val="fi-FI"/>
              </w:rPr>
              <w:t>695 255 011</w:t>
            </w:r>
          </w:p>
          <w:p w:rsidR="000470AA" w:rsidRPr="00A94A69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</w:rPr>
            </w:pPr>
          </w:p>
        </w:tc>
      </w:tr>
    </w:tbl>
    <w:p w:rsidR="000470AA" w:rsidRPr="00A94A69" w:rsidRDefault="000470AA" w:rsidP="000470AA">
      <w:pPr>
        <w:rPr>
          <w:sz w:val="20"/>
        </w:rPr>
      </w:pPr>
    </w:p>
    <w:p w:rsidR="000470AA" w:rsidRPr="00A94A69" w:rsidRDefault="000470AA" w:rsidP="000470AA">
      <w:pPr>
        <w:rPr>
          <w:sz w:val="1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564813" w:rsidTr="00564813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564813" w:rsidRDefault="000470AA" w:rsidP="000470AA">
            <w:pPr>
              <w:rPr>
                <w:b/>
                <w:sz w:val="20"/>
              </w:rPr>
            </w:pPr>
            <w:r w:rsidRPr="00564813">
              <w:rPr>
                <w:b/>
                <w:sz w:val="20"/>
              </w:rPr>
              <w:t xml:space="preserve">Wydział Współpracy z Mediami </w:t>
            </w:r>
          </w:p>
          <w:p w:rsidR="000470AA" w:rsidRPr="00EA5FE3" w:rsidRDefault="00A82A9C" w:rsidP="000470AA">
            <w:pPr>
              <w:rPr>
                <w:sz w:val="20"/>
              </w:rPr>
            </w:pPr>
            <w:r w:rsidRPr="00EA5FE3">
              <w:rPr>
                <w:sz w:val="20"/>
              </w:rPr>
              <w:t>Tel:</w:t>
            </w:r>
            <w:r w:rsidR="00097840" w:rsidRPr="00EA5FE3">
              <w:rPr>
                <w:sz w:val="20"/>
              </w:rPr>
              <w:t xml:space="preserve"> 22</w:t>
            </w:r>
            <w:r w:rsidR="000470AA" w:rsidRPr="00EA5FE3">
              <w:rPr>
                <w:sz w:val="20"/>
              </w:rPr>
              <w:t xml:space="preserve"> 608 38 04 </w:t>
            </w:r>
          </w:p>
          <w:p w:rsidR="002C60C6" w:rsidRPr="002C60C6" w:rsidRDefault="002C60C6" w:rsidP="000470AA">
            <w:pPr>
              <w:rPr>
                <w:lang w:val="en-US"/>
              </w:rPr>
            </w:pPr>
            <w:r w:rsidRPr="00564813">
              <w:rPr>
                <w:b/>
                <w:sz w:val="20"/>
                <w:lang w:val="en-US"/>
              </w:rPr>
              <w:t>e-mail:</w:t>
            </w:r>
            <w:r w:rsidRPr="00564813">
              <w:rPr>
                <w:sz w:val="20"/>
                <w:lang w:val="en-US"/>
              </w:rPr>
              <w:t xml:space="preserve"> </w:t>
            </w:r>
            <w:hyperlink r:id="rId18" w:history="1">
              <w:r w:rsidR="00535BA6" w:rsidRPr="00A94A69">
                <w:rPr>
                  <w:rStyle w:val="Hipercze"/>
                  <w:b/>
                  <w:color w:val="auto"/>
                  <w:sz w:val="20"/>
                  <w:lang w:val="en-US"/>
                </w:rPr>
                <w:t>o</w:t>
              </w:r>
              <w:r w:rsidR="00535BA6" w:rsidRPr="00A94A69">
                <w:rPr>
                  <w:rStyle w:val="Hipercze"/>
                  <w:rFonts w:eastAsia="Times New Roman" w:cs="Arial"/>
                  <w:b/>
                  <w:color w:val="auto"/>
                  <w:sz w:val="20"/>
                  <w:szCs w:val="20"/>
                  <w:lang w:val="en-US"/>
                </w:rPr>
                <w:t>bslugaprasowa@stat.gov.pl</w:t>
              </w:r>
            </w:hyperlink>
            <w:r w:rsidR="00535BA6">
              <w:rPr>
                <w:rFonts w:eastAsia="Times New Roman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0470AA" w:rsidRPr="00564813" w:rsidRDefault="000470AA" w:rsidP="000470A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0470AA" w:rsidRPr="00564813" w:rsidRDefault="00807D32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19050" t="0" r="0" b="0"/>
                  <wp:wrapNone/>
                  <wp:docPr id="1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564813" w:rsidRDefault="000470AA" w:rsidP="000470AA">
            <w:pPr>
              <w:rPr>
                <w:sz w:val="18"/>
              </w:rPr>
            </w:pPr>
            <w:r w:rsidRPr="00564813">
              <w:rPr>
                <w:sz w:val="20"/>
              </w:rPr>
              <w:t>www.stat.gov.pl</w:t>
            </w:r>
          </w:p>
        </w:tc>
      </w:tr>
      <w:tr w:rsidR="000470AA" w:rsidRPr="00564813" w:rsidTr="00564813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564813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564813" w:rsidRDefault="00807D32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19050" t="0" r="0" b="0"/>
                  <wp:wrapNone/>
                  <wp:docPr id="10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564813" w:rsidRDefault="000470AA" w:rsidP="000470AA">
            <w:pPr>
              <w:rPr>
                <w:sz w:val="18"/>
              </w:rPr>
            </w:pPr>
            <w:r w:rsidRPr="00564813">
              <w:rPr>
                <w:sz w:val="20"/>
              </w:rPr>
              <w:t>@GUS_STAT</w:t>
            </w:r>
          </w:p>
        </w:tc>
      </w:tr>
      <w:tr w:rsidR="000470AA" w:rsidRPr="00564813" w:rsidTr="00564813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564813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564813" w:rsidRDefault="00807D32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19050" t="0" r="0" b="0"/>
                  <wp:wrapNone/>
                  <wp:docPr id="9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564813" w:rsidRDefault="000470AA" w:rsidP="000470AA">
            <w:pPr>
              <w:rPr>
                <w:sz w:val="20"/>
              </w:rPr>
            </w:pPr>
            <w:r w:rsidRPr="00564813">
              <w:rPr>
                <w:sz w:val="20"/>
              </w:rPr>
              <w:t>@</w:t>
            </w:r>
            <w:proofErr w:type="spellStart"/>
            <w:r w:rsidRPr="00564813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9A61FF" w:rsidP="00E76D26">
      <w:pPr>
        <w:rPr>
          <w:sz w:val="18"/>
        </w:rPr>
      </w:pPr>
      <w:r>
        <w:rPr>
          <w:noProof/>
          <w:sz w:val="18"/>
          <w:lang w:val="en-GB" w:eastAsia="en-GB"/>
        </w:rPr>
        <w:pict>
          <v:shape id="Text Box 4" o:spid="_x0000_s1030" type="#_x0000_t202" style="position:absolute;margin-left:1.5pt;margin-top:33.5pt;width:516.5pt;height:349.85pt;z-index:25165516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" fillcolor="#f2f2f2" strokecolor="white">
            <v:textbox>
              <w:txbxContent>
                <w:p w:rsidR="00AB6D25" w:rsidRDefault="00AB6D25" w:rsidP="00AB6D25">
                  <w:pPr>
                    <w:rPr>
                      <w:b/>
                    </w:rPr>
                  </w:pPr>
                </w:p>
                <w:p w:rsidR="00AB6D25" w:rsidRDefault="00AB6D25" w:rsidP="00AB6D25">
                  <w:pPr>
                    <w:rPr>
                      <w:b/>
                    </w:rPr>
                  </w:pPr>
                  <w:r w:rsidRPr="005520D8">
                    <w:rPr>
                      <w:b/>
                    </w:rPr>
                    <w:t>Powiązane</w:t>
                  </w:r>
                  <w:r>
                    <w:rPr>
                      <w:b/>
                    </w:rPr>
                    <w:t xml:space="preserve"> opracowania</w:t>
                  </w:r>
                </w:p>
                <w:p w:rsidR="009B7E5E" w:rsidRPr="00E9755A" w:rsidRDefault="009A61FF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2" w:history="1">
                    <w:r w:rsidR="006551FA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Obszar tematyczny: </w:t>
                    </w:r>
                    <w:r w:rsidR="009B7E5E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Pracujący. Zatrudnieni. Wynagrodzenia. Koszty pracy</w:t>
                    </w:r>
                  </w:hyperlink>
                  <w:r w:rsidR="009B7E5E" w:rsidRPr="00E9755A"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  <w:t xml:space="preserve"> </w:t>
                  </w:r>
                </w:p>
                <w:p w:rsidR="00D9355F" w:rsidRPr="000F2884" w:rsidRDefault="009A61FF" w:rsidP="00D9355F">
                  <w:pPr>
                    <w:pStyle w:val="Nagwek2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3" w:history="1">
                    <w:r w:rsidR="00D9355F" w:rsidRPr="000F2884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Zatrudnienie i wynagrodzenia w gospodarce narodowej w</w:t>
                    </w:r>
                    <w:r w:rsidR="00FA0EF9" w:rsidRPr="000F2884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 </w:t>
                    </w:r>
                    <w:r w:rsidR="000F2884" w:rsidRPr="000F2884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I-III kwartale </w:t>
                    </w:r>
                    <w:r w:rsidR="005276C2" w:rsidRPr="000F2884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2021 roku</w:t>
                    </w:r>
                  </w:hyperlink>
                </w:p>
                <w:p w:rsidR="00E363A1" w:rsidRPr="005276C2" w:rsidRDefault="009A61FF" w:rsidP="00E363A1">
                  <w:pPr>
                    <w:pStyle w:val="Nagwek2"/>
                    <w:spacing w:before="120" w:after="120"/>
                    <w:rPr>
                      <w:color w:val="001D77"/>
                    </w:rPr>
                  </w:pPr>
                  <w:hyperlink r:id="rId24" w:history="1">
                    <w:r w:rsidR="006551FA" w:rsidRPr="005276C2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Struktura wynagrodzeń według zawodów w październiku 201</w:t>
                    </w:r>
                    <w:r w:rsidR="00FB4E5F" w:rsidRPr="005276C2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8</w:t>
                    </w:r>
                    <w:r w:rsidR="006551FA" w:rsidRPr="005276C2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 r.</w:t>
                    </w:r>
                  </w:hyperlink>
                </w:p>
                <w:p w:rsidR="00E363A1" w:rsidRPr="00E9755A" w:rsidRDefault="009A61FF" w:rsidP="00B5169C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5" w:history="1">
                    <w:r w:rsidR="00B5169C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Zeszyt metodologiczny </w:t>
                    </w:r>
                    <w:r w:rsidR="00E363A1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Pracujący w gospodarce narodowej</w:t>
                    </w:r>
                  </w:hyperlink>
                </w:p>
                <w:p w:rsidR="00B5169C" w:rsidRPr="00E9755A" w:rsidRDefault="009A61FF" w:rsidP="00B5169C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6" w:history="1">
                    <w:r w:rsidR="00E363A1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Zeszyt metodologiczny </w:t>
                    </w:r>
                    <w:r w:rsidR="00B5169C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Wynagrodzenia w gospodarce narodowej</w:t>
                    </w:r>
                  </w:hyperlink>
                </w:p>
                <w:p w:rsidR="00673C26" w:rsidRPr="00FB4E5F" w:rsidRDefault="00673C26" w:rsidP="00AB6D25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  <w:r w:rsidRPr="00564813">
                    <w:rPr>
                      <w:b/>
                      <w:color w:val="000000"/>
                      <w:szCs w:val="24"/>
                    </w:rPr>
                    <w:t>Temat dostępny w bazach danych</w:t>
                  </w:r>
                </w:p>
                <w:p w:rsidR="00673C26" w:rsidRPr="00E9755A" w:rsidRDefault="009A61FF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7" w:history="1">
                    <w:r w:rsidR="006D434B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Baza BDL – temat rynek pracy</w:t>
                    </w:r>
                  </w:hyperlink>
                </w:p>
                <w:p w:rsidR="006D434B" w:rsidRPr="00E9755A" w:rsidRDefault="009A61FF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8" w:history="1">
                    <w:r w:rsidR="006D434B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Baza BDM – temat rynek pracy</w:t>
                    </w:r>
                  </w:hyperlink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  <w:r w:rsidRPr="00564813">
                    <w:rPr>
                      <w:b/>
                      <w:color w:val="000000"/>
                      <w:szCs w:val="24"/>
                    </w:rPr>
                    <w:t>Ważniejsze pojęcia dostępne w słowniku</w:t>
                  </w:r>
                </w:p>
                <w:p w:rsidR="0084017D" w:rsidRPr="00E9755A" w:rsidRDefault="009A61FF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9" w:history="1">
                    <w:r w:rsidR="0084017D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Przeciętne zatrudnienie</w:t>
                    </w:r>
                  </w:hyperlink>
                </w:p>
                <w:p w:rsidR="00F55C4E" w:rsidRPr="00E9755A" w:rsidRDefault="009A61FF" w:rsidP="00F55C4E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0" w:history="1">
                    <w:r w:rsidR="00F55C4E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Wynagrodzenia do obliczania przeciętnego miesięcznego wynagrodzenia</w:t>
                    </w:r>
                  </w:hyperlink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</w:p>
    <w:sectPr w:rsidR="00D261A2" w:rsidRPr="00001C5B" w:rsidSect="003B18B6">
      <w:headerReference w:type="default" r:id="rId31"/>
      <w:footerReference w:type="default" r:id="rId32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1FF" w:rsidRDefault="009A61FF" w:rsidP="000662E2">
      <w:pPr>
        <w:spacing w:after="0" w:line="240" w:lineRule="auto"/>
      </w:pPr>
      <w:r>
        <w:separator/>
      </w:r>
    </w:p>
  </w:endnote>
  <w:endnote w:type="continuationSeparator" w:id="0">
    <w:p w:rsidR="009A61FF" w:rsidRDefault="009A61FF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altName w:val="Cambria Math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56D" w:rsidRDefault="006F61A6" w:rsidP="003B18B6">
    <w:pPr>
      <w:pStyle w:val="Stopka"/>
      <w:jc w:val="center"/>
    </w:pPr>
    <w:r>
      <w:fldChar w:fldCharType="begin"/>
    </w:r>
    <w:r w:rsidR="00541E6E">
      <w:instrText>PAGE   \* MERGEFORMAT</w:instrText>
    </w:r>
    <w:r>
      <w:fldChar w:fldCharType="separate"/>
    </w:r>
    <w:r w:rsidR="007271B9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56D" w:rsidRDefault="006F61A6" w:rsidP="003B18B6">
    <w:pPr>
      <w:pStyle w:val="Stopka"/>
      <w:jc w:val="center"/>
    </w:pPr>
    <w:r>
      <w:fldChar w:fldCharType="begin"/>
    </w:r>
    <w:r w:rsidR="00541E6E">
      <w:instrText>PAGE   \* MERGEFORMAT</w:instrText>
    </w:r>
    <w:r>
      <w:fldChar w:fldCharType="separate"/>
    </w:r>
    <w:r w:rsidR="007271B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8B6" w:rsidRDefault="006F61A6" w:rsidP="003B18B6">
    <w:pPr>
      <w:pStyle w:val="Stopka"/>
      <w:jc w:val="center"/>
    </w:pPr>
    <w:r>
      <w:fldChar w:fldCharType="begin"/>
    </w:r>
    <w:r w:rsidR="003B18B6">
      <w:instrText>PAGE   \* MERGEFORMAT</w:instrText>
    </w:r>
    <w:r>
      <w:fldChar w:fldCharType="separate"/>
    </w:r>
    <w:r w:rsidR="007271B9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1FF" w:rsidRDefault="009A61FF" w:rsidP="000662E2">
      <w:pPr>
        <w:spacing w:after="0" w:line="240" w:lineRule="auto"/>
      </w:pPr>
      <w:r>
        <w:separator/>
      </w:r>
    </w:p>
  </w:footnote>
  <w:footnote w:type="continuationSeparator" w:id="0">
    <w:p w:rsidR="009A61FF" w:rsidRDefault="009A61FF" w:rsidP="000662E2">
      <w:pPr>
        <w:spacing w:after="0" w:line="240" w:lineRule="auto"/>
      </w:pPr>
      <w:r>
        <w:continuationSeparator/>
      </w:r>
    </w:p>
  </w:footnote>
  <w:footnote w:id="1">
    <w:p w:rsidR="00526041" w:rsidRPr="00526041" w:rsidRDefault="00526041">
      <w:pPr>
        <w:pStyle w:val="Tekstprzypisudolnego"/>
      </w:pPr>
      <w:r w:rsidRPr="006E448C">
        <w:rPr>
          <w:rStyle w:val="Odwoanieprzypisudolnego"/>
        </w:rPr>
        <w:footnoteRef/>
      </w:r>
      <w:r w:rsidRPr="006E448C">
        <w:t xml:space="preserve"> </w:t>
      </w:r>
      <w:r w:rsidRPr="006E448C">
        <w:rPr>
          <w:rFonts w:ascii="Fira Sans" w:hAnsi="Fira Sans"/>
          <w:sz w:val="16"/>
          <w:szCs w:val="16"/>
        </w:rPr>
        <w:t>Przeciętne zatrudnienie</w:t>
      </w:r>
      <w:r w:rsidR="006E448C" w:rsidRPr="006E448C">
        <w:rPr>
          <w:rFonts w:ascii="Fira Sans" w:hAnsi="Fira Sans"/>
          <w:sz w:val="16"/>
          <w:szCs w:val="16"/>
        </w:rPr>
        <w:t xml:space="preserve"> po przeliczeniu </w:t>
      </w:r>
      <w:r w:rsidR="00385E94">
        <w:rPr>
          <w:rFonts w:ascii="Fira Sans" w:hAnsi="Fira Sans"/>
          <w:sz w:val="16"/>
          <w:szCs w:val="16"/>
        </w:rPr>
        <w:t>wymiarów etatów</w:t>
      </w:r>
      <w:r w:rsidR="00767212">
        <w:rPr>
          <w:rFonts w:ascii="Fira Sans" w:hAnsi="Fira Sans"/>
          <w:sz w:val="16"/>
          <w:szCs w:val="16"/>
        </w:rPr>
        <w:t xml:space="preserve"> osób </w:t>
      </w:r>
      <w:r w:rsidR="006E448C" w:rsidRPr="006E448C">
        <w:rPr>
          <w:rFonts w:ascii="Fira Sans" w:hAnsi="Fira Sans"/>
          <w:sz w:val="16"/>
          <w:szCs w:val="16"/>
        </w:rPr>
        <w:t>niepełnozatrudnionych na pełne etaty.</w:t>
      </w:r>
      <w:r w:rsidR="006E448C">
        <w:t xml:space="preserve">  </w:t>
      </w:r>
    </w:p>
  </w:footnote>
  <w:footnote w:id="2">
    <w:p w:rsidR="00890841" w:rsidRPr="009118C4" w:rsidRDefault="00890841" w:rsidP="00A221DB">
      <w:pPr>
        <w:pStyle w:val="Tekstprzypisudolnego"/>
        <w:spacing w:before="0"/>
        <w:rPr>
          <w:rFonts w:ascii="Fira Sans" w:hAnsi="Fira Sans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9118C4" w:rsidRPr="009118C4">
        <w:rPr>
          <w:rFonts w:ascii="Fira Sans" w:hAnsi="Fira Sans"/>
          <w:sz w:val="16"/>
          <w:szCs w:val="16"/>
        </w:rPr>
        <w:t xml:space="preserve">Opis </w:t>
      </w:r>
      <w:r w:rsidR="00B113ED">
        <w:rPr>
          <w:rFonts w:ascii="Fira Sans" w:hAnsi="Fira Sans"/>
          <w:sz w:val="16"/>
          <w:szCs w:val="16"/>
        </w:rPr>
        <w:t xml:space="preserve">działalności zaliczanych </w:t>
      </w:r>
      <w:r w:rsidR="009118C4" w:rsidRPr="009118C4">
        <w:rPr>
          <w:rFonts w:ascii="Fira Sans" w:hAnsi="Fira Sans"/>
          <w:sz w:val="16"/>
          <w:szCs w:val="16"/>
        </w:rPr>
        <w:t>do sektor</w:t>
      </w:r>
      <w:r w:rsidR="00E2039C">
        <w:rPr>
          <w:rFonts w:ascii="Fira Sans" w:hAnsi="Fira Sans"/>
          <w:sz w:val="16"/>
          <w:szCs w:val="16"/>
        </w:rPr>
        <w:t>a</w:t>
      </w:r>
      <w:r w:rsidR="009118C4" w:rsidRPr="009118C4">
        <w:rPr>
          <w:rFonts w:ascii="Fira Sans" w:hAnsi="Fira Sans"/>
          <w:sz w:val="16"/>
          <w:szCs w:val="16"/>
        </w:rPr>
        <w:t xml:space="preserve"> przedsiębiorstw zamieszczono na str. </w:t>
      </w:r>
      <w:r w:rsidR="00277484">
        <w:rPr>
          <w:rFonts w:ascii="Fira Sans" w:hAnsi="Fira Sans"/>
          <w:sz w:val="16"/>
          <w:szCs w:val="16"/>
        </w:rPr>
        <w:t>5</w:t>
      </w:r>
      <w:r w:rsidR="009118C4" w:rsidRPr="009118C4">
        <w:rPr>
          <w:rFonts w:ascii="Fira Sans" w:hAnsi="Fira Sans"/>
          <w:sz w:val="16"/>
          <w:szCs w:val="16"/>
        </w:rPr>
        <w:t>.</w:t>
      </w:r>
    </w:p>
  </w:footnote>
  <w:footnote w:id="3">
    <w:p w:rsidR="00890841" w:rsidRPr="00890841" w:rsidRDefault="00890841" w:rsidP="00A221DB">
      <w:pPr>
        <w:pStyle w:val="Tekstprzypisudolnego"/>
        <w:spacing w:before="0"/>
      </w:pPr>
      <w:r w:rsidRPr="00A90758">
        <w:rPr>
          <w:rStyle w:val="Odwoanieprzypisudolnego"/>
        </w:rPr>
        <w:footnoteRef/>
      </w:r>
      <w:r w:rsidRPr="00A90758">
        <w:rPr>
          <w:rStyle w:val="Odwoanieprzypisudolnego"/>
        </w:rPr>
        <w:t xml:space="preserve"> </w:t>
      </w:r>
      <w:r w:rsidR="00A90758">
        <w:rPr>
          <w:rFonts w:ascii="Fira Sans" w:eastAsia="Calibri" w:hAnsi="Fira Sans"/>
          <w:sz w:val="16"/>
          <w:szCs w:val="16"/>
          <w:shd w:val="clear" w:color="auto" w:fill="FFFFFF"/>
        </w:rPr>
        <w:t>Ze</w:t>
      </w:r>
      <w:r w:rsidRPr="009118C4">
        <w:rPr>
          <w:rFonts w:ascii="Fira Sans" w:eastAsia="Calibri" w:hAnsi="Fira Sans"/>
          <w:sz w:val="16"/>
          <w:szCs w:val="16"/>
          <w:shd w:val="clear" w:color="auto" w:fill="FFFFFF"/>
        </w:rPr>
        <w:t>szyt</w:t>
      </w:r>
      <w:r w:rsidRPr="00970F58">
        <w:rPr>
          <w:rFonts w:ascii="Fira Sans" w:eastAsia="Calibri" w:hAnsi="Fira Sans"/>
          <w:sz w:val="16"/>
          <w:szCs w:val="16"/>
          <w:shd w:val="clear" w:color="auto" w:fill="FFFFFF"/>
        </w:rPr>
        <w:t xml:space="preserve"> Metodologiczny Meldunek o działalności gospodarczej przedsiębiorstw</w:t>
      </w:r>
      <w:r w:rsidR="000752C7" w:rsidRPr="00970F58">
        <w:rPr>
          <w:rFonts w:ascii="Fira Sans" w:eastAsia="Calibri" w:hAnsi="Fira Sans"/>
          <w:sz w:val="16"/>
          <w:szCs w:val="16"/>
          <w:shd w:val="clear" w:color="auto" w:fill="FFFFFF"/>
        </w:rPr>
        <w:t>:</w:t>
      </w:r>
      <w:r w:rsidR="000752C7" w:rsidRPr="00970F58">
        <w:rPr>
          <w:rFonts w:ascii="Fira Sans" w:hAnsi="Fira Sans"/>
          <w:sz w:val="16"/>
          <w:szCs w:val="16"/>
        </w:rPr>
        <w:t xml:space="preserve"> </w:t>
      </w:r>
      <w:hyperlink r:id="rId1" w:history="1">
        <w:r w:rsidR="000752C7" w:rsidRPr="00E21722">
          <w:rPr>
            <w:rStyle w:val="Hipercze"/>
            <w:rFonts w:ascii="Fira Sans" w:hAnsi="Fira Sans"/>
            <w:color w:val="001D77"/>
            <w:sz w:val="16"/>
            <w:szCs w:val="16"/>
          </w:rPr>
          <w:t>https://stat.gov.pl/obszary-tematyczne/podmioty-gospodarcze-wyniki-finansowe/przedsiebiorstwa-niefinansowe/zeszyt-metodologiczny-miesieczny-meldunek-o-dzialalnosci-gospodarczej-przedsiebiorstw,31,1.html</w:t>
        </w:r>
      </w:hyperlink>
      <w:r w:rsidR="005A19DF" w:rsidRPr="00E21722">
        <w:rPr>
          <w:rFonts w:ascii="Fira Sans" w:hAnsi="Fira Sans"/>
          <w:color w:val="001D77"/>
          <w:sz w:val="16"/>
          <w:szCs w:val="16"/>
        </w:rPr>
        <w:t>.</w:t>
      </w:r>
      <w:r w:rsidR="000752C7" w:rsidRPr="00E21722">
        <w:rPr>
          <w:color w:val="001D77"/>
        </w:rPr>
        <w:t xml:space="preserve"> </w:t>
      </w:r>
    </w:p>
  </w:footnote>
  <w:footnote w:id="4">
    <w:p w:rsidR="00482AFD" w:rsidRPr="00E21722" w:rsidRDefault="00482AFD" w:rsidP="00482AFD">
      <w:pPr>
        <w:pStyle w:val="Tekstprzypisudolnego"/>
        <w:spacing w:before="0"/>
        <w:rPr>
          <w:color w:val="001D77"/>
        </w:rPr>
      </w:pPr>
      <w:r>
        <w:rPr>
          <w:rStyle w:val="Odwoanieprzypisudolnego"/>
        </w:rPr>
        <w:footnoteRef/>
      </w:r>
      <w:r>
        <w:t xml:space="preserve"> </w:t>
      </w:r>
      <w:r w:rsidRPr="00C44E78">
        <w:rPr>
          <w:rFonts w:ascii="Fira Sans" w:hAnsi="Fira Sans"/>
          <w:sz w:val="16"/>
          <w:szCs w:val="16"/>
        </w:rPr>
        <w:t xml:space="preserve">Załącznik do objaśnień sprawozdawczości z zatrudnienia i wynagrodzeń: </w:t>
      </w:r>
      <w:hyperlink r:id="rId2" w:history="1">
        <w:r w:rsidRPr="00E21722">
          <w:rPr>
            <w:rStyle w:val="Hipercze"/>
            <w:rFonts w:ascii="Fira Sans" w:hAnsi="Fira Sans"/>
            <w:color w:val="001D77"/>
            <w:sz w:val="16"/>
            <w:szCs w:val="16"/>
          </w:rPr>
          <w:t>http://form.stat.gov.pl/formularze/2020/objasnienia/zalacznik_do_objasnien.pdf</w:t>
        </w:r>
      </w:hyperlink>
      <w:r w:rsidRPr="00E21722">
        <w:rPr>
          <w:rFonts w:ascii="Fira Sans" w:hAnsi="Fira Sans"/>
          <w:color w:val="001D77"/>
          <w:sz w:val="16"/>
          <w:szCs w:val="16"/>
        </w:rPr>
        <w:t>.</w:t>
      </w:r>
      <w:r w:rsidRPr="00E21722">
        <w:rPr>
          <w:color w:val="001D77"/>
        </w:rPr>
        <w:t xml:space="preserve"> </w:t>
      </w:r>
    </w:p>
  </w:footnote>
  <w:footnote w:id="5">
    <w:p w:rsidR="00985250" w:rsidRPr="00985250" w:rsidRDefault="00985250" w:rsidP="00393D08">
      <w:pPr>
        <w:pStyle w:val="Tekstprzypisudolnego"/>
        <w:spacing w:before="60"/>
        <w:rPr>
          <w:rFonts w:ascii="Fira Sans" w:hAnsi="Fira Sans"/>
        </w:rPr>
      </w:pPr>
      <w:r w:rsidRPr="00985250">
        <w:rPr>
          <w:rStyle w:val="Odwoanieprzypisudolnego"/>
          <w:rFonts w:ascii="Fira Sans" w:hAnsi="Fira Sans"/>
        </w:rPr>
        <w:footnoteRef/>
      </w:r>
      <w:r w:rsidRPr="00985250">
        <w:rPr>
          <w:rFonts w:ascii="Fira Sans" w:hAnsi="Fira Sans"/>
        </w:rPr>
        <w:t xml:space="preserve"> </w:t>
      </w:r>
      <w:r w:rsidR="00CB2315" w:rsidRPr="00CB2315">
        <w:rPr>
          <w:rFonts w:ascii="Fira Sans" w:hAnsi="Fira Sans" w:cs="Arial"/>
          <w:sz w:val="16"/>
          <w:szCs w:val="16"/>
        </w:rPr>
        <w:t>W ramach sektora przedsiębiorstw, sekcja ta o</w:t>
      </w:r>
      <w:r w:rsidRPr="00985250">
        <w:rPr>
          <w:rFonts w:ascii="Fira Sans" w:hAnsi="Fira Sans" w:cs="Arial"/>
          <w:sz w:val="16"/>
          <w:szCs w:val="16"/>
        </w:rPr>
        <w:t>bejmuje tylko działalność „Leśnictwo i pozyskiwanie drewna” (dział 02) oraz „Rybołówstwo w wodach morskich” (klasa 03.11)</w:t>
      </w:r>
      <w:r w:rsidR="00971C3D">
        <w:rPr>
          <w:rFonts w:ascii="Fira Sans" w:hAnsi="Fira Sans" w:cs="Arial"/>
          <w:sz w:val="16"/>
          <w:szCs w:val="16"/>
        </w:rPr>
        <w:t>.</w:t>
      </w:r>
    </w:p>
  </w:footnote>
  <w:footnote w:id="6">
    <w:p w:rsidR="00C27C83" w:rsidRDefault="00C27C83" w:rsidP="00C27C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315">
        <w:rPr>
          <w:rFonts w:ascii="Fira Sans" w:hAnsi="Fira Sans" w:cs="Arial"/>
          <w:sz w:val="16"/>
          <w:szCs w:val="16"/>
        </w:rPr>
        <w:t>W ramach sektora przedsiębiorstw, sekcja ta o</w:t>
      </w:r>
      <w:r w:rsidRPr="00985250">
        <w:rPr>
          <w:rFonts w:ascii="Fira Sans" w:hAnsi="Fira Sans" w:cs="Arial"/>
          <w:sz w:val="16"/>
          <w:szCs w:val="16"/>
        </w:rPr>
        <w:t>bejmuje tylko działalność „Leśnictwo i pozyskiwanie drewna” (dział 02) oraz „Rybołówstwo w wodach morskich” (klasa 03.11)</w:t>
      </w:r>
      <w:r>
        <w:rPr>
          <w:rFonts w:ascii="Fira Sans" w:hAnsi="Fira Sans" w:cs="Arial"/>
          <w:sz w:val="16"/>
          <w:szCs w:val="16"/>
        </w:rPr>
        <w:t>.</w:t>
      </w:r>
    </w:p>
  </w:footnote>
  <w:footnote w:id="7">
    <w:p w:rsidR="00F3548B" w:rsidRPr="00F3548B" w:rsidRDefault="00F3548B" w:rsidP="00A221DB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970F58">
        <w:rPr>
          <w:rFonts w:ascii="Fira Sans" w:hAnsi="Fira Sans"/>
          <w:sz w:val="16"/>
          <w:szCs w:val="16"/>
        </w:rPr>
        <w:t xml:space="preserve">Formularz badania DG-1 wraz z objaśnieniami: </w:t>
      </w:r>
      <w:bookmarkStart w:id="0" w:name="_GoBack"/>
      <w:r w:rsidR="009A61FF" w:rsidRPr="00E21722">
        <w:rPr>
          <w:color w:val="001D77"/>
        </w:rPr>
        <w:fldChar w:fldCharType="begin"/>
      </w:r>
      <w:r w:rsidR="009A61FF" w:rsidRPr="00E21722">
        <w:rPr>
          <w:color w:val="001D77"/>
        </w:rPr>
        <w:instrText xml:space="preserve"> HYPERLINK "http://form.stat.gov.pl/formularze/2020/passive/DG-1.pdf" </w:instrText>
      </w:r>
      <w:r w:rsidR="009A61FF" w:rsidRPr="00E21722">
        <w:rPr>
          <w:color w:val="001D77"/>
        </w:rPr>
        <w:fldChar w:fldCharType="separate"/>
      </w:r>
      <w:r w:rsidRPr="00E21722">
        <w:rPr>
          <w:rStyle w:val="Hipercze"/>
          <w:rFonts w:ascii="Fira Sans" w:hAnsi="Fira Sans"/>
          <w:color w:val="001D77"/>
          <w:sz w:val="16"/>
          <w:szCs w:val="16"/>
        </w:rPr>
        <w:t>http://form.stat.gov.pl/formularze/2020/passive/DG-1.pdf</w:t>
      </w:r>
      <w:r w:rsidR="009A61FF" w:rsidRPr="00E21722">
        <w:rPr>
          <w:rStyle w:val="Hipercze"/>
          <w:rFonts w:ascii="Fira Sans" w:hAnsi="Fira Sans"/>
          <w:color w:val="001D77"/>
          <w:sz w:val="16"/>
          <w:szCs w:val="16"/>
        </w:rPr>
        <w:fldChar w:fldCharType="end"/>
      </w:r>
      <w:r w:rsidRPr="00E21722">
        <w:rPr>
          <w:rFonts w:ascii="Fira Sans" w:hAnsi="Fira Sans"/>
          <w:color w:val="001D77"/>
          <w:sz w:val="16"/>
          <w:szCs w:val="16"/>
        </w:rPr>
        <w:t>.</w:t>
      </w:r>
      <w:r w:rsidRPr="00E21722">
        <w:rPr>
          <w:color w:val="001D77"/>
        </w:rPr>
        <w:t xml:space="preserve">  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2E2" w:rsidRDefault="009A61FF">
    <w:pPr>
      <w:pStyle w:val="Nagwek"/>
    </w:pPr>
    <w:r>
      <w:rPr>
        <w:noProof/>
        <w:lang w:val="en-GB" w:eastAsia="en-GB"/>
      </w:rPr>
      <w:pict>
        <v:rect id="Prostokąt 24" o:spid="_x0000_s2052" style="position:absolute;margin-left:410.6pt;margin-top:-14.05pt;width:147.6pt;height:1785.85pt;z-index:-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" fillcolor="#f2f2f2" stroked="f" strokeweight="1pt"/>
      </w:pict>
    </w:r>
  </w:p>
  <w:p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437" w:rsidRDefault="009A61FF">
    <w:pPr>
      <w:pStyle w:val="Nagwek"/>
      <w:rPr>
        <w:noProof/>
        <w:lang w:eastAsia="pl-PL"/>
      </w:rPr>
    </w:pPr>
    <w:r>
      <w:rPr>
        <w:noProof/>
        <w:lang w:val="en-GB" w:eastAsia="en-GB"/>
      </w:rPr>
      <w:pict>
        <v:shape id="Schemat blokowy: opóźnienie 6" o:spid="_x0000_s2051" style="position:absolute;margin-left:396.6pt;margin-top:15.65pt;width:162.25pt;height:28.15pt;flip:x;z-index:251658240;visibility:visible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" adj="-11796480,,5400" path="m,l3220948,v169038,,306070,137032,306070,306070c3527018,475108,3389986,612140,3220948,612140l,612140,,xe" fillcolor="#001d77" stroked="f" strokeweight="2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>
            <w:txbxContent>
              <w:p w:rsidR="00F37172" w:rsidRPr="003C6C8D" w:rsidRDefault="00F37172" w:rsidP="001B1FE5">
                <w:pPr>
                  <w:spacing w:before="60" w:after="0"/>
                  <w:ind w:left="227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>
      <w:rPr>
        <w:noProof/>
        <w:lang w:val="en-GB" w:eastAsia="en-GB"/>
      </w:rPr>
      <w:pict>
        <v:rect id="Prostokąt 10" o:spid="_x0000_s2050" style="position:absolute;margin-left:411.1pt;margin-top:40.3pt;width:147.4pt;height:1803.55pt;z-index:-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" fillcolor="#f2f2f2" stroked="f" strokeweight="1pt"/>
      </w:pict>
    </w:r>
    <w:r w:rsidR="00807D32">
      <w:rPr>
        <w:noProof/>
        <w:lang w:eastAsia="pl-PL"/>
      </w:rPr>
      <w:drawing>
        <wp:inline distT="0" distB="0" distL="0" distR="0">
          <wp:extent cx="1148080" cy="723265"/>
          <wp:effectExtent l="19050" t="0" r="0" b="0"/>
          <wp:docPr id="2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" descr="logog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2749" w:rsidRDefault="009A61FF">
    <w:pPr>
      <w:pStyle w:val="Nagwek"/>
      <w:rPr>
        <w:noProof/>
        <w:lang w:eastAsia="pl-PL"/>
      </w:rPr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<v:textbox>
            <w:txbxContent>
              <w:p w:rsidR="00F37172" w:rsidRPr="00C97596" w:rsidRDefault="007256E0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21</w:t>
                </w:r>
                <w:r w:rsidR="0026490D">
                  <w:rPr>
                    <w:rFonts w:ascii="Fira Sans SemiBold" w:hAnsi="Fira Sans SemiBold"/>
                    <w:color w:val="001D77"/>
                  </w:rPr>
                  <w:t>.</w:t>
                </w:r>
                <w:r>
                  <w:rPr>
                    <w:rFonts w:ascii="Fira Sans SemiBold" w:hAnsi="Fira Sans SemiBold"/>
                    <w:color w:val="001D77"/>
                  </w:rPr>
                  <w:t>01</w:t>
                </w:r>
                <w:r w:rsidR="0026490D">
                  <w:rPr>
                    <w:rFonts w:ascii="Fira Sans SemiBold" w:hAnsi="Fira Sans SemiBold"/>
                    <w:color w:val="001D77"/>
                  </w:rPr>
                  <w:t>.20</w:t>
                </w:r>
                <w:r w:rsidR="001D643A">
                  <w:rPr>
                    <w:rFonts w:ascii="Fira Sans SemiBold" w:hAnsi="Fira Sans SemiBold"/>
                    <w:color w:val="001D77"/>
                  </w:rPr>
                  <w:t>2</w:t>
                </w:r>
                <w:r>
                  <w:rPr>
                    <w:rFonts w:ascii="Fira Sans SemiBold" w:hAnsi="Fira Sans SemiBold"/>
                    <w:color w:val="001D77"/>
                  </w:rPr>
                  <w:t>2</w:t>
                </w:r>
                <w:r w:rsidR="00F37172"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CC5" w:rsidRDefault="00607CC5">
    <w:pPr>
      <w:pStyle w:val="Nagwek"/>
    </w:pPr>
  </w:p>
  <w:p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3.6pt;height:125.4pt;visibility:visible" o:bullet="t">
        <v:imagedata r:id="rId1" o:title=""/>
      </v:shape>
    </w:pict>
  </w:numPicBullet>
  <w:numPicBullet w:numPicBulletId="1">
    <w:pict>
      <v:shape id="_x0000_i1035" type="#_x0000_t75" style="width:125.4pt;height:125.4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9E77302"/>
    <w:multiLevelType w:val="hybridMultilevel"/>
    <w:tmpl w:val="2E9EC404"/>
    <w:lvl w:ilvl="0" w:tplc="8438BC9E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FA00FD"/>
    <w:multiLevelType w:val="hybridMultilevel"/>
    <w:tmpl w:val="299A6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0D87"/>
    <w:rsid w:val="00001AA0"/>
    <w:rsid w:val="00001C5B"/>
    <w:rsid w:val="00002C4B"/>
    <w:rsid w:val="00003437"/>
    <w:rsid w:val="00004589"/>
    <w:rsid w:val="000045A2"/>
    <w:rsid w:val="00004942"/>
    <w:rsid w:val="0000709F"/>
    <w:rsid w:val="00010405"/>
    <w:rsid w:val="00010815"/>
    <w:rsid w:val="000108B8"/>
    <w:rsid w:val="00012AA5"/>
    <w:rsid w:val="0001314E"/>
    <w:rsid w:val="0001322E"/>
    <w:rsid w:val="0001330D"/>
    <w:rsid w:val="00013F9D"/>
    <w:rsid w:val="000152F5"/>
    <w:rsid w:val="0001574F"/>
    <w:rsid w:val="00015BB8"/>
    <w:rsid w:val="00015FB5"/>
    <w:rsid w:val="00023E11"/>
    <w:rsid w:val="0002452E"/>
    <w:rsid w:val="000245E6"/>
    <w:rsid w:val="000270B8"/>
    <w:rsid w:val="000277D9"/>
    <w:rsid w:val="00027814"/>
    <w:rsid w:val="000329AA"/>
    <w:rsid w:val="000330B9"/>
    <w:rsid w:val="0004270A"/>
    <w:rsid w:val="00044667"/>
    <w:rsid w:val="00044CE3"/>
    <w:rsid w:val="0004582E"/>
    <w:rsid w:val="00045934"/>
    <w:rsid w:val="00045E24"/>
    <w:rsid w:val="000470AA"/>
    <w:rsid w:val="0005027B"/>
    <w:rsid w:val="00052377"/>
    <w:rsid w:val="000523FE"/>
    <w:rsid w:val="0005505D"/>
    <w:rsid w:val="00055513"/>
    <w:rsid w:val="00056F54"/>
    <w:rsid w:val="00057CA1"/>
    <w:rsid w:val="000622B5"/>
    <w:rsid w:val="00063C6C"/>
    <w:rsid w:val="000662E2"/>
    <w:rsid w:val="00066883"/>
    <w:rsid w:val="00070691"/>
    <w:rsid w:val="00072A91"/>
    <w:rsid w:val="00074DD8"/>
    <w:rsid w:val="000752C7"/>
    <w:rsid w:val="00080100"/>
    <w:rsid w:val="000806F7"/>
    <w:rsid w:val="00082115"/>
    <w:rsid w:val="00082943"/>
    <w:rsid w:val="000861AF"/>
    <w:rsid w:val="00086A5B"/>
    <w:rsid w:val="00097840"/>
    <w:rsid w:val="000A068D"/>
    <w:rsid w:val="000A1E8D"/>
    <w:rsid w:val="000A60A1"/>
    <w:rsid w:val="000A6634"/>
    <w:rsid w:val="000B0727"/>
    <w:rsid w:val="000B3121"/>
    <w:rsid w:val="000B4C80"/>
    <w:rsid w:val="000B599C"/>
    <w:rsid w:val="000B7FE1"/>
    <w:rsid w:val="000C135D"/>
    <w:rsid w:val="000C5F23"/>
    <w:rsid w:val="000C7DD1"/>
    <w:rsid w:val="000D1676"/>
    <w:rsid w:val="000D1871"/>
    <w:rsid w:val="000D19F5"/>
    <w:rsid w:val="000D1D43"/>
    <w:rsid w:val="000D225C"/>
    <w:rsid w:val="000D2A5C"/>
    <w:rsid w:val="000D566D"/>
    <w:rsid w:val="000D6A72"/>
    <w:rsid w:val="000D6E1D"/>
    <w:rsid w:val="000D7899"/>
    <w:rsid w:val="000E03E2"/>
    <w:rsid w:val="000E074C"/>
    <w:rsid w:val="000E0918"/>
    <w:rsid w:val="000E0BA7"/>
    <w:rsid w:val="000E17A4"/>
    <w:rsid w:val="000E2825"/>
    <w:rsid w:val="000E4621"/>
    <w:rsid w:val="000E4840"/>
    <w:rsid w:val="000E6338"/>
    <w:rsid w:val="000F17DA"/>
    <w:rsid w:val="000F2884"/>
    <w:rsid w:val="000F2D5A"/>
    <w:rsid w:val="000F3401"/>
    <w:rsid w:val="000F3A97"/>
    <w:rsid w:val="000F4B54"/>
    <w:rsid w:val="000F5DCD"/>
    <w:rsid w:val="000F6227"/>
    <w:rsid w:val="001008B1"/>
    <w:rsid w:val="00100C71"/>
    <w:rsid w:val="001011C3"/>
    <w:rsid w:val="00101CB2"/>
    <w:rsid w:val="00102F32"/>
    <w:rsid w:val="0010757E"/>
    <w:rsid w:val="0011012D"/>
    <w:rsid w:val="00110D87"/>
    <w:rsid w:val="00110ED3"/>
    <w:rsid w:val="001131B8"/>
    <w:rsid w:val="001132A5"/>
    <w:rsid w:val="00113F2C"/>
    <w:rsid w:val="00114DB9"/>
    <w:rsid w:val="00115503"/>
    <w:rsid w:val="00116087"/>
    <w:rsid w:val="00116F13"/>
    <w:rsid w:val="001209A3"/>
    <w:rsid w:val="00121BE0"/>
    <w:rsid w:val="001255E7"/>
    <w:rsid w:val="00125615"/>
    <w:rsid w:val="0012629B"/>
    <w:rsid w:val="0013006B"/>
    <w:rsid w:val="00130296"/>
    <w:rsid w:val="00130784"/>
    <w:rsid w:val="00132408"/>
    <w:rsid w:val="00132A3E"/>
    <w:rsid w:val="00132CAC"/>
    <w:rsid w:val="001336D1"/>
    <w:rsid w:val="00134257"/>
    <w:rsid w:val="001357CB"/>
    <w:rsid w:val="00136B27"/>
    <w:rsid w:val="00137769"/>
    <w:rsid w:val="001423B6"/>
    <w:rsid w:val="00142EC6"/>
    <w:rsid w:val="001448A7"/>
    <w:rsid w:val="0014611A"/>
    <w:rsid w:val="00146621"/>
    <w:rsid w:val="0015065A"/>
    <w:rsid w:val="00153DE5"/>
    <w:rsid w:val="00153EF0"/>
    <w:rsid w:val="001555C1"/>
    <w:rsid w:val="001572EE"/>
    <w:rsid w:val="001605CF"/>
    <w:rsid w:val="00160615"/>
    <w:rsid w:val="00160CB7"/>
    <w:rsid w:val="00162325"/>
    <w:rsid w:val="00162CA1"/>
    <w:rsid w:val="001656F9"/>
    <w:rsid w:val="0016718E"/>
    <w:rsid w:val="00171CE3"/>
    <w:rsid w:val="001737EE"/>
    <w:rsid w:val="00174327"/>
    <w:rsid w:val="001744B9"/>
    <w:rsid w:val="0017656E"/>
    <w:rsid w:val="001807C1"/>
    <w:rsid w:val="001826E1"/>
    <w:rsid w:val="001921AA"/>
    <w:rsid w:val="001951DA"/>
    <w:rsid w:val="00195457"/>
    <w:rsid w:val="001A0213"/>
    <w:rsid w:val="001A04D4"/>
    <w:rsid w:val="001A6364"/>
    <w:rsid w:val="001A64AF"/>
    <w:rsid w:val="001A6A84"/>
    <w:rsid w:val="001B1FE5"/>
    <w:rsid w:val="001B529E"/>
    <w:rsid w:val="001B645A"/>
    <w:rsid w:val="001B6BC6"/>
    <w:rsid w:val="001C2E12"/>
    <w:rsid w:val="001C3269"/>
    <w:rsid w:val="001C4799"/>
    <w:rsid w:val="001C5DC4"/>
    <w:rsid w:val="001C6EA3"/>
    <w:rsid w:val="001D17B7"/>
    <w:rsid w:val="001D1DB4"/>
    <w:rsid w:val="001D1E8A"/>
    <w:rsid w:val="001D355E"/>
    <w:rsid w:val="001D3C4D"/>
    <w:rsid w:val="001D3C9B"/>
    <w:rsid w:val="001D4DD6"/>
    <w:rsid w:val="001D643A"/>
    <w:rsid w:val="001D76D3"/>
    <w:rsid w:val="001E1B83"/>
    <w:rsid w:val="001E23D5"/>
    <w:rsid w:val="001E3045"/>
    <w:rsid w:val="001E6996"/>
    <w:rsid w:val="001E6F2B"/>
    <w:rsid w:val="001E763A"/>
    <w:rsid w:val="001E7A14"/>
    <w:rsid w:val="001F17DB"/>
    <w:rsid w:val="001F3E98"/>
    <w:rsid w:val="001F6CA3"/>
    <w:rsid w:val="00200048"/>
    <w:rsid w:val="00200E82"/>
    <w:rsid w:val="002040D3"/>
    <w:rsid w:val="00204533"/>
    <w:rsid w:val="00206B25"/>
    <w:rsid w:val="00207FA0"/>
    <w:rsid w:val="00211508"/>
    <w:rsid w:val="002177D2"/>
    <w:rsid w:val="0022006A"/>
    <w:rsid w:val="002216FC"/>
    <w:rsid w:val="002232CD"/>
    <w:rsid w:val="00223998"/>
    <w:rsid w:val="00231EDD"/>
    <w:rsid w:val="002323D2"/>
    <w:rsid w:val="00232A61"/>
    <w:rsid w:val="00233CC3"/>
    <w:rsid w:val="00235CE1"/>
    <w:rsid w:val="00236B45"/>
    <w:rsid w:val="00242368"/>
    <w:rsid w:val="002464CC"/>
    <w:rsid w:val="00246A08"/>
    <w:rsid w:val="00247A2C"/>
    <w:rsid w:val="00247ABA"/>
    <w:rsid w:val="002574F9"/>
    <w:rsid w:val="00260EDF"/>
    <w:rsid w:val="002621EB"/>
    <w:rsid w:val="00262465"/>
    <w:rsid w:val="00262B61"/>
    <w:rsid w:val="0026490D"/>
    <w:rsid w:val="00265971"/>
    <w:rsid w:val="002663D5"/>
    <w:rsid w:val="002738A6"/>
    <w:rsid w:val="00274E13"/>
    <w:rsid w:val="002751A8"/>
    <w:rsid w:val="002760BF"/>
    <w:rsid w:val="00276811"/>
    <w:rsid w:val="00277484"/>
    <w:rsid w:val="00280042"/>
    <w:rsid w:val="00281387"/>
    <w:rsid w:val="002815C7"/>
    <w:rsid w:val="00282010"/>
    <w:rsid w:val="00282699"/>
    <w:rsid w:val="00282868"/>
    <w:rsid w:val="002830D5"/>
    <w:rsid w:val="00284DC4"/>
    <w:rsid w:val="00284EB3"/>
    <w:rsid w:val="00286500"/>
    <w:rsid w:val="002926DF"/>
    <w:rsid w:val="002933D7"/>
    <w:rsid w:val="0029575D"/>
    <w:rsid w:val="00296697"/>
    <w:rsid w:val="00296F9E"/>
    <w:rsid w:val="002A3AD1"/>
    <w:rsid w:val="002A4D52"/>
    <w:rsid w:val="002A4E11"/>
    <w:rsid w:val="002A6103"/>
    <w:rsid w:val="002A79FF"/>
    <w:rsid w:val="002B0472"/>
    <w:rsid w:val="002B4FF4"/>
    <w:rsid w:val="002B6B12"/>
    <w:rsid w:val="002B722E"/>
    <w:rsid w:val="002B7D73"/>
    <w:rsid w:val="002C02B3"/>
    <w:rsid w:val="002C0ABB"/>
    <w:rsid w:val="002C0E32"/>
    <w:rsid w:val="002C1A9A"/>
    <w:rsid w:val="002C1F2B"/>
    <w:rsid w:val="002C2266"/>
    <w:rsid w:val="002C3A9B"/>
    <w:rsid w:val="002C496C"/>
    <w:rsid w:val="002C60C6"/>
    <w:rsid w:val="002C614D"/>
    <w:rsid w:val="002D0681"/>
    <w:rsid w:val="002D09BE"/>
    <w:rsid w:val="002D0A74"/>
    <w:rsid w:val="002D1366"/>
    <w:rsid w:val="002D4645"/>
    <w:rsid w:val="002D4741"/>
    <w:rsid w:val="002D5591"/>
    <w:rsid w:val="002D6AAF"/>
    <w:rsid w:val="002D6BA5"/>
    <w:rsid w:val="002D6FFF"/>
    <w:rsid w:val="002E326E"/>
    <w:rsid w:val="002E6140"/>
    <w:rsid w:val="002E6985"/>
    <w:rsid w:val="002E71B6"/>
    <w:rsid w:val="002E7CC3"/>
    <w:rsid w:val="002F045A"/>
    <w:rsid w:val="002F0BA6"/>
    <w:rsid w:val="002F143E"/>
    <w:rsid w:val="002F77C8"/>
    <w:rsid w:val="00302CD9"/>
    <w:rsid w:val="00303047"/>
    <w:rsid w:val="003036FA"/>
    <w:rsid w:val="00304F22"/>
    <w:rsid w:val="003063C3"/>
    <w:rsid w:val="00306C7C"/>
    <w:rsid w:val="00314804"/>
    <w:rsid w:val="00314AEA"/>
    <w:rsid w:val="00322A74"/>
    <w:rsid w:val="00322EDD"/>
    <w:rsid w:val="00323004"/>
    <w:rsid w:val="0032326A"/>
    <w:rsid w:val="003236A7"/>
    <w:rsid w:val="00325A87"/>
    <w:rsid w:val="0032707A"/>
    <w:rsid w:val="00330124"/>
    <w:rsid w:val="00330312"/>
    <w:rsid w:val="0033040B"/>
    <w:rsid w:val="00332320"/>
    <w:rsid w:val="00332707"/>
    <w:rsid w:val="003329B3"/>
    <w:rsid w:val="00334153"/>
    <w:rsid w:val="00335565"/>
    <w:rsid w:val="0033569C"/>
    <w:rsid w:val="00336459"/>
    <w:rsid w:val="0033768D"/>
    <w:rsid w:val="0034027C"/>
    <w:rsid w:val="00347AE2"/>
    <w:rsid w:val="00347D72"/>
    <w:rsid w:val="003516E1"/>
    <w:rsid w:val="003524F0"/>
    <w:rsid w:val="003533F8"/>
    <w:rsid w:val="00353C8A"/>
    <w:rsid w:val="00355AD3"/>
    <w:rsid w:val="00357611"/>
    <w:rsid w:val="00360FDC"/>
    <w:rsid w:val="0036641D"/>
    <w:rsid w:val="00367237"/>
    <w:rsid w:val="0037077F"/>
    <w:rsid w:val="00372411"/>
    <w:rsid w:val="003727A9"/>
    <w:rsid w:val="0037341A"/>
    <w:rsid w:val="00373882"/>
    <w:rsid w:val="003740D6"/>
    <w:rsid w:val="00374132"/>
    <w:rsid w:val="00377218"/>
    <w:rsid w:val="00377248"/>
    <w:rsid w:val="00377D65"/>
    <w:rsid w:val="00380302"/>
    <w:rsid w:val="00382ACF"/>
    <w:rsid w:val="00383CA6"/>
    <w:rsid w:val="003843DB"/>
    <w:rsid w:val="00385109"/>
    <w:rsid w:val="00385802"/>
    <w:rsid w:val="00385E94"/>
    <w:rsid w:val="0038785E"/>
    <w:rsid w:val="003903D7"/>
    <w:rsid w:val="0039072C"/>
    <w:rsid w:val="0039180B"/>
    <w:rsid w:val="00393761"/>
    <w:rsid w:val="00393D08"/>
    <w:rsid w:val="00394363"/>
    <w:rsid w:val="00395AAA"/>
    <w:rsid w:val="00396030"/>
    <w:rsid w:val="0039669A"/>
    <w:rsid w:val="00397D18"/>
    <w:rsid w:val="003A1615"/>
    <w:rsid w:val="003A1B36"/>
    <w:rsid w:val="003A2EE9"/>
    <w:rsid w:val="003A3D22"/>
    <w:rsid w:val="003A4426"/>
    <w:rsid w:val="003A6F55"/>
    <w:rsid w:val="003A7153"/>
    <w:rsid w:val="003B0021"/>
    <w:rsid w:val="003B0BDB"/>
    <w:rsid w:val="003B0EF4"/>
    <w:rsid w:val="003B1454"/>
    <w:rsid w:val="003B18B6"/>
    <w:rsid w:val="003B18FE"/>
    <w:rsid w:val="003B3C0A"/>
    <w:rsid w:val="003B4253"/>
    <w:rsid w:val="003B4AC3"/>
    <w:rsid w:val="003C1450"/>
    <w:rsid w:val="003C59E0"/>
    <w:rsid w:val="003C61B0"/>
    <w:rsid w:val="003C6C8D"/>
    <w:rsid w:val="003D34C8"/>
    <w:rsid w:val="003D43C3"/>
    <w:rsid w:val="003D4F7C"/>
    <w:rsid w:val="003D4F95"/>
    <w:rsid w:val="003D5583"/>
    <w:rsid w:val="003D5F42"/>
    <w:rsid w:val="003D60A9"/>
    <w:rsid w:val="003D6236"/>
    <w:rsid w:val="003D65FE"/>
    <w:rsid w:val="003D6FF8"/>
    <w:rsid w:val="003D71B9"/>
    <w:rsid w:val="003E18AA"/>
    <w:rsid w:val="003E5C2F"/>
    <w:rsid w:val="003F0108"/>
    <w:rsid w:val="003F014D"/>
    <w:rsid w:val="003F1AB1"/>
    <w:rsid w:val="003F1D4E"/>
    <w:rsid w:val="003F4565"/>
    <w:rsid w:val="003F4C18"/>
    <w:rsid w:val="003F4C97"/>
    <w:rsid w:val="003F55FD"/>
    <w:rsid w:val="003F59D7"/>
    <w:rsid w:val="003F61E2"/>
    <w:rsid w:val="003F6E65"/>
    <w:rsid w:val="003F7256"/>
    <w:rsid w:val="003F7FE6"/>
    <w:rsid w:val="00400193"/>
    <w:rsid w:val="00401623"/>
    <w:rsid w:val="00402BC9"/>
    <w:rsid w:val="00407E1E"/>
    <w:rsid w:val="00413625"/>
    <w:rsid w:val="00413BA1"/>
    <w:rsid w:val="004141D5"/>
    <w:rsid w:val="0041724E"/>
    <w:rsid w:val="00420146"/>
    <w:rsid w:val="004202E2"/>
    <w:rsid w:val="00421271"/>
    <w:rsid w:val="004212E7"/>
    <w:rsid w:val="004232F3"/>
    <w:rsid w:val="0042371B"/>
    <w:rsid w:val="0042446D"/>
    <w:rsid w:val="004254E3"/>
    <w:rsid w:val="00427B41"/>
    <w:rsid w:val="00427BF8"/>
    <w:rsid w:val="00431C02"/>
    <w:rsid w:val="00435D16"/>
    <w:rsid w:val="00436DF8"/>
    <w:rsid w:val="00437395"/>
    <w:rsid w:val="00437C38"/>
    <w:rsid w:val="004441C8"/>
    <w:rsid w:val="004441C9"/>
    <w:rsid w:val="00445047"/>
    <w:rsid w:val="00447BFB"/>
    <w:rsid w:val="00450774"/>
    <w:rsid w:val="004511DD"/>
    <w:rsid w:val="00451619"/>
    <w:rsid w:val="00451748"/>
    <w:rsid w:val="00452D71"/>
    <w:rsid w:val="00455A88"/>
    <w:rsid w:val="00455B4E"/>
    <w:rsid w:val="00456265"/>
    <w:rsid w:val="004562C0"/>
    <w:rsid w:val="00456ABC"/>
    <w:rsid w:val="0046203E"/>
    <w:rsid w:val="0046223C"/>
    <w:rsid w:val="00463922"/>
    <w:rsid w:val="00463E39"/>
    <w:rsid w:val="004657FC"/>
    <w:rsid w:val="0046654D"/>
    <w:rsid w:val="00471982"/>
    <w:rsid w:val="004733F6"/>
    <w:rsid w:val="0047397D"/>
    <w:rsid w:val="00473AC4"/>
    <w:rsid w:val="00474E69"/>
    <w:rsid w:val="0047609C"/>
    <w:rsid w:val="004773C3"/>
    <w:rsid w:val="004775C4"/>
    <w:rsid w:val="00480D29"/>
    <w:rsid w:val="00482AFD"/>
    <w:rsid w:val="0048308C"/>
    <w:rsid w:val="0048335E"/>
    <w:rsid w:val="00483CEC"/>
    <w:rsid w:val="00483E81"/>
    <w:rsid w:val="00485E14"/>
    <w:rsid w:val="00486126"/>
    <w:rsid w:val="00490CBC"/>
    <w:rsid w:val="00492092"/>
    <w:rsid w:val="0049621B"/>
    <w:rsid w:val="004A4318"/>
    <w:rsid w:val="004A50F8"/>
    <w:rsid w:val="004A516C"/>
    <w:rsid w:val="004B2108"/>
    <w:rsid w:val="004B2D13"/>
    <w:rsid w:val="004C1895"/>
    <w:rsid w:val="004C1BE2"/>
    <w:rsid w:val="004C2A75"/>
    <w:rsid w:val="004C3D61"/>
    <w:rsid w:val="004C4156"/>
    <w:rsid w:val="004C5C60"/>
    <w:rsid w:val="004C6D40"/>
    <w:rsid w:val="004D3D01"/>
    <w:rsid w:val="004D4A01"/>
    <w:rsid w:val="004D58F5"/>
    <w:rsid w:val="004D6086"/>
    <w:rsid w:val="004D70C7"/>
    <w:rsid w:val="004D7F3C"/>
    <w:rsid w:val="004E0792"/>
    <w:rsid w:val="004E0A3B"/>
    <w:rsid w:val="004E1A92"/>
    <w:rsid w:val="004E5E74"/>
    <w:rsid w:val="004F0C3C"/>
    <w:rsid w:val="004F3020"/>
    <w:rsid w:val="004F582C"/>
    <w:rsid w:val="004F63FC"/>
    <w:rsid w:val="004F744A"/>
    <w:rsid w:val="004F750D"/>
    <w:rsid w:val="004F7579"/>
    <w:rsid w:val="0050140D"/>
    <w:rsid w:val="00503583"/>
    <w:rsid w:val="00503640"/>
    <w:rsid w:val="00505A92"/>
    <w:rsid w:val="00510423"/>
    <w:rsid w:val="00510974"/>
    <w:rsid w:val="005124A2"/>
    <w:rsid w:val="00512A4D"/>
    <w:rsid w:val="00512DD9"/>
    <w:rsid w:val="00512E26"/>
    <w:rsid w:val="00512F78"/>
    <w:rsid w:val="005133A4"/>
    <w:rsid w:val="00515E9A"/>
    <w:rsid w:val="00516808"/>
    <w:rsid w:val="005168BC"/>
    <w:rsid w:val="005203F1"/>
    <w:rsid w:val="0052109B"/>
    <w:rsid w:val="00521470"/>
    <w:rsid w:val="005219C3"/>
    <w:rsid w:val="00521BC3"/>
    <w:rsid w:val="0052364C"/>
    <w:rsid w:val="00523DDA"/>
    <w:rsid w:val="0052448C"/>
    <w:rsid w:val="00526041"/>
    <w:rsid w:val="00527628"/>
    <w:rsid w:val="005276C2"/>
    <w:rsid w:val="00527841"/>
    <w:rsid w:val="00531EDD"/>
    <w:rsid w:val="005327CB"/>
    <w:rsid w:val="00532AE9"/>
    <w:rsid w:val="00533632"/>
    <w:rsid w:val="00535BA6"/>
    <w:rsid w:val="00537DA4"/>
    <w:rsid w:val="00541E6E"/>
    <w:rsid w:val="0054251F"/>
    <w:rsid w:val="00542C31"/>
    <w:rsid w:val="005460AA"/>
    <w:rsid w:val="005520D8"/>
    <w:rsid w:val="005526BC"/>
    <w:rsid w:val="00552EFF"/>
    <w:rsid w:val="00555FA7"/>
    <w:rsid w:val="005562BC"/>
    <w:rsid w:val="00556CF1"/>
    <w:rsid w:val="00556FD3"/>
    <w:rsid w:val="005626C5"/>
    <w:rsid w:val="00564813"/>
    <w:rsid w:val="005665F1"/>
    <w:rsid w:val="0056754C"/>
    <w:rsid w:val="00572A21"/>
    <w:rsid w:val="00572C4C"/>
    <w:rsid w:val="005745E4"/>
    <w:rsid w:val="00574966"/>
    <w:rsid w:val="00574A39"/>
    <w:rsid w:val="005755F1"/>
    <w:rsid w:val="00575A04"/>
    <w:rsid w:val="005762A7"/>
    <w:rsid w:val="00576D47"/>
    <w:rsid w:val="00577ED3"/>
    <w:rsid w:val="005809C7"/>
    <w:rsid w:val="0058193C"/>
    <w:rsid w:val="00584EC3"/>
    <w:rsid w:val="00586CCF"/>
    <w:rsid w:val="005876E9"/>
    <w:rsid w:val="0059054F"/>
    <w:rsid w:val="005916D7"/>
    <w:rsid w:val="005A19DF"/>
    <w:rsid w:val="005A4EFC"/>
    <w:rsid w:val="005A5EBF"/>
    <w:rsid w:val="005A698C"/>
    <w:rsid w:val="005B2332"/>
    <w:rsid w:val="005B2B24"/>
    <w:rsid w:val="005B3066"/>
    <w:rsid w:val="005B716C"/>
    <w:rsid w:val="005C12A5"/>
    <w:rsid w:val="005C2997"/>
    <w:rsid w:val="005C38B7"/>
    <w:rsid w:val="005C51AF"/>
    <w:rsid w:val="005C61EE"/>
    <w:rsid w:val="005C78AB"/>
    <w:rsid w:val="005D21DF"/>
    <w:rsid w:val="005D2539"/>
    <w:rsid w:val="005D3181"/>
    <w:rsid w:val="005D717E"/>
    <w:rsid w:val="005E0799"/>
    <w:rsid w:val="005E07A1"/>
    <w:rsid w:val="005E22E9"/>
    <w:rsid w:val="005E7C40"/>
    <w:rsid w:val="005F09AA"/>
    <w:rsid w:val="005F3800"/>
    <w:rsid w:val="005F452C"/>
    <w:rsid w:val="005F5A80"/>
    <w:rsid w:val="00601903"/>
    <w:rsid w:val="006026DE"/>
    <w:rsid w:val="0060336D"/>
    <w:rsid w:val="0060379A"/>
    <w:rsid w:val="0060388E"/>
    <w:rsid w:val="006044FF"/>
    <w:rsid w:val="00605EE0"/>
    <w:rsid w:val="00607291"/>
    <w:rsid w:val="00607CC5"/>
    <w:rsid w:val="00611DFC"/>
    <w:rsid w:val="00613807"/>
    <w:rsid w:val="00614B52"/>
    <w:rsid w:val="00615AA7"/>
    <w:rsid w:val="00616A25"/>
    <w:rsid w:val="00620B29"/>
    <w:rsid w:val="006234D3"/>
    <w:rsid w:val="00627DBC"/>
    <w:rsid w:val="006318EA"/>
    <w:rsid w:val="0063260E"/>
    <w:rsid w:val="00633014"/>
    <w:rsid w:val="0063437B"/>
    <w:rsid w:val="006421E5"/>
    <w:rsid w:val="006450A3"/>
    <w:rsid w:val="00650740"/>
    <w:rsid w:val="00650A54"/>
    <w:rsid w:val="006551FA"/>
    <w:rsid w:val="00661410"/>
    <w:rsid w:val="00661C90"/>
    <w:rsid w:val="00661CD6"/>
    <w:rsid w:val="00662B67"/>
    <w:rsid w:val="006673CA"/>
    <w:rsid w:val="00671ED8"/>
    <w:rsid w:val="00673C26"/>
    <w:rsid w:val="00674887"/>
    <w:rsid w:val="006767CA"/>
    <w:rsid w:val="0068008C"/>
    <w:rsid w:val="006812AF"/>
    <w:rsid w:val="00682078"/>
    <w:rsid w:val="00682955"/>
    <w:rsid w:val="00682ACB"/>
    <w:rsid w:val="00683004"/>
    <w:rsid w:val="006831E8"/>
    <w:rsid w:val="0068327D"/>
    <w:rsid w:val="00683452"/>
    <w:rsid w:val="00684754"/>
    <w:rsid w:val="00685310"/>
    <w:rsid w:val="00687874"/>
    <w:rsid w:val="006915CB"/>
    <w:rsid w:val="00694AF0"/>
    <w:rsid w:val="00695467"/>
    <w:rsid w:val="00696FFA"/>
    <w:rsid w:val="006A01CA"/>
    <w:rsid w:val="006A0449"/>
    <w:rsid w:val="006A1EF8"/>
    <w:rsid w:val="006A3DF6"/>
    <w:rsid w:val="006A4686"/>
    <w:rsid w:val="006B0674"/>
    <w:rsid w:val="006B0E9E"/>
    <w:rsid w:val="006B2D72"/>
    <w:rsid w:val="006B539B"/>
    <w:rsid w:val="006B5AE4"/>
    <w:rsid w:val="006B66C0"/>
    <w:rsid w:val="006B67DB"/>
    <w:rsid w:val="006C06BD"/>
    <w:rsid w:val="006C2D66"/>
    <w:rsid w:val="006C3793"/>
    <w:rsid w:val="006C52D6"/>
    <w:rsid w:val="006C5BE7"/>
    <w:rsid w:val="006C6CD7"/>
    <w:rsid w:val="006D02CF"/>
    <w:rsid w:val="006D1507"/>
    <w:rsid w:val="006D2AF9"/>
    <w:rsid w:val="006D4054"/>
    <w:rsid w:val="006D434B"/>
    <w:rsid w:val="006D62A4"/>
    <w:rsid w:val="006D672A"/>
    <w:rsid w:val="006D6E5F"/>
    <w:rsid w:val="006E02EC"/>
    <w:rsid w:val="006E448C"/>
    <w:rsid w:val="006E451F"/>
    <w:rsid w:val="006F0C25"/>
    <w:rsid w:val="006F3326"/>
    <w:rsid w:val="006F3AB0"/>
    <w:rsid w:val="006F3DE4"/>
    <w:rsid w:val="006F44E3"/>
    <w:rsid w:val="006F61A6"/>
    <w:rsid w:val="006F6B50"/>
    <w:rsid w:val="006F6C43"/>
    <w:rsid w:val="00703A27"/>
    <w:rsid w:val="00705D39"/>
    <w:rsid w:val="00705E27"/>
    <w:rsid w:val="007211B1"/>
    <w:rsid w:val="007256E0"/>
    <w:rsid w:val="007271B9"/>
    <w:rsid w:val="00727B30"/>
    <w:rsid w:val="00734A34"/>
    <w:rsid w:val="00737F0B"/>
    <w:rsid w:val="00741777"/>
    <w:rsid w:val="007417B2"/>
    <w:rsid w:val="00743979"/>
    <w:rsid w:val="00746187"/>
    <w:rsid w:val="00751D34"/>
    <w:rsid w:val="007523C5"/>
    <w:rsid w:val="00752EB3"/>
    <w:rsid w:val="007536FD"/>
    <w:rsid w:val="0076254F"/>
    <w:rsid w:val="00762BEE"/>
    <w:rsid w:val="00765469"/>
    <w:rsid w:val="00765518"/>
    <w:rsid w:val="00765878"/>
    <w:rsid w:val="00766A08"/>
    <w:rsid w:val="00767212"/>
    <w:rsid w:val="007672C2"/>
    <w:rsid w:val="00767D12"/>
    <w:rsid w:val="007729DF"/>
    <w:rsid w:val="00773C65"/>
    <w:rsid w:val="0077738F"/>
    <w:rsid w:val="0077748F"/>
    <w:rsid w:val="00777E75"/>
    <w:rsid w:val="007801F5"/>
    <w:rsid w:val="00781569"/>
    <w:rsid w:val="00783526"/>
    <w:rsid w:val="00783CA4"/>
    <w:rsid w:val="007842FB"/>
    <w:rsid w:val="00786124"/>
    <w:rsid w:val="0078638B"/>
    <w:rsid w:val="00786A37"/>
    <w:rsid w:val="0079239B"/>
    <w:rsid w:val="0079514B"/>
    <w:rsid w:val="00796368"/>
    <w:rsid w:val="007A1E50"/>
    <w:rsid w:val="007A2DC1"/>
    <w:rsid w:val="007A2E95"/>
    <w:rsid w:val="007A30E8"/>
    <w:rsid w:val="007A329C"/>
    <w:rsid w:val="007A3643"/>
    <w:rsid w:val="007A4685"/>
    <w:rsid w:val="007A5B16"/>
    <w:rsid w:val="007A6FE8"/>
    <w:rsid w:val="007A7EC2"/>
    <w:rsid w:val="007B4DD0"/>
    <w:rsid w:val="007B7DB6"/>
    <w:rsid w:val="007C0219"/>
    <w:rsid w:val="007C2434"/>
    <w:rsid w:val="007C5F05"/>
    <w:rsid w:val="007C7355"/>
    <w:rsid w:val="007D2546"/>
    <w:rsid w:val="007D3319"/>
    <w:rsid w:val="007D335D"/>
    <w:rsid w:val="007D3B2F"/>
    <w:rsid w:val="007D4A94"/>
    <w:rsid w:val="007D637D"/>
    <w:rsid w:val="007D6FF3"/>
    <w:rsid w:val="007D7EAE"/>
    <w:rsid w:val="007E1CB6"/>
    <w:rsid w:val="007E2BA0"/>
    <w:rsid w:val="007E3314"/>
    <w:rsid w:val="007E4B03"/>
    <w:rsid w:val="007E578F"/>
    <w:rsid w:val="007E725A"/>
    <w:rsid w:val="007E7658"/>
    <w:rsid w:val="007F04C3"/>
    <w:rsid w:val="007F0BE7"/>
    <w:rsid w:val="007F11FE"/>
    <w:rsid w:val="007F324B"/>
    <w:rsid w:val="007F32A1"/>
    <w:rsid w:val="007F4E0E"/>
    <w:rsid w:val="007F7828"/>
    <w:rsid w:val="00800209"/>
    <w:rsid w:val="008034FA"/>
    <w:rsid w:val="0080553C"/>
    <w:rsid w:val="00805B46"/>
    <w:rsid w:val="00807D32"/>
    <w:rsid w:val="00811FAB"/>
    <w:rsid w:val="00816500"/>
    <w:rsid w:val="00817749"/>
    <w:rsid w:val="00820B99"/>
    <w:rsid w:val="00824F28"/>
    <w:rsid w:val="00825DC2"/>
    <w:rsid w:val="0083027A"/>
    <w:rsid w:val="008331ED"/>
    <w:rsid w:val="00833B40"/>
    <w:rsid w:val="00834AD3"/>
    <w:rsid w:val="00835A38"/>
    <w:rsid w:val="008368DF"/>
    <w:rsid w:val="0084017D"/>
    <w:rsid w:val="00840875"/>
    <w:rsid w:val="00843795"/>
    <w:rsid w:val="00845BA3"/>
    <w:rsid w:val="008472B8"/>
    <w:rsid w:val="00847DC0"/>
    <w:rsid w:val="00847F0F"/>
    <w:rsid w:val="00850510"/>
    <w:rsid w:val="00850D6B"/>
    <w:rsid w:val="00852448"/>
    <w:rsid w:val="00853DAF"/>
    <w:rsid w:val="00857594"/>
    <w:rsid w:val="00857756"/>
    <w:rsid w:val="0086036F"/>
    <w:rsid w:val="008615AC"/>
    <w:rsid w:val="00861E0F"/>
    <w:rsid w:val="0086369C"/>
    <w:rsid w:val="00863F6F"/>
    <w:rsid w:val="00866B5C"/>
    <w:rsid w:val="00871BCF"/>
    <w:rsid w:val="0087301B"/>
    <w:rsid w:val="00874980"/>
    <w:rsid w:val="00876E44"/>
    <w:rsid w:val="00877482"/>
    <w:rsid w:val="0088258A"/>
    <w:rsid w:val="00882F42"/>
    <w:rsid w:val="008837D3"/>
    <w:rsid w:val="00883A27"/>
    <w:rsid w:val="008850B1"/>
    <w:rsid w:val="00886332"/>
    <w:rsid w:val="00890479"/>
    <w:rsid w:val="00890841"/>
    <w:rsid w:val="008940D7"/>
    <w:rsid w:val="00897316"/>
    <w:rsid w:val="008979B8"/>
    <w:rsid w:val="008A181A"/>
    <w:rsid w:val="008A26D9"/>
    <w:rsid w:val="008A4527"/>
    <w:rsid w:val="008A4FA1"/>
    <w:rsid w:val="008A724B"/>
    <w:rsid w:val="008B00A7"/>
    <w:rsid w:val="008B02B6"/>
    <w:rsid w:val="008B24B0"/>
    <w:rsid w:val="008B250C"/>
    <w:rsid w:val="008B5F6C"/>
    <w:rsid w:val="008B6FA3"/>
    <w:rsid w:val="008C0C29"/>
    <w:rsid w:val="008C19C8"/>
    <w:rsid w:val="008C3AC6"/>
    <w:rsid w:val="008C42BD"/>
    <w:rsid w:val="008C6E82"/>
    <w:rsid w:val="008C73BD"/>
    <w:rsid w:val="008D0A5D"/>
    <w:rsid w:val="008D53B1"/>
    <w:rsid w:val="008D737F"/>
    <w:rsid w:val="008D7494"/>
    <w:rsid w:val="008D7B51"/>
    <w:rsid w:val="008E01B7"/>
    <w:rsid w:val="008E4218"/>
    <w:rsid w:val="008E4238"/>
    <w:rsid w:val="008E6B43"/>
    <w:rsid w:val="008E6D61"/>
    <w:rsid w:val="008F0263"/>
    <w:rsid w:val="008F0D57"/>
    <w:rsid w:val="008F13EB"/>
    <w:rsid w:val="008F1AE6"/>
    <w:rsid w:val="008F1B72"/>
    <w:rsid w:val="008F3638"/>
    <w:rsid w:val="008F4441"/>
    <w:rsid w:val="008F5F91"/>
    <w:rsid w:val="008F6234"/>
    <w:rsid w:val="008F6F31"/>
    <w:rsid w:val="008F74DF"/>
    <w:rsid w:val="008F7598"/>
    <w:rsid w:val="009001A7"/>
    <w:rsid w:val="0090046F"/>
    <w:rsid w:val="00900F7B"/>
    <w:rsid w:val="00906D30"/>
    <w:rsid w:val="00907D7F"/>
    <w:rsid w:val="00910257"/>
    <w:rsid w:val="009118C4"/>
    <w:rsid w:val="009127BA"/>
    <w:rsid w:val="009132EF"/>
    <w:rsid w:val="00913B2D"/>
    <w:rsid w:val="00915CEB"/>
    <w:rsid w:val="00916EB6"/>
    <w:rsid w:val="00916FFE"/>
    <w:rsid w:val="009227A6"/>
    <w:rsid w:val="00923088"/>
    <w:rsid w:val="00924DBD"/>
    <w:rsid w:val="00925F51"/>
    <w:rsid w:val="00931E93"/>
    <w:rsid w:val="00932104"/>
    <w:rsid w:val="00933BCC"/>
    <w:rsid w:val="00933EC1"/>
    <w:rsid w:val="00934AEE"/>
    <w:rsid w:val="00934E61"/>
    <w:rsid w:val="0093735E"/>
    <w:rsid w:val="00943FF2"/>
    <w:rsid w:val="009530DB"/>
    <w:rsid w:val="00953676"/>
    <w:rsid w:val="00955D4C"/>
    <w:rsid w:val="009614C2"/>
    <w:rsid w:val="0096200B"/>
    <w:rsid w:val="009629B4"/>
    <w:rsid w:val="00965230"/>
    <w:rsid w:val="00967694"/>
    <w:rsid w:val="00967AD9"/>
    <w:rsid w:val="009705EE"/>
    <w:rsid w:val="00970F58"/>
    <w:rsid w:val="00971C3D"/>
    <w:rsid w:val="00972B2C"/>
    <w:rsid w:val="00973CEB"/>
    <w:rsid w:val="00974642"/>
    <w:rsid w:val="009762AB"/>
    <w:rsid w:val="009762F5"/>
    <w:rsid w:val="00977927"/>
    <w:rsid w:val="0098101A"/>
    <w:rsid w:val="0098135C"/>
    <w:rsid w:val="00981498"/>
    <w:rsid w:val="0098156A"/>
    <w:rsid w:val="009828B5"/>
    <w:rsid w:val="00983B31"/>
    <w:rsid w:val="00985250"/>
    <w:rsid w:val="00991B50"/>
    <w:rsid w:val="00991BAC"/>
    <w:rsid w:val="009933BE"/>
    <w:rsid w:val="00993BF0"/>
    <w:rsid w:val="00994802"/>
    <w:rsid w:val="0099558E"/>
    <w:rsid w:val="0099700F"/>
    <w:rsid w:val="00997327"/>
    <w:rsid w:val="009978DE"/>
    <w:rsid w:val="009A1300"/>
    <w:rsid w:val="009A4971"/>
    <w:rsid w:val="009A5195"/>
    <w:rsid w:val="009A5EB5"/>
    <w:rsid w:val="009A61FF"/>
    <w:rsid w:val="009A6EA0"/>
    <w:rsid w:val="009B1EBB"/>
    <w:rsid w:val="009B327B"/>
    <w:rsid w:val="009B494A"/>
    <w:rsid w:val="009B7E5E"/>
    <w:rsid w:val="009C0270"/>
    <w:rsid w:val="009C1335"/>
    <w:rsid w:val="009C1AB2"/>
    <w:rsid w:val="009C3DD7"/>
    <w:rsid w:val="009C7251"/>
    <w:rsid w:val="009D0047"/>
    <w:rsid w:val="009D2613"/>
    <w:rsid w:val="009D3F4C"/>
    <w:rsid w:val="009E214A"/>
    <w:rsid w:val="009E24CC"/>
    <w:rsid w:val="009E2E91"/>
    <w:rsid w:val="009E4FBD"/>
    <w:rsid w:val="009E6336"/>
    <w:rsid w:val="009E6502"/>
    <w:rsid w:val="009F092A"/>
    <w:rsid w:val="009F0DF0"/>
    <w:rsid w:val="009F4DA7"/>
    <w:rsid w:val="009F5F9A"/>
    <w:rsid w:val="00A00044"/>
    <w:rsid w:val="00A012EB"/>
    <w:rsid w:val="00A01CDF"/>
    <w:rsid w:val="00A07241"/>
    <w:rsid w:val="00A139F5"/>
    <w:rsid w:val="00A153EF"/>
    <w:rsid w:val="00A20E04"/>
    <w:rsid w:val="00A216CE"/>
    <w:rsid w:val="00A221DB"/>
    <w:rsid w:val="00A25196"/>
    <w:rsid w:val="00A252F5"/>
    <w:rsid w:val="00A25A16"/>
    <w:rsid w:val="00A26650"/>
    <w:rsid w:val="00A269B9"/>
    <w:rsid w:val="00A27049"/>
    <w:rsid w:val="00A30859"/>
    <w:rsid w:val="00A30996"/>
    <w:rsid w:val="00A31BEF"/>
    <w:rsid w:val="00A3351B"/>
    <w:rsid w:val="00A33DFC"/>
    <w:rsid w:val="00A358B4"/>
    <w:rsid w:val="00A3594C"/>
    <w:rsid w:val="00A365F4"/>
    <w:rsid w:val="00A41E44"/>
    <w:rsid w:val="00A43E86"/>
    <w:rsid w:val="00A4550C"/>
    <w:rsid w:val="00A45BA6"/>
    <w:rsid w:val="00A47D80"/>
    <w:rsid w:val="00A53132"/>
    <w:rsid w:val="00A532B0"/>
    <w:rsid w:val="00A53D6D"/>
    <w:rsid w:val="00A563F2"/>
    <w:rsid w:val="00A566E8"/>
    <w:rsid w:val="00A56B7D"/>
    <w:rsid w:val="00A60A9D"/>
    <w:rsid w:val="00A65D37"/>
    <w:rsid w:val="00A67677"/>
    <w:rsid w:val="00A70B51"/>
    <w:rsid w:val="00A725CD"/>
    <w:rsid w:val="00A73197"/>
    <w:rsid w:val="00A73209"/>
    <w:rsid w:val="00A80D1C"/>
    <w:rsid w:val="00A80FDD"/>
    <w:rsid w:val="00A810F9"/>
    <w:rsid w:val="00A817C8"/>
    <w:rsid w:val="00A82A9C"/>
    <w:rsid w:val="00A83467"/>
    <w:rsid w:val="00A849F4"/>
    <w:rsid w:val="00A85F3E"/>
    <w:rsid w:val="00A86123"/>
    <w:rsid w:val="00A8644C"/>
    <w:rsid w:val="00A86656"/>
    <w:rsid w:val="00A86ECC"/>
    <w:rsid w:val="00A86FCC"/>
    <w:rsid w:val="00A90758"/>
    <w:rsid w:val="00A90959"/>
    <w:rsid w:val="00A9400B"/>
    <w:rsid w:val="00A94A69"/>
    <w:rsid w:val="00AA1F7C"/>
    <w:rsid w:val="00AA3FB2"/>
    <w:rsid w:val="00AA7013"/>
    <w:rsid w:val="00AA710D"/>
    <w:rsid w:val="00AB05A5"/>
    <w:rsid w:val="00AB097F"/>
    <w:rsid w:val="00AB5261"/>
    <w:rsid w:val="00AB5573"/>
    <w:rsid w:val="00AB61F8"/>
    <w:rsid w:val="00AB6D25"/>
    <w:rsid w:val="00AB75B7"/>
    <w:rsid w:val="00AC233F"/>
    <w:rsid w:val="00AC7C31"/>
    <w:rsid w:val="00AD129B"/>
    <w:rsid w:val="00AD40AD"/>
    <w:rsid w:val="00AD43A5"/>
    <w:rsid w:val="00AD70B9"/>
    <w:rsid w:val="00AE2D4B"/>
    <w:rsid w:val="00AE4E37"/>
    <w:rsid w:val="00AE4F99"/>
    <w:rsid w:val="00AE5A38"/>
    <w:rsid w:val="00AF35D4"/>
    <w:rsid w:val="00AF3D7E"/>
    <w:rsid w:val="00AF4B23"/>
    <w:rsid w:val="00B01A68"/>
    <w:rsid w:val="00B02254"/>
    <w:rsid w:val="00B03426"/>
    <w:rsid w:val="00B07659"/>
    <w:rsid w:val="00B0786E"/>
    <w:rsid w:val="00B07F93"/>
    <w:rsid w:val="00B113ED"/>
    <w:rsid w:val="00B11B69"/>
    <w:rsid w:val="00B11CF2"/>
    <w:rsid w:val="00B144C2"/>
    <w:rsid w:val="00B14952"/>
    <w:rsid w:val="00B151DF"/>
    <w:rsid w:val="00B15D47"/>
    <w:rsid w:val="00B1619A"/>
    <w:rsid w:val="00B16A29"/>
    <w:rsid w:val="00B2010D"/>
    <w:rsid w:val="00B214F0"/>
    <w:rsid w:val="00B2237A"/>
    <w:rsid w:val="00B23C6C"/>
    <w:rsid w:val="00B2401D"/>
    <w:rsid w:val="00B2465B"/>
    <w:rsid w:val="00B24B5B"/>
    <w:rsid w:val="00B25B2D"/>
    <w:rsid w:val="00B26725"/>
    <w:rsid w:val="00B31E5A"/>
    <w:rsid w:val="00B32451"/>
    <w:rsid w:val="00B32661"/>
    <w:rsid w:val="00B33E2B"/>
    <w:rsid w:val="00B34220"/>
    <w:rsid w:val="00B3528C"/>
    <w:rsid w:val="00B353C2"/>
    <w:rsid w:val="00B3567E"/>
    <w:rsid w:val="00B371A7"/>
    <w:rsid w:val="00B372B7"/>
    <w:rsid w:val="00B5169C"/>
    <w:rsid w:val="00B51917"/>
    <w:rsid w:val="00B5398A"/>
    <w:rsid w:val="00B55FC2"/>
    <w:rsid w:val="00B562BD"/>
    <w:rsid w:val="00B57116"/>
    <w:rsid w:val="00B601AF"/>
    <w:rsid w:val="00B60432"/>
    <w:rsid w:val="00B60C7E"/>
    <w:rsid w:val="00B627FB"/>
    <w:rsid w:val="00B62EE1"/>
    <w:rsid w:val="00B63A2D"/>
    <w:rsid w:val="00B63FE0"/>
    <w:rsid w:val="00B64C27"/>
    <w:rsid w:val="00B653AB"/>
    <w:rsid w:val="00B65CA9"/>
    <w:rsid w:val="00B65F9E"/>
    <w:rsid w:val="00B66B19"/>
    <w:rsid w:val="00B726BA"/>
    <w:rsid w:val="00B732E1"/>
    <w:rsid w:val="00B73B43"/>
    <w:rsid w:val="00B74623"/>
    <w:rsid w:val="00B7525E"/>
    <w:rsid w:val="00B75E25"/>
    <w:rsid w:val="00B77200"/>
    <w:rsid w:val="00B773AF"/>
    <w:rsid w:val="00B81F02"/>
    <w:rsid w:val="00B822A0"/>
    <w:rsid w:val="00B8241E"/>
    <w:rsid w:val="00B8259A"/>
    <w:rsid w:val="00B83588"/>
    <w:rsid w:val="00B84181"/>
    <w:rsid w:val="00B850CE"/>
    <w:rsid w:val="00B9052D"/>
    <w:rsid w:val="00B914E9"/>
    <w:rsid w:val="00B919C2"/>
    <w:rsid w:val="00B92856"/>
    <w:rsid w:val="00B935E4"/>
    <w:rsid w:val="00B937BE"/>
    <w:rsid w:val="00B94F87"/>
    <w:rsid w:val="00B956EE"/>
    <w:rsid w:val="00BA052B"/>
    <w:rsid w:val="00BA24FA"/>
    <w:rsid w:val="00BA2BA1"/>
    <w:rsid w:val="00BA3562"/>
    <w:rsid w:val="00BA4437"/>
    <w:rsid w:val="00BA73AF"/>
    <w:rsid w:val="00BB0084"/>
    <w:rsid w:val="00BB1237"/>
    <w:rsid w:val="00BB45B9"/>
    <w:rsid w:val="00BB4F09"/>
    <w:rsid w:val="00BB629A"/>
    <w:rsid w:val="00BB78FC"/>
    <w:rsid w:val="00BC1FA6"/>
    <w:rsid w:val="00BC31E4"/>
    <w:rsid w:val="00BC49FF"/>
    <w:rsid w:val="00BC5D4B"/>
    <w:rsid w:val="00BD05EA"/>
    <w:rsid w:val="00BD2A4F"/>
    <w:rsid w:val="00BD2EAB"/>
    <w:rsid w:val="00BD3643"/>
    <w:rsid w:val="00BD4E33"/>
    <w:rsid w:val="00BD6AF2"/>
    <w:rsid w:val="00BE218D"/>
    <w:rsid w:val="00BE2BE1"/>
    <w:rsid w:val="00BE3F49"/>
    <w:rsid w:val="00BE4723"/>
    <w:rsid w:val="00BE6217"/>
    <w:rsid w:val="00BE6565"/>
    <w:rsid w:val="00BF1593"/>
    <w:rsid w:val="00BF21D3"/>
    <w:rsid w:val="00BF22D5"/>
    <w:rsid w:val="00BF2884"/>
    <w:rsid w:val="00BF3406"/>
    <w:rsid w:val="00BF4138"/>
    <w:rsid w:val="00BF6A06"/>
    <w:rsid w:val="00BF73AD"/>
    <w:rsid w:val="00C018FF"/>
    <w:rsid w:val="00C02953"/>
    <w:rsid w:val="00C030DE"/>
    <w:rsid w:val="00C05C5A"/>
    <w:rsid w:val="00C127A6"/>
    <w:rsid w:val="00C13D87"/>
    <w:rsid w:val="00C162C9"/>
    <w:rsid w:val="00C20824"/>
    <w:rsid w:val="00C22105"/>
    <w:rsid w:val="00C244B6"/>
    <w:rsid w:val="00C27C83"/>
    <w:rsid w:val="00C30E6D"/>
    <w:rsid w:val="00C31A8A"/>
    <w:rsid w:val="00C34F1A"/>
    <w:rsid w:val="00C35C0F"/>
    <w:rsid w:val="00C3702F"/>
    <w:rsid w:val="00C37D61"/>
    <w:rsid w:val="00C420FF"/>
    <w:rsid w:val="00C422D5"/>
    <w:rsid w:val="00C4241D"/>
    <w:rsid w:val="00C42AC6"/>
    <w:rsid w:val="00C431CF"/>
    <w:rsid w:val="00C44E78"/>
    <w:rsid w:val="00C4500A"/>
    <w:rsid w:val="00C4710C"/>
    <w:rsid w:val="00C51B91"/>
    <w:rsid w:val="00C52E91"/>
    <w:rsid w:val="00C534AB"/>
    <w:rsid w:val="00C55162"/>
    <w:rsid w:val="00C56259"/>
    <w:rsid w:val="00C562A2"/>
    <w:rsid w:val="00C60085"/>
    <w:rsid w:val="00C60DD0"/>
    <w:rsid w:val="00C61B2C"/>
    <w:rsid w:val="00C63B93"/>
    <w:rsid w:val="00C64A37"/>
    <w:rsid w:val="00C65DCF"/>
    <w:rsid w:val="00C7158E"/>
    <w:rsid w:val="00C7167D"/>
    <w:rsid w:val="00C7222E"/>
    <w:rsid w:val="00C7250B"/>
    <w:rsid w:val="00C7346B"/>
    <w:rsid w:val="00C73DAE"/>
    <w:rsid w:val="00C74DBE"/>
    <w:rsid w:val="00C7754E"/>
    <w:rsid w:val="00C77C0E"/>
    <w:rsid w:val="00C80490"/>
    <w:rsid w:val="00C8120C"/>
    <w:rsid w:val="00C8132E"/>
    <w:rsid w:val="00C824A2"/>
    <w:rsid w:val="00C859FC"/>
    <w:rsid w:val="00C85FDD"/>
    <w:rsid w:val="00C86DEB"/>
    <w:rsid w:val="00C91687"/>
    <w:rsid w:val="00C91FCA"/>
    <w:rsid w:val="00C92301"/>
    <w:rsid w:val="00C924A8"/>
    <w:rsid w:val="00C945FE"/>
    <w:rsid w:val="00C94BB6"/>
    <w:rsid w:val="00C95DD5"/>
    <w:rsid w:val="00C96FAA"/>
    <w:rsid w:val="00C96FDB"/>
    <w:rsid w:val="00C97A04"/>
    <w:rsid w:val="00CA0A40"/>
    <w:rsid w:val="00CA107B"/>
    <w:rsid w:val="00CA2789"/>
    <w:rsid w:val="00CA484D"/>
    <w:rsid w:val="00CA4FB6"/>
    <w:rsid w:val="00CA5BDB"/>
    <w:rsid w:val="00CA5DFC"/>
    <w:rsid w:val="00CA6BAD"/>
    <w:rsid w:val="00CB1170"/>
    <w:rsid w:val="00CB2315"/>
    <w:rsid w:val="00CB4CC8"/>
    <w:rsid w:val="00CB520F"/>
    <w:rsid w:val="00CB6498"/>
    <w:rsid w:val="00CB7294"/>
    <w:rsid w:val="00CB7CEE"/>
    <w:rsid w:val="00CC0006"/>
    <w:rsid w:val="00CC0146"/>
    <w:rsid w:val="00CC396F"/>
    <w:rsid w:val="00CC4F0E"/>
    <w:rsid w:val="00CC5F5F"/>
    <w:rsid w:val="00CC6745"/>
    <w:rsid w:val="00CC6846"/>
    <w:rsid w:val="00CC690C"/>
    <w:rsid w:val="00CC739E"/>
    <w:rsid w:val="00CC7AB2"/>
    <w:rsid w:val="00CD4746"/>
    <w:rsid w:val="00CD4A9F"/>
    <w:rsid w:val="00CD58B7"/>
    <w:rsid w:val="00CD5A8E"/>
    <w:rsid w:val="00CD710C"/>
    <w:rsid w:val="00CE0A5D"/>
    <w:rsid w:val="00CE2703"/>
    <w:rsid w:val="00CE3C2A"/>
    <w:rsid w:val="00CE41BF"/>
    <w:rsid w:val="00CE4352"/>
    <w:rsid w:val="00CE59D8"/>
    <w:rsid w:val="00CE74AF"/>
    <w:rsid w:val="00CE7CBE"/>
    <w:rsid w:val="00CF1F90"/>
    <w:rsid w:val="00CF37EB"/>
    <w:rsid w:val="00CF4099"/>
    <w:rsid w:val="00CF5F03"/>
    <w:rsid w:val="00CF6010"/>
    <w:rsid w:val="00CF640B"/>
    <w:rsid w:val="00D00796"/>
    <w:rsid w:val="00D0253A"/>
    <w:rsid w:val="00D0274B"/>
    <w:rsid w:val="00D033A8"/>
    <w:rsid w:val="00D043CC"/>
    <w:rsid w:val="00D05029"/>
    <w:rsid w:val="00D07E94"/>
    <w:rsid w:val="00D12336"/>
    <w:rsid w:val="00D14E01"/>
    <w:rsid w:val="00D16E96"/>
    <w:rsid w:val="00D21F10"/>
    <w:rsid w:val="00D22796"/>
    <w:rsid w:val="00D24305"/>
    <w:rsid w:val="00D2445B"/>
    <w:rsid w:val="00D261A2"/>
    <w:rsid w:val="00D276A2"/>
    <w:rsid w:val="00D34A6B"/>
    <w:rsid w:val="00D34A6C"/>
    <w:rsid w:val="00D3696F"/>
    <w:rsid w:val="00D37393"/>
    <w:rsid w:val="00D40642"/>
    <w:rsid w:val="00D4576F"/>
    <w:rsid w:val="00D460A8"/>
    <w:rsid w:val="00D46AC3"/>
    <w:rsid w:val="00D552ED"/>
    <w:rsid w:val="00D56407"/>
    <w:rsid w:val="00D56D60"/>
    <w:rsid w:val="00D56DF3"/>
    <w:rsid w:val="00D616AC"/>
    <w:rsid w:val="00D616D2"/>
    <w:rsid w:val="00D618FE"/>
    <w:rsid w:val="00D622FA"/>
    <w:rsid w:val="00D6274A"/>
    <w:rsid w:val="00D63411"/>
    <w:rsid w:val="00D63B5F"/>
    <w:rsid w:val="00D65E7E"/>
    <w:rsid w:val="00D70EF7"/>
    <w:rsid w:val="00D72F29"/>
    <w:rsid w:val="00D73BB6"/>
    <w:rsid w:val="00D76F6A"/>
    <w:rsid w:val="00D7719E"/>
    <w:rsid w:val="00D82C73"/>
    <w:rsid w:val="00D836CF"/>
    <w:rsid w:val="00D8397C"/>
    <w:rsid w:val="00D8413D"/>
    <w:rsid w:val="00D849CF"/>
    <w:rsid w:val="00D85C16"/>
    <w:rsid w:val="00D906A4"/>
    <w:rsid w:val="00D90F3A"/>
    <w:rsid w:val="00D91360"/>
    <w:rsid w:val="00D926ED"/>
    <w:rsid w:val="00D9355F"/>
    <w:rsid w:val="00D94B2D"/>
    <w:rsid w:val="00D94EED"/>
    <w:rsid w:val="00D96026"/>
    <w:rsid w:val="00D962D7"/>
    <w:rsid w:val="00D969D0"/>
    <w:rsid w:val="00DA3E61"/>
    <w:rsid w:val="00DA4DC4"/>
    <w:rsid w:val="00DA6E08"/>
    <w:rsid w:val="00DA7C1C"/>
    <w:rsid w:val="00DB147A"/>
    <w:rsid w:val="00DB1B7A"/>
    <w:rsid w:val="00DB260E"/>
    <w:rsid w:val="00DB4DC3"/>
    <w:rsid w:val="00DB6953"/>
    <w:rsid w:val="00DC1E38"/>
    <w:rsid w:val="00DC36BC"/>
    <w:rsid w:val="00DC40C3"/>
    <w:rsid w:val="00DC4B88"/>
    <w:rsid w:val="00DC6708"/>
    <w:rsid w:val="00DC7260"/>
    <w:rsid w:val="00DD20BD"/>
    <w:rsid w:val="00DD2799"/>
    <w:rsid w:val="00DD3AB8"/>
    <w:rsid w:val="00DD6037"/>
    <w:rsid w:val="00DD6DBA"/>
    <w:rsid w:val="00DD73FE"/>
    <w:rsid w:val="00DE053C"/>
    <w:rsid w:val="00DE11C1"/>
    <w:rsid w:val="00DE3498"/>
    <w:rsid w:val="00DE3883"/>
    <w:rsid w:val="00DE3911"/>
    <w:rsid w:val="00DE53CB"/>
    <w:rsid w:val="00DE7C73"/>
    <w:rsid w:val="00DF30A0"/>
    <w:rsid w:val="00DF33C0"/>
    <w:rsid w:val="00DF3B27"/>
    <w:rsid w:val="00DF5718"/>
    <w:rsid w:val="00DF5A9C"/>
    <w:rsid w:val="00DF5C93"/>
    <w:rsid w:val="00DF7D2F"/>
    <w:rsid w:val="00E00A69"/>
    <w:rsid w:val="00E01436"/>
    <w:rsid w:val="00E02474"/>
    <w:rsid w:val="00E045BD"/>
    <w:rsid w:val="00E0599F"/>
    <w:rsid w:val="00E10459"/>
    <w:rsid w:val="00E11AC7"/>
    <w:rsid w:val="00E11D87"/>
    <w:rsid w:val="00E153C8"/>
    <w:rsid w:val="00E1701D"/>
    <w:rsid w:val="00E17B77"/>
    <w:rsid w:val="00E2039C"/>
    <w:rsid w:val="00E206F4"/>
    <w:rsid w:val="00E20A96"/>
    <w:rsid w:val="00E2113D"/>
    <w:rsid w:val="00E21722"/>
    <w:rsid w:val="00E21DB1"/>
    <w:rsid w:val="00E23337"/>
    <w:rsid w:val="00E259EA"/>
    <w:rsid w:val="00E265FF"/>
    <w:rsid w:val="00E303F2"/>
    <w:rsid w:val="00E32061"/>
    <w:rsid w:val="00E3288C"/>
    <w:rsid w:val="00E35DDD"/>
    <w:rsid w:val="00E363A1"/>
    <w:rsid w:val="00E36BD9"/>
    <w:rsid w:val="00E37596"/>
    <w:rsid w:val="00E37A99"/>
    <w:rsid w:val="00E408B9"/>
    <w:rsid w:val="00E42FF9"/>
    <w:rsid w:val="00E4428B"/>
    <w:rsid w:val="00E44E6B"/>
    <w:rsid w:val="00E45430"/>
    <w:rsid w:val="00E458D8"/>
    <w:rsid w:val="00E4714C"/>
    <w:rsid w:val="00E5153B"/>
    <w:rsid w:val="00E51AEB"/>
    <w:rsid w:val="00E522A7"/>
    <w:rsid w:val="00E53755"/>
    <w:rsid w:val="00E54452"/>
    <w:rsid w:val="00E54FE2"/>
    <w:rsid w:val="00E57E7B"/>
    <w:rsid w:val="00E60A17"/>
    <w:rsid w:val="00E61EB1"/>
    <w:rsid w:val="00E63D4B"/>
    <w:rsid w:val="00E6521D"/>
    <w:rsid w:val="00E65313"/>
    <w:rsid w:val="00E66397"/>
    <w:rsid w:val="00E664C5"/>
    <w:rsid w:val="00E66C18"/>
    <w:rsid w:val="00E671A2"/>
    <w:rsid w:val="00E71B77"/>
    <w:rsid w:val="00E72201"/>
    <w:rsid w:val="00E75097"/>
    <w:rsid w:val="00E75676"/>
    <w:rsid w:val="00E75DD4"/>
    <w:rsid w:val="00E763FE"/>
    <w:rsid w:val="00E76D26"/>
    <w:rsid w:val="00E77988"/>
    <w:rsid w:val="00E8101B"/>
    <w:rsid w:val="00E824D2"/>
    <w:rsid w:val="00E86E33"/>
    <w:rsid w:val="00E871B8"/>
    <w:rsid w:val="00E90381"/>
    <w:rsid w:val="00E91F68"/>
    <w:rsid w:val="00E932C9"/>
    <w:rsid w:val="00E95ABE"/>
    <w:rsid w:val="00E9755A"/>
    <w:rsid w:val="00EA0931"/>
    <w:rsid w:val="00EA0F51"/>
    <w:rsid w:val="00EA2261"/>
    <w:rsid w:val="00EA27F3"/>
    <w:rsid w:val="00EA5FE3"/>
    <w:rsid w:val="00EB1390"/>
    <w:rsid w:val="00EB18A1"/>
    <w:rsid w:val="00EB22B3"/>
    <w:rsid w:val="00EB2858"/>
    <w:rsid w:val="00EB2C71"/>
    <w:rsid w:val="00EB4340"/>
    <w:rsid w:val="00EB5409"/>
    <w:rsid w:val="00EB556D"/>
    <w:rsid w:val="00EB5A7D"/>
    <w:rsid w:val="00EB5AFB"/>
    <w:rsid w:val="00EB5F94"/>
    <w:rsid w:val="00EB7C62"/>
    <w:rsid w:val="00EC0E1A"/>
    <w:rsid w:val="00EC515F"/>
    <w:rsid w:val="00ED0731"/>
    <w:rsid w:val="00ED0BDF"/>
    <w:rsid w:val="00ED13CE"/>
    <w:rsid w:val="00ED1A38"/>
    <w:rsid w:val="00ED4B3B"/>
    <w:rsid w:val="00ED55C0"/>
    <w:rsid w:val="00ED6586"/>
    <w:rsid w:val="00ED682B"/>
    <w:rsid w:val="00EE027B"/>
    <w:rsid w:val="00EE41D5"/>
    <w:rsid w:val="00EF2103"/>
    <w:rsid w:val="00EF2D8B"/>
    <w:rsid w:val="00F00FFC"/>
    <w:rsid w:val="00F03714"/>
    <w:rsid w:val="00F037A4"/>
    <w:rsid w:val="00F050E6"/>
    <w:rsid w:val="00F06176"/>
    <w:rsid w:val="00F06F0E"/>
    <w:rsid w:val="00F07688"/>
    <w:rsid w:val="00F10E09"/>
    <w:rsid w:val="00F13779"/>
    <w:rsid w:val="00F14ED3"/>
    <w:rsid w:val="00F162B3"/>
    <w:rsid w:val="00F204D8"/>
    <w:rsid w:val="00F20C45"/>
    <w:rsid w:val="00F2293E"/>
    <w:rsid w:val="00F243D1"/>
    <w:rsid w:val="00F27C8F"/>
    <w:rsid w:val="00F27D55"/>
    <w:rsid w:val="00F30407"/>
    <w:rsid w:val="00F30B2F"/>
    <w:rsid w:val="00F31D95"/>
    <w:rsid w:val="00F32749"/>
    <w:rsid w:val="00F345AB"/>
    <w:rsid w:val="00F3548B"/>
    <w:rsid w:val="00F357BF"/>
    <w:rsid w:val="00F36C2A"/>
    <w:rsid w:val="00F37172"/>
    <w:rsid w:val="00F40481"/>
    <w:rsid w:val="00F405A2"/>
    <w:rsid w:val="00F42C52"/>
    <w:rsid w:val="00F4477E"/>
    <w:rsid w:val="00F50A5D"/>
    <w:rsid w:val="00F54EF7"/>
    <w:rsid w:val="00F55C4E"/>
    <w:rsid w:val="00F56B9D"/>
    <w:rsid w:val="00F577BD"/>
    <w:rsid w:val="00F62BBE"/>
    <w:rsid w:val="00F66833"/>
    <w:rsid w:val="00F676A6"/>
    <w:rsid w:val="00F67D8F"/>
    <w:rsid w:val="00F67FCB"/>
    <w:rsid w:val="00F71B57"/>
    <w:rsid w:val="00F74F24"/>
    <w:rsid w:val="00F767B3"/>
    <w:rsid w:val="00F77D6E"/>
    <w:rsid w:val="00F802BE"/>
    <w:rsid w:val="00F80E93"/>
    <w:rsid w:val="00F84022"/>
    <w:rsid w:val="00F86024"/>
    <w:rsid w:val="00F8611A"/>
    <w:rsid w:val="00F945D4"/>
    <w:rsid w:val="00F94F0D"/>
    <w:rsid w:val="00F95A50"/>
    <w:rsid w:val="00F95DFD"/>
    <w:rsid w:val="00F96E03"/>
    <w:rsid w:val="00F97C7A"/>
    <w:rsid w:val="00FA0EF9"/>
    <w:rsid w:val="00FA350B"/>
    <w:rsid w:val="00FA5128"/>
    <w:rsid w:val="00FA5A47"/>
    <w:rsid w:val="00FA5DBD"/>
    <w:rsid w:val="00FB128D"/>
    <w:rsid w:val="00FB20F4"/>
    <w:rsid w:val="00FB42D4"/>
    <w:rsid w:val="00FB4E5F"/>
    <w:rsid w:val="00FB56B0"/>
    <w:rsid w:val="00FB5906"/>
    <w:rsid w:val="00FB62BD"/>
    <w:rsid w:val="00FB762F"/>
    <w:rsid w:val="00FC16A1"/>
    <w:rsid w:val="00FC1B67"/>
    <w:rsid w:val="00FC25C8"/>
    <w:rsid w:val="00FC2AED"/>
    <w:rsid w:val="00FC4E65"/>
    <w:rsid w:val="00FC519A"/>
    <w:rsid w:val="00FC5250"/>
    <w:rsid w:val="00FC639E"/>
    <w:rsid w:val="00FD04D6"/>
    <w:rsid w:val="00FD116E"/>
    <w:rsid w:val="00FD5ADA"/>
    <w:rsid w:val="00FD5EA7"/>
    <w:rsid w:val="00FD7794"/>
    <w:rsid w:val="00FE1FB8"/>
    <w:rsid w:val="00FE6B54"/>
    <w:rsid w:val="00FE6F7F"/>
    <w:rsid w:val="00FF0795"/>
    <w:rsid w:val="00FF1AB6"/>
    <w:rsid w:val="00FF2E55"/>
    <w:rsid w:val="00FF37B1"/>
    <w:rsid w:val="00FF3C3C"/>
    <w:rsid w:val="00FF4978"/>
    <w:rsid w:val="00FF702D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CB20B9CC-B030-49A8-9934-66D4C085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ira Sans Light" w:eastAsia="Fira Sans Light" w:hAnsi="Fira Sans Light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  <w:szCs w:val="22"/>
      <w:lang w:eastAsia="en-US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="Fira Sans Medium" w:eastAsia="Times New Roman" w:hAnsi="Fira Sans Medium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="Fira Sans Medium" w:eastAsia="Times New Roman" w:hAnsi="Fira Sans Medium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="Fira Sans Medium" w:eastAsia="Times New Roman" w:hAnsi="Fira Sans Medium"/>
      <w:i/>
      <w:iCs/>
      <w:color w:val="2E74B5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="Fira Sans Medium" w:eastAsia="Times New Roman" w:hAnsi="Fira Sans Medium"/>
      <w:color w:val="2E74B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="Fira Sans Medium" w:eastAsia="Times New Roman" w:hAnsi="Fira Sans Medium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="Fira Sans Medium" w:eastAsia="Times New Roman" w:hAnsi="Fira Sans Medium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link w:val="Nagwek2"/>
    <w:uiPriority w:val="9"/>
    <w:rsid w:val="007A2DC1"/>
    <w:rPr>
      <w:rFonts w:ascii="Fira Sans Medium" w:eastAsia="Times New Roman" w:hAnsi="Fira Sans Medium" w:cs="Times New Roman"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"/>
    <w:rsid w:val="007A2DC1"/>
    <w:rPr>
      <w:rFonts w:ascii="Fira Sans Medium" w:eastAsia="Times New Roman" w:hAnsi="Fira Sans Medium" w:cs="Times New Roman"/>
      <w:color w:val="1F4D78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7A2DC1"/>
    <w:rPr>
      <w:rFonts w:ascii="Fira Sans Medium" w:eastAsia="Times New Roman" w:hAnsi="Fira Sans Medium" w:cs="Times New Roman"/>
      <w:color w:val="2E74B5"/>
    </w:rPr>
  </w:style>
  <w:style w:type="character" w:customStyle="1" w:styleId="Nagwek8Znak">
    <w:name w:val="Nagłówek 8 Znak"/>
    <w:link w:val="Nagwek8"/>
    <w:uiPriority w:val="9"/>
    <w:rsid w:val="007A2DC1"/>
    <w:rPr>
      <w:rFonts w:ascii="Fira Sans Medium" w:eastAsia="Times New Roman" w:hAnsi="Fira Sans Medium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semiHidden/>
    <w:rsid w:val="007A2DC1"/>
    <w:rPr>
      <w:rFonts w:ascii="Fira Sans Medium" w:eastAsia="Times New Roman" w:hAnsi="Fira Sans Medium" w:cs="Times New Roman"/>
      <w:i/>
      <w:iCs/>
      <w:color w:val="272727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437395"/>
    <w:rPr>
      <w:rFonts w:ascii="Fira Sans Medium" w:eastAsia="Times New Roman" w:hAnsi="Fira Sans Medium" w:cs="Times New Roman"/>
      <w:i/>
      <w:iCs/>
      <w:color w:val="2E74B5"/>
    </w:rPr>
  </w:style>
  <w:style w:type="character" w:styleId="Pogrubienie">
    <w:name w:val="Strong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rFonts w:ascii="Fira Sans Light" w:hAnsi="Fira Sans Light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Tabelasiatki1jasnaakcent31">
    <w:name w:val="Tabela siatki 1 — jasna — akcent 31"/>
    <w:basedOn w:val="Standardowy"/>
    <w:uiPriority w:val="46"/>
    <w:rsid w:val="00A31BEF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ED07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UyteHipercze">
    <w:name w:val="FollowedHyperlink"/>
    <w:uiPriority w:val="99"/>
    <w:semiHidden/>
    <w:unhideWhenUsed/>
    <w:rsid w:val="00AD129B"/>
    <w:rPr>
      <w:color w:val="800080"/>
      <w:u w:val="single"/>
    </w:rPr>
  </w:style>
  <w:style w:type="character" w:customStyle="1" w:styleId="apple-converted-space">
    <w:name w:val="apple-converted-space"/>
    <w:basedOn w:val="Domylnaczcionkaakapitu"/>
    <w:rsid w:val="005626C5"/>
  </w:style>
  <w:style w:type="character" w:styleId="Odwoaniedokomentarza">
    <w:name w:val="annotation reference"/>
    <w:uiPriority w:val="99"/>
    <w:semiHidden/>
    <w:unhideWhenUsed/>
    <w:rsid w:val="002045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53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04533"/>
    <w:rPr>
      <w:rFonts w:ascii="Fira Sans" w:hAnsi="Fira San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53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4533"/>
    <w:rPr>
      <w:rFonts w:ascii="Fira Sans" w:hAnsi="Fira Sans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67D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67DB"/>
    <w:rPr>
      <w:rFonts w:ascii="Fira Sans" w:hAnsi="Fira Sans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7DB"/>
    <w:rPr>
      <w:vertAlign w:val="superscript"/>
    </w:rPr>
  </w:style>
  <w:style w:type="paragraph" w:styleId="Poprawka">
    <w:name w:val="Revision"/>
    <w:hidden/>
    <w:uiPriority w:val="99"/>
    <w:semiHidden/>
    <w:rsid w:val="00AF3D7E"/>
    <w:rPr>
      <w:rFonts w:ascii="Fira Sans" w:hAnsi="Fira Sans"/>
      <w:sz w:val="19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hyperlink" Target="mailto:obslugaprasowa@stat.gov.pl" TargetMode="External"/><Relationship Id="rId26" Type="http://schemas.openxmlformats.org/officeDocument/2006/relationships/hyperlink" Target="https://stat.gov.pl/obszary-tematyczne/rynek-pracy/zasady-metodyczne-rocznik-pracy/zeszyt-metodologiczny-wynagrodzenia-w-gospodarce-narodowej,6,1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5" Type="http://schemas.openxmlformats.org/officeDocument/2006/relationships/hyperlink" Target="https://stat.gov.pl/obszary-tematyczne/rynek-pracy/zasady-metodyczne-rocznik-pracy/zeszyt-metodologiczny-pracujacy-w-gospodarce-narodowej,7,1.htm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6.png"/><Relationship Id="rId29" Type="http://schemas.openxmlformats.org/officeDocument/2006/relationships/hyperlink" Target="http://stat.gov.pl/metainformacje/slownik-pojec/pojecia-stosowane-w-statystyce-publicznej/376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s://stat.gov.pl/obszary-tematyczne/rynek-pracy/pracujacy-zatrudnieni-wynagrodzenia-koszty-pracy/struktura-wynagrodzen-wedlug-zawodow-w-pazdzierniku-2018-roku,4,9.html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stat.gov.pl/obszary-tematyczne/rynek-pracy/pracujacy-zatrudnieni-wynagrodzenia-koszty-pracy/zatrudnienie-i-wynagrodzenia-w-gospodarce-narodowej-w-i-iii-kwartale-2021-roku,1,44.html" TargetMode="External"/><Relationship Id="rId28" Type="http://schemas.openxmlformats.org/officeDocument/2006/relationships/hyperlink" Target="http://bdm.stat.gov.pl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://stat.gov.pl/obszary-tematyczne/rynek-pracy/pracujacy-zatrudnieni-wynagrodzenia-koszty-pracy/" TargetMode="External"/><Relationship Id="rId27" Type="http://schemas.openxmlformats.org/officeDocument/2006/relationships/hyperlink" Target="https://bdl.stat.gov.pl/BDL/dane/podgrup/temat" TargetMode="External"/><Relationship Id="rId30" Type="http://schemas.openxmlformats.org/officeDocument/2006/relationships/hyperlink" Target="https://stat.gov.pl/metainformacje/slownik-pojec/pojecia-stosowane-w-statystyce-publicznej/742,pojecie.html" TargetMode="External"/><Relationship Id="rId8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orm.stat.gov.pl/formularze/2020/objasnienia/zalacznik_do_objasnien.pdf" TargetMode="External"/><Relationship Id="rId1" Type="http://schemas.openxmlformats.org/officeDocument/2006/relationships/hyperlink" Target="https://stat.gov.pl/obszary-tematyczne/podmioty-gospodarcze-wyniki-finansowe/przedsiebiorstwa-niefinansowe/zeszyt-metodologiczny-miesieczny-meldunek-o-dzialalnosci-gospodarczej-przedsiebiorstw,31,1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Edytka\DG-1\Inf%20sygnalne%20i%20komunikaty\Sygnalne\2021\wykresy%20sygnalna_EL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Edytka\DG-1\Inf%20sygnalne%20i%20komunikaty\Sygnalne\2021\wykresy%20sygnalna_EL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470837957337078E-2"/>
          <c:y val="8.6234567901234738E-2"/>
          <c:w val="0.87241187972308865"/>
          <c:h val="0.666111111111111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'gl wykres z dod osia'!$D$1</c:f>
              <c:strCache>
                <c:ptCount val="1"/>
                <c:pt idx="0">
                  <c:v>Liczby bezwzględne (lewa skala)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multiLvlStrRef>
              <c:f>'gl wykres z dod osia'!$B$79:$C$114</c:f>
              <c:multiLvlStrCache>
                <c:ptCount val="36"/>
                <c:lvl>
                  <c:pt idx="0">
                    <c:v>01</c:v>
                  </c:pt>
                  <c:pt idx="1">
                    <c:v>02</c:v>
                  </c:pt>
                  <c:pt idx="2">
                    <c:v>03</c:v>
                  </c:pt>
                  <c:pt idx="3">
                    <c:v>04</c:v>
                  </c:pt>
                  <c:pt idx="4">
                    <c:v>05</c:v>
                  </c:pt>
                  <c:pt idx="5">
                    <c:v>06</c:v>
                  </c:pt>
                  <c:pt idx="6">
                    <c:v>07</c:v>
                  </c:pt>
                  <c:pt idx="7">
                    <c:v>08</c:v>
                  </c:pt>
                  <c:pt idx="8">
                    <c:v>09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01</c:v>
                  </c:pt>
                  <c:pt idx="13">
                    <c:v>02</c:v>
                  </c:pt>
                  <c:pt idx="14">
                    <c:v>03</c:v>
                  </c:pt>
                  <c:pt idx="15">
                    <c:v>04</c:v>
                  </c:pt>
                  <c:pt idx="16">
                    <c:v>05</c:v>
                  </c:pt>
                  <c:pt idx="17">
                    <c:v>06</c:v>
                  </c:pt>
                  <c:pt idx="18">
                    <c:v>07</c:v>
                  </c:pt>
                  <c:pt idx="19">
                    <c:v>08</c:v>
                  </c:pt>
                  <c:pt idx="20">
                    <c:v>09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01</c:v>
                  </c:pt>
                  <c:pt idx="25">
                    <c:v>02</c:v>
                  </c:pt>
                  <c:pt idx="26">
                    <c:v>03</c:v>
                  </c:pt>
                  <c:pt idx="27">
                    <c:v>04</c:v>
                  </c:pt>
                  <c:pt idx="28">
                    <c:v>05</c:v>
                  </c:pt>
                  <c:pt idx="29">
                    <c:v>06</c:v>
                  </c:pt>
                  <c:pt idx="30">
                    <c:v>07</c:v>
                  </c:pt>
                  <c:pt idx="31">
                    <c:v>08</c:v>
                  </c:pt>
                  <c:pt idx="32">
                    <c:v>09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'gl wykres z dod osia'!$D$14:$D$49</c:f>
              <c:numCache>
                <c:formatCode>0.0</c:formatCode>
                <c:ptCount val="36"/>
                <c:pt idx="0">
                  <c:v>6368.4</c:v>
                </c:pt>
                <c:pt idx="1">
                  <c:v>6378</c:v>
                </c:pt>
                <c:pt idx="2">
                  <c:v>6393.6</c:v>
                </c:pt>
                <c:pt idx="3">
                  <c:v>6392.4</c:v>
                </c:pt>
                <c:pt idx="4">
                  <c:v>6380.2</c:v>
                </c:pt>
                <c:pt idx="5">
                  <c:v>6393.8</c:v>
                </c:pt>
                <c:pt idx="6">
                  <c:v>6397.2</c:v>
                </c:pt>
                <c:pt idx="7">
                  <c:v>6389.6</c:v>
                </c:pt>
                <c:pt idx="8">
                  <c:v>6386</c:v>
                </c:pt>
                <c:pt idx="9">
                  <c:v>6383.3</c:v>
                </c:pt>
                <c:pt idx="10">
                  <c:v>6394.8</c:v>
                </c:pt>
                <c:pt idx="11">
                  <c:v>6396</c:v>
                </c:pt>
                <c:pt idx="12">
                  <c:v>6440.9</c:v>
                </c:pt>
                <c:pt idx="13">
                  <c:v>6445.9</c:v>
                </c:pt>
                <c:pt idx="14">
                  <c:v>6411.7</c:v>
                </c:pt>
                <c:pt idx="15">
                  <c:v>6258.8</c:v>
                </c:pt>
                <c:pt idx="16">
                  <c:v>6173.9</c:v>
                </c:pt>
                <c:pt idx="17">
                  <c:v>6185.8</c:v>
                </c:pt>
                <c:pt idx="18">
                  <c:v>6252</c:v>
                </c:pt>
                <c:pt idx="19">
                  <c:v>6295</c:v>
                </c:pt>
                <c:pt idx="20">
                  <c:v>6312.4</c:v>
                </c:pt>
                <c:pt idx="21">
                  <c:v>6318.3</c:v>
                </c:pt>
                <c:pt idx="22">
                  <c:v>6318.9</c:v>
                </c:pt>
                <c:pt idx="23">
                  <c:v>6329</c:v>
                </c:pt>
                <c:pt idx="24">
                  <c:v>6314.1</c:v>
                </c:pt>
                <c:pt idx="25">
                  <c:v>6334</c:v>
                </c:pt>
                <c:pt idx="26">
                  <c:v>6330.3</c:v>
                </c:pt>
                <c:pt idx="27">
                  <c:v>6316.9</c:v>
                </c:pt>
                <c:pt idx="28">
                  <c:v>6338.5</c:v>
                </c:pt>
                <c:pt idx="29">
                  <c:v>6359.3</c:v>
                </c:pt>
                <c:pt idx="30">
                  <c:v>6361.7</c:v>
                </c:pt>
                <c:pt idx="31">
                  <c:v>6352</c:v>
                </c:pt>
                <c:pt idx="32">
                  <c:v>6347.2</c:v>
                </c:pt>
                <c:pt idx="33">
                  <c:v>6351.1</c:v>
                </c:pt>
                <c:pt idx="34">
                  <c:v>6363.7</c:v>
                </c:pt>
                <c:pt idx="35">
                  <c:v>6361.6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9D-4334-9BF6-A79E083C1A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5587328"/>
        <c:axId val="135588864"/>
      </c:barChart>
      <c:lineChart>
        <c:grouping val="standard"/>
        <c:varyColors val="0"/>
        <c:ser>
          <c:idx val="1"/>
          <c:order val="1"/>
          <c:tx>
            <c:strRef>
              <c:f>'gl wykres z dod osia'!$D$66</c:f>
              <c:strCache>
                <c:ptCount val="1"/>
                <c:pt idx="0">
                  <c:v>Wskaźniki dynamiki, analogiczny miesiąc roku poprzedniego=100 (prawa skala)</c:v>
                </c:pt>
              </c:strCache>
            </c:strRef>
          </c:tx>
          <c:spPr>
            <a:ln>
              <a:solidFill>
                <a:srgbClr val="008542"/>
              </a:solidFill>
            </a:ln>
          </c:spPr>
          <c:marker>
            <c:symbol val="none"/>
          </c:marker>
          <c:cat>
            <c:strRef>
              <c:f>'gl wykres z dod osia'!$C$79:$C$114</c:f>
              <c:strCache>
                <c:ptCount val="36"/>
                <c:pt idx="0">
                  <c:v>01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  <c:pt idx="19">
                  <c:v>08</c:v>
                </c:pt>
                <c:pt idx="20">
                  <c:v>09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01</c:v>
                </c:pt>
                <c:pt idx="25">
                  <c:v>02</c:v>
                </c:pt>
                <c:pt idx="26">
                  <c:v>03</c:v>
                </c:pt>
                <c:pt idx="27">
                  <c:v>04</c:v>
                </c:pt>
                <c:pt idx="28">
                  <c:v>05</c:v>
                </c:pt>
                <c:pt idx="29">
                  <c:v>06</c:v>
                </c:pt>
                <c:pt idx="30">
                  <c:v>07</c:v>
                </c:pt>
                <c:pt idx="31">
                  <c:v>08</c:v>
                </c:pt>
                <c:pt idx="32">
                  <c:v>09</c:v>
                </c:pt>
                <c:pt idx="33">
                  <c:v>10</c:v>
                </c:pt>
                <c:pt idx="34">
                  <c:v>11</c:v>
                </c:pt>
                <c:pt idx="35">
                  <c:v>12</c:v>
                </c:pt>
              </c:strCache>
            </c:strRef>
          </c:cat>
          <c:val>
            <c:numRef>
              <c:f>'gl wykres z dod osia'!$D$79:$D$114</c:f>
              <c:numCache>
                <c:formatCode>0.0</c:formatCode>
                <c:ptCount val="36"/>
                <c:pt idx="0">
                  <c:v>102.9</c:v>
                </c:pt>
                <c:pt idx="1">
                  <c:v>102.9</c:v>
                </c:pt>
                <c:pt idx="2">
                  <c:v>103</c:v>
                </c:pt>
                <c:pt idx="3">
                  <c:v>102.9</c:v>
                </c:pt>
                <c:pt idx="4">
                  <c:v>102.7</c:v>
                </c:pt>
                <c:pt idx="5">
                  <c:v>102.8</c:v>
                </c:pt>
                <c:pt idx="6">
                  <c:v>102.7</c:v>
                </c:pt>
                <c:pt idx="7">
                  <c:v>102.6</c:v>
                </c:pt>
                <c:pt idx="8">
                  <c:v>102.6</c:v>
                </c:pt>
                <c:pt idx="9">
                  <c:v>102.5</c:v>
                </c:pt>
                <c:pt idx="10">
                  <c:v>102.6</c:v>
                </c:pt>
                <c:pt idx="11">
                  <c:v>102.6</c:v>
                </c:pt>
                <c:pt idx="12">
                  <c:v>101.1</c:v>
                </c:pt>
                <c:pt idx="13">
                  <c:v>101.1</c:v>
                </c:pt>
                <c:pt idx="14">
                  <c:v>100.3</c:v>
                </c:pt>
                <c:pt idx="15">
                  <c:v>97.9</c:v>
                </c:pt>
                <c:pt idx="16">
                  <c:v>96.8</c:v>
                </c:pt>
                <c:pt idx="17">
                  <c:v>96.7</c:v>
                </c:pt>
                <c:pt idx="18">
                  <c:v>97.7</c:v>
                </c:pt>
                <c:pt idx="19">
                  <c:v>98.5</c:v>
                </c:pt>
                <c:pt idx="20">
                  <c:v>98.8</c:v>
                </c:pt>
                <c:pt idx="21">
                  <c:v>99</c:v>
                </c:pt>
                <c:pt idx="22" formatCode="0.00">
                  <c:v>98.8</c:v>
                </c:pt>
                <c:pt idx="23" formatCode="0.00">
                  <c:v>99</c:v>
                </c:pt>
                <c:pt idx="24" formatCode="0.00">
                  <c:v>98</c:v>
                </c:pt>
                <c:pt idx="25" formatCode="0.00">
                  <c:v>98.3</c:v>
                </c:pt>
                <c:pt idx="26" formatCode="0.00">
                  <c:v>98.7</c:v>
                </c:pt>
                <c:pt idx="27" formatCode="0.00">
                  <c:v>100.9</c:v>
                </c:pt>
                <c:pt idx="28" formatCode="0.00">
                  <c:v>102.7</c:v>
                </c:pt>
                <c:pt idx="29" formatCode="0.00">
                  <c:v>102.8</c:v>
                </c:pt>
                <c:pt idx="30" formatCode="General">
                  <c:v>101.8</c:v>
                </c:pt>
                <c:pt idx="31" formatCode="General">
                  <c:v>100.9</c:v>
                </c:pt>
                <c:pt idx="32" formatCode="General">
                  <c:v>100.6</c:v>
                </c:pt>
                <c:pt idx="33" formatCode="General">
                  <c:v>100.5</c:v>
                </c:pt>
                <c:pt idx="34" formatCode="General">
                  <c:v>100.7</c:v>
                </c:pt>
                <c:pt idx="35" formatCode="General">
                  <c:v>100.5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9D-4334-9BF6-A79E083C1A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899776"/>
        <c:axId val="135898240"/>
      </c:lineChart>
      <c:catAx>
        <c:axId val="13558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0"/>
          <a:lstStyle/>
          <a:p>
            <a:pPr>
              <a:defRPr/>
            </a:pPr>
            <a:endParaRPr lang="pl-PL"/>
          </a:p>
        </c:txPr>
        <c:crossAx val="135588864"/>
        <c:crosses val="autoZero"/>
        <c:auto val="1"/>
        <c:lblAlgn val="ctr"/>
        <c:lblOffset val="100"/>
        <c:noMultiLvlLbl val="0"/>
      </c:catAx>
      <c:valAx>
        <c:axId val="135588864"/>
        <c:scaling>
          <c:orientation val="minMax"/>
          <c:max val="6500"/>
          <c:min val="400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minorGridlines>
          <c:spPr>
            <a:ln>
              <a:noFill/>
            </a:ln>
          </c:spPr>
        </c:min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l-PL" b="0"/>
                  <a:t>w tys.</a:t>
                </a:r>
              </a:p>
            </c:rich>
          </c:tx>
          <c:layout>
            <c:manualLayout>
              <c:xMode val="edge"/>
              <c:yMode val="edge"/>
              <c:x val="2.2371364653244216E-3"/>
              <c:y val="6.6049382716047776E-4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/>
            </a:pPr>
            <a:endParaRPr lang="pl-PL"/>
          </a:p>
        </c:txPr>
        <c:crossAx val="135587328"/>
        <c:crosses val="autoZero"/>
        <c:crossBetween val="between"/>
        <c:majorUnit val="250"/>
      </c:valAx>
      <c:valAx>
        <c:axId val="135898240"/>
        <c:scaling>
          <c:orientation val="minMax"/>
          <c:max val="130"/>
          <c:min val="70"/>
        </c:scaling>
        <c:delete val="0"/>
        <c:axPos val="r"/>
        <c:numFmt formatCode="0" sourceLinked="0"/>
        <c:majorTickMark val="out"/>
        <c:minorTickMark val="none"/>
        <c:tickLblPos val="nextTo"/>
        <c:spPr>
          <a:ln>
            <a:noFill/>
          </a:ln>
        </c:spPr>
        <c:crossAx val="135899776"/>
        <c:crosses val="max"/>
        <c:crossBetween val="between"/>
        <c:majorUnit val="5"/>
      </c:valAx>
      <c:catAx>
        <c:axId val="1358997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589824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0618002774467087E-2"/>
          <c:y val="0.87979753086420065"/>
          <c:w val="0.86868935737871633"/>
          <c:h val="0.12020246913580244"/>
        </c:manualLayout>
      </c:layout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rot="0" vert="wordArtVert"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470837957337009E-2"/>
          <c:y val="8.6234567901234668E-2"/>
          <c:w val="0.87241187972308865"/>
          <c:h val="0.66611111111111165"/>
        </c:manualLayout>
      </c:layout>
      <c:lineChart>
        <c:grouping val="standard"/>
        <c:varyColors val="0"/>
        <c:ser>
          <c:idx val="0"/>
          <c:order val="0"/>
          <c:tx>
            <c:strRef>
              <c:f>'wykres wynagrodzenie glowny'!$B$2</c:f>
              <c:strCache>
                <c:ptCount val="1"/>
                <c:pt idx="0">
                  <c:v>Przeciętne miesięczne wynagrodzenie brutto w sektorze przedsiębiorstw</c:v>
                </c:pt>
              </c:strCache>
            </c:strRef>
          </c:tx>
          <c:spPr>
            <a:ln>
              <a:solidFill>
                <a:srgbClr val="001D77"/>
              </a:solidFill>
            </a:ln>
            <a:effectLst/>
          </c:spPr>
          <c:marker>
            <c:symbol val="none"/>
          </c:marker>
          <c:cat>
            <c:multiLvlStrRef>
              <c:f>'gl wykres z dod osia'!$B$79:$C$114</c:f>
              <c:multiLvlStrCache>
                <c:ptCount val="36"/>
                <c:lvl>
                  <c:pt idx="0">
                    <c:v>01</c:v>
                  </c:pt>
                  <c:pt idx="1">
                    <c:v>02</c:v>
                  </c:pt>
                  <c:pt idx="2">
                    <c:v>03</c:v>
                  </c:pt>
                  <c:pt idx="3">
                    <c:v>04</c:v>
                  </c:pt>
                  <c:pt idx="4">
                    <c:v>05</c:v>
                  </c:pt>
                  <c:pt idx="5">
                    <c:v>06</c:v>
                  </c:pt>
                  <c:pt idx="6">
                    <c:v>07</c:v>
                  </c:pt>
                  <c:pt idx="7">
                    <c:v>08</c:v>
                  </c:pt>
                  <c:pt idx="8">
                    <c:v>09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01</c:v>
                  </c:pt>
                  <c:pt idx="13">
                    <c:v>02</c:v>
                  </c:pt>
                  <c:pt idx="14">
                    <c:v>03</c:v>
                  </c:pt>
                  <c:pt idx="15">
                    <c:v>04</c:v>
                  </c:pt>
                  <c:pt idx="16">
                    <c:v>05</c:v>
                  </c:pt>
                  <c:pt idx="17">
                    <c:v>06</c:v>
                  </c:pt>
                  <c:pt idx="18">
                    <c:v>07</c:v>
                  </c:pt>
                  <c:pt idx="19">
                    <c:v>08</c:v>
                  </c:pt>
                  <c:pt idx="20">
                    <c:v>09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01</c:v>
                  </c:pt>
                  <c:pt idx="25">
                    <c:v>02</c:v>
                  </c:pt>
                  <c:pt idx="26">
                    <c:v>03</c:v>
                  </c:pt>
                  <c:pt idx="27">
                    <c:v>04</c:v>
                  </c:pt>
                  <c:pt idx="28">
                    <c:v>05</c:v>
                  </c:pt>
                  <c:pt idx="29">
                    <c:v>06</c:v>
                  </c:pt>
                  <c:pt idx="30">
                    <c:v>07</c:v>
                  </c:pt>
                  <c:pt idx="31">
                    <c:v>08</c:v>
                  </c:pt>
                  <c:pt idx="32">
                    <c:v>09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'wykres wynagrodzenie glowny'!$D$15:$D$50</c:f>
              <c:numCache>
                <c:formatCode>0.00</c:formatCode>
                <c:ptCount val="36"/>
                <c:pt idx="0">
                  <c:v>4931.8</c:v>
                </c:pt>
                <c:pt idx="1">
                  <c:v>4949.42</c:v>
                </c:pt>
                <c:pt idx="2">
                  <c:v>5164.53</c:v>
                </c:pt>
                <c:pt idx="3">
                  <c:v>5186.1200000000008</c:v>
                </c:pt>
                <c:pt idx="4">
                  <c:v>5057.8200000000006</c:v>
                </c:pt>
                <c:pt idx="5">
                  <c:v>5104.46</c:v>
                </c:pt>
                <c:pt idx="6">
                  <c:v>5182.4299999999994</c:v>
                </c:pt>
                <c:pt idx="7">
                  <c:v>5125.26</c:v>
                </c:pt>
                <c:pt idx="8">
                  <c:v>5084.5600000000004</c:v>
                </c:pt>
                <c:pt idx="9">
                  <c:v>5213.2699999999995</c:v>
                </c:pt>
                <c:pt idx="10">
                  <c:v>5229.4399999999996</c:v>
                </c:pt>
                <c:pt idx="11">
                  <c:v>5604.25</c:v>
                </c:pt>
                <c:pt idx="12">
                  <c:v>5282.8</c:v>
                </c:pt>
                <c:pt idx="13">
                  <c:v>5330.48</c:v>
                </c:pt>
                <c:pt idx="14">
                  <c:v>5489.21</c:v>
                </c:pt>
                <c:pt idx="15">
                  <c:v>5285.01</c:v>
                </c:pt>
                <c:pt idx="16">
                  <c:v>5119.9399999999996</c:v>
                </c:pt>
                <c:pt idx="17">
                  <c:v>5286</c:v>
                </c:pt>
                <c:pt idx="18">
                  <c:v>5381.6500000000005</c:v>
                </c:pt>
                <c:pt idx="19">
                  <c:v>5337.6500000000005</c:v>
                </c:pt>
                <c:pt idx="20">
                  <c:v>5371.56</c:v>
                </c:pt>
                <c:pt idx="21">
                  <c:v>5458.88</c:v>
                </c:pt>
                <c:pt idx="22">
                  <c:v>5484.07</c:v>
                </c:pt>
                <c:pt idx="23">
                  <c:v>5973.75</c:v>
                </c:pt>
                <c:pt idx="24">
                  <c:v>5536.8</c:v>
                </c:pt>
                <c:pt idx="25">
                  <c:v>5568.8200000000006</c:v>
                </c:pt>
                <c:pt idx="26">
                  <c:v>5929.05</c:v>
                </c:pt>
                <c:pt idx="27">
                  <c:v>5805.72</c:v>
                </c:pt>
                <c:pt idx="28">
                  <c:v>5637.34</c:v>
                </c:pt>
                <c:pt idx="29">
                  <c:v>5802.42</c:v>
                </c:pt>
                <c:pt idx="30">
                  <c:v>5851.87</c:v>
                </c:pt>
                <c:pt idx="31">
                  <c:v>5843.75</c:v>
                </c:pt>
                <c:pt idx="32">
                  <c:v>5841.1600000000008</c:v>
                </c:pt>
                <c:pt idx="33">
                  <c:v>5917.1500000000005</c:v>
                </c:pt>
                <c:pt idx="34">
                  <c:v>6022.49</c:v>
                </c:pt>
                <c:pt idx="35">
                  <c:v>6644.39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923-4B10-9576-1E21804AF8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567232"/>
        <c:axId val="135568768"/>
      </c:lineChart>
      <c:catAx>
        <c:axId val="135567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0"/>
          <a:lstStyle/>
          <a:p>
            <a:pPr>
              <a:defRPr/>
            </a:pPr>
            <a:endParaRPr lang="pl-PL"/>
          </a:p>
        </c:txPr>
        <c:crossAx val="135568768"/>
        <c:crosses val="autoZero"/>
        <c:auto val="1"/>
        <c:lblAlgn val="ctr"/>
        <c:lblOffset val="100"/>
        <c:noMultiLvlLbl val="0"/>
      </c:catAx>
      <c:valAx>
        <c:axId val="135568768"/>
        <c:scaling>
          <c:orientation val="minMax"/>
          <c:min val="400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minorGridlines>
          <c:spPr>
            <a:ln>
              <a:noFill/>
            </a:ln>
          </c:spPr>
        </c:min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l-PL" b="0"/>
                  <a:t>w zł</a:t>
                </a:r>
              </a:p>
            </c:rich>
          </c:tx>
          <c:layout>
            <c:manualLayout>
              <c:xMode val="edge"/>
              <c:yMode val="edge"/>
              <c:x val="2.2371364653244194E-3"/>
              <c:y val="6.6049382716047743E-4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/>
            </a:pPr>
            <a:endParaRPr lang="pl-PL"/>
          </a:p>
        </c:txPr>
        <c:crossAx val="135567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rot="0" vert="wordArtVert"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NazwaPliku xmlns="8C029B3F-2CC4-4A59-AF0D-A90575FA3373">Przecietne_zatrudnienie_i_wynagrodzenie_sektor_przedsiębiorstw_XII2021.docx.docx</NazwaPliku>
    <Odbiorcy2 xmlns="8C029B3F-2CC4-4A59-AF0D-A90575FA3373" xsi:nil="true"/>
    <Osoba xmlns="8C029B3F-2CC4-4A59-AF0D-A90575FA3373">STAT\ZGIERSKAA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3E4A0-61B2-4996-A697-CC1C9E915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63103-42A1-4C42-839F-4B136454439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5B9DA7D-3F0B-47E0-9C5E-CDD6028E2996}">
  <ds:schemaRefs>
    <ds:schemaRef ds:uri="http://schemas.microsoft.com/office/2006/metadata/properties"/>
    <ds:schemaRef ds:uri="8C029B3F-2CC4-4A59-AF0D-A90575FA337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5B2F692-C75A-440E-9305-F91BF428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1656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Links>
    <vt:vector size="78" baseType="variant">
      <vt:variant>
        <vt:i4>3997761</vt:i4>
      </vt:variant>
      <vt:variant>
        <vt:i4>0</vt:i4>
      </vt:variant>
      <vt:variant>
        <vt:i4>0</vt:i4>
      </vt:variant>
      <vt:variant>
        <vt:i4>5</vt:i4>
      </vt:variant>
      <vt:variant>
        <vt:lpwstr>mailto:obslugaprasowa@stat.gov.pl</vt:lpwstr>
      </vt:variant>
      <vt:variant>
        <vt:lpwstr/>
      </vt:variant>
      <vt:variant>
        <vt:i4>131139</vt:i4>
      </vt:variant>
      <vt:variant>
        <vt:i4>6</vt:i4>
      </vt:variant>
      <vt:variant>
        <vt:i4>0</vt:i4>
      </vt:variant>
      <vt:variant>
        <vt:i4>5</vt:i4>
      </vt:variant>
      <vt:variant>
        <vt:lpwstr>http://form.stat.gov.pl/formularze/2020/passive/DG-1.pdf</vt:lpwstr>
      </vt:variant>
      <vt:variant>
        <vt:lpwstr/>
      </vt:variant>
      <vt:variant>
        <vt:i4>196694</vt:i4>
      </vt:variant>
      <vt:variant>
        <vt:i4>3</vt:i4>
      </vt:variant>
      <vt:variant>
        <vt:i4>0</vt:i4>
      </vt:variant>
      <vt:variant>
        <vt:i4>5</vt:i4>
      </vt:variant>
      <vt:variant>
        <vt:lpwstr>http://form.stat.gov.pl/formularze/2020/objasnienia/zalacznik_do_objasnien.pdf</vt:lpwstr>
      </vt:variant>
      <vt:variant>
        <vt:lpwstr/>
      </vt:variant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https://stat.gov.pl/obszary-tematyczne/podmioty-gospodarcze-wyniki-finansowe/przedsiebiorstwa-niefinansowe/zeszyt-metodologiczny-miesieczny-meldunek-o-dzialalnosci-gospodarczej-przedsiebiorstw,31,1.html</vt:lpwstr>
      </vt:variant>
      <vt:variant>
        <vt:lpwstr/>
      </vt:variant>
      <vt:variant>
        <vt:i4>7995454</vt:i4>
      </vt:variant>
      <vt:variant>
        <vt:i4>24</vt:i4>
      </vt:variant>
      <vt:variant>
        <vt:i4>0</vt:i4>
      </vt:variant>
      <vt:variant>
        <vt:i4>5</vt:i4>
      </vt:variant>
      <vt:variant>
        <vt:lpwstr>https://stat.gov.pl/metainformacje/slownik-pojec/pojecia-stosowane-w-statystyce-publicznej/742,pojecie.html</vt:lpwstr>
      </vt:variant>
      <vt:variant>
        <vt:lpwstr/>
      </vt:variant>
      <vt:variant>
        <vt:i4>3801186</vt:i4>
      </vt:variant>
      <vt:variant>
        <vt:i4>21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http://stat.gov.pl/metainformacje/slownik-pojec/pojecia-stosowane-w-statystyce-publicznej/376,pojecie.html</vt:lpwstr>
      </vt:variant>
      <vt:variant>
        <vt:lpwstr/>
      </vt:variant>
      <vt:variant>
        <vt:i4>3473442</vt:i4>
      </vt:variant>
      <vt:variant>
        <vt:i4>18</vt:i4>
      </vt:variant>
      <vt:variant>
        <vt:i4>0</vt:i4>
      </vt:variant>
      <vt:variant>
        <vt:i4>5</vt:i4>
      </vt:variant>
      <vt:variant>
        <vt:lpwstr>http://bdm.stat.gov.pl/</vt:lpwstr>
      </vt:variant>
      <vt:variant>
        <vt:lpwstr/>
      </vt:variant>
      <vt:variant>
        <vt:i4>2162722</vt:i4>
      </vt:variant>
      <vt:variant>
        <vt:i4>15</vt:i4>
      </vt:variant>
      <vt:variant>
        <vt:i4>0</vt:i4>
      </vt:variant>
      <vt:variant>
        <vt:i4>5</vt:i4>
      </vt:variant>
      <vt:variant>
        <vt:lpwstr>https://bdl.stat.gov.pl/BDL/dane/podgrup/temat</vt:lpwstr>
      </vt:variant>
      <vt:variant>
        <vt:lpwstr/>
      </vt:variant>
      <vt:variant>
        <vt:i4>8192106</vt:i4>
      </vt:variant>
      <vt:variant>
        <vt:i4>12</vt:i4>
      </vt:variant>
      <vt:variant>
        <vt:i4>0</vt:i4>
      </vt:variant>
      <vt:variant>
        <vt:i4>5</vt:i4>
      </vt:variant>
      <vt:variant>
        <vt:lpwstr>https://stat.gov.pl/obszary-tematyczne/rynek-pracy/zasady-metodyczne-rocznik-pracy/zeszyt-metodologiczny-wynagrodzenia-w-gospodarce-narodowej,6,1.html</vt:lpwstr>
      </vt:variant>
      <vt:variant>
        <vt:lpwstr/>
      </vt:variant>
      <vt:variant>
        <vt:i4>6619249</vt:i4>
      </vt:variant>
      <vt:variant>
        <vt:i4>9</vt:i4>
      </vt:variant>
      <vt:variant>
        <vt:i4>0</vt:i4>
      </vt:variant>
      <vt:variant>
        <vt:i4>5</vt:i4>
      </vt:variant>
      <vt:variant>
        <vt:lpwstr>https://stat.gov.pl/obszary-tematyczne/rynek-pracy/zasady-metodyczne-rocznik-pracy/zeszyt-metodologiczny-pracujacy-w-gospodarce-narodowej,7,1.html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https://stat.gov.pl/obszary-tematyczne/rynek-pracy/pracujacy-zatrudnieni-wynagrodzenia-koszty-pracy/struktura-wynagrodzen-wedlug-zawodow-w-pazdzierniku-2018-roku,4,9.html</vt:lpwstr>
      </vt:variant>
      <vt:variant>
        <vt:lpwstr/>
      </vt:variant>
      <vt:variant>
        <vt:i4>1704029</vt:i4>
      </vt:variant>
      <vt:variant>
        <vt:i4>3</vt:i4>
      </vt:variant>
      <vt:variant>
        <vt:i4>0</vt:i4>
      </vt:variant>
      <vt:variant>
        <vt:i4>5</vt:i4>
      </vt:variant>
      <vt:variant>
        <vt:lpwstr>https://stat.gov.pl/obszary-tematyczne/rynek-pracy/pracujacy-zatrudnieni-wynagrodzenia-koszty-pracy/zatrudnienie-i-wynagrodzenia-w-gospodarce-narodowej-w-pierwszym-kwartale-2020-roku,1,38.html</vt:lpwstr>
      </vt:variant>
      <vt:variant>
        <vt:lpwstr/>
      </vt:variant>
      <vt:variant>
        <vt:i4>3997740</vt:i4>
      </vt:variant>
      <vt:variant>
        <vt:i4>0</vt:i4>
      </vt:variant>
      <vt:variant>
        <vt:i4>0</vt:i4>
      </vt:variant>
      <vt:variant>
        <vt:i4>5</vt:i4>
      </vt:variant>
      <vt:variant>
        <vt:lpwstr>http://stat.gov.pl/obszary-tematyczne/rynek-pracy/pracujacy-zatrudnieni-wynagrodzenia-koszty-pracy/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2022-01-20T09:18:00Z</cp:lastPrinted>
  <dcterms:created xsi:type="dcterms:W3CDTF">2022-01-19T16:09:00Z</dcterms:created>
  <dcterms:modified xsi:type="dcterms:W3CDTF">2022-01-21T06:41:00Z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ZnakPisma">
    <vt:lpwstr>GUS-DP03.6362.1.2021.3</vt:lpwstr>
  </property>
  <property fmtid="{D5CDD505-2E9C-101B-9397-08002B2CF9AE}" pid="4" name="UNPPisma">
    <vt:lpwstr>2021-68160</vt:lpwstr>
  </property>
  <property fmtid="{D5CDD505-2E9C-101B-9397-08002B2CF9AE}" pid="5" name="ZnakSprawy">
    <vt:lpwstr>GUS-DP03.6362.1.2021</vt:lpwstr>
  </property>
  <property fmtid="{D5CDD505-2E9C-101B-9397-08002B2CF9AE}" pid="6" name="ZnakSprawyPrzedPrzeniesieniem">
    <vt:lpwstr/>
  </property>
  <property fmtid="{D5CDD505-2E9C-101B-9397-08002B2CF9AE}" pid="7" name="Autor">
    <vt:lpwstr>Winiarz Anna</vt:lpwstr>
  </property>
  <property fmtid="{D5CDD505-2E9C-101B-9397-08002B2CF9AE}" pid="8" name="AutorInicjaly">
    <vt:lpwstr>AW</vt:lpwstr>
  </property>
  <property fmtid="{D5CDD505-2E9C-101B-9397-08002B2CF9AE}" pid="9" name="AutorNrTelefonu">
    <vt:lpwstr>(22) 449-4082</vt:lpwstr>
  </property>
  <property fmtid="{D5CDD505-2E9C-101B-9397-08002B2CF9AE}" pid="10" name="Stanowisko">
    <vt:lpwstr>naczelnik wydziału</vt:lpwstr>
  </property>
  <property fmtid="{D5CDD505-2E9C-101B-9397-08002B2CF9AE}" pid="11" name="OpisPisma">
    <vt:lpwstr>Informacja sygnalna - Przeciętne zatrudnienie i wynagrodzenie w sektorze przedsiębiorstw w lutym 2021 r. (17.03.2021 r.)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2021-03-16</vt:lpwstr>
  </property>
  <property fmtid="{D5CDD505-2E9C-101B-9397-08002B2CF9AE}" pid="15" name="Wydzial">
    <vt:lpwstr>Wydział Zatrudnienia i Wynagrodzeń</vt:lpwstr>
  </property>
  <property fmtid="{D5CDD505-2E9C-101B-9397-08002B2CF9AE}" pid="16" name="KodWydzialu">
    <vt:lpwstr>DP-03</vt:lpwstr>
  </property>
  <property fmtid="{D5CDD505-2E9C-101B-9397-08002B2CF9AE}" pid="17" name="ZaakceptowanePrzez">
    <vt:lpwstr>n/d</vt:lpwstr>
  </property>
  <property fmtid="{D5CDD505-2E9C-101B-9397-08002B2CF9AE}" pid="18" name="PrzekazanieDo">
    <vt:lpwstr>Wydział Zatrudnienia i Wynagrodzeń(DP-03)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