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29" w:rsidRPr="00AD78DC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AD78DC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AD4" w:rsidRDefault="007F0AD4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:rsidR="007F0AD4" w:rsidRDefault="007F0AD4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D78DC">
        <w:rPr>
          <w:lang w:val="en-GB"/>
        </w:rPr>
        <w:t>Foreign trade turnover of goods in total and by countries</w:t>
      </w:r>
      <w:r w:rsidR="00690129" w:rsidRPr="00AD78DC">
        <w:rPr>
          <w:lang w:val="en-GB"/>
        </w:rPr>
        <w:t xml:space="preserve"> </w:t>
      </w:r>
      <w:r w:rsidR="00600D19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410666">
        <w:rPr>
          <w:lang w:val="en-GB"/>
        </w:rPr>
        <w:t>–</w:t>
      </w:r>
      <w:r w:rsidR="00025BE5">
        <w:rPr>
          <w:lang w:val="en-GB"/>
        </w:rPr>
        <w:t>April</w:t>
      </w:r>
      <w:r w:rsidR="00410666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</w:p>
    <w:p w:rsidR="005916D7" w:rsidRPr="00AD78DC" w:rsidRDefault="007F4E80" w:rsidP="00751394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B884922">
                <wp:simplePos x="0" y="0"/>
                <wp:positionH relativeFrom="margin">
                  <wp:posOffset>27940</wp:posOffset>
                </wp:positionH>
                <wp:positionV relativeFrom="paragraph">
                  <wp:posOffset>34925</wp:posOffset>
                </wp:positionV>
                <wp:extent cx="2181225" cy="1013460"/>
                <wp:effectExtent l="0" t="0" r="9525" b="0"/>
                <wp:wrapSquare wrapText="bothSides"/>
                <wp:docPr id="6" name="Pole tekstowe 2" descr="The balance in foreign trade turnover in January - November 2025  amounted to plus 2.8 bn PL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134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EE284B" w:rsidRDefault="007F0AD4" w:rsidP="003954E3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E50595">
                              <w:rPr>
                                <w:rStyle w:val="IkonawskanikaZnak"/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 w:rsidRPr="00FE5AD7">
                              <w:rPr>
                                <w:rStyle w:val="IkonawskanikaZnak"/>
                                <w:color w:val="auto"/>
                                <w:sz w:val="76"/>
                                <w:szCs w:val="7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7.3 bn</w:t>
                            </w:r>
                          </w:p>
                          <w:p w:rsidR="007F0AD4" w:rsidRPr="00A4391A" w:rsidRDefault="007F0AD4" w:rsidP="003954E3">
                            <w:pPr>
                              <w:pStyle w:val="Opiswskanika"/>
                              <w:spacing w:before="60"/>
                              <w:rPr>
                                <w:szCs w:val="20"/>
                                <w:lang w:val="en-GB"/>
                              </w:rPr>
                            </w:pPr>
                            <w:r w:rsidRPr="00A4391A">
                              <w:rPr>
                                <w:szCs w:val="20"/>
                                <w:lang w:val="en-GB"/>
                              </w:rPr>
                              <w:t>goods turnover 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November 2025  amounted to plus 2.8 bn PLN. " style="position:absolute;left:0;text-align:left;margin-left:2.2pt;margin-top:2.75pt;width:171.75pt;height:79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" fillcolor="#001d77" stroked="f">
                <v:stroke joinstyle="miter"/>
                <v:textbox>
                  <w:txbxContent>
                    <w:p w:rsidR="007F0AD4" w:rsidRPr="00EE284B" w:rsidRDefault="007F0AD4" w:rsidP="003954E3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  <w:lang w:val="en-GB"/>
                        </w:rPr>
                      </w:pPr>
                      <w:r w:rsidRPr="00E50595">
                        <w:rPr>
                          <w:rStyle w:val="IkonawskanikaZnak"/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 w:rsidRPr="00FE5AD7">
                        <w:rPr>
                          <w:rStyle w:val="IkonawskanikaZnak"/>
                          <w:color w:val="auto"/>
                          <w:sz w:val="76"/>
                          <w:szCs w:val="76"/>
                          <w:lang w:val="en-US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7.3 bn</w:t>
                      </w:r>
                    </w:p>
                    <w:p w:rsidR="007F0AD4" w:rsidRPr="00A4391A" w:rsidRDefault="007F0AD4" w:rsidP="003954E3">
                      <w:pPr>
                        <w:pStyle w:val="Opiswskanika"/>
                        <w:spacing w:before="60"/>
                        <w:rPr>
                          <w:szCs w:val="20"/>
                          <w:lang w:val="en-GB"/>
                        </w:rPr>
                      </w:pPr>
                      <w:r w:rsidRPr="00A4391A">
                        <w:rPr>
                          <w:szCs w:val="20"/>
                          <w:lang w:val="en-GB"/>
                        </w:rPr>
                        <w:t>goods turnover 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64335F2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5C1756" w:rsidRDefault="007F0AD4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7F0AD4" w:rsidRPr="005C1756" w:rsidRDefault="007F0AD4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D78DC">
        <w:rPr>
          <w:spacing w:val="-2"/>
          <w:lang w:val="en-GB"/>
        </w:rPr>
        <w:t>Foreign trade turnover</w:t>
      </w:r>
      <w:r w:rsidR="000C2149" w:rsidRPr="00AD78DC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AD78DC">
        <w:rPr>
          <w:spacing w:val="-2"/>
          <w:lang w:val="en-GB"/>
        </w:rPr>
        <w:t xml:space="preserve"> </w:t>
      </w:r>
      <w:r w:rsidR="00670E27" w:rsidRPr="00AD78DC">
        <w:rPr>
          <w:spacing w:val="-2"/>
          <w:lang w:val="en-GB"/>
        </w:rPr>
        <w:t xml:space="preserve">in </w:t>
      </w:r>
      <w:r w:rsidR="00DA2DDA" w:rsidRPr="00AD78DC">
        <w:rPr>
          <w:spacing w:val="-2"/>
          <w:lang w:val="en-GB"/>
        </w:rPr>
        <w:t>January</w:t>
      </w:r>
      <w:r w:rsidR="004B71B6">
        <w:rPr>
          <w:rFonts w:ascii="Calibri" w:hAnsi="Calibri"/>
          <w:spacing w:val="-2"/>
          <w:lang w:val="en-GB"/>
        </w:rPr>
        <w:t>–</w:t>
      </w:r>
      <w:r w:rsidR="00025BE5">
        <w:rPr>
          <w:spacing w:val="-2"/>
          <w:lang w:val="en-GB"/>
        </w:rPr>
        <w:t>April</w:t>
      </w:r>
      <w:r w:rsidR="00842EFE" w:rsidRPr="00AD78DC">
        <w:rPr>
          <w:spacing w:val="-2"/>
          <w:lang w:val="en-GB"/>
        </w:rPr>
        <w:t xml:space="preserve"> </w:t>
      </w:r>
      <w:r w:rsidR="00DA2DDA" w:rsidRPr="00AD78DC">
        <w:rPr>
          <w:spacing w:val="-2"/>
          <w:lang w:val="en-GB"/>
        </w:rPr>
        <w:t>2026</w:t>
      </w:r>
      <w:r w:rsidR="00520765" w:rsidRPr="00AD78DC">
        <w:rPr>
          <w:spacing w:val="-2"/>
          <w:lang w:val="en-GB"/>
        </w:rPr>
        <w:t xml:space="preserve"> </w:t>
      </w:r>
      <w:r w:rsidR="00277011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>exports at current prices amounted to PLN</w:t>
      </w:r>
      <w:r w:rsidR="009A5C86" w:rsidRPr="00AD78DC">
        <w:rPr>
          <w:spacing w:val="-2"/>
          <w:lang w:val="en-GB"/>
        </w:rPr>
        <w:t xml:space="preserve"> </w:t>
      </w:r>
      <w:r w:rsidR="00025BE5" w:rsidRPr="00025BE5">
        <w:rPr>
          <w:rFonts w:eastAsiaTheme="minorEastAsia" w:cs="Fira Sans"/>
          <w:noProof w:val="0"/>
          <w:color w:val="000000"/>
          <w:lang w:val="en-GB"/>
        </w:rPr>
        <w:t>532</w:t>
      </w:r>
      <w:r w:rsidR="007F6DA6">
        <w:rPr>
          <w:rFonts w:eastAsiaTheme="minorEastAsia" w:cs="Fira Sans"/>
          <w:noProof w:val="0"/>
          <w:color w:val="000000"/>
          <w:lang w:val="en-GB"/>
        </w:rPr>
        <w:t>.</w:t>
      </w:r>
      <w:r w:rsidR="00025BE5" w:rsidRPr="00025BE5">
        <w:rPr>
          <w:rFonts w:eastAsiaTheme="minorEastAsia" w:cs="Fira Sans"/>
          <w:noProof w:val="0"/>
          <w:color w:val="000000"/>
          <w:lang w:val="en-GB"/>
        </w:rPr>
        <w:t xml:space="preserve">8 </w:t>
      </w:r>
      <w:r w:rsidR="00070820" w:rsidRPr="00AD78DC">
        <w:rPr>
          <w:spacing w:val="-2"/>
          <w:lang w:val="en-GB"/>
        </w:rPr>
        <w:t>bn</w:t>
      </w:r>
      <w:r w:rsidR="00E046FE" w:rsidRPr="00AD78DC">
        <w:rPr>
          <w:spacing w:val="-2"/>
          <w:lang w:val="en-GB"/>
        </w:rPr>
        <w:t xml:space="preserve">, while </w:t>
      </w:r>
      <w:r w:rsidR="0012796B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 xml:space="preserve">imports </w:t>
      </w:r>
      <w:r w:rsidR="0012796B" w:rsidRPr="00AD78DC">
        <w:rPr>
          <w:spacing w:val="-2"/>
          <w:lang w:val="en-GB"/>
        </w:rPr>
        <w:t>-</w:t>
      </w:r>
      <w:r w:rsidR="00E046FE" w:rsidRPr="00AD78DC">
        <w:rPr>
          <w:spacing w:val="-2"/>
          <w:lang w:val="en-GB"/>
        </w:rPr>
        <w:t xml:space="preserve"> PLN </w:t>
      </w:r>
      <w:r w:rsidR="00025BE5" w:rsidRPr="00025BE5">
        <w:rPr>
          <w:rFonts w:eastAsiaTheme="minorEastAsia" w:cs="Fira Sans"/>
          <w:noProof w:val="0"/>
          <w:color w:val="000000"/>
          <w:lang w:val="en-GB"/>
        </w:rPr>
        <w:t>540</w:t>
      </w:r>
      <w:r w:rsidR="007F6DA6">
        <w:rPr>
          <w:rFonts w:eastAsiaTheme="minorEastAsia" w:cs="Fira Sans"/>
          <w:noProof w:val="0"/>
          <w:color w:val="000000"/>
          <w:lang w:val="en-GB"/>
        </w:rPr>
        <w:t>.</w:t>
      </w:r>
      <w:r w:rsidR="00025BE5" w:rsidRPr="00025BE5">
        <w:rPr>
          <w:rFonts w:eastAsiaTheme="minorEastAsia" w:cs="Fira Sans"/>
          <w:noProof w:val="0"/>
          <w:color w:val="000000"/>
          <w:lang w:val="en-GB"/>
        </w:rPr>
        <w:t>1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690129" w:rsidRPr="00AD78DC">
        <w:rPr>
          <w:spacing w:val="-2"/>
          <w:lang w:val="en-GB"/>
        </w:rPr>
        <w:t xml:space="preserve">. </w:t>
      </w:r>
      <w:r w:rsidR="00E046FE" w:rsidRPr="00AD78DC">
        <w:rPr>
          <w:spacing w:val="-2"/>
          <w:lang w:val="en-GB"/>
        </w:rPr>
        <w:t xml:space="preserve">The </w:t>
      </w:r>
      <w:r w:rsidR="000A4CE3">
        <w:rPr>
          <w:spacing w:val="-2"/>
          <w:lang w:val="en-GB"/>
        </w:rPr>
        <w:t>negative</w:t>
      </w:r>
      <w:r w:rsidR="00E046FE" w:rsidRPr="00AD78DC">
        <w:rPr>
          <w:spacing w:val="-2"/>
          <w:lang w:val="en-GB"/>
        </w:rPr>
        <w:t xml:space="preserve"> balance reached the level of PLN</w:t>
      </w:r>
      <w:r w:rsidR="00025BE5">
        <w:rPr>
          <w:spacing w:val="-2"/>
          <w:lang w:val="en-GB"/>
        </w:rPr>
        <w:t xml:space="preserve"> 7.3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C45082" w:rsidRPr="00AD78DC">
        <w:rPr>
          <w:spacing w:val="-2"/>
          <w:lang w:val="en-GB"/>
        </w:rPr>
        <w:t>.</w:t>
      </w:r>
      <w:r w:rsidR="004B64A7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In comparison to</w:t>
      </w:r>
      <w:r w:rsidR="00DD1BA4" w:rsidRPr="00AD78DC">
        <w:rPr>
          <w:spacing w:val="-2"/>
          <w:lang w:val="en-GB"/>
        </w:rPr>
        <w:t xml:space="preserve"> the corresponding period of </w:t>
      </w:r>
      <w:r w:rsidR="00EC45CC" w:rsidRPr="00AD78DC">
        <w:rPr>
          <w:spacing w:val="-2"/>
          <w:lang w:val="en-GB"/>
        </w:rPr>
        <w:t>last year</w:t>
      </w:r>
      <w:r w:rsidR="00025BE5">
        <w:rPr>
          <w:spacing w:val="-2"/>
          <w:lang w:val="en-GB"/>
        </w:rPr>
        <w:t xml:space="preserve"> 2025</w:t>
      </w:r>
      <w:r w:rsidR="00D83B18">
        <w:rPr>
          <w:spacing w:val="-2"/>
          <w:lang w:val="en-GB"/>
        </w:rPr>
        <w:t>,</w:t>
      </w:r>
      <w:r w:rsidR="00DC5C7C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exports</w:t>
      </w:r>
      <w:r w:rsidR="005313E7" w:rsidRPr="00AD78DC">
        <w:rPr>
          <w:spacing w:val="-2"/>
          <w:lang w:val="en-GB"/>
        </w:rPr>
        <w:t xml:space="preserve"> </w:t>
      </w:r>
      <w:r w:rsidR="00025BE5">
        <w:rPr>
          <w:spacing w:val="-2"/>
          <w:lang w:val="en-GB"/>
        </w:rPr>
        <w:t>in</w:t>
      </w:r>
      <w:r w:rsidR="002C4FB6" w:rsidRPr="00AD78DC">
        <w:rPr>
          <w:spacing w:val="-2"/>
          <w:lang w:val="en-GB"/>
        </w:rPr>
        <w:t>c</w:t>
      </w:r>
      <w:r w:rsidR="00542848" w:rsidRPr="00AD78DC">
        <w:rPr>
          <w:spacing w:val="-2"/>
          <w:lang w:val="en-GB"/>
        </w:rPr>
        <w:t xml:space="preserve">reased by </w:t>
      </w:r>
      <w:r w:rsidR="00025BE5">
        <w:rPr>
          <w:spacing w:val="-2"/>
          <w:lang w:val="en-GB"/>
        </w:rPr>
        <w:t>3.3</w:t>
      </w:r>
      <w:r w:rsidR="00A2394A">
        <w:rPr>
          <w:spacing w:val="-2"/>
          <w:lang w:val="en-GB"/>
        </w:rPr>
        <w:t>%</w:t>
      </w:r>
      <w:r w:rsidR="00871AF8" w:rsidRPr="00AD78DC">
        <w:rPr>
          <w:spacing w:val="-2"/>
          <w:lang w:val="en-GB"/>
        </w:rPr>
        <w:t xml:space="preserve"> </w:t>
      </w:r>
      <w:r w:rsidR="007251D7" w:rsidRPr="00AD78DC">
        <w:rPr>
          <w:spacing w:val="-2"/>
          <w:lang w:val="en-GB"/>
        </w:rPr>
        <w:t xml:space="preserve">and </w:t>
      </w:r>
      <w:r w:rsidR="005313E7" w:rsidRPr="00AD78DC">
        <w:rPr>
          <w:spacing w:val="-2"/>
          <w:lang w:val="en-GB"/>
        </w:rPr>
        <w:t>im</w:t>
      </w:r>
      <w:r w:rsidR="004B64A7" w:rsidRPr="00AD78DC">
        <w:rPr>
          <w:spacing w:val="-2"/>
          <w:lang w:val="en-GB"/>
        </w:rPr>
        <w:t>port</w:t>
      </w:r>
      <w:r w:rsidR="00E046FE" w:rsidRPr="00AD78DC">
        <w:rPr>
          <w:spacing w:val="-2"/>
          <w:lang w:val="en-GB"/>
        </w:rPr>
        <w:t>s</w:t>
      </w:r>
      <w:r w:rsidR="00B43730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by</w:t>
      </w:r>
      <w:r w:rsidR="00107393" w:rsidRPr="00AD78DC">
        <w:rPr>
          <w:spacing w:val="-2"/>
          <w:lang w:val="en-GB"/>
        </w:rPr>
        <w:t xml:space="preserve"> </w:t>
      </w:r>
      <w:r w:rsidR="00025BE5">
        <w:rPr>
          <w:spacing w:val="-2"/>
          <w:lang w:val="en-GB"/>
        </w:rPr>
        <w:t>2.9</w:t>
      </w:r>
      <w:r w:rsidR="004B64A7" w:rsidRPr="00AD78DC">
        <w:rPr>
          <w:spacing w:val="-2"/>
          <w:lang w:val="en-GB"/>
        </w:rPr>
        <w:t>%</w:t>
      </w:r>
      <w:r w:rsidR="005313E7" w:rsidRPr="00AD78DC">
        <w:rPr>
          <w:spacing w:val="-2"/>
          <w:lang w:val="en-GB"/>
        </w:rPr>
        <w:t>.</w:t>
      </w:r>
    </w:p>
    <w:p w:rsidR="005313E7" w:rsidRPr="00AD78DC" w:rsidRDefault="005313E7" w:rsidP="00633014">
      <w:pPr>
        <w:pStyle w:val="LID"/>
        <w:rPr>
          <w:rFonts w:cs="Arial"/>
          <w:lang w:val="en-GB"/>
        </w:rPr>
      </w:pPr>
    </w:p>
    <w:p w:rsidR="0000347D" w:rsidRPr="00AD78DC" w:rsidRDefault="0000347D" w:rsidP="0000347D">
      <w:pPr>
        <w:pStyle w:val="Nagwek1"/>
        <w:spacing w:before="0" w:after="0"/>
        <w:rPr>
          <w:color w:val="auto"/>
          <w:lang w:val="en-US"/>
        </w:rPr>
      </w:pPr>
      <w:r w:rsidRPr="00AD78DC">
        <w:rPr>
          <w:color w:val="auto"/>
          <w:lang w:val="en-US"/>
        </w:rPr>
        <w:t>Chart 1.  Foreign trade turnover</w:t>
      </w:r>
    </w:p>
    <w:p w:rsidR="0000347D" w:rsidRPr="00AD78DC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  <w:r w:rsidRPr="00AD78DC">
        <w:rPr>
          <w:b w:val="0"/>
          <w:color w:val="3B3838" w:themeColor="background2" w:themeShade="40"/>
          <w:lang w:val="en-US"/>
        </w:rPr>
        <w:t>corresponding period of the previous year = 100</w:t>
      </w:r>
    </w:p>
    <w:p w:rsidR="0000347D" w:rsidRPr="00AD78DC" w:rsidRDefault="00D83B18" w:rsidP="00A84E9F">
      <w:pPr>
        <w:pStyle w:val="Nagwek1"/>
        <w:spacing w:before="360"/>
        <w:jc w:val="both"/>
        <w:rPr>
          <w:rFonts w:ascii="Fira Sans" w:hAnsi="Fira Sans"/>
          <w:b/>
          <w:szCs w:val="19"/>
          <w:lang w:val="en-GB"/>
        </w:rPr>
      </w:pPr>
      <w:r>
        <w:rPr>
          <w:noProof/>
        </w:rPr>
        <w:drawing>
          <wp:inline distT="0" distB="0" distL="0" distR="0" wp14:anchorId="44323F3C" wp14:editId="52D2A975">
            <wp:extent cx="4894536" cy="2651235"/>
            <wp:effectExtent l="0" t="0" r="1905" b="0"/>
            <wp:docPr id="7" name="Wykres 7" descr="Chart 1.  Foreign trade turnover">
              <a:extLst xmlns:a="http://schemas.openxmlformats.org/drawingml/2006/main">
                <a:ext uri="{FF2B5EF4-FFF2-40B4-BE49-F238E27FC236}">
                  <a16:creationId xmlns:a16="http://schemas.microsoft.com/office/drawing/2014/main" id="{728C50F6-2DCD-87B6-FDA0-E69ACAD90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4E9F" w:rsidRPr="00AD78DC" w:rsidRDefault="00A84E9F" w:rsidP="00A84E9F">
      <w:pPr>
        <w:pStyle w:val="Nagwek1"/>
        <w:spacing w:before="360"/>
        <w:jc w:val="both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64812F7E" wp14:editId="4B07EC2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070820" w:rsidRDefault="007F0AD4" w:rsidP="00A84E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2F7E" id="_x0000_s1029" type="#_x0000_t202" style="position:absolute;left:0;text-align:left;margin-left:412.05pt;margin-top:12.2pt;width:135.85pt;height:65.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:rsidR="007F0AD4" w:rsidRPr="00070820" w:rsidRDefault="007F0AD4" w:rsidP="00A84E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D78DC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:rsidR="00A84E9F" w:rsidRPr="00AD78DC" w:rsidRDefault="00A84E9F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bookmarkStart w:id="7" w:name="_Hlk203126242"/>
      <w:r w:rsidRPr="00AD78DC">
        <w:rPr>
          <w:lang w:val="en-GB"/>
        </w:rPr>
        <w:t xml:space="preserve">In </w:t>
      </w:r>
      <w:bookmarkEnd w:id="7"/>
      <w:r w:rsidR="00DA2DDA" w:rsidRPr="00AD78DC">
        <w:rPr>
          <w:lang w:val="en-GB"/>
        </w:rPr>
        <w:t>January</w:t>
      </w:r>
      <w:r w:rsidR="004B71B6">
        <w:rPr>
          <w:lang w:val="en-GB"/>
        </w:rPr>
        <w:t>–</w:t>
      </w:r>
      <w:r w:rsidR="007F6DA6">
        <w:rPr>
          <w:lang w:val="en-GB"/>
        </w:rPr>
        <w:t>April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  <w:r w:rsidRPr="00AD78DC">
        <w:rPr>
          <w:lang w:val="en-GB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F6DA6">
        <w:rPr>
          <w:rFonts w:eastAsiaTheme="minorEastAsia" w:cs="Fira Sans"/>
          <w:color w:val="000000"/>
          <w:szCs w:val="19"/>
          <w:lang w:val="en-GB" w:eastAsia="pl-PL"/>
        </w:rPr>
        <w:t>47</w:t>
      </w:r>
      <w:r w:rsidR="00966EB1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7F6DA6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966EB1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9D63EC">
        <w:rPr>
          <w:rFonts w:eastAsiaTheme="minorEastAsia" w:cs="Fira Sans"/>
          <w:color w:val="000000"/>
          <w:szCs w:val="19"/>
          <w:lang w:val="en-GB" w:eastAsia="pl-PL"/>
        </w:rPr>
        <w:t>49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9D63EC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bn (a</w:t>
      </w:r>
      <w:r w:rsidR="00F73382" w:rsidRPr="00AD78DC">
        <w:rPr>
          <w:rFonts w:eastAsia="Times New Roman" w:cs="Times New Roman"/>
          <w:szCs w:val="19"/>
          <w:lang w:val="en-GB" w:eastAsia="pl-PL"/>
        </w:rPr>
        <w:t>n</w:t>
      </w:r>
      <w:r w:rsidRPr="00AD78DC">
        <w:rPr>
          <w:rFonts w:eastAsia="Times New Roman" w:cs="Times New Roman"/>
          <w:szCs w:val="19"/>
          <w:lang w:val="en-GB" w:eastAsia="pl-PL"/>
        </w:rPr>
        <w:t> </w:t>
      </w:r>
      <w:r w:rsidR="00F73382" w:rsidRPr="00AD78DC">
        <w:rPr>
          <w:rFonts w:eastAsia="Times New Roman" w:cs="Times New Roman"/>
          <w:szCs w:val="19"/>
          <w:lang w:val="en-GB" w:eastAsia="pl-PL"/>
        </w:rPr>
        <w:t>in</w:t>
      </w:r>
      <w:r w:rsidRPr="00AD78DC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FA6FC5">
        <w:rPr>
          <w:rFonts w:eastAsiaTheme="minorEastAsia" w:cs="Fira Sans"/>
          <w:color w:val="000000"/>
          <w:szCs w:val="19"/>
          <w:lang w:val="en-GB" w:eastAsia="pl-PL"/>
        </w:rPr>
        <w:t>14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.1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3834F3">
        <w:rPr>
          <w:rFonts w:eastAsia="Times New Roman" w:cs="Times New Roman"/>
          <w:szCs w:val="19"/>
          <w:lang w:val="en-GB" w:eastAsia="pl-PL"/>
        </w:rPr>
        <w:t>1</w:t>
      </w:r>
      <w:r w:rsidR="004634C3">
        <w:rPr>
          <w:rFonts w:eastAsia="Times New Roman" w:cs="Times New Roman"/>
          <w:szCs w:val="19"/>
          <w:lang w:val="en-GB" w:eastAsia="pl-PL"/>
        </w:rPr>
        <w:t>3</w:t>
      </w:r>
      <w:r w:rsidR="003834F3">
        <w:rPr>
          <w:rFonts w:eastAsia="Times New Roman" w:cs="Times New Roman"/>
          <w:szCs w:val="19"/>
          <w:lang w:val="en-GB" w:eastAsia="pl-PL"/>
        </w:rPr>
        <w:t>.</w:t>
      </w:r>
      <w:r w:rsidR="00FA6FC5">
        <w:rPr>
          <w:rFonts w:eastAsia="Times New Roman" w:cs="Times New Roman"/>
          <w:szCs w:val="19"/>
          <w:lang w:val="en-GB" w:eastAsia="pl-PL"/>
        </w:rPr>
        <w:t>6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The </w:t>
      </w:r>
      <w:r w:rsidR="00F00E7F">
        <w:rPr>
          <w:rFonts w:eastAsia="Times New Roman" w:cs="Times New Roman"/>
          <w:szCs w:val="19"/>
          <w:lang w:val="en-GB" w:eastAsia="pl-PL"/>
        </w:rPr>
        <w:t>negative</w:t>
      </w:r>
      <w:r w:rsidRPr="00AD78DC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FA6FC5">
        <w:rPr>
          <w:rFonts w:eastAsia="Times New Roman" w:cs="Calibri"/>
          <w:color w:val="000000"/>
          <w:szCs w:val="19"/>
          <w:lang w:val="en-GB" w:eastAsia="pl-PL"/>
        </w:rPr>
        <w:t>2.0</w:t>
      </w:r>
      <w:r w:rsidR="00842EFE" w:rsidRPr="00AD78DC">
        <w:rPr>
          <w:rFonts w:eastAsia="Times New Roman" w:cs="Calibri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in the same period of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Pr="00AD78DC">
        <w:rPr>
          <w:rFonts w:eastAsia="Times New Roman" w:cs="Times New Roman"/>
          <w:szCs w:val="19"/>
          <w:lang w:val="en-GB" w:eastAsia="pl-PL"/>
        </w:rPr>
        <w:t xml:space="preserve"> it was </w:t>
      </w:r>
      <w:r w:rsidR="00F00E7F">
        <w:rPr>
          <w:rFonts w:eastAsia="Times New Roman" w:cs="Times New Roman"/>
          <w:szCs w:val="19"/>
          <w:lang w:val="en-GB" w:eastAsia="pl-PL"/>
        </w:rPr>
        <w:t xml:space="preserve">also </w:t>
      </w:r>
      <w:r w:rsidR="00A90788">
        <w:rPr>
          <w:rFonts w:eastAsia="Times New Roman" w:cs="Times New Roman"/>
          <w:szCs w:val="19"/>
          <w:lang w:val="en-GB" w:eastAsia="pl-PL"/>
        </w:rPr>
        <w:t>nega</w:t>
      </w:r>
      <w:r w:rsidRPr="00AD78DC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FA6FC5">
        <w:rPr>
          <w:rFonts w:eastAsiaTheme="minorEastAsia" w:cs="Fira Sans"/>
          <w:color w:val="000000"/>
          <w:szCs w:val="19"/>
          <w:lang w:val="en-GB" w:eastAsia="pl-PL"/>
        </w:rPr>
        <w:t>2.3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bn. </w:t>
      </w:r>
    </w:p>
    <w:p w:rsidR="00A84E9F" w:rsidRPr="0084243C" w:rsidRDefault="00A84E9F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D157C9">
        <w:rPr>
          <w:rFonts w:eastAsiaTheme="minorEastAsia" w:cs="Fira Sans"/>
          <w:color w:val="000000"/>
          <w:szCs w:val="19"/>
          <w:lang w:val="en-GB" w:eastAsia="pl-PL"/>
        </w:rPr>
        <w:t>125.9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D157C9">
        <w:rPr>
          <w:rFonts w:eastAsiaTheme="minorEastAsia" w:cs="Fira Sans"/>
          <w:color w:val="000000"/>
          <w:szCs w:val="19"/>
          <w:lang w:val="en-GB" w:eastAsia="pl-PL"/>
        </w:rPr>
        <w:t>127.6</w:t>
      </w:r>
      <w:r w:rsidR="0094257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</w:t>
      </w:r>
      <w:r w:rsidR="00D157C9">
        <w:rPr>
          <w:rFonts w:eastAsia="Times New Roman" w:cs="Times New Roman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(a</w:t>
      </w:r>
      <w:r w:rsidR="00D157C9">
        <w:rPr>
          <w:rFonts w:eastAsia="Times New Roman" w:cs="Times New Roman"/>
          <w:szCs w:val="19"/>
          <w:lang w:val="en-GB" w:eastAsia="pl-PL"/>
        </w:rPr>
        <w:t>n increase</w:t>
      </w:r>
      <w:r w:rsidRPr="00AD78DC">
        <w:rPr>
          <w:rFonts w:eastAsia="Times New Roman" w:cs="Times New Roman"/>
          <w:szCs w:val="19"/>
          <w:lang w:val="en-GB" w:eastAsia="pl-PL"/>
        </w:rPr>
        <w:t xml:space="preserve"> was observed in exports of </w:t>
      </w:r>
      <w:r w:rsidR="00AD5275">
        <w:rPr>
          <w:rFonts w:eastAsiaTheme="minorEastAsia" w:cs="Fira Sans"/>
          <w:color w:val="000000"/>
          <w:szCs w:val="19"/>
          <w:lang w:val="en-GB" w:eastAsia="pl-PL"/>
        </w:rPr>
        <w:t>2.</w:t>
      </w:r>
      <w:r w:rsidR="00D157C9">
        <w:rPr>
          <w:rFonts w:eastAsiaTheme="minorEastAsia" w:cs="Fira Sans"/>
          <w:color w:val="000000"/>
          <w:szCs w:val="19"/>
          <w:lang w:val="en-GB" w:eastAsia="pl-PL"/>
        </w:rPr>
        <w:t>9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BD4AFD">
        <w:rPr>
          <w:rFonts w:eastAsiaTheme="minorEastAsia" w:cs="Fira Sans"/>
          <w:color w:val="000000"/>
          <w:szCs w:val="19"/>
          <w:lang w:val="en-GB" w:eastAsia="pl-PL"/>
        </w:rPr>
        <w:t>2.5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013E67">
        <w:rPr>
          <w:rFonts w:eastAsia="Times New Roman" w:cs="Times New Roman"/>
          <w:spacing w:val="-2"/>
          <w:szCs w:val="19"/>
          <w:lang w:val="en-GB" w:eastAsia="pl-PL"/>
        </w:rPr>
        <w:t>negative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 balance reached EUR </w:t>
      </w:r>
      <w:r w:rsidR="00BD4AFD">
        <w:rPr>
          <w:rFonts w:eastAsiaTheme="minorEastAsia" w:cs="Fira Sans"/>
          <w:color w:val="000000"/>
          <w:spacing w:val="-2"/>
          <w:szCs w:val="19"/>
          <w:lang w:val="en-GB" w:eastAsia="pl-PL"/>
        </w:rPr>
        <w:t>1.7</w:t>
      </w:r>
      <w:r w:rsidR="003954E3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bn, compared to a </w:t>
      </w:r>
      <w:r w:rsidR="00AE55FF">
        <w:rPr>
          <w:rFonts w:eastAsia="Times New Roman" w:cs="Times New Roman"/>
          <w:spacing w:val="-2"/>
          <w:szCs w:val="19"/>
          <w:lang w:val="en-GB" w:eastAsia="pl-PL"/>
        </w:rPr>
        <w:t>nega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tive balance of EUR </w:t>
      </w:r>
      <w:r w:rsidR="00BD4AFD">
        <w:rPr>
          <w:rFonts w:eastAsiaTheme="minorEastAsia" w:cs="Fira Sans"/>
          <w:color w:val="000000"/>
          <w:spacing w:val="-2"/>
          <w:szCs w:val="19"/>
          <w:lang w:val="en-GB" w:eastAsia="pl-PL"/>
        </w:rPr>
        <w:t>2.2</w:t>
      </w:r>
      <w:r w:rsidR="00842EFE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 in the same period of </w:t>
      </w:r>
      <w:r w:rsidR="00DA2DDA" w:rsidRPr="00AD78DC">
        <w:rPr>
          <w:rFonts w:eastAsia="Times New Roman" w:cs="Times New Roman"/>
          <w:spacing w:val="-2"/>
          <w:szCs w:val="19"/>
          <w:lang w:val="en-GB" w:eastAsia="pl-PL"/>
        </w:rPr>
        <w:t>2025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="00F802BE" w:rsidRPr="00AD78DC" w:rsidRDefault="009C1FB3" w:rsidP="00645281">
      <w:pPr>
        <w:pStyle w:val="Nagwek1"/>
        <w:spacing w:before="360"/>
        <w:rPr>
          <w:lang w:val="en-US"/>
        </w:rPr>
      </w:pPr>
      <w:r w:rsidRPr="0028009E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12EC8C48">
                <wp:simplePos x="0" y="0"/>
                <wp:positionH relativeFrom="column">
                  <wp:posOffset>5245735</wp:posOffset>
                </wp:positionH>
                <wp:positionV relativeFrom="paragraph">
                  <wp:posOffset>227965</wp:posOffset>
                </wp:positionV>
                <wp:extent cx="1769745" cy="2420620"/>
                <wp:effectExtent l="0" t="0" r="0" b="0"/>
                <wp:wrapTight wrapText="bothSides">
                  <wp:wrapPolygon edited="0">
                    <wp:start x="698" y="0"/>
                    <wp:lineTo x="698" y="21419"/>
                    <wp:lineTo x="20693" y="21419"/>
                    <wp:lineTo x="20693" y="0"/>
                    <wp:lineTo x="698" y="0"/>
                  </wp:wrapPolygon>
                </wp:wrapTight>
                <wp:docPr id="16" name="Pole tekstowe 16" descr="The share of EU countries both in exports and imports was higher by 0.1 pp com-pared to January-April of 2025.&#10;Detailed information is avail-able in the Knowledge Data-base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983B25" w:rsidRDefault="007F0AD4" w:rsidP="00983B2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83B25">
                              <w:rPr>
                                <w:lang w:val="en-US"/>
                              </w:rPr>
                              <w:t xml:space="preserve">The share of EU countries </w:t>
                            </w:r>
                            <w:r>
                              <w:rPr>
                                <w:lang w:val="en-US"/>
                              </w:rPr>
                              <w:t xml:space="preserve">both 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in exports </w:t>
                            </w:r>
                            <w:r>
                              <w:rPr>
                                <w:lang w:val="en-US"/>
                              </w:rPr>
                              <w:t xml:space="preserve">and imports 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was </w:t>
                            </w:r>
                            <w:r>
                              <w:rPr>
                                <w:lang w:val="en-US"/>
                              </w:rPr>
                              <w:t>higher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 by </w:t>
                            </w:r>
                            <w:r w:rsidRPr="00AF7276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.1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 pp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83B25">
                              <w:rPr>
                                <w:lang w:val="en-US"/>
                              </w:rPr>
                              <w:t>compared to</w:t>
                            </w:r>
                            <w:r>
                              <w:rPr>
                                <w:lang w:val="en-US"/>
                              </w:rPr>
                              <w:t xml:space="preserve"> January-April of 2025</w:t>
                            </w:r>
                            <w:r w:rsidRPr="00983B25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7F0AD4" w:rsidRPr="00AE1342" w:rsidRDefault="007F0AD4" w:rsidP="00983B25">
                            <w:pPr>
                              <w:pStyle w:val="tekstzboku"/>
                              <w:rPr>
                                <w:rStyle w:val="Hipercz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983B25">
                              <w:rPr>
                                <w:lang w:val="en-US"/>
                              </w:rPr>
                              <w:t>etailed information is available in</w: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"https://dbw.stat.gov.pl/en/dashboard/117" \o "Knowledge Databases"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lang w:val="en-US"/>
                              </w:rPr>
                              <w:t xml:space="preserve"> </w:t>
                            </w:r>
                            <w:r w:rsidRPr="00092201">
                              <w:rPr>
                                <w:rStyle w:val="Hipercze"/>
                                <w:lang w:val="en-US"/>
                              </w:rPr>
                              <w:t>the Knowledge Databases</w:t>
                            </w:r>
                          </w:p>
                          <w:p w:rsidR="007F0AD4" w:rsidRPr="00F63B71" w:rsidRDefault="007F0AD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alt="The share of EU countries both in exports and imports was higher by 0.1 pp com-pared to January-April of 2025.&#10;Detailed information is avail-able in the Knowledge Data-bases&#10;" style="position:absolute;margin-left:413.05pt;margin-top:17.95pt;width:139.35pt;height:190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" filled="f" stroked="f">
                <v:textbox>
                  <w:txbxContent>
                    <w:p w:rsidR="007F0AD4" w:rsidRPr="00983B25" w:rsidRDefault="007F0AD4" w:rsidP="00983B25">
                      <w:pPr>
                        <w:pStyle w:val="tekstzboku"/>
                        <w:rPr>
                          <w:lang w:val="en-US"/>
                        </w:rPr>
                      </w:pPr>
                      <w:r w:rsidRPr="00983B25">
                        <w:rPr>
                          <w:lang w:val="en-US"/>
                        </w:rPr>
                        <w:t xml:space="preserve">The share of EU countries </w:t>
                      </w:r>
                      <w:r>
                        <w:rPr>
                          <w:lang w:val="en-US"/>
                        </w:rPr>
                        <w:t xml:space="preserve">both </w:t>
                      </w:r>
                      <w:r w:rsidRPr="00983B25">
                        <w:rPr>
                          <w:lang w:val="en-US"/>
                        </w:rPr>
                        <w:t xml:space="preserve">in exports </w:t>
                      </w:r>
                      <w:r>
                        <w:rPr>
                          <w:lang w:val="en-US"/>
                        </w:rPr>
                        <w:t xml:space="preserve">and imports </w:t>
                      </w:r>
                      <w:r w:rsidRPr="00A365B0">
                        <w:rPr>
                          <w:lang w:val="en-US"/>
                        </w:rPr>
                        <w:t xml:space="preserve">was </w:t>
                      </w:r>
                      <w:r>
                        <w:rPr>
                          <w:lang w:val="en-US"/>
                        </w:rPr>
                        <w:t>higher</w:t>
                      </w:r>
                      <w:r w:rsidRPr="00A365B0">
                        <w:rPr>
                          <w:lang w:val="en-US"/>
                        </w:rPr>
                        <w:t xml:space="preserve"> by </w:t>
                      </w:r>
                      <w:r w:rsidRPr="00AF7276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.1</w:t>
                      </w:r>
                      <w:r w:rsidRPr="00A365B0">
                        <w:rPr>
                          <w:lang w:val="en-US"/>
                        </w:rPr>
                        <w:t xml:space="preserve"> pp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983B25">
                        <w:rPr>
                          <w:lang w:val="en-US"/>
                        </w:rPr>
                        <w:t>compared to</w:t>
                      </w:r>
                      <w:r>
                        <w:rPr>
                          <w:lang w:val="en-US"/>
                        </w:rPr>
                        <w:t xml:space="preserve"> January-April of 2025</w:t>
                      </w:r>
                      <w:r w:rsidRPr="00983B25">
                        <w:rPr>
                          <w:lang w:val="en-US"/>
                        </w:rPr>
                        <w:t>.</w:t>
                      </w:r>
                    </w:p>
                    <w:p w:rsidR="007F0AD4" w:rsidRPr="00AE1342" w:rsidRDefault="007F0AD4" w:rsidP="00983B25">
                      <w:pPr>
                        <w:pStyle w:val="tekstzboku"/>
                        <w:rPr>
                          <w:rStyle w:val="Hipercz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Pr="00983B25">
                        <w:rPr>
                          <w:lang w:val="en-US"/>
                        </w:rPr>
                        <w:t>etailed information is available in</w: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"https://dbw.stat.gov.pl/en/dashboard/117" \o "Knowledge Databases"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rStyle w:val="Hipercze"/>
                          <w:lang w:val="en-US"/>
                        </w:rPr>
                        <w:t xml:space="preserve"> </w:t>
                      </w:r>
                      <w:r w:rsidRPr="00092201">
                        <w:rPr>
                          <w:rStyle w:val="Hipercze"/>
                          <w:lang w:val="en-US"/>
                        </w:rPr>
                        <w:t>the Knowledge Databases</w:t>
                      </w:r>
                    </w:p>
                    <w:p w:rsidR="007F0AD4" w:rsidRPr="00F63B71" w:rsidRDefault="007F0AD4" w:rsidP="00F802B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28009E">
        <w:rPr>
          <w:lang w:val="en-US"/>
        </w:rPr>
        <w:t>Foreign trade</w:t>
      </w:r>
      <w:r w:rsidR="00AF0CDF" w:rsidRPr="00AD78DC">
        <w:rPr>
          <w:lang w:val="en-US"/>
        </w:rPr>
        <w:t xml:space="preserve"> turnover of goods in total and by</w:t>
      </w:r>
      <w:r w:rsidR="00717D5C" w:rsidRPr="00AD78DC">
        <w:rPr>
          <w:lang w:val="en-US"/>
        </w:rPr>
        <w:t xml:space="preserve"> groups of</w:t>
      </w:r>
      <w:r w:rsidR="00AF0CDF" w:rsidRPr="00AD78DC">
        <w:rPr>
          <w:lang w:val="en-US"/>
        </w:rPr>
        <w:t xml:space="preserve"> countries</w:t>
      </w:r>
    </w:p>
    <w:p w:rsidR="00E73C91" w:rsidRPr="00AD78DC" w:rsidRDefault="007E292B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>The share o</w:t>
      </w:r>
      <w:r w:rsidRPr="00D86537">
        <w:rPr>
          <w:rFonts w:eastAsia="Times New Roman" w:cs="Times New Roman"/>
          <w:szCs w:val="19"/>
          <w:lang w:val="en-GB" w:eastAsia="pl-PL"/>
        </w:rPr>
        <w:t xml:space="preserve">f </w:t>
      </w:r>
      <w:r w:rsidR="00D86537" w:rsidRPr="00D86537">
        <w:rPr>
          <w:rFonts w:eastAsia="Times New Roman" w:cs="Times New Roman"/>
          <w:szCs w:val="19"/>
          <w:lang w:val="en-GB" w:eastAsia="pl-PL"/>
        </w:rPr>
        <w:t xml:space="preserve">the </w:t>
      </w:r>
      <w:r w:rsidRPr="00D86537">
        <w:rPr>
          <w:rFonts w:eastAsia="Times New Roman" w:cs="Times New Roman"/>
          <w:szCs w:val="19"/>
          <w:lang w:val="en-GB" w:eastAsia="pl-PL"/>
        </w:rPr>
        <w:t>developed</w:t>
      </w:r>
      <w:r w:rsidRPr="00AD78DC">
        <w:rPr>
          <w:rFonts w:eastAsia="Times New Roman" w:cs="Times New Roman"/>
          <w:szCs w:val="19"/>
          <w:lang w:val="en-GB" w:eastAsia="pl-PL"/>
        </w:rPr>
        <w:t xml:space="preserve"> countries in total exports </w:t>
      </w:r>
      <w:r w:rsidR="0075292C" w:rsidRPr="00AD78DC">
        <w:rPr>
          <w:rFonts w:eastAsia="Times New Roman" w:cs="Times New Roman"/>
          <w:szCs w:val="19"/>
          <w:lang w:val="en-GB" w:eastAsia="pl-PL"/>
        </w:rPr>
        <w:t>amounted to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87.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194452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>(of </w:t>
      </w:r>
      <w:r w:rsidR="00E73C91" w:rsidRPr="00D86537">
        <w:rPr>
          <w:rFonts w:eastAsia="Times New Roman" w:cs="Times New Roman"/>
          <w:szCs w:val="19"/>
          <w:lang w:val="en-GB" w:eastAsia="pl-PL"/>
        </w:rPr>
        <w:t>which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EU </w:t>
      </w:r>
      <w:r w:rsidR="004D0469">
        <w:rPr>
          <w:rFonts w:eastAsia="Times New Roman" w:cs="Times New Roman"/>
          <w:szCs w:val="19"/>
          <w:lang w:val="en-GB" w:eastAsia="pl-PL"/>
        </w:rPr>
        <w:t>75.</w:t>
      </w:r>
      <w:r w:rsidR="00181458">
        <w:rPr>
          <w:rFonts w:eastAsia="Times New Roman" w:cs="Times New Roman"/>
          <w:szCs w:val="19"/>
          <w:lang w:val="en-GB" w:eastAsia="pl-PL"/>
        </w:rPr>
        <w:t>1</w:t>
      </w:r>
      <w:r w:rsidR="00194452" w:rsidRPr="00D86537">
        <w:rPr>
          <w:rFonts w:eastAsia="Times New Roman" w:cs="Times New Roman"/>
          <w:szCs w:val="19"/>
          <w:lang w:val="en-GB" w:eastAsia="pl-PL"/>
        </w:rPr>
        <w:t>%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) and in </w:t>
      </w:r>
      <w:r w:rsidR="0075292C" w:rsidRPr="00D86537"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imports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724C09" w:rsidRPr="00D86537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EU </w:t>
      </w:r>
      <w:r w:rsidR="003E1EAA" w:rsidRPr="00D86537">
        <w:rPr>
          <w:rFonts w:eastAsiaTheme="minorEastAsia" w:cs="Fira Sans"/>
          <w:color w:val="000000"/>
          <w:szCs w:val="19"/>
          <w:lang w:val="en-GB" w:eastAsia="pl-PL"/>
        </w:rPr>
        <w:t>53.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D86537">
        <w:rPr>
          <w:rFonts w:eastAsia="Times New Roman" w:cs="Times New Roman"/>
          <w:szCs w:val="19"/>
          <w:lang w:val="en-GB" w:eastAsia="pl-PL"/>
        </w:rPr>
        <w:t>%</w:t>
      </w:r>
      <w:r w:rsidR="00E73C91" w:rsidRPr="00D86537">
        <w:rPr>
          <w:rFonts w:eastAsia="Times New Roman" w:cs="Times New Roman"/>
          <w:szCs w:val="19"/>
          <w:lang w:val="en-GB" w:eastAsia="pl-PL"/>
        </w:rPr>
        <w:t>), compar</w:t>
      </w:r>
      <w:r w:rsidR="0075292C" w:rsidRPr="00D86537">
        <w:rPr>
          <w:rFonts w:eastAsia="Times New Roman" w:cs="Times New Roman"/>
          <w:szCs w:val="19"/>
          <w:lang w:val="en-GB" w:eastAsia="pl-PL"/>
        </w:rPr>
        <w:t>ed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</w:t>
      </w:r>
      <w:r w:rsidR="0075292C" w:rsidRPr="00D86537">
        <w:rPr>
          <w:rFonts w:eastAsia="Times New Roman" w:cs="Times New Roman"/>
          <w:szCs w:val="19"/>
          <w:lang w:val="en-GB" w:eastAsia="pl-PL"/>
        </w:rPr>
        <w:t>to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87.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D86537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D86537">
        <w:rPr>
          <w:rFonts w:eastAsia="Times New Roman" w:cs="Times New Roman"/>
          <w:szCs w:val="19"/>
          <w:lang w:val="en-GB" w:eastAsia="pl-PL"/>
        </w:rPr>
        <w:t>(of which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EU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5.0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and </w:t>
      </w:r>
      <w:r w:rsidR="003E1EAA">
        <w:rPr>
          <w:rFonts w:eastAsiaTheme="minorEastAsia" w:cs="Fira Sans"/>
          <w:color w:val="000000"/>
          <w:szCs w:val="19"/>
          <w:lang w:val="en-GB" w:eastAsia="pl-PL"/>
        </w:rPr>
        <w:t>64.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EU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53.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DD0E59">
        <w:rPr>
          <w:lang w:val="en-GB"/>
        </w:rPr>
        <w:t>–</w:t>
      </w:r>
      <w:r w:rsidR="00181458">
        <w:rPr>
          <w:lang w:val="en-GB"/>
        </w:rPr>
        <w:t>April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</w:t>
      </w:r>
      <w:r w:rsidR="00585A80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Central and Eastern Europe, which in total exports amounted to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D0E59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724C09" w:rsidRPr="00AD78DC">
        <w:rPr>
          <w:rFonts w:eastAsia="Times New Roman" w:cs="Times New Roman"/>
          <w:szCs w:val="19"/>
          <w:lang w:val="en-GB" w:eastAsia="pl-PL"/>
        </w:rPr>
        <w:t>%,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and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035AFD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in </w:t>
      </w:r>
      <w:r w:rsidR="00DA2DDA" w:rsidRPr="00AD78DC">
        <w:rPr>
          <w:rFonts w:eastAsia="Times New Roman" w:cs="Times New Roman"/>
          <w:szCs w:val="19"/>
          <w:lang w:val="en-GB" w:eastAsia="pl-PL"/>
        </w:rPr>
        <w:t>January</w:t>
      </w:r>
      <w:r w:rsidR="004B71B6">
        <w:rPr>
          <w:rFonts w:eastAsia="Times New Roman" w:cs="Times New Roman"/>
          <w:szCs w:val="19"/>
          <w:lang w:val="en-GB" w:eastAsia="pl-PL"/>
        </w:rPr>
        <w:t>–</w:t>
      </w:r>
      <w:r w:rsidR="00181458">
        <w:rPr>
          <w:rFonts w:eastAsia="Times New Roman" w:cs="Times New Roman"/>
          <w:szCs w:val="19"/>
          <w:lang w:val="en-GB" w:eastAsia="pl-PL"/>
        </w:rPr>
        <w:t>April</w:t>
      </w:r>
      <w:r w:rsidR="001840AC">
        <w:rPr>
          <w:rFonts w:eastAsia="Times New Roman" w:cs="Times New Roman"/>
          <w:szCs w:val="19"/>
          <w:lang w:val="en-GB" w:eastAsia="pl-PL"/>
        </w:rPr>
        <w:t xml:space="preserve">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>.</w:t>
      </w:r>
    </w:p>
    <w:p w:rsidR="00E73C91" w:rsidRPr="00AD78DC" w:rsidRDefault="007E292B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The positive balance was obtained in turnover with </w:t>
      </w:r>
      <w:r w:rsidR="00D86537" w:rsidRPr="008652BA">
        <w:rPr>
          <w:rFonts w:eastAsia="Times New Roman" w:cs="Times New Roman"/>
          <w:szCs w:val="19"/>
          <w:lang w:val="en-GB" w:eastAsia="pl-PL"/>
        </w:rPr>
        <w:t xml:space="preserve">the </w:t>
      </w:r>
      <w:r w:rsidRPr="008652BA">
        <w:rPr>
          <w:rFonts w:eastAsia="Times New Roman" w:cs="Times New Roman"/>
          <w:szCs w:val="19"/>
          <w:lang w:val="en-GB" w:eastAsia="pl-PL"/>
        </w:rPr>
        <w:t>developed</w:t>
      </w:r>
      <w:r w:rsidRPr="00AD78DC">
        <w:rPr>
          <w:rFonts w:eastAsia="Times New Roman" w:cs="Times New Roman"/>
          <w:szCs w:val="19"/>
          <w:lang w:val="en-GB" w:eastAsia="pl-PL"/>
        </w:rPr>
        <w:t xml:space="preserve"> countries PLN </w:t>
      </w:r>
      <w:r w:rsidR="00490E02">
        <w:rPr>
          <w:rFonts w:eastAsiaTheme="minorEastAsia" w:cs="Fira Sans"/>
          <w:color w:val="000000"/>
          <w:szCs w:val="19"/>
          <w:lang w:val="en-GB" w:eastAsia="pl-PL"/>
        </w:rPr>
        <w:t>109.9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(USD </w:t>
      </w:r>
      <w:r w:rsidR="00490E02">
        <w:rPr>
          <w:rFonts w:eastAsiaTheme="minorEastAsia" w:cs="Fira Sans"/>
          <w:color w:val="000000"/>
          <w:szCs w:val="19"/>
          <w:lang w:val="en-GB" w:eastAsia="pl-PL"/>
        </w:rPr>
        <w:t>30.5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EUR </w:t>
      </w:r>
      <w:r w:rsidR="00490E02">
        <w:rPr>
          <w:rFonts w:eastAsiaTheme="minorEastAsia" w:cs="Fira Sans"/>
          <w:color w:val="000000"/>
          <w:szCs w:val="19"/>
          <w:lang w:val="en-GB" w:eastAsia="pl-PL"/>
        </w:rPr>
        <w:t>26.0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bn), of which </w:t>
      </w:r>
      <w:r w:rsidRPr="00D86537">
        <w:rPr>
          <w:rFonts w:eastAsia="Times New Roman" w:cs="Times New Roman"/>
          <w:szCs w:val="19"/>
          <w:lang w:val="en-GB" w:eastAsia="pl-PL"/>
        </w:rPr>
        <w:t xml:space="preserve">with the EU countries the balance of PLN 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112.8</w:t>
      </w:r>
      <w:r w:rsidR="00AE55FF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31.3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bn, EUR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6.7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bn) and with </w:t>
      </w:r>
      <w:r w:rsidR="00322ED2">
        <w:rPr>
          <w:rFonts w:eastAsia="Times New Roman" w:cs="Times New Roman"/>
          <w:szCs w:val="19"/>
          <w:lang w:val="en-GB" w:eastAsia="pl-PL"/>
        </w:rPr>
        <w:t xml:space="preserve">the </w:t>
      </w:r>
      <w:r w:rsidRPr="00D86537">
        <w:rPr>
          <w:rFonts w:eastAsia="Times New Roman" w:cs="Times New Roman"/>
          <w:szCs w:val="19"/>
          <w:lang w:val="en-GB" w:eastAsia="pl-PL"/>
        </w:rPr>
        <w:t xml:space="preserve">Central and Eastern Europe PLN </w:t>
      </w:r>
      <w:r w:rsidR="007F350D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8.4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5.1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bn, EUR </w:t>
      </w:r>
      <w:r w:rsidR="00D056E1">
        <w:rPr>
          <w:rFonts w:eastAsia="Times New Roman" w:cs="Times New Roman"/>
          <w:szCs w:val="19"/>
          <w:lang w:val="en-GB" w:eastAsia="pl-PL"/>
        </w:rPr>
        <w:t>4.3</w:t>
      </w:r>
      <w:r w:rsidR="00A243D7">
        <w:rPr>
          <w:rFonts w:eastAsia="Times New Roman" w:cs="Times New Roman"/>
          <w:szCs w:val="19"/>
          <w:lang w:val="en-GB" w:eastAsia="pl-PL"/>
        </w:rPr>
        <w:t xml:space="preserve"> </w:t>
      </w:r>
      <w:r w:rsidRPr="00D86537">
        <w:rPr>
          <w:rFonts w:eastAsiaTheme="minorEastAsia" w:cs="Fira Sans"/>
          <w:color w:val="000000"/>
          <w:szCs w:val="19"/>
          <w:lang w:val="en-GB" w:eastAsia="pl-PL"/>
        </w:rPr>
        <w:t>bn</w:t>
      </w:r>
      <w:r w:rsidRPr="00D86537">
        <w:rPr>
          <w:rFonts w:eastAsia="Times New Roman" w:cs="Times New Roman"/>
          <w:szCs w:val="19"/>
          <w:lang w:val="en-GB" w:eastAsia="pl-PL"/>
        </w:rPr>
        <w:t xml:space="preserve">). </w:t>
      </w:r>
      <w:r w:rsidR="00E73C91" w:rsidRPr="00D86537">
        <w:rPr>
          <w:rFonts w:eastAsia="Times New Roman" w:cs="Times New Roman"/>
          <w:szCs w:val="19"/>
          <w:lang w:val="en-GB" w:eastAsia="pl-PL"/>
        </w:rPr>
        <w:t>The negative balance was recorded with the developing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countries – minus PLN 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135.6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37.5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D056E1">
        <w:rPr>
          <w:rFonts w:eastAsiaTheme="minorEastAsia" w:cs="Fira Sans"/>
          <w:color w:val="000000"/>
          <w:szCs w:val="19"/>
          <w:lang w:val="en-GB" w:eastAsia="pl-PL"/>
        </w:rPr>
        <w:t>32.0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>bn)</w:t>
      </w:r>
      <w:r w:rsidR="00941346" w:rsidRPr="00AD78DC">
        <w:rPr>
          <w:rFonts w:eastAsia="Times New Roman" w:cs="Times New Roman"/>
          <w:szCs w:val="19"/>
          <w:lang w:val="en-GB" w:eastAsia="pl-PL"/>
        </w:rPr>
        <w:t xml:space="preserve">. </w:t>
      </w:r>
    </w:p>
    <w:p w:rsidR="00585385" w:rsidRPr="00AD78DC" w:rsidRDefault="00C30406" w:rsidP="00645281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A60BEF" w:rsidRPr="00AD78DC">
        <w:rPr>
          <w:lang w:val="en-GB"/>
        </w:rPr>
        <w:t>e</w:t>
      </w:r>
      <w:r w:rsidRPr="00AD78DC">
        <w:rPr>
          <w:lang w:val="en-GB"/>
        </w:rPr>
        <w:t xml:space="preserve"> 1. </w:t>
      </w:r>
      <w:r w:rsidR="00A60BEF" w:rsidRPr="00AD78DC">
        <w:rPr>
          <w:lang w:val="en-GB"/>
        </w:rPr>
        <w:t xml:space="preserve">Foreign trade turnover of goods in total and by </w:t>
      </w:r>
      <w:r w:rsidR="00717D5C" w:rsidRPr="00AD78DC">
        <w:rPr>
          <w:lang w:val="en-GB"/>
        </w:rPr>
        <w:t>groups of c</w:t>
      </w:r>
      <w:r w:rsidR="00A60BEF" w:rsidRPr="00AD78DC">
        <w:rPr>
          <w:lang w:val="en-GB"/>
        </w:rPr>
        <w:t>ountries</w:t>
      </w:r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D78DC" w:rsidTr="00010131">
        <w:trPr>
          <w:trHeight w:val="352"/>
        </w:trPr>
        <w:tc>
          <w:tcPr>
            <w:tcW w:w="2552" w:type="dxa"/>
            <w:vMerge w:val="restart"/>
            <w:vAlign w:val="center"/>
          </w:tcPr>
          <w:p w:rsidR="004B64A7" w:rsidRPr="00AD78DC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0219C4">
              <w:rPr>
                <w:rFonts w:cs="Arial"/>
                <w:sz w:val="16"/>
                <w:szCs w:val="16"/>
              </w:rPr>
              <w:t>4</w:t>
            </w:r>
            <w:r w:rsidR="00DD5D5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656" w:type="dxa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8" w:type="dxa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633AC9" w:rsidRPr="00AD78DC" w:rsidTr="00010131">
        <w:trPr>
          <w:trHeight w:val="139"/>
        </w:trPr>
        <w:tc>
          <w:tcPr>
            <w:tcW w:w="2552" w:type="dxa"/>
            <w:vMerge/>
          </w:tcPr>
          <w:p w:rsidR="00633AC9" w:rsidRPr="00AD78DC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bottom"/>
          </w:tcPr>
          <w:p w:rsidR="00633AC9" w:rsidRPr="00AD78DC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00" w:type="dxa"/>
            <w:gridSpan w:val="3"/>
            <w:vAlign w:val="center"/>
          </w:tcPr>
          <w:p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0219C4">
              <w:rPr>
                <w:rFonts w:cs="Arial"/>
                <w:sz w:val="16"/>
                <w:szCs w:val="16"/>
              </w:rPr>
              <w:t>4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0219C4">
              <w:rPr>
                <w:rFonts w:cs="Arial"/>
                <w:sz w:val="16"/>
                <w:szCs w:val="16"/>
              </w:rPr>
              <w:t>4</w:t>
            </w:r>
          </w:p>
        </w:tc>
      </w:tr>
      <w:tr w:rsidR="00633AC9" w:rsidRPr="00AD78DC" w:rsidTr="00010131">
        <w:trPr>
          <w:trHeight w:val="90"/>
        </w:trPr>
        <w:tc>
          <w:tcPr>
            <w:tcW w:w="2552" w:type="dxa"/>
            <w:vMerge/>
          </w:tcPr>
          <w:p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0219C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0219C4" w:rsidRPr="00AD78DC" w:rsidRDefault="000219C4" w:rsidP="000219C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532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147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125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114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219C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0219C4" w:rsidRPr="00AD78DC" w:rsidRDefault="000219C4" w:rsidP="000219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464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219C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0219C4" w:rsidRPr="00AD78DC" w:rsidRDefault="000219C4" w:rsidP="000219C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400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219C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0219C4" w:rsidRPr="00AD78DC" w:rsidRDefault="000219C4" w:rsidP="000219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315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219C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0219C4" w:rsidRPr="00AD78DC" w:rsidRDefault="000219C4" w:rsidP="000219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219C4" w:rsidRPr="00AD78DC" w:rsidTr="00744506">
        <w:trPr>
          <w:trHeight w:val="248"/>
        </w:trPr>
        <w:tc>
          <w:tcPr>
            <w:tcW w:w="2552" w:type="dxa"/>
            <w:vAlign w:val="center"/>
          </w:tcPr>
          <w:p w:rsidR="000219C4" w:rsidRPr="00AD78DC" w:rsidRDefault="000219C4" w:rsidP="000219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219C4" w:rsidRPr="00FA778E" w:rsidRDefault="000219C4" w:rsidP="000219C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159F8" w:rsidRPr="00AD78DC" w:rsidTr="00744506">
        <w:trPr>
          <w:trHeight w:val="34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>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540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149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127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113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159F8" w:rsidRPr="00AD78DC" w:rsidTr="00744506">
        <w:trPr>
          <w:trHeight w:val="35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354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159F8" w:rsidRPr="00AD78DC" w:rsidTr="00744506">
        <w:trPr>
          <w:trHeight w:val="34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287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5159F8" w:rsidRPr="00AD78DC" w:rsidTr="00744506">
        <w:trPr>
          <w:trHeight w:val="35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5159F8" w:rsidRPr="00AD78DC" w:rsidTr="00744506">
        <w:trPr>
          <w:trHeight w:val="34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178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101</w:t>
            </w:r>
            <w:r w:rsidR="0074087A">
              <w:rPr>
                <w:rFonts w:cs="Calibri"/>
                <w:sz w:val="16"/>
                <w:szCs w:val="16"/>
              </w:rPr>
              <w:t>.</w:t>
            </w:r>
            <w:r w:rsidRPr="00FA778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5159F8" w:rsidRPr="00AD78DC" w:rsidTr="00744506">
        <w:trPr>
          <w:trHeight w:val="355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5159F8" w:rsidRPr="00AD78DC" w:rsidTr="00744506">
        <w:trPr>
          <w:trHeight w:val="34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-7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-2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740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5159F8" w:rsidRPr="00AD78DC" w:rsidTr="00744506">
        <w:trPr>
          <w:trHeight w:val="35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159F8" w:rsidRPr="00AD78DC" w:rsidTr="00744506">
        <w:trPr>
          <w:trHeight w:val="34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D78DC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159F8" w:rsidRPr="00AD78DC" w:rsidTr="00744506">
        <w:trPr>
          <w:trHeight w:val="35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159F8" w:rsidRPr="00AD78DC" w:rsidTr="00744506">
        <w:trPr>
          <w:trHeight w:val="342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-135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-37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-32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159F8" w:rsidRPr="00AD78DC" w:rsidTr="00744506">
        <w:trPr>
          <w:trHeight w:val="258"/>
        </w:trPr>
        <w:tc>
          <w:tcPr>
            <w:tcW w:w="2552" w:type="dxa"/>
            <w:vAlign w:val="center"/>
          </w:tcPr>
          <w:p w:rsidR="005159F8" w:rsidRPr="00AD78DC" w:rsidRDefault="005159F8" w:rsidP="005159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FA778E" w:rsidRDefault="005159F8" w:rsidP="005159F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4087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159F8" w:rsidRPr="00AD78DC" w:rsidRDefault="005159F8" w:rsidP="005159F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</w:tbl>
    <w:p w:rsidR="00345F7C" w:rsidRPr="00AD78DC" w:rsidRDefault="0014778F" w:rsidP="001D7DC0">
      <w:pPr>
        <w:pStyle w:val="Nagwek1"/>
        <w:spacing w:before="360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3F7B61" w:rsidRDefault="007F0AD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3F7B61" w:rsidRDefault="007F0AD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D78DC">
        <w:rPr>
          <w:rFonts w:ascii="Fira Sans" w:hAnsi="Fira Sans"/>
          <w:b/>
          <w:szCs w:val="19"/>
          <w:lang w:val="en-GB"/>
        </w:rPr>
        <w:t>Foreign trade turnover by major countries</w:t>
      </w:r>
    </w:p>
    <w:p w:rsidR="00C4368C" w:rsidRPr="00AD78DC" w:rsidRDefault="002242B5" w:rsidP="003E696E">
      <w:pPr>
        <w:spacing w:before="60" w:after="60"/>
        <w:rPr>
          <w:shd w:val="clear" w:color="auto" w:fill="FFFFFF"/>
          <w:lang w:val="en-GB"/>
        </w:rPr>
      </w:pPr>
      <w:bookmarkStart w:id="8" w:name="_Hlk161135246"/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4B71B6">
        <w:rPr>
          <w:shd w:val="clear" w:color="auto" w:fill="FFFFFF"/>
          <w:lang w:val="en-GB"/>
        </w:rPr>
        <w:t>–</w:t>
      </w:r>
      <w:r w:rsidR="00F629D3">
        <w:rPr>
          <w:shd w:val="clear" w:color="auto" w:fill="FFFFFF"/>
          <w:lang w:val="en-GB"/>
        </w:rPr>
        <w:t>April</w:t>
      </w:r>
      <w:r w:rsidR="004B71B6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of the current year, in comparison with the corresponding period of the previous </w:t>
      </w:r>
      <w:r w:rsidRPr="00942F3B">
        <w:rPr>
          <w:shd w:val="clear" w:color="auto" w:fill="FFFFFF"/>
          <w:lang w:val="en-GB"/>
        </w:rPr>
        <w:t xml:space="preserve">year, </w:t>
      </w:r>
      <w:r w:rsidR="00942F3B" w:rsidRPr="00942F3B">
        <w:rPr>
          <w:shd w:val="clear" w:color="auto" w:fill="FFFFFF"/>
          <w:lang w:val="en-GB"/>
        </w:rPr>
        <w:t>increases</w:t>
      </w:r>
      <w:r w:rsidRPr="00942F3B">
        <w:rPr>
          <w:shd w:val="clear" w:color="auto" w:fill="FFFFFF"/>
          <w:lang w:val="en-GB"/>
        </w:rPr>
        <w:t xml:space="preserve"> in exports</w:t>
      </w:r>
      <w:r w:rsidRPr="00AD78DC">
        <w:rPr>
          <w:shd w:val="clear" w:color="auto" w:fill="FFFFFF"/>
          <w:lang w:val="en-GB"/>
        </w:rPr>
        <w:t xml:space="preserve"> </w:t>
      </w:r>
      <w:r w:rsidR="00136742" w:rsidRPr="00136742">
        <w:rPr>
          <w:shd w:val="clear" w:color="auto" w:fill="FFFFFF"/>
          <w:lang w:val="en-GB"/>
        </w:rPr>
        <w:t>were recorded among Poland’s main trading partners, with the exception of</w:t>
      </w:r>
      <w:r w:rsidR="00136742">
        <w:rPr>
          <w:shd w:val="clear" w:color="auto" w:fill="FFFFFF"/>
          <w:lang w:val="en-GB"/>
        </w:rPr>
        <w:t xml:space="preserve"> </w:t>
      </w:r>
      <w:r w:rsidR="005B4659">
        <w:rPr>
          <w:shd w:val="clear" w:color="auto" w:fill="FFFFFF"/>
          <w:lang w:val="en-GB"/>
        </w:rPr>
        <w:t xml:space="preserve">the </w:t>
      </w:r>
      <w:r w:rsidR="009B19A1">
        <w:rPr>
          <w:shd w:val="clear" w:color="auto" w:fill="FFFFFF"/>
          <w:lang w:val="en-GB"/>
        </w:rPr>
        <w:t>United States</w:t>
      </w:r>
      <w:r w:rsidR="00741D7B">
        <w:rPr>
          <w:shd w:val="clear" w:color="auto" w:fill="FFFFFF"/>
          <w:lang w:val="en-GB"/>
        </w:rPr>
        <w:t xml:space="preserve"> </w:t>
      </w:r>
      <w:r w:rsidR="00C57B60">
        <w:rPr>
          <w:shd w:val="clear" w:color="auto" w:fill="FFFFFF"/>
          <w:lang w:val="en-GB"/>
        </w:rPr>
        <w:t>(</w:t>
      </w:r>
      <w:r w:rsidR="00741D7B">
        <w:rPr>
          <w:shd w:val="clear" w:color="auto" w:fill="FFFFFF"/>
          <w:lang w:val="en-GB"/>
        </w:rPr>
        <w:t xml:space="preserve">decrease </w:t>
      </w:r>
      <w:r w:rsidR="00136742" w:rsidRPr="00136742">
        <w:rPr>
          <w:shd w:val="clear" w:color="auto" w:fill="FFFFFF"/>
          <w:lang w:val="en-GB"/>
        </w:rPr>
        <w:t>by</w:t>
      </w:r>
      <w:r w:rsidR="00136742">
        <w:rPr>
          <w:shd w:val="clear" w:color="auto" w:fill="FFFFFF"/>
          <w:lang w:val="en-GB"/>
        </w:rPr>
        <w:t xml:space="preserve"> </w:t>
      </w:r>
      <w:r w:rsidR="00F629D3">
        <w:rPr>
          <w:lang w:val="en-US"/>
        </w:rPr>
        <w:t>7.3</w:t>
      </w:r>
      <w:r w:rsidR="00D60272" w:rsidRPr="00AD78DC">
        <w:rPr>
          <w:shd w:val="clear" w:color="auto" w:fill="FFFFFF"/>
          <w:lang w:val="en-GB"/>
        </w:rPr>
        <w:t>%</w:t>
      </w:r>
      <w:r w:rsidR="00C57B60">
        <w:rPr>
          <w:shd w:val="clear" w:color="auto" w:fill="FFFFFF"/>
          <w:lang w:val="en-GB"/>
        </w:rPr>
        <w:t>)</w:t>
      </w:r>
      <w:r w:rsidR="00775048">
        <w:rPr>
          <w:shd w:val="clear" w:color="auto" w:fill="FFFFFF"/>
          <w:lang w:val="en-GB"/>
        </w:rPr>
        <w:t xml:space="preserve"> and </w:t>
      </w:r>
      <w:r w:rsidR="00A243D7">
        <w:rPr>
          <w:shd w:val="clear" w:color="auto" w:fill="FFFFFF"/>
          <w:lang w:val="en-GB"/>
        </w:rPr>
        <w:t xml:space="preserve">the </w:t>
      </w:r>
      <w:r w:rsidR="005B4659">
        <w:rPr>
          <w:shd w:val="clear" w:color="auto" w:fill="FFFFFF"/>
          <w:lang w:val="en-GB"/>
        </w:rPr>
        <w:t>United Kingdom</w:t>
      </w:r>
      <w:r w:rsidR="00775048">
        <w:rPr>
          <w:shd w:val="clear" w:color="auto" w:fill="FFFFFF"/>
          <w:lang w:val="en-GB"/>
        </w:rPr>
        <w:t xml:space="preserve"> (</w:t>
      </w:r>
      <w:r w:rsidR="008C5868">
        <w:rPr>
          <w:shd w:val="clear" w:color="auto" w:fill="FFFFFF"/>
          <w:lang w:val="en-GB"/>
        </w:rPr>
        <w:t xml:space="preserve">decrease </w:t>
      </w:r>
      <w:r w:rsidR="00775048">
        <w:rPr>
          <w:shd w:val="clear" w:color="auto" w:fill="FFFFFF"/>
          <w:lang w:val="en-GB"/>
        </w:rPr>
        <w:t>by 0.</w:t>
      </w:r>
      <w:r w:rsidR="001577BF">
        <w:rPr>
          <w:shd w:val="clear" w:color="auto" w:fill="FFFFFF"/>
          <w:lang w:val="en-GB"/>
        </w:rPr>
        <w:t>9</w:t>
      </w:r>
      <w:r w:rsidR="00775048">
        <w:rPr>
          <w:shd w:val="clear" w:color="auto" w:fill="FFFFFF"/>
          <w:lang w:val="en-GB"/>
        </w:rPr>
        <w:t>%)</w:t>
      </w:r>
      <w:r w:rsidR="00136742">
        <w:rPr>
          <w:shd w:val="clear" w:color="auto" w:fill="FFFFFF"/>
          <w:lang w:val="en-GB"/>
        </w:rPr>
        <w:t xml:space="preserve">. </w:t>
      </w:r>
      <w:r w:rsidRPr="00AD78DC">
        <w:rPr>
          <w:shd w:val="clear" w:color="auto" w:fill="FFFFFF"/>
          <w:lang w:val="en-GB"/>
        </w:rPr>
        <w:t>Imports were</w:t>
      </w:r>
      <w:r w:rsidR="00350E67">
        <w:rPr>
          <w:shd w:val="clear" w:color="auto" w:fill="FFFFFF"/>
          <w:lang w:val="en-GB"/>
        </w:rPr>
        <w:t xml:space="preserve"> </w:t>
      </w:r>
      <w:r w:rsidR="008C5868">
        <w:rPr>
          <w:shd w:val="clear" w:color="auto" w:fill="FFFFFF"/>
          <w:lang w:val="en-GB"/>
        </w:rPr>
        <w:t xml:space="preserve">also </w:t>
      </w:r>
      <w:r w:rsidRPr="00AD78DC">
        <w:rPr>
          <w:shd w:val="clear" w:color="auto" w:fill="FFFFFF"/>
          <w:lang w:val="en-GB"/>
        </w:rPr>
        <w:t xml:space="preserve">dominated </w:t>
      </w:r>
      <w:r w:rsidRPr="004E73F7">
        <w:rPr>
          <w:shd w:val="clear" w:color="auto" w:fill="FFFFFF"/>
          <w:lang w:val="en-GB"/>
        </w:rPr>
        <w:t xml:space="preserve">by </w:t>
      </w:r>
      <w:r w:rsidR="00350E67" w:rsidRPr="004E73F7">
        <w:rPr>
          <w:shd w:val="clear" w:color="auto" w:fill="FFFFFF"/>
          <w:lang w:val="en-GB"/>
        </w:rPr>
        <w:t>increases</w:t>
      </w:r>
      <w:r w:rsidRPr="004E73F7">
        <w:rPr>
          <w:shd w:val="clear" w:color="auto" w:fill="FFFFFF"/>
          <w:lang w:val="en-GB"/>
        </w:rPr>
        <w:t>, except</w:t>
      </w:r>
      <w:r w:rsidRPr="00AD78DC">
        <w:rPr>
          <w:shd w:val="clear" w:color="auto" w:fill="FFFFFF"/>
          <w:lang w:val="en-GB"/>
        </w:rPr>
        <w:t xml:space="preserve"> for</w:t>
      </w:r>
      <w:r w:rsidR="00136742">
        <w:rPr>
          <w:shd w:val="clear" w:color="auto" w:fill="FFFFFF"/>
          <w:lang w:val="en-GB"/>
        </w:rPr>
        <w:t xml:space="preserve"> imports </w:t>
      </w:r>
      <w:r w:rsidR="002477E8">
        <w:rPr>
          <w:shd w:val="clear" w:color="auto" w:fill="FFFFFF"/>
          <w:lang w:val="en-GB"/>
        </w:rPr>
        <w:t>from</w:t>
      </w:r>
      <w:r w:rsidR="00AE56C6">
        <w:rPr>
          <w:shd w:val="clear" w:color="auto" w:fill="FFFFFF"/>
          <w:lang w:val="en-GB"/>
        </w:rPr>
        <w:t xml:space="preserve"> </w:t>
      </w:r>
      <w:r w:rsidR="00981637">
        <w:rPr>
          <w:shd w:val="clear" w:color="auto" w:fill="FFFFFF"/>
          <w:lang w:val="en-GB"/>
        </w:rPr>
        <w:t>the Netherlands</w:t>
      </w:r>
      <w:r w:rsidR="00632F6C">
        <w:rPr>
          <w:shd w:val="clear" w:color="auto" w:fill="FFFFFF"/>
          <w:lang w:val="en-GB"/>
        </w:rPr>
        <w:t xml:space="preserve"> </w:t>
      </w:r>
      <w:r w:rsidR="00C57B60" w:rsidRPr="00C57B60">
        <w:rPr>
          <w:shd w:val="clear" w:color="auto" w:fill="FFFFFF"/>
          <w:lang w:val="en-GB"/>
        </w:rPr>
        <w:t xml:space="preserve">where </w:t>
      </w:r>
      <w:r w:rsidR="004E73F7">
        <w:rPr>
          <w:shd w:val="clear" w:color="auto" w:fill="FFFFFF"/>
          <w:lang w:val="en-GB"/>
        </w:rPr>
        <w:t>de</w:t>
      </w:r>
      <w:r w:rsidR="00C57B60" w:rsidRPr="00C57B60">
        <w:rPr>
          <w:shd w:val="clear" w:color="auto" w:fill="FFFFFF"/>
          <w:lang w:val="en-GB"/>
        </w:rPr>
        <w:t>c</w:t>
      </w:r>
      <w:r w:rsidR="00542BE5">
        <w:rPr>
          <w:shd w:val="clear" w:color="auto" w:fill="FFFFFF"/>
          <w:lang w:val="en-GB"/>
        </w:rPr>
        <w:t xml:space="preserve">line of </w:t>
      </w:r>
      <w:r w:rsidR="003B1D15">
        <w:rPr>
          <w:shd w:val="clear" w:color="auto" w:fill="FFFFFF"/>
          <w:lang w:val="en-GB"/>
        </w:rPr>
        <w:t>3.7</w:t>
      </w:r>
      <w:r w:rsidR="00542BE5">
        <w:rPr>
          <w:shd w:val="clear" w:color="auto" w:fill="FFFFFF"/>
          <w:lang w:val="en-GB"/>
        </w:rPr>
        <w:t>%</w:t>
      </w:r>
      <w:r w:rsidR="00083314">
        <w:rPr>
          <w:shd w:val="clear" w:color="auto" w:fill="FFFFFF"/>
          <w:lang w:val="en-GB"/>
        </w:rPr>
        <w:t xml:space="preserve"> </w:t>
      </w:r>
      <w:r w:rsidR="00C57B60" w:rsidRPr="00C57B60">
        <w:rPr>
          <w:shd w:val="clear" w:color="auto" w:fill="FFFFFF"/>
          <w:lang w:val="en-GB"/>
        </w:rPr>
        <w:t>w</w:t>
      </w:r>
      <w:r w:rsidR="00083314">
        <w:rPr>
          <w:shd w:val="clear" w:color="auto" w:fill="FFFFFF"/>
          <w:lang w:val="en-GB"/>
        </w:rPr>
        <w:t>as</w:t>
      </w:r>
      <w:r w:rsidR="00C57B60" w:rsidRPr="00C57B60">
        <w:rPr>
          <w:shd w:val="clear" w:color="auto" w:fill="FFFFFF"/>
          <w:lang w:val="en-GB"/>
        </w:rPr>
        <w:t xml:space="preserve"> recorde</w:t>
      </w:r>
      <w:r w:rsidR="00C57B60" w:rsidRPr="00350E67">
        <w:rPr>
          <w:shd w:val="clear" w:color="auto" w:fill="FFFFFF"/>
          <w:lang w:val="en-GB"/>
        </w:rPr>
        <w:t>d</w:t>
      </w:r>
      <w:r w:rsidR="00542BE5">
        <w:rPr>
          <w:shd w:val="clear" w:color="auto" w:fill="FFFFFF"/>
          <w:lang w:val="en-GB"/>
        </w:rPr>
        <w:t>.</w:t>
      </w:r>
    </w:p>
    <w:bookmarkEnd w:id="8"/>
    <w:p w:rsidR="00E73C91" w:rsidRPr="00AD78DC" w:rsidRDefault="00E73C91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lastRenderedPageBreak/>
        <w:t xml:space="preserve">The turnover with the top ten of Polish trade partners in exports accounted for </w:t>
      </w:r>
      <w:r w:rsidR="00682359">
        <w:rPr>
          <w:rFonts w:eastAsiaTheme="minorEastAsia" w:cs="Fira Sans"/>
          <w:color w:val="000000"/>
          <w:szCs w:val="19"/>
          <w:lang w:val="en-GB" w:eastAsia="pl-PL"/>
        </w:rPr>
        <w:t>66.</w:t>
      </w:r>
      <w:r w:rsidR="00CA28B0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A07107" w:rsidRPr="00AD78DC">
        <w:rPr>
          <w:shd w:val="clear" w:color="auto" w:fill="FFFFFF"/>
          <w:lang w:val="en-GB"/>
        </w:rPr>
        <w:t xml:space="preserve">% </w:t>
      </w:r>
      <w:r w:rsidR="00077F7E">
        <w:rPr>
          <w:shd w:val="clear" w:color="auto" w:fill="FFFFFF"/>
          <w:lang w:val="en-GB"/>
        </w:rPr>
        <w:t xml:space="preserve">         </w:t>
      </w:r>
      <w:r w:rsidRPr="00AD78DC">
        <w:rPr>
          <w:shd w:val="clear" w:color="auto" w:fill="FFFFFF"/>
          <w:lang w:val="en-GB"/>
        </w:rPr>
        <w:t>(</w:t>
      </w:r>
      <w:r w:rsidR="000D6D4E" w:rsidRPr="00AD78DC">
        <w:rPr>
          <w:shd w:val="clear" w:color="auto" w:fill="FFFFFF"/>
          <w:lang w:val="en-GB"/>
        </w:rPr>
        <w:t xml:space="preserve">in comparison with </w:t>
      </w:r>
      <w:r w:rsidR="00682359">
        <w:rPr>
          <w:shd w:val="clear" w:color="auto" w:fill="FFFFFF"/>
          <w:lang w:val="en-GB"/>
        </w:rPr>
        <w:t>6</w:t>
      </w:r>
      <w:r w:rsidR="00077F7E">
        <w:rPr>
          <w:shd w:val="clear" w:color="auto" w:fill="FFFFFF"/>
          <w:lang w:val="en-GB"/>
        </w:rPr>
        <w:t>6.8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D22920" w:rsidRPr="00AD78DC">
        <w:rPr>
          <w:shd w:val="clear" w:color="auto" w:fill="FFFFFF"/>
          <w:lang w:val="en-GB"/>
        </w:rPr>
        <w:t xml:space="preserve">in the corresponding period of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 xml:space="preserve">), while in total imports – 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62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077F7E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6444C" w:rsidRPr="00AD78DC">
        <w:rPr>
          <w:shd w:val="clear" w:color="auto" w:fill="FFFFFF"/>
          <w:lang w:val="en-GB"/>
        </w:rPr>
        <w:t xml:space="preserve">% </w:t>
      </w:r>
      <w:r w:rsidR="00077F7E">
        <w:rPr>
          <w:shd w:val="clear" w:color="auto" w:fill="FFFFFF"/>
          <w:lang w:val="en-GB"/>
        </w:rPr>
        <w:t xml:space="preserve">   </w:t>
      </w:r>
      <w:r w:rsidRPr="00AD78DC">
        <w:rPr>
          <w:shd w:val="clear" w:color="auto" w:fill="FFFFFF"/>
          <w:lang w:val="en-GB"/>
        </w:rPr>
        <w:t xml:space="preserve">(in comparison with </w:t>
      </w:r>
      <w:r w:rsidR="00C57B60" w:rsidRPr="00C57B60">
        <w:rPr>
          <w:shd w:val="clear" w:color="auto" w:fill="FFFFFF"/>
          <w:lang w:val="en-GB"/>
        </w:rPr>
        <w:t>60</w:t>
      </w:r>
      <w:r w:rsidR="004B437B">
        <w:rPr>
          <w:shd w:val="clear" w:color="auto" w:fill="FFFFFF"/>
          <w:lang w:val="en-GB"/>
        </w:rPr>
        <w:t>.</w:t>
      </w:r>
      <w:r w:rsidR="00C53DAB">
        <w:rPr>
          <w:shd w:val="clear" w:color="auto" w:fill="FFFFFF"/>
          <w:lang w:val="en-GB"/>
        </w:rPr>
        <w:t>7</w:t>
      </w:r>
      <w:r w:rsidR="0076444C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682359">
        <w:rPr>
          <w:shd w:val="clear" w:color="auto" w:fill="FFFFFF"/>
          <w:lang w:val="en-GB"/>
        </w:rPr>
        <w:t>–</w:t>
      </w:r>
      <w:r w:rsidR="008F09BA">
        <w:rPr>
          <w:shd w:val="clear" w:color="auto" w:fill="FFFFFF"/>
          <w:lang w:val="en-GB"/>
        </w:rPr>
        <w:t>April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>).</w:t>
      </w:r>
    </w:p>
    <w:p w:rsidR="0051626B" w:rsidRPr="001E09EA" w:rsidRDefault="003A28C2" w:rsidP="00EA3465">
      <w:pPr>
        <w:spacing w:before="60" w:after="60"/>
        <w:rPr>
          <w:highlight w:val="green"/>
          <w:shd w:val="clear" w:color="auto" w:fill="FFFFFF"/>
          <w:lang w:val="en-GB"/>
        </w:rPr>
      </w:pPr>
      <w:r w:rsidRPr="00AD78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08D0FB2" wp14:editId="0DA3ADC9">
                <wp:simplePos x="0" y="0"/>
                <wp:positionH relativeFrom="page">
                  <wp:align>right</wp:align>
                </wp:positionH>
                <wp:positionV relativeFrom="paragraph">
                  <wp:posOffset>543560</wp:posOffset>
                </wp:positionV>
                <wp:extent cx="1756410" cy="1950085"/>
                <wp:effectExtent l="0" t="0" r="0" b="0"/>
                <wp:wrapTight wrapText="bothSides">
                  <wp:wrapPolygon edited="0">
                    <wp:start x="703" y="0"/>
                    <wp:lineTo x="703" y="21312"/>
                    <wp:lineTo x="20850" y="21312"/>
                    <wp:lineTo x="20850" y="0"/>
                    <wp:lineTo x="703" y="0"/>
                  </wp:wrapPolygon>
                </wp:wrapTight>
                <wp:docPr id="18" name="Pole tekstowe 18" descr="Among the countries belong-ing to the Mercosur group, the highest turnover was recorded with Brazil. For the other states (Argentina, Uru-guay, Paraguay) significantly lower figures were recorded both for imports and expor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950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6E4227" w:rsidRDefault="007F0AD4" w:rsidP="00EA59DC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bookmarkStart w:id="9" w:name="_Hlk229644828"/>
                            <w:r>
                              <w:rPr>
                                <w:lang w:val="en-GB"/>
                              </w:rPr>
                              <w:t xml:space="preserve">Among the </w:t>
                            </w:r>
                            <w:r w:rsidRPr="00016703">
                              <w:rPr>
                                <w:lang w:val="en-GB"/>
                              </w:rPr>
                              <w:t>countries belonging to the Mercosur group, the highest turnover was recorded with Brazil</w:t>
                            </w:r>
                            <w:bookmarkEnd w:id="9"/>
                            <w:r>
                              <w:rPr>
                                <w:lang w:val="en-GB"/>
                              </w:rPr>
                              <w:t xml:space="preserve">. </w:t>
                            </w:r>
                            <w:r w:rsidRPr="006E4227">
                              <w:rPr>
                                <w:lang w:val="en-GB"/>
                              </w:rPr>
                              <w:t>For the other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E4227">
                              <w:rPr>
                                <w:lang w:val="en-GB"/>
                              </w:rPr>
                              <w:t>states</w:t>
                            </w:r>
                            <w:r>
                              <w:rPr>
                                <w:lang w:val="en-GB"/>
                              </w:rPr>
                              <w:t xml:space="preserve"> (</w:t>
                            </w:r>
                            <w:r w:rsidRPr="006E4227">
                              <w:rPr>
                                <w:lang w:val="en-GB"/>
                              </w:rPr>
                              <w:t>Argentina, Uruguay, Paraguay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Pr="006E4227">
                              <w:rPr>
                                <w:lang w:val="en-GB"/>
                              </w:rPr>
                              <w:t xml:space="preserve"> significantly lower figures were recorded </w:t>
                            </w:r>
                            <w:r>
                              <w:rPr>
                                <w:lang w:val="en-GB"/>
                              </w:rPr>
                              <w:t xml:space="preserve">both </w:t>
                            </w:r>
                            <w:r w:rsidRPr="006E4227">
                              <w:rPr>
                                <w:lang w:val="en-GB"/>
                              </w:rPr>
                              <w:t>for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E4227">
                              <w:rPr>
                                <w:lang w:val="en-GB"/>
                              </w:rPr>
                              <w:t>imports and exports.</w:t>
                            </w: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7F0AD4" w:rsidRPr="006E4227" w:rsidRDefault="007F0AD4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0FB2" id="Pole tekstowe 18" o:spid="_x0000_s1032" type="#_x0000_t202" alt="Among the countries belong-ing to the Mercosur group, the highest turnover was recorded with Brazil. For the other states (Argentina, Uru-guay, Paraguay) significantly lower figures were recorded both for imports and exports." style="position:absolute;margin-left:87.1pt;margin-top:42.8pt;width:138.3pt;height:153.55pt;z-index:-251531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" filled="f" stroked="f">
                <v:textbox>
                  <w:txbxContent>
                    <w:p w:rsidR="007F0AD4" w:rsidRPr="006E4227" w:rsidRDefault="007F0AD4" w:rsidP="00EA59DC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bookmarkStart w:id="10" w:name="_Hlk229644828"/>
                      <w:r>
                        <w:rPr>
                          <w:lang w:val="en-GB"/>
                        </w:rPr>
                        <w:t xml:space="preserve">Among the </w:t>
                      </w:r>
                      <w:r w:rsidRPr="00016703">
                        <w:rPr>
                          <w:lang w:val="en-GB"/>
                        </w:rPr>
                        <w:t>countries belonging to the Mercosur group, the highest turnover was recorded with Brazil</w:t>
                      </w:r>
                      <w:bookmarkEnd w:id="10"/>
                      <w:r>
                        <w:rPr>
                          <w:lang w:val="en-GB"/>
                        </w:rPr>
                        <w:t xml:space="preserve">. </w:t>
                      </w:r>
                      <w:r w:rsidRPr="006E4227">
                        <w:rPr>
                          <w:lang w:val="en-GB"/>
                        </w:rPr>
                        <w:t>For the other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6E4227">
                        <w:rPr>
                          <w:lang w:val="en-GB"/>
                        </w:rPr>
                        <w:t>states</w:t>
                      </w:r>
                      <w:r>
                        <w:rPr>
                          <w:lang w:val="en-GB"/>
                        </w:rPr>
                        <w:t xml:space="preserve"> (</w:t>
                      </w:r>
                      <w:r w:rsidRPr="006E4227">
                        <w:rPr>
                          <w:lang w:val="en-GB"/>
                        </w:rPr>
                        <w:t>Argentina, Uruguay, Paraguay</w:t>
                      </w:r>
                      <w:r>
                        <w:rPr>
                          <w:lang w:val="en-GB"/>
                        </w:rPr>
                        <w:t>)</w:t>
                      </w:r>
                      <w:r w:rsidRPr="006E4227">
                        <w:rPr>
                          <w:lang w:val="en-GB"/>
                        </w:rPr>
                        <w:t xml:space="preserve"> significantly lower figures were recorded </w:t>
                      </w:r>
                      <w:r>
                        <w:rPr>
                          <w:lang w:val="en-GB"/>
                        </w:rPr>
                        <w:t xml:space="preserve">both </w:t>
                      </w:r>
                      <w:r w:rsidRPr="006E4227">
                        <w:rPr>
                          <w:lang w:val="en-GB"/>
                        </w:rPr>
                        <w:t>for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6E4227">
                        <w:rPr>
                          <w:lang w:val="en-GB"/>
                        </w:rPr>
                        <w:t>imports and exports.</w:t>
                      </w: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7F0AD4" w:rsidRPr="006E4227" w:rsidRDefault="007F0AD4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3C91" w:rsidRPr="00AD78DC">
        <w:rPr>
          <w:shd w:val="clear" w:color="auto" w:fill="FFFFFF"/>
          <w:lang w:val="en-GB"/>
        </w:rPr>
        <w:t xml:space="preserve">The share of </w:t>
      </w:r>
      <w:r w:rsidR="00E73C91" w:rsidRPr="00C51825">
        <w:rPr>
          <w:shd w:val="clear" w:color="auto" w:fill="FFFFFF"/>
          <w:lang w:val="en-GB"/>
        </w:rPr>
        <w:t xml:space="preserve">Germany in exports in comparison with </w:t>
      </w:r>
      <w:r w:rsidR="001512E5" w:rsidRPr="00C51825">
        <w:rPr>
          <w:shd w:val="clear" w:color="auto" w:fill="FFFFFF"/>
          <w:lang w:val="en-GB"/>
        </w:rPr>
        <w:t xml:space="preserve">the </w:t>
      </w:r>
      <w:r w:rsidR="003D3FF3" w:rsidRPr="00C51825">
        <w:rPr>
          <w:shd w:val="clear" w:color="auto" w:fill="FFFFFF"/>
          <w:lang w:val="en-GB"/>
        </w:rPr>
        <w:t>January-April</w:t>
      </w:r>
      <w:r w:rsidR="001512E5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of </w:t>
      </w:r>
      <w:r w:rsidR="00DA2DDA" w:rsidRPr="00C51825">
        <w:rPr>
          <w:shd w:val="clear" w:color="auto" w:fill="FFFFFF"/>
          <w:lang w:val="en-GB"/>
        </w:rPr>
        <w:t>2025</w:t>
      </w:r>
      <w:r w:rsidR="00202F1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year </w:t>
      </w:r>
      <w:r w:rsidR="00CF0FEE" w:rsidRPr="00C51825">
        <w:rPr>
          <w:shd w:val="clear" w:color="auto" w:fill="FFFFFF"/>
          <w:lang w:val="en-GB"/>
        </w:rPr>
        <w:t>d</w:t>
      </w:r>
      <w:r w:rsidR="00B24DA0">
        <w:rPr>
          <w:shd w:val="clear" w:color="auto" w:fill="FFFFFF"/>
          <w:lang w:val="en-GB"/>
        </w:rPr>
        <w:t>e</w:t>
      </w:r>
      <w:r w:rsidR="00CF0FEE" w:rsidRPr="00C51825">
        <w:rPr>
          <w:shd w:val="clear" w:color="auto" w:fill="FFFFFF"/>
          <w:lang w:val="en-GB"/>
        </w:rPr>
        <w:t>creased</w:t>
      </w:r>
      <w:r w:rsidR="00F93E0C" w:rsidRPr="00C51825">
        <w:rPr>
          <w:shd w:val="clear" w:color="auto" w:fill="FFFFFF"/>
          <w:lang w:val="en-GB"/>
        </w:rPr>
        <w:t xml:space="preserve"> </w:t>
      </w:r>
      <w:r w:rsidR="00CF0FEE" w:rsidRPr="00C51825">
        <w:rPr>
          <w:shd w:val="clear" w:color="auto" w:fill="FFFFFF"/>
          <w:lang w:val="en-GB"/>
        </w:rPr>
        <w:t xml:space="preserve">by </w:t>
      </w:r>
      <w:r w:rsidR="00C57B60" w:rsidRPr="00C51825">
        <w:rPr>
          <w:shd w:val="clear" w:color="auto" w:fill="FFFFFF"/>
          <w:lang w:val="en-GB"/>
        </w:rPr>
        <w:t>0</w:t>
      </w:r>
      <w:r w:rsidR="004B437B" w:rsidRPr="00C51825">
        <w:rPr>
          <w:shd w:val="clear" w:color="auto" w:fill="FFFFFF"/>
          <w:lang w:val="en-GB"/>
        </w:rPr>
        <w:t>.</w:t>
      </w:r>
      <w:r w:rsidR="009A2834" w:rsidRPr="00C51825">
        <w:rPr>
          <w:shd w:val="clear" w:color="auto" w:fill="FFFFFF"/>
          <w:lang w:val="en-GB"/>
        </w:rPr>
        <w:t>7%</w:t>
      </w:r>
      <w:r w:rsidR="00CF0FEE" w:rsidRPr="00C51825">
        <w:rPr>
          <w:shd w:val="clear" w:color="auto" w:fill="FFFFFF"/>
          <w:lang w:val="en-GB"/>
        </w:rPr>
        <w:t xml:space="preserve"> </w:t>
      </w:r>
      <w:r w:rsidR="00A23D91" w:rsidRPr="00C51825">
        <w:rPr>
          <w:shd w:val="clear" w:color="auto" w:fill="FFFFFF"/>
          <w:lang w:val="en-GB"/>
        </w:rPr>
        <w:t xml:space="preserve">and </w:t>
      </w:r>
      <w:r w:rsidR="00292DAF" w:rsidRPr="00C51825">
        <w:rPr>
          <w:shd w:val="clear" w:color="auto" w:fill="FFFFFF"/>
          <w:lang w:val="en-GB"/>
        </w:rPr>
        <w:t xml:space="preserve">amounted </w:t>
      </w:r>
      <w:r w:rsidR="002842B5" w:rsidRPr="00C51825">
        <w:rPr>
          <w:shd w:val="clear" w:color="auto" w:fill="FFFFFF"/>
          <w:lang w:val="en-GB"/>
        </w:rPr>
        <w:t xml:space="preserve">to </w:t>
      </w:r>
      <w:r w:rsidR="007F3999" w:rsidRPr="00C51825">
        <w:rPr>
          <w:shd w:val="clear" w:color="auto" w:fill="FFFFFF"/>
          <w:lang w:val="en-GB"/>
        </w:rPr>
        <w:t>26.6</w:t>
      </w:r>
      <w:r w:rsidR="00292DAF" w:rsidRPr="00C51825">
        <w:rPr>
          <w:shd w:val="clear" w:color="auto" w:fill="FFFFFF"/>
          <w:lang w:val="en-GB"/>
        </w:rPr>
        <w:t>%</w:t>
      </w:r>
      <w:r w:rsidR="009702AD" w:rsidRPr="00C51825">
        <w:rPr>
          <w:shd w:val="clear" w:color="auto" w:fill="FFFFFF"/>
          <w:lang w:val="en-GB"/>
        </w:rPr>
        <w:t>,</w:t>
      </w:r>
      <w:r w:rsidR="00292DAF" w:rsidRPr="00C51825">
        <w:rPr>
          <w:shd w:val="clear" w:color="auto" w:fill="FFFFFF"/>
          <w:lang w:val="en-GB"/>
        </w:rPr>
        <w:t xml:space="preserve"> </w:t>
      </w:r>
      <w:r w:rsidR="00706A78" w:rsidRPr="00C51825">
        <w:rPr>
          <w:shd w:val="clear" w:color="auto" w:fill="FFFFFF"/>
          <w:lang w:val="en-GB"/>
        </w:rPr>
        <w:t xml:space="preserve">while </w:t>
      </w:r>
      <w:r w:rsidR="00775FC9" w:rsidRPr="00C51825">
        <w:rPr>
          <w:shd w:val="clear" w:color="auto" w:fill="FFFFFF"/>
          <w:lang w:val="en-GB"/>
        </w:rPr>
        <w:t xml:space="preserve">imports </w:t>
      </w:r>
      <w:r w:rsidR="009A2834" w:rsidRPr="00C51825">
        <w:rPr>
          <w:shd w:val="clear" w:color="auto" w:fill="FFFFFF"/>
          <w:lang w:val="en-GB"/>
        </w:rPr>
        <w:t>remained the same – 19.2%</w:t>
      </w:r>
      <w:r w:rsidR="00E73C91" w:rsidRPr="00C51825">
        <w:rPr>
          <w:shd w:val="clear" w:color="auto" w:fill="FFFFFF"/>
          <w:lang w:val="en-GB"/>
        </w:rPr>
        <w:t xml:space="preserve">. The positive balance amounted to PLN </w:t>
      </w:r>
      <w:r w:rsidR="00D51670" w:rsidRPr="00C51825">
        <w:rPr>
          <w:shd w:val="clear" w:color="auto" w:fill="FFFFFF"/>
          <w:lang w:val="en-GB"/>
        </w:rPr>
        <w:t>37.9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 (USD </w:t>
      </w:r>
      <w:r w:rsidR="00D51670" w:rsidRPr="00C51825">
        <w:rPr>
          <w:shd w:val="clear" w:color="auto" w:fill="FFFFFF"/>
          <w:lang w:val="en-GB"/>
        </w:rPr>
        <w:t>10.5</w:t>
      </w:r>
      <w:r w:rsidR="006316B7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bn, EUR </w:t>
      </w:r>
      <w:r w:rsidR="00D51670" w:rsidRPr="00C51825">
        <w:rPr>
          <w:shd w:val="clear" w:color="auto" w:fill="FFFFFF"/>
          <w:lang w:val="en-GB"/>
        </w:rPr>
        <w:t>9.0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bn) in comparison with PLN </w:t>
      </w:r>
      <w:r w:rsidR="00D51670" w:rsidRPr="00C51825">
        <w:rPr>
          <w:shd w:val="clear" w:color="auto" w:fill="FFFFFF"/>
          <w:lang w:val="en-GB"/>
        </w:rPr>
        <w:t>39.5</w:t>
      </w:r>
      <w:r w:rsidR="006316B7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 (USD </w:t>
      </w:r>
      <w:r w:rsidR="00D51670" w:rsidRPr="00C51825">
        <w:rPr>
          <w:shd w:val="clear" w:color="auto" w:fill="FFFFFF"/>
          <w:lang w:val="en-GB"/>
        </w:rPr>
        <w:t>9.9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bn, EUR </w:t>
      </w:r>
      <w:r w:rsidR="00D51670" w:rsidRPr="00C51825">
        <w:rPr>
          <w:shd w:val="clear" w:color="auto" w:fill="FFFFFF"/>
          <w:lang w:val="en-GB"/>
        </w:rPr>
        <w:t>9.4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bn) in the same period of </w:t>
      </w:r>
      <w:r w:rsidR="00DA2DDA" w:rsidRPr="00C51825">
        <w:rPr>
          <w:shd w:val="clear" w:color="auto" w:fill="FFFFFF"/>
          <w:lang w:val="en-GB"/>
        </w:rPr>
        <w:t>2025</w:t>
      </w:r>
      <w:r w:rsidR="00E73C91" w:rsidRPr="00C51825">
        <w:rPr>
          <w:shd w:val="clear" w:color="auto" w:fill="FFFFFF"/>
          <w:lang w:val="en-GB"/>
        </w:rPr>
        <w:t>.</w:t>
      </w:r>
    </w:p>
    <w:p w:rsidR="003666BD" w:rsidRPr="00915D8D" w:rsidRDefault="002B7192" w:rsidP="00EA346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  <w:lang w:val="en-GB"/>
        </w:rPr>
      </w:pPr>
      <w:r w:rsidRPr="00915D8D">
        <w:rPr>
          <w:shd w:val="clear" w:color="auto" w:fill="FFFFFF"/>
          <w:lang w:val="en-GB"/>
        </w:rPr>
        <w:t>Argentina, a</w:t>
      </w:r>
      <w:r w:rsidR="00DC0326" w:rsidRPr="00915D8D">
        <w:rPr>
          <w:shd w:val="clear" w:color="auto" w:fill="FFFFFF"/>
          <w:lang w:val="en-GB"/>
        </w:rPr>
        <w:t>mong the</w:t>
      </w:r>
      <w:r w:rsidR="00F0517A" w:rsidRPr="00915D8D">
        <w:rPr>
          <w:shd w:val="clear" w:color="auto" w:fill="FFFFFF"/>
          <w:lang w:val="en-GB"/>
        </w:rPr>
        <w:t xml:space="preserve"> </w:t>
      </w:r>
      <w:r w:rsidR="00DC0326" w:rsidRPr="00915D8D">
        <w:rPr>
          <w:shd w:val="clear" w:color="auto" w:fill="FFFFFF"/>
          <w:lang w:val="en-GB"/>
        </w:rPr>
        <w:t>countries belonging to the Mercosur group</w:t>
      </w:r>
      <w:r w:rsidR="00134D15" w:rsidRPr="00915D8D">
        <w:rPr>
          <w:shd w:val="clear" w:color="auto" w:fill="FFFFFF"/>
          <w:lang w:val="en-GB"/>
        </w:rPr>
        <w:t xml:space="preserve">, recorded </w:t>
      </w:r>
      <w:r w:rsidR="00DC0326" w:rsidRPr="00915D8D">
        <w:rPr>
          <w:shd w:val="clear" w:color="auto" w:fill="FFFFFF"/>
          <w:lang w:val="en-GB"/>
        </w:rPr>
        <w:t xml:space="preserve">the </w:t>
      </w:r>
      <w:r w:rsidR="00F0517A" w:rsidRPr="00915D8D">
        <w:rPr>
          <w:shd w:val="clear" w:color="auto" w:fill="FFFFFF"/>
          <w:lang w:val="en-GB"/>
        </w:rPr>
        <w:t xml:space="preserve">second place after Brazil with </w:t>
      </w:r>
      <w:r w:rsidR="002F3519" w:rsidRPr="00915D8D">
        <w:rPr>
          <w:shd w:val="clear" w:color="auto" w:fill="FFFFFF"/>
          <w:lang w:val="en-GB"/>
        </w:rPr>
        <w:t xml:space="preserve">the </w:t>
      </w:r>
      <w:r w:rsidR="00F0517A" w:rsidRPr="00915D8D">
        <w:rPr>
          <w:shd w:val="clear" w:color="auto" w:fill="FFFFFF"/>
          <w:lang w:val="en-GB"/>
        </w:rPr>
        <w:t>highest turnover.</w:t>
      </w:r>
      <w:r w:rsidR="001A1355" w:rsidRPr="00915D8D">
        <w:rPr>
          <w:shd w:val="clear" w:color="auto" w:fill="FFFFFF"/>
          <w:lang w:val="en-GB"/>
        </w:rPr>
        <w:t xml:space="preserve"> The trade balance with Argentina in January–April of the current year was negative and amounted to PLN 0.3 bn (USD 0.1 bn</w:t>
      </w:r>
      <w:r w:rsidR="003666BD" w:rsidRPr="00915D8D">
        <w:rPr>
          <w:shd w:val="clear" w:color="auto" w:fill="FFFFFF"/>
          <w:lang w:val="en-GB"/>
        </w:rPr>
        <w:t>,</w:t>
      </w:r>
      <w:r w:rsidR="001A1355" w:rsidRPr="00915D8D">
        <w:rPr>
          <w:shd w:val="clear" w:color="auto" w:fill="FFFFFF"/>
          <w:lang w:val="en-GB"/>
        </w:rPr>
        <w:t xml:space="preserve"> EUR 0.</w:t>
      </w:r>
      <w:r w:rsidR="00642BD6" w:rsidRPr="00915D8D">
        <w:rPr>
          <w:shd w:val="clear" w:color="auto" w:fill="FFFFFF"/>
          <w:lang w:val="en-GB"/>
        </w:rPr>
        <w:t>1</w:t>
      </w:r>
      <w:r w:rsidR="001A1355" w:rsidRPr="00915D8D">
        <w:rPr>
          <w:shd w:val="clear" w:color="auto" w:fill="FFFFFF"/>
          <w:lang w:val="en-GB"/>
        </w:rPr>
        <w:t xml:space="preserve"> bn). Exports to Argentina decreased by 9.4%, </w:t>
      </w:r>
      <w:r w:rsidR="00C51825" w:rsidRPr="00915D8D">
        <w:rPr>
          <w:shd w:val="clear" w:color="auto" w:fill="FFFFFF"/>
          <w:lang w:val="en-GB"/>
        </w:rPr>
        <w:t>while</w:t>
      </w:r>
      <w:r w:rsidR="001A1355" w:rsidRPr="00915D8D">
        <w:rPr>
          <w:shd w:val="clear" w:color="auto" w:fill="FFFFFF"/>
          <w:lang w:val="en-GB"/>
        </w:rPr>
        <w:t xml:space="preserve"> imports by 27.3% in comparison to January-April 2025.</w:t>
      </w:r>
    </w:p>
    <w:p w:rsidR="00FD4D71" w:rsidRPr="00EE6932" w:rsidRDefault="0009041B" w:rsidP="00EA346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  <w:lang w:val="en-GB"/>
        </w:rPr>
      </w:pPr>
      <w:r w:rsidRPr="00076601">
        <w:rPr>
          <w:lang w:val="en-GB"/>
        </w:rPr>
        <w:t xml:space="preserve">The share of </w:t>
      </w:r>
      <w:r w:rsidR="001A1355" w:rsidRPr="00076601">
        <w:rPr>
          <w:lang w:val="en-GB"/>
        </w:rPr>
        <w:t>Argentina</w:t>
      </w:r>
      <w:r w:rsidRPr="00076601">
        <w:rPr>
          <w:lang w:val="en-GB"/>
        </w:rPr>
        <w:t xml:space="preserve"> in </w:t>
      </w:r>
      <w:r w:rsidR="00152844" w:rsidRPr="00076601">
        <w:rPr>
          <w:lang w:val="en-GB"/>
        </w:rPr>
        <w:t>exports</w:t>
      </w:r>
      <w:r w:rsidR="003666BD" w:rsidRPr="00076601">
        <w:rPr>
          <w:lang w:val="en-GB"/>
        </w:rPr>
        <w:t xml:space="preserve"> </w:t>
      </w:r>
      <w:r w:rsidR="004911FF" w:rsidRPr="00076601">
        <w:rPr>
          <w:lang w:val="en-GB"/>
        </w:rPr>
        <w:t xml:space="preserve">decreased </w:t>
      </w:r>
      <w:r w:rsidR="003666BD" w:rsidRPr="00076601">
        <w:rPr>
          <w:lang w:val="en-GB"/>
        </w:rPr>
        <w:t>by 0.01%</w:t>
      </w:r>
      <w:r w:rsidR="00E01F4E" w:rsidRPr="00076601">
        <w:rPr>
          <w:lang w:val="en-GB"/>
        </w:rPr>
        <w:t xml:space="preserve"> to 0.02%, while</w:t>
      </w:r>
      <w:r w:rsidR="003666BD" w:rsidRPr="00076601">
        <w:rPr>
          <w:lang w:val="en-GB"/>
        </w:rPr>
        <w:t xml:space="preserve"> in </w:t>
      </w:r>
      <w:r w:rsidR="00E01F4E" w:rsidRPr="00076601">
        <w:rPr>
          <w:lang w:val="en-GB"/>
        </w:rPr>
        <w:t>imports</w:t>
      </w:r>
      <w:r w:rsidR="003666BD" w:rsidRPr="00076601">
        <w:rPr>
          <w:lang w:val="en-GB"/>
        </w:rPr>
        <w:t xml:space="preserve"> </w:t>
      </w:r>
      <w:r w:rsidR="00E84385" w:rsidRPr="00076601">
        <w:rPr>
          <w:lang w:val="en-GB"/>
        </w:rPr>
        <w:t>by</w:t>
      </w:r>
      <w:r w:rsidRPr="00076601">
        <w:rPr>
          <w:lang w:val="en-GB"/>
        </w:rPr>
        <w:t xml:space="preserve"> </w:t>
      </w:r>
      <w:r w:rsidR="00E84385" w:rsidRPr="00076601">
        <w:rPr>
          <w:lang w:val="en-GB"/>
        </w:rPr>
        <w:t>0.05</w:t>
      </w:r>
      <w:r w:rsidRPr="00076601">
        <w:rPr>
          <w:lang w:val="en-GB"/>
        </w:rPr>
        <w:t>%</w:t>
      </w:r>
      <w:r w:rsidR="00E84385" w:rsidRPr="00076601">
        <w:rPr>
          <w:lang w:val="en-GB"/>
        </w:rPr>
        <w:t xml:space="preserve"> to </w:t>
      </w:r>
      <w:r w:rsidR="00C867A5" w:rsidRPr="00076601">
        <w:rPr>
          <w:lang w:val="en-GB"/>
        </w:rPr>
        <w:t>0.</w:t>
      </w:r>
      <w:r w:rsidR="00BC4EE0" w:rsidRPr="00076601">
        <w:rPr>
          <w:lang w:val="en-GB"/>
        </w:rPr>
        <w:t>08</w:t>
      </w:r>
      <w:r w:rsidR="00C867A5" w:rsidRPr="00076601">
        <w:rPr>
          <w:lang w:val="en-GB"/>
        </w:rPr>
        <w:t>%</w:t>
      </w:r>
      <w:r w:rsidR="00AE3BC2" w:rsidRPr="00076601">
        <w:rPr>
          <w:lang w:val="en-GB"/>
        </w:rPr>
        <w:t>.</w:t>
      </w:r>
      <w:r w:rsidR="00D83736" w:rsidRPr="00EE6932">
        <w:rPr>
          <w:shd w:val="clear" w:color="auto" w:fill="FFFFFF"/>
          <w:lang w:val="en-GB"/>
        </w:rPr>
        <w:t xml:space="preserve"> </w:t>
      </w:r>
    </w:p>
    <w:p w:rsidR="00DF59BA" w:rsidRDefault="00A33C88" w:rsidP="00EA346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zCs w:val="19"/>
          <w:shd w:val="clear" w:color="auto" w:fill="FFFFFF"/>
          <w:lang w:val="en-GB"/>
        </w:rPr>
      </w:pPr>
      <w:r w:rsidRPr="00E07009">
        <w:rPr>
          <w:shd w:val="clear" w:color="auto" w:fill="FFFFFF"/>
          <w:lang w:val="en-GB"/>
        </w:rPr>
        <w:t>T</w:t>
      </w:r>
      <w:r w:rsidR="0047271E" w:rsidRPr="00E07009">
        <w:rPr>
          <w:shd w:val="clear" w:color="auto" w:fill="FFFFFF"/>
          <w:lang w:val="en-GB"/>
        </w:rPr>
        <w:t xml:space="preserve">he largest share </w:t>
      </w:r>
      <w:r w:rsidR="002C1805" w:rsidRPr="00E07009">
        <w:rPr>
          <w:shd w:val="clear" w:color="auto" w:fill="FFFFFF"/>
          <w:lang w:val="en-GB"/>
        </w:rPr>
        <w:t xml:space="preserve">in trade with </w:t>
      </w:r>
      <w:r w:rsidR="00D83736" w:rsidRPr="00E07009">
        <w:rPr>
          <w:shd w:val="clear" w:color="auto" w:fill="FFFFFF"/>
          <w:lang w:val="en-GB"/>
        </w:rPr>
        <w:t>Argentina</w:t>
      </w:r>
      <w:r w:rsidRPr="00E07009">
        <w:rPr>
          <w:shd w:val="clear" w:color="auto" w:fill="FFFFFF"/>
          <w:lang w:val="en-GB"/>
        </w:rPr>
        <w:t xml:space="preserve"> in </w:t>
      </w:r>
      <w:r w:rsidR="0047271E" w:rsidRPr="00E07009">
        <w:rPr>
          <w:shd w:val="clear" w:color="auto" w:fill="FFFFFF"/>
          <w:lang w:val="en-GB"/>
        </w:rPr>
        <w:t xml:space="preserve">exports </w:t>
      </w:r>
      <w:r w:rsidRPr="00E07009">
        <w:rPr>
          <w:shd w:val="clear" w:color="auto" w:fill="FFFFFF"/>
          <w:lang w:val="en-GB"/>
        </w:rPr>
        <w:t xml:space="preserve">included </w:t>
      </w:r>
      <w:r w:rsidR="000F6CAD" w:rsidRPr="00E07009">
        <w:rPr>
          <w:shd w:val="clear" w:color="auto" w:fill="FFFFFF"/>
          <w:lang w:val="en-GB"/>
        </w:rPr>
        <w:t>mechanical industry</w:t>
      </w:r>
      <w:r w:rsidR="00F33A2E" w:rsidRPr="00E07009">
        <w:rPr>
          <w:shd w:val="clear" w:color="auto" w:fill="FFFFFF"/>
          <w:lang w:val="en-GB"/>
        </w:rPr>
        <w:t xml:space="preserve"> goods</w:t>
      </w:r>
      <w:r w:rsidR="00AC20DC" w:rsidRPr="00E07009">
        <w:rPr>
          <w:shd w:val="clear" w:color="auto" w:fill="FFFFFF"/>
          <w:lang w:val="en-GB"/>
        </w:rPr>
        <w:t>, pharmaceutical products</w:t>
      </w:r>
      <w:r w:rsidR="004B4F87" w:rsidRPr="00E07009">
        <w:rPr>
          <w:shd w:val="clear" w:color="auto" w:fill="FFFFFF"/>
          <w:lang w:val="en-GB"/>
        </w:rPr>
        <w:t>,</w:t>
      </w:r>
      <w:r w:rsidR="002C1805" w:rsidRPr="00E07009">
        <w:rPr>
          <w:shd w:val="clear" w:color="auto" w:fill="FFFFFF"/>
          <w:lang w:val="en-GB"/>
        </w:rPr>
        <w:t xml:space="preserve"> </w:t>
      </w:r>
      <w:r w:rsidR="00E07009" w:rsidRPr="00D96A25">
        <w:rPr>
          <w:shd w:val="clear" w:color="auto" w:fill="FFFFFF"/>
          <w:lang w:val="en-GB"/>
        </w:rPr>
        <w:t>paper and paperboard; articles of paper pulp, of paper or of paperboard as well as</w:t>
      </w:r>
      <w:r w:rsidR="00F33A2E" w:rsidRPr="00D96A25">
        <w:rPr>
          <w:shd w:val="clear" w:color="auto" w:fill="FFFFFF"/>
          <w:lang w:val="en-GB"/>
        </w:rPr>
        <w:t xml:space="preserve"> </w:t>
      </w:r>
      <w:r w:rsidR="00E23D63" w:rsidRPr="00D96A25">
        <w:rPr>
          <w:shd w:val="clear" w:color="auto" w:fill="FFFFFF"/>
          <w:lang w:val="en-GB"/>
        </w:rPr>
        <w:t xml:space="preserve">vehicles other than railway or tramway rolling stock, and parts and accessories thereof. </w:t>
      </w:r>
      <w:r w:rsidR="00F33A2E" w:rsidRPr="00D96A25">
        <w:rPr>
          <w:shd w:val="clear" w:color="auto" w:fill="FFFFFF"/>
          <w:lang w:val="en-GB"/>
        </w:rPr>
        <w:t xml:space="preserve">Imports were dominated by </w:t>
      </w:r>
      <w:r w:rsidR="00DC0935" w:rsidRPr="00D96A25">
        <w:rPr>
          <w:shd w:val="clear" w:color="auto" w:fill="FFFFFF"/>
          <w:lang w:val="en-GB"/>
        </w:rPr>
        <w:t>residues</w:t>
      </w:r>
      <w:r w:rsidR="00DC0935" w:rsidRPr="00D96A25">
        <w:rPr>
          <w:szCs w:val="19"/>
          <w:shd w:val="clear" w:color="auto" w:fill="FFFFFF"/>
          <w:lang w:val="en-GB"/>
        </w:rPr>
        <w:t xml:space="preserve"> and waste from the food industries, prepared animal fodder, </w:t>
      </w:r>
      <w:r w:rsidR="0050680B" w:rsidRPr="00D96A25">
        <w:rPr>
          <w:szCs w:val="19"/>
          <w:shd w:val="clear" w:color="auto" w:fill="FFFFFF"/>
          <w:lang w:val="en-GB"/>
        </w:rPr>
        <w:t>oil seeds and oleaginous fruits; miscellaneous grains, seeds and fruit; industrial or medicinal plants; straw and fodder, tobacco and manufactured tobacco substitutes and wool, fine or coarse animal hair; horsehair yarn and woven fabric.</w:t>
      </w:r>
    </w:p>
    <w:p w:rsidR="00366025" w:rsidRPr="00AD78DC" w:rsidRDefault="003A28C2" w:rsidP="00756531">
      <w:pPr>
        <w:pStyle w:val="Tytutablicy"/>
        <w:rPr>
          <w:lang w:val="en-GB"/>
        </w:rPr>
      </w:pPr>
      <w:r w:rsidRPr="00AD78D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DF33F55" wp14:editId="647D5CA6">
                <wp:simplePos x="0" y="0"/>
                <wp:positionH relativeFrom="column">
                  <wp:posOffset>5357495</wp:posOffset>
                </wp:positionH>
                <wp:positionV relativeFrom="paragraph">
                  <wp:posOffset>3380740</wp:posOffset>
                </wp:positionV>
                <wp:extent cx="1725295" cy="1557020"/>
                <wp:effectExtent l="0" t="0" r="0" b="5080"/>
                <wp:wrapTight wrapText="bothSides">
                  <wp:wrapPolygon edited="0">
                    <wp:start x="715" y="0"/>
                    <wp:lineTo x="715" y="21406"/>
                    <wp:lineTo x="20749" y="21406"/>
                    <wp:lineTo x="20749" y="0"/>
                    <wp:lineTo x="715" y="0"/>
                  </wp:wrapPolygon>
                </wp:wrapTight>
                <wp:docPr id="3" name="Pole tekstowe 3" descr="Imports from the United Kingdom in January–April 2026 amounted to PLN 8.4 bn (USD 2.3 bn and EUR 2.0 bn), which was less than in the previous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Pr="002F573B" w:rsidRDefault="007F0AD4" w:rsidP="003A28C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January–April 2026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 xml:space="preserve">8.4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2.3</w:t>
                            </w:r>
                            <w:r w:rsidRPr="000D6D4E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 xml:space="preserve">2.0 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>),</w:t>
                            </w:r>
                            <w:r w:rsidRPr="00C473CD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which was less </w:t>
                            </w:r>
                            <w:r w:rsidRPr="00C473CD">
                              <w:rPr>
                                <w:lang w:val="en-GB"/>
                              </w:rPr>
                              <w:t>than in the previous year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F0AD4" w:rsidRPr="00DB5C76" w:rsidRDefault="007F0AD4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3F55" id="Pole tekstowe 3" o:spid="_x0000_s1033" type="#_x0000_t202" alt="Imports from the United Kingdom in January–April 2026 amounted to PLN 8.4 bn (USD 2.3 bn and EUR 2.0 bn), which was less than in the previous year." style="position:absolute;margin-left:421.85pt;margin-top:266.2pt;width:135.85pt;height:122.6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" filled="f" stroked="f">
                <v:textbox>
                  <w:txbxContent>
                    <w:p w:rsidR="007F0AD4" w:rsidRPr="002F573B" w:rsidRDefault="007F0AD4" w:rsidP="003A28C2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January–April 2026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 xml:space="preserve">8.4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2.3</w:t>
                      </w:r>
                      <w:r w:rsidRPr="000D6D4E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 xml:space="preserve">2.0 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>),</w:t>
                      </w:r>
                      <w:r w:rsidRPr="00C473CD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which was less </w:t>
                      </w:r>
                      <w:r w:rsidRPr="00C473CD">
                        <w:rPr>
                          <w:lang w:val="en-GB"/>
                        </w:rPr>
                        <w:t>than in the previous year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rPr>
                          <w:lang w:val="en-US"/>
                        </w:rPr>
                      </w:pPr>
                    </w:p>
                    <w:p w:rsidR="007F0AD4" w:rsidRPr="00DB5C76" w:rsidRDefault="007F0AD4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D78DC">
        <w:rPr>
          <w:lang w:val="en-GB"/>
        </w:rPr>
        <w:t>Tabl</w:t>
      </w:r>
      <w:r w:rsidR="00FA3774" w:rsidRPr="00AD78DC">
        <w:rPr>
          <w:lang w:val="en-GB"/>
        </w:rPr>
        <w:t>e</w:t>
      </w:r>
      <w:r w:rsidR="002D45CF" w:rsidRPr="00AD78DC">
        <w:rPr>
          <w:lang w:val="en-GB"/>
        </w:rPr>
        <w:t xml:space="preserve"> 2. </w:t>
      </w:r>
      <w:r w:rsidR="00FA3774" w:rsidRPr="00AD78DC">
        <w:rPr>
          <w:lang w:val="en-GB"/>
        </w:rPr>
        <w:t>Foreign trade turnover by major countries</w:t>
      </w:r>
      <w:r w:rsidR="002D45CF" w:rsidRPr="00AD78DC">
        <w:rPr>
          <w:lang w:val="en-GB"/>
        </w:rPr>
        <w:t xml:space="preserve"> </w:t>
      </w:r>
    </w:p>
    <w:tbl>
      <w:tblPr>
        <w:tblW w:w="4957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924"/>
        <w:gridCol w:w="715"/>
        <w:gridCol w:w="646"/>
        <w:gridCol w:w="642"/>
        <w:gridCol w:w="622"/>
        <w:gridCol w:w="627"/>
        <w:gridCol w:w="632"/>
        <w:gridCol w:w="596"/>
        <w:gridCol w:w="594"/>
      </w:tblGrid>
      <w:tr w:rsidR="00187424" w:rsidRPr="00AD78DC" w:rsidTr="000F153A">
        <w:trPr>
          <w:trHeight w:hRule="exact" w:val="305"/>
        </w:trPr>
        <w:tc>
          <w:tcPr>
            <w:tcW w:w="2924" w:type="dxa"/>
            <w:vMerge w:val="restart"/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3884" w:type="dxa"/>
            <w:gridSpan w:val="6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0F153A">
              <w:rPr>
                <w:rFonts w:cs="Arial"/>
                <w:sz w:val="16"/>
                <w:szCs w:val="16"/>
              </w:rPr>
              <w:t>4</w:t>
            </w:r>
            <w:r w:rsidRPr="00AD78DC">
              <w:rPr>
                <w:rFonts w:cs="Arial"/>
                <w:sz w:val="16"/>
                <w:szCs w:val="16"/>
              </w:rPr>
              <w:t xml:space="preserve"> 2026</w:t>
            </w:r>
          </w:p>
        </w:tc>
        <w:tc>
          <w:tcPr>
            <w:tcW w:w="596" w:type="dxa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594" w:type="dxa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187424" w:rsidRPr="00AD78DC" w:rsidTr="000F153A">
        <w:trPr>
          <w:trHeight w:val="461"/>
        </w:trPr>
        <w:tc>
          <w:tcPr>
            <w:tcW w:w="2924" w:type="dxa"/>
            <w:vMerge/>
          </w:tcPr>
          <w:p w:rsidR="00187424" w:rsidRPr="00AD78DC" w:rsidRDefault="00187424" w:rsidP="0018742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1880" w:type="dxa"/>
            <w:gridSpan w:val="3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0F153A">
              <w:rPr>
                <w:rFonts w:cs="Arial"/>
                <w:sz w:val="16"/>
                <w:szCs w:val="16"/>
              </w:rPr>
              <w:t>4</w:t>
            </w:r>
            <w:r w:rsidRPr="00AD78DC">
              <w:rPr>
                <w:rFonts w:cs="Arial"/>
                <w:sz w:val="16"/>
                <w:szCs w:val="16"/>
              </w:rPr>
              <w:t xml:space="preserve"> 2025 = 100</w:t>
            </w:r>
          </w:p>
        </w:tc>
        <w:tc>
          <w:tcPr>
            <w:tcW w:w="1190" w:type="dxa"/>
            <w:gridSpan w:val="2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0F153A">
              <w:rPr>
                <w:rFonts w:cs="Arial"/>
                <w:sz w:val="16"/>
                <w:szCs w:val="16"/>
              </w:rPr>
              <w:t>4</w:t>
            </w:r>
          </w:p>
        </w:tc>
      </w:tr>
      <w:tr w:rsidR="00187424" w:rsidRPr="00AD78DC" w:rsidTr="000F153A">
        <w:trPr>
          <w:trHeight w:hRule="exact" w:val="344"/>
        </w:trPr>
        <w:tc>
          <w:tcPr>
            <w:tcW w:w="2924" w:type="dxa"/>
            <w:vMerge/>
          </w:tcPr>
          <w:p w:rsidR="00187424" w:rsidRPr="00AD78DC" w:rsidRDefault="00187424" w:rsidP="0018742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6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2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22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27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31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190" w:type="dxa"/>
            <w:gridSpan w:val="2"/>
            <w:vAlign w:val="center"/>
          </w:tcPr>
          <w:p w:rsidR="00187424" w:rsidRPr="00AD78DC" w:rsidRDefault="00187424" w:rsidP="00187424">
            <w:pPr>
              <w:spacing w:before="0" w:after="0" w:line="240" w:lineRule="auto"/>
              <w:jc w:val="center"/>
              <w:rPr>
                <w:rFonts w:cs="Arial"/>
                <w:spacing w:val="-4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pacing w:val="-4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pacing w:val="-4"/>
                <w:sz w:val="16"/>
                <w:szCs w:val="16"/>
              </w:rPr>
              <w:t xml:space="preserve"> in %</w:t>
            </w:r>
          </w:p>
        </w:tc>
      </w:tr>
      <w:tr w:rsidR="00187424" w:rsidRPr="00AD78DC" w:rsidTr="000F153A">
        <w:trPr>
          <w:trHeight w:val="280"/>
        </w:trPr>
        <w:tc>
          <w:tcPr>
            <w:tcW w:w="7998" w:type="dxa"/>
            <w:gridSpan w:val="9"/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141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39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France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39463F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bookmarkStart w:id="11" w:name="_Hlk218844665"/>
            <w:r w:rsidRPr="00AD78DC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Kingdom</w:t>
            </w:r>
            <w:bookmarkEnd w:id="11"/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</w:t>
            </w:r>
            <w:bookmarkStart w:id="12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bookmarkEnd w:id="12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BB59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F153A" w:rsidRPr="00AD78DC" w:rsidTr="000F153A">
        <w:trPr>
          <w:trHeight w:val="280"/>
        </w:trPr>
        <w:tc>
          <w:tcPr>
            <w:tcW w:w="7998" w:type="dxa"/>
            <w:gridSpan w:val="9"/>
            <w:vAlign w:val="center"/>
          </w:tcPr>
          <w:p w:rsidR="000F153A" w:rsidRPr="00AD78DC" w:rsidRDefault="000F153A" w:rsidP="000F153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China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F153A" w:rsidRPr="00AD78DC" w:rsidTr="000F153A">
        <w:trPr>
          <w:trHeight w:val="280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9.   </w:t>
            </w:r>
            <w:proofErr w:type="spellStart"/>
            <w:r>
              <w:rPr>
                <w:rFonts w:cs="Calibri"/>
                <w:bCs/>
                <w:color w:val="000000"/>
                <w:sz w:val="16"/>
                <w:szCs w:val="16"/>
              </w:rPr>
              <w:t>Denmark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F153A" w:rsidRPr="00AD78DC" w:rsidTr="000F153A">
        <w:trPr>
          <w:trHeight w:val="291"/>
        </w:trPr>
        <w:tc>
          <w:tcPr>
            <w:tcW w:w="2924" w:type="dxa"/>
            <w:vAlign w:val="bottom"/>
          </w:tcPr>
          <w:p w:rsidR="000F153A" w:rsidRPr="00AD78DC" w:rsidRDefault="000F153A" w:rsidP="000F15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10.  </w:t>
            </w:r>
            <w:proofErr w:type="spellStart"/>
            <w:r w:rsidR="003575EA" w:rsidRPr="003575EA">
              <w:rPr>
                <w:rFonts w:cs="Arial"/>
                <w:sz w:val="16"/>
                <w:szCs w:val="16"/>
                <w:lang w:val="en-US"/>
              </w:rPr>
              <w:t>Türkiye</w:t>
            </w:r>
            <w:proofErr w:type="spellEnd"/>
          </w:p>
        </w:tc>
        <w:tc>
          <w:tcPr>
            <w:tcW w:w="715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0F153A" w:rsidRPr="00FA778E" w:rsidRDefault="000F153A" w:rsidP="000F153A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3231A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:rsidR="00AD34B4" w:rsidRPr="00AD78DC" w:rsidRDefault="00717D5C" w:rsidP="001D7DC0">
      <w:pPr>
        <w:pStyle w:val="Nagwek1"/>
        <w:spacing w:before="360"/>
        <w:rPr>
          <w:lang w:val="en-US"/>
        </w:rPr>
      </w:pPr>
      <w:r w:rsidRPr="00AD78DC">
        <w:rPr>
          <w:lang w:val="en-US"/>
        </w:rPr>
        <w:lastRenderedPageBreak/>
        <w:t xml:space="preserve">Imports by country of consignment </w:t>
      </w:r>
      <w:r w:rsidR="009831A8" w:rsidRPr="00AD78DC">
        <w:rPr>
          <w:lang w:val="en-US"/>
        </w:rPr>
        <w:t xml:space="preserve">– total and </w:t>
      </w:r>
      <w:r w:rsidRPr="00AD78DC">
        <w:rPr>
          <w:lang w:val="en-US"/>
        </w:rPr>
        <w:t>groups of counties</w:t>
      </w:r>
    </w:p>
    <w:p w:rsidR="001D7DC0" w:rsidRDefault="00E73C91" w:rsidP="000C32D0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highest turnover in imports by country of consignment Poland recorded with </w:t>
      </w:r>
      <w:r w:rsidRPr="00D86537">
        <w:rPr>
          <w:shd w:val="clear" w:color="auto" w:fill="FFFFFF"/>
          <w:lang w:val="en-GB"/>
        </w:rPr>
        <w:t xml:space="preserve">the developed countries - PLN </w:t>
      </w:r>
      <w:r w:rsidR="00453E2D">
        <w:rPr>
          <w:rFonts w:eastAsiaTheme="minorEastAsia" w:cs="Fira Sans"/>
          <w:color w:val="000000"/>
          <w:szCs w:val="19"/>
          <w:lang w:val="en-GB" w:eastAsia="pl-PL"/>
        </w:rPr>
        <w:t>419.8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bn, of which with the EU – PLN </w:t>
      </w:r>
      <w:r w:rsidR="00453E2D">
        <w:rPr>
          <w:rFonts w:eastAsiaTheme="minorEastAsia" w:cs="Fira Sans"/>
          <w:color w:val="000000"/>
          <w:szCs w:val="19"/>
          <w:lang w:val="en-GB" w:eastAsia="pl-PL"/>
        </w:rPr>
        <w:t>371.8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bn, compared to PLN </w:t>
      </w:r>
      <w:r w:rsidR="00453E2D">
        <w:rPr>
          <w:rFonts w:eastAsiaTheme="minorEastAsia" w:cs="Fira Sans"/>
          <w:color w:val="000000"/>
          <w:szCs w:val="19"/>
          <w:lang w:val="en-GB" w:eastAsia="pl-PL"/>
        </w:rPr>
        <w:t>402.0</w:t>
      </w:r>
      <w:r w:rsidR="00CB4A8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>bn, of</w:t>
      </w:r>
      <w:r w:rsidRPr="00D86537">
        <w:rPr>
          <w:lang w:val="en-GB"/>
        </w:rPr>
        <w:t> </w:t>
      </w:r>
      <w:r w:rsidRPr="00D86537">
        <w:rPr>
          <w:shd w:val="clear" w:color="auto" w:fill="FFFFFF"/>
          <w:lang w:val="en-GB"/>
        </w:rPr>
        <w:t xml:space="preserve">which with the EU - PLN </w:t>
      </w:r>
      <w:r w:rsidR="00453E2D">
        <w:rPr>
          <w:rFonts w:eastAsiaTheme="minorEastAsia" w:cs="Fira Sans"/>
          <w:color w:val="000000"/>
          <w:szCs w:val="19"/>
          <w:lang w:val="en-GB" w:eastAsia="pl-PL"/>
        </w:rPr>
        <w:t>358.1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 in the same period of </w:t>
      </w:r>
      <w:r w:rsidR="00DA2DDA" w:rsidRPr="00D86537">
        <w:rPr>
          <w:shd w:val="clear" w:color="auto" w:fill="FFFFFF"/>
          <w:lang w:val="en-GB"/>
        </w:rPr>
        <w:t>2025</w:t>
      </w:r>
      <w:r w:rsidRPr="00D86537">
        <w:rPr>
          <w:shd w:val="clear" w:color="auto" w:fill="FFFFFF"/>
          <w:lang w:val="en-GB"/>
        </w:rPr>
        <w:t>.</w:t>
      </w:r>
    </w:p>
    <w:p w:rsidR="008802DC" w:rsidRPr="00AD78DC" w:rsidRDefault="008802DC" w:rsidP="00E73C91">
      <w:pPr>
        <w:spacing w:line="288" w:lineRule="auto"/>
        <w:rPr>
          <w:shd w:val="clear" w:color="auto" w:fill="FFFFFF"/>
          <w:lang w:val="en-GB"/>
        </w:rPr>
      </w:pPr>
    </w:p>
    <w:p w:rsidR="00165FDF" w:rsidRPr="00AD78DC" w:rsidRDefault="0048231B" w:rsidP="001D7DC0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717D5C" w:rsidRPr="00AD78DC">
        <w:rPr>
          <w:lang w:val="en-GB"/>
        </w:rPr>
        <w:t>e</w:t>
      </w:r>
      <w:r w:rsidRPr="00AD78DC">
        <w:rPr>
          <w:lang w:val="en-GB"/>
        </w:rPr>
        <w:t xml:space="preserve"> </w:t>
      </w:r>
      <w:r w:rsidR="00D67CD3" w:rsidRPr="00AD78DC">
        <w:rPr>
          <w:lang w:val="en-GB"/>
        </w:rPr>
        <w:t>3</w:t>
      </w:r>
      <w:r w:rsidRPr="00AD78DC">
        <w:rPr>
          <w:lang w:val="en-GB"/>
        </w:rPr>
        <w:t>. Import</w:t>
      </w:r>
      <w:r w:rsidR="00717D5C" w:rsidRPr="00AD78DC">
        <w:rPr>
          <w:lang w:val="en-GB"/>
        </w:rPr>
        <w:t>s</w:t>
      </w:r>
      <w:r w:rsidRPr="00AD78DC">
        <w:rPr>
          <w:lang w:val="en-GB"/>
        </w:rPr>
        <w:t xml:space="preserve"> </w:t>
      </w:r>
      <w:r w:rsidR="00717D5C" w:rsidRPr="00AD78DC">
        <w:rPr>
          <w:lang w:val="en-GB"/>
        </w:rPr>
        <w:t xml:space="preserve">by country of consignment </w:t>
      </w:r>
      <w:r w:rsidR="009831A8" w:rsidRPr="00AD78DC">
        <w:rPr>
          <w:lang w:val="en-GB"/>
        </w:rPr>
        <w:t>–</w:t>
      </w:r>
      <w:r w:rsidR="00717D5C" w:rsidRPr="00AD78DC">
        <w:rPr>
          <w:lang w:val="en-GB"/>
        </w:rPr>
        <w:t xml:space="preserve"> total and groups of counties</w:t>
      </w:r>
    </w:p>
    <w:tbl>
      <w:tblPr>
        <w:tblW w:w="8136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552"/>
        <w:gridCol w:w="599"/>
        <w:gridCol w:w="716"/>
        <w:gridCol w:w="716"/>
        <w:gridCol w:w="716"/>
        <w:gridCol w:w="716"/>
        <w:gridCol w:w="717"/>
        <w:gridCol w:w="715"/>
        <w:gridCol w:w="689"/>
      </w:tblGrid>
      <w:tr w:rsidR="00703532" w:rsidRPr="00AD78DC" w:rsidTr="0059788D">
        <w:trPr>
          <w:trHeight w:hRule="exact" w:val="329"/>
        </w:trPr>
        <w:tc>
          <w:tcPr>
            <w:tcW w:w="2552" w:type="dxa"/>
            <w:vMerge w:val="restart"/>
            <w:vAlign w:val="center"/>
          </w:tcPr>
          <w:p w:rsidR="00703532" w:rsidRPr="00AD78DC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80" w:type="dxa"/>
            <w:gridSpan w:val="6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E211FA">
              <w:rPr>
                <w:rFonts w:cs="Arial"/>
                <w:sz w:val="16"/>
                <w:szCs w:val="16"/>
              </w:rPr>
              <w:t>4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15" w:type="dxa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89" w:type="dxa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703532" w:rsidRPr="00AD78DC" w:rsidTr="008802DC">
        <w:trPr>
          <w:trHeight w:hRule="exact" w:val="758"/>
        </w:trPr>
        <w:tc>
          <w:tcPr>
            <w:tcW w:w="2552" w:type="dxa"/>
            <w:vMerge/>
          </w:tcPr>
          <w:p w:rsidR="00703532" w:rsidRPr="00AD78DC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03532" w:rsidRPr="00AD78DC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49" w:type="dxa"/>
            <w:gridSpan w:val="3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E211FA">
              <w:rPr>
                <w:rFonts w:cs="Arial"/>
                <w:sz w:val="16"/>
                <w:szCs w:val="16"/>
              </w:rPr>
              <w:t>4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04" w:type="dxa"/>
            <w:gridSpan w:val="2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E211FA">
              <w:rPr>
                <w:rFonts w:cs="Arial"/>
                <w:sz w:val="16"/>
                <w:szCs w:val="16"/>
              </w:rPr>
              <w:t>4</w:t>
            </w:r>
          </w:p>
        </w:tc>
      </w:tr>
      <w:tr w:rsidR="006955FA" w:rsidRPr="00AD78DC" w:rsidTr="008802DC">
        <w:trPr>
          <w:trHeight w:hRule="exact" w:val="288"/>
        </w:trPr>
        <w:tc>
          <w:tcPr>
            <w:tcW w:w="2552" w:type="dxa"/>
            <w:vMerge/>
          </w:tcPr>
          <w:p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04" w:type="dxa"/>
            <w:gridSpan w:val="2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6955FA" w:rsidRPr="00AD78DC" w:rsidTr="006955FA">
        <w:trPr>
          <w:trHeight w:val="282"/>
        </w:trPr>
        <w:tc>
          <w:tcPr>
            <w:tcW w:w="2552" w:type="dxa"/>
            <w:vAlign w:val="center"/>
          </w:tcPr>
          <w:p w:rsidR="00E211FA" w:rsidRPr="00AD78DC" w:rsidRDefault="00E211FA" w:rsidP="00E211F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>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540</w:t>
            </w:r>
            <w:r w:rsidR="003261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149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127</w:t>
            </w:r>
            <w:r w:rsidR="008269D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113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211FA" w:rsidRPr="00FA778E" w:rsidRDefault="00E211FA" w:rsidP="00E211FA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955FA" w:rsidRPr="00AD78DC" w:rsidTr="006955FA">
        <w:trPr>
          <w:trHeight w:val="290"/>
        </w:trPr>
        <w:tc>
          <w:tcPr>
            <w:tcW w:w="2552" w:type="dxa"/>
            <w:vAlign w:val="center"/>
          </w:tcPr>
          <w:p w:rsidR="00E211FA" w:rsidRPr="00AD78DC" w:rsidRDefault="00E211FA" w:rsidP="00E211F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419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6955FA" w:rsidRPr="00AD78DC" w:rsidTr="006955FA">
        <w:trPr>
          <w:trHeight w:val="282"/>
        </w:trPr>
        <w:tc>
          <w:tcPr>
            <w:tcW w:w="2552" w:type="dxa"/>
            <w:vAlign w:val="center"/>
          </w:tcPr>
          <w:p w:rsidR="00E211FA" w:rsidRPr="00AD78DC" w:rsidRDefault="00E211FA" w:rsidP="00E211F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371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6955FA" w:rsidRPr="00AD78DC" w:rsidTr="006955FA">
        <w:trPr>
          <w:trHeight w:val="290"/>
        </w:trPr>
        <w:tc>
          <w:tcPr>
            <w:tcW w:w="2552" w:type="dxa"/>
            <w:vAlign w:val="center"/>
          </w:tcPr>
          <w:p w:rsidR="00E211FA" w:rsidRPr="00AD78DC" w:rsidRDefault="00E211FA" w:rsidP="00E211F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305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6955FA" w:rsidRPr="00AD78DC" w:rsidTr="006955FA">
        <w:trPr>
          <w:trHeight w:val="282"/>
        </w:trPr>
        <w:tc>
          <w:tcPr>
            <w:tcW w:w="2552" w:type="dxa"/>
            <w:vAlign w:val="center"/>
          </w:tcPr>
          <w:p w:rsidR="00E211FA" w:rsidRPr="00AD78DC" w:rsidRDefault="00E211FA" w:rsidP="00E211F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6955FA" w:rsidRPr="00AD78DC" w:rsidTr="006955FA">
        <w:trPr>
          <w:trHeight w:val="292"/>
        </w:trPr>
        <w:tc>
          <w:tcPr>
            <w:tcW w:w="2552" w:type="dxa"/>
            <w:vAlign w:val="center"/>
          </w:tcPr>
          <w:p w:rsidR="00E211FA" w:rsidRPr="00AD78DC" w:rsidRDefault="00E211FA" w:rsidP="00E211F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>of Cent. and East. Europe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83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E211FA" w:rsidRPr="00FA778E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E211FA" w:rsidRPr="005A1CDB" w:rsidRDefault="00E211FA" w:rsidP="00E211FA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A215A9">
              <w:rPr>
                <w:rFonts w:cs="Calibri"/>
                <w:color w:val="000000"/>
                <w:sz w:val="16"/>
                <w:szCs w:val="16"/>
              </w:rPr>
              <w:t>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215A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802DC" w:rsidRPr="00AD78DC" w:rsidTr="006955FA">
        <w:trPr>
          <w:trHeight w:val="282"/>
        </w:trPr>
        <w:tc>
          <w:tcPr>
            <w:tcW w:w="2552" w:type="dxa"/>
            <w:vAlign w:val="center"/>
          </w:tcPr>
          <w:p w:rsidR="008802DC" w:rsidRPr="00AD78DC" w:rsidRDefault="008802DC" w:rsidP="008802D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8802DC" w:rsidRPr="00FA778E" w:rsidRDefault="008802DC" w:rsidP="008802DC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-2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3B3FD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8802DC" w:rsidRPr="00AD78DC" w:rsidTr="006955FA">
        <w:trPr>
          <w:trHeight w:val="290"/>
        </w:trPr>
        <w:tc>
          <w:tcPr>
            <w:tcW w:w="2552" w:type="dxa"/>
            <w:vAlign w:val="center"/>
          </w:tcPr>
          <w:p w:rsidR="008802DC" w:rsidRPr="00AD78DC" w:rsidRDefault="008802DC" w:rsidP="00880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44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8802DC" w:rsidRPr="00AD78DC" w:rsidTr="006955FA">
        <w:trPr>
          <w:trHeight w:val="282"/>
        </w:trPr>
        <w:tc>
          <w:tcPr>
            <w:tcW w:w="2552" w:type="dxa"/>
            <w:vAlign w:val="center"/>
          </w:tcPr>
          <w:p w:rsidR="008802DC" w:rsidRPr="00AD78DC" w:rsidRDefault="008802DC" w:rsidP="008802D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8802DC" w:rsidRPr="00AD78DC" w:rsidTr="006955FA">
        <w:trPr>
          <w:trHeight w:val="290"/>
        </w:trPr>
        <w:tc>
          <w:tcPr>
            <w:tcW w:w="2552" w:type="dxa"/>
            <w:vAlign w:val="center"/>
          </w:tcPr>
          <w:p w:rsidR="008802DC" w:rsidRPr="00AD78DC" w:rsidRDefault="008802DC" w:rsidP="00880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8802DC" w:rsidRPr="00AD78DC" w:rsidTr="006955FA">
        <w:trPr>
          <w:trHeight w:val="282"/>
        </w:trPr>
        <w:tc>
          <w:tcPr>
            <w:tcW w:w="2552" w:type="dxa"/>
            <w:vAlign w:val="center"/>
          </w:tcPr>
          <w:p w:rsidR="008802DC" w:rsidRPr="00AD78DC" w:rsidRDefault="008802DC" w:rsidP="00880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-71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-19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926F8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  <w:r w:rsidR="008802DC" w:rsidRPr="00FA778E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3B3FD5">
              <w:rPr>
                <w:rFonts w:cs="Calibri"/>
                <w:color w:val="000000"/>
                <w:sz w:val="16"/>
                <w:szCs w:val="16"/>
              </w:rPr>
              <w:t>.</w:t>
            </w:r>
            <w:r w:rsidR="008802DC"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8802DC" w:rsidRPr="00AD78DC" w:rsidRDefault="008802DC" w:rsidP="008802D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8802DC" w:rsidRPr="00AD78DC" w:rsidTr="006955FA">
        <w:trPr>
          <w:trHeight w:val="212"/>
        </w:trPr>
        <w:tc>
          <w:tcPr>
            <w:tcW w:w="2552" w:type="dxa"/>
            <w:vAlign w:val="center"/>
          </w:tcPr>
          <w:p w:rsidR="008802DC" w:rsidRPr="00AD78DC" w:rsidRDefault="008802DC" w:rsidP="00880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</w:t>
            </w:r>
            <w:r>
              <w:rPr>
                <w:rFonts w:cs="Arial"/>
                <w:sz w:val="16"/>
                <w:szCs w:val="16"/>
                <w:lang w:val="en-US"/>
              </w:rPr>
              <w:t>.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of Cent. and East. Europe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3261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3261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FA778E" w:rsidRDefault="008802DC" w:rsidP="008802DC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3261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C769FD" w:rsidRDefault="008802DC" w:rsidP="008802D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8802DC" w:rsidRPr="00C769FD" w:rsidRDefault="008802DC" w:rsidP="008802D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8802DC" w:rsidRPr="00C769FD" w:rsidRDefault="008802DC" w:rsidP="008802D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8802DC" w:rsidRPr="00C769FD" w:rsidRDefault="008802DC" w:rsidP="008802D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8802DC" w:rsidRPr="00C769FD" w:rsidRDefault="008802DC" w:rsidP="008802D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Pr="00CB2FA6" w:rsidRDefault="00CB2FA6" w:rsidP="00CB2FA6">
      <w:pPr>
        <w:rPr>
          <w:lang w:val="en-GB" w:eastAsia="pl-PL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A26985" w:rsidRPr="00A26985" w:rsidRDefault="00A26985" w:rsidP="00A26985">
      <w:pPr>
        <w:rPr>
          <w:lang w:val="en-GB" w:eastAsia="pl-PL"/>
        </w:rPr>
      </w:pPr>
    </w:p>
    <w:p w:rsidR="00A02EF5" w:rsidRPr="00A02EF5" w:rsidRDefault="00A06C78" w:rsidP="00A02EF5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D78DC">
        <w:rPr>
          <w:rFonts w:ascii="Fira Sans" w:hAnsi="Fira Sans"/>
          <w:b/>
          <w:szCs w:val="19"/>
          <w:lang w:val="en-GB"/>
        </w:rPr>
        <w:lastRenderedPageBreak/>
        <w:t>Imports by country of consignment – countries</w:t>
      </w:r>
    </w:p>
    <w:p w:rsidR="00232E26" w:rsidRPr="00AD78DC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FB0569" w:rsidRPr="00FB0569">
        <w:rPr>
          <w:lang w:val="en-GB"/>
        </w:rPr>
        <w:t>6</w:t>
      </w:r>
      <w:r w:rsidR="004B437B">
        <w:rPr>
          <w:lang w:val="en-GB"/>
        </w:rPr>
        <w:t>.</w:t>
      </w:r>
      <w:r w:rsidR="00FB0569" w:rsidRPr="00FB0569">
        <w:rPr>
          <w:lang w:val="en-GB"/>
        </w:rPr>
        <w:t>7</w:t>
      </w:r>
      <w:r w:rsidR="00282CBD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 xml:space="preserve">, the share of the Netherlands by </w:t>
      </w:r>
      <w:r w:rsidR="00FB0569" w:rsidRPr="00FB0569">
        <w:rPr>
          <w:lang w:val="en-GB"/>
        </w:rPr>
        <w:t>3</w:t>
      </w:r>
      <w:r w:rsidR="004B437B">
        <w:rPr>
          <w:lang w:val="en-GB"/>
        </w:rPr>
        <w:t>.</w:t>
      </w:r>
      <w:r w:rsidR="005D10FE">
        <w:rPr>
          <w:lang w:val="en-GB"/>
        </w:rPr>
        <w:t>0%</w:t>
      </w:r>
      <w:r w:rsidRPr="00AD78DC">
        <w:rPr>
          <w:shd w:val="clear" w:color="auto" w:fill="FFFFFF"/>
          <w:lang w:val="en-GB"/>
        </w:rPr>
        <w:t xml:space="preserve">, Belgium by </w:t>
      </w:r>
      <w:r w:rsidR="00FB0569" w:rsidRPr="00FB0569">
        <w:rPr>
          <w:lang w:val="en-GB"/>
        </w:rPr>
        <w:t>2</w:t>
      </w:r>
      <w:r w:rsidR="004B437B">
        <w:rPr>
          <w:lang w:val="en-GB"/>
        </w:rPr>
        <w:t>.</w:t>
      </w:r>
      <w:r w:rsidR="00696600">
        <w:rPr>
          <w:lang w:val="en-GB"/>
        </w:rPr>
        <w:t>1</w:t>
      </w:r>
      <w:r w:rsidR="005D10FE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 xml:space="preserve">, Czechia by </w:t>
      </w:r>
      <w:r w:rsidR="00D46BCF">
        <w:rPr>
          <w:lang w:val="en-GB"/>
        </w:rPr>
        <w:t>0.9</w:t>
      </w:r>
      <w:r w:rsidR="005D10FE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 xml:space="preserve"> and France by </w:t>
      </w:r>
      <w:r w:rsidR="00C20959" w:rsidRPr="00AD78DC">
        <w:rPr>
          <w:lang w:val="en-GB"/>
        </w:rPr>
        <w:t>0</w:t>
      </w:r>
      <w:r w:rsidR="006D0825" w:rsidRPr="00AD78DC">
        <w:rPr>
          <w:lang w:val="en-GB"/>
        </w:rPr>
        <w:t>.</w:t>
      </w:r>
      <w:r w:rsidR="00696600">
        <w:rPr>
          <w:lang w:val="en-GB"/>
        </w:rPr>
        <w:t>8</w:t>
      </w:r>
      <w:r w:rsidR="005D10FE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>.</w:t>
      </w:r>
    </w:p>
    <w:p w:rsidR="00232E26" w:rsidRPr="00AD78DC" w:rsidRDefault="00A06C78" w:rsidP="00756531">
      <w:pPr>
        <w:pStyle w:val="Tytutablicy"/>
        <w:rPr>
          <w:lang w:val="en-GB"/>
        </w:rPr>
      </w:pPr>
      <w:r w:rsidRPr="00AD78DC">
        <w:rPr>
          <w:lang w:val="en-GB"/>
        </w:rPr>
        <w:t>Table 4. Imports by country of co</w:t>
      </w:r>
      <w:r w:rsidR="001D1579" w:rsidRPr="00AD78DC">
        <w:rPr>
          <w:lang w:val="en-GB"/>
        </w:rPr>
        <w:t>ns</w:t>
      </w:r>
      <w:r w:rsidRPr="00AD78DC">
        <w:rPr>
          <w:lang w:val="en-GB"/>
        </w:rPr>
        <w:t>ignment – countries</w:t>
      </w:r>
      <w:r w:rsidR="00D07008" w:rsidRPr="00AD78D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63CE5244">
                <wp:simplePos x="0" y="0"/>
                <wp:positionH relativeFrom="page">
                  <wp:posOffset>5819140</wp:posOffset>
                </wp:positionH>
                <wp:positionV relativeFrom="paragraph">
                  <wp:posOffset>1391336</wp:posOffset>
                </wp:positionV>
                <wp:extent cx="1725295" cy="2584634"/>
                <wp:effectExtent l="0" t="0" r="0" b="6350"/>
                <wp:wrapTight wrapText="bothSides">
                  <wp:wrapPolygon edited="0">
                    <wp:start x="715" y="0"/>
                    <wp:lineTo x="715" y="21494"/>
                    <wp:lineTo x="20749" y="21494"/>
                    <wp:lineTo x="20749" y="0"/>
                    <wp:lineTo x="715" y="0"/>
                  </wp:wrapPolygon>
                </wp:wrapTight>
                <wp:docPr id="32" name="Pole tekstowe 32" descr="Imports from China in Janu-ary–April 2026 according by country of consignment in comparison with imports by country of origin were lower by 6.0%.&#10;Imports from the United States in January–April 2026 according to the country of consignment in comparison with imports by country of origin were lower by 1.5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4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4" w:rsidRDefault="007F0AD4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China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in January–April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2026 </w:t>
                            </w:r>
                            <w:r w:rsidRPr="001D7DC0">
                              <w:rPr>
                                <w:lang w:val="en-GB"/>
                              </w:rPr>
                              <w:t>according by country of consignment in comparison with imports by country of origin w</w:t>
                            </w:r>
                            <w:r>
                              <w:rPr>
                                <w:lang w:val="en-GB"/>
                              </w:rPr>
                              <w:t>ere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lower by </w:t>
                            </w:r>
                            <w:r>
                              <w:rPr>
                                <w:lang w:val="en-GB"/>
                              </w:rPr>
                              <w:t>6.0%.</w:t>
                            </w: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F26C8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the United States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in </w:t>
                            </w:r>
                            <w:r>
                              <w:rPr>
                                <w:lang w:val="en-GB"/>
                              </w:rPr>
                              <w:t>January–April 2026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according to the country of consignment in comparison with imports by country of origin were </w:t>
                            </w:r>
                            <w:r>
                              <w:rPr>
                                <w:lang w:val="en-GB"/>
                              </w:rPr>
                              <w:t>low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er by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.5%.</w:t>
                            </w: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193D62" w:rsidRDefault="007F0AD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F0AD4" w:rsidRPr="00193D62" w:rsidRDefault="007F0AD4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4" type="#_x0000_t202" alt="Imports from China in Janu-ary–April 2026 according by country of consignment in comparison with imports by country of origin were lower by 6.0%.&#10;Imports from the United States in January–April 2026 according to the country of consignment in comparison with imports by country of origin were lower by 1.5%." style="position:absolute;margin-left:458.2pt;margin-top:109.55pt;width:135.85pt;height:203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" filled="f" stroked="f">
                <v:textbox>
                  <w:txbxContent>
                    <w:p w:rsidR="007F0AD4" w:rsidRDefault="007F0AD4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China</w:t>
                      </w:r>
                      <w:r w:rsidRPr="001D7DC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in January–April</w:t>
                      </w:r>
                      <w:r w:rsidRPr="006F26C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2026 </w:t>
                      </w:r>
                      <w:r w:rsidRPr="001D7DC0">
                        <w:rPr>
                          <w:lang w:val="en-GB"/>
                        </w:rPr>
                        <w:t>according by country of consignment in comparison with imports by country of origin w</w:t>
                      </w:r>
                      <w:r>
                        <w:rPr>
                          <w:lang w:val="en-GB"/>
                        </w:rPr>
                        <w:t>ere</w:t>
                      </w:r>
                      <w:r w:rsidRPr="001D7DC0">
                        <w:rPr>
                          <w:lang w:val="en-GB"/>
                        </w:rPr>
                        <w:t xml:space="preserve"> lower by </w:t>
                      </w:r>
                      <w:r>
                        <w:rPr>
                          <w:lang w:val="en-GB"/>
                        </w:rPr>
                        <w:t>6.0%.</w:t>
                      </w: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  <w:r w:rsidRPr="006F26C8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the United States</w:t>
                      </w:r>
                      <w:r w:rsidRPr="006F26C8">
                        <w:rPr>
                          <w:lang w:val="en-GB"/>
                        </w:rPr>
                        <w:t xml:space="preserve"> in </w:t>
                      </w:r>
                      <w:r>
                        <w:rPr>
                          <w:lang w:val="en-GB"/>
                        </w:rPr>
                        <w:t>January–April 2026</w:t>
                      </w:r>
                      <w:r w:rsidRPr="006F26C8">
                        <w:rPr>
                          <w:lang w:val="en-GB"/>
                        </w:rPr>
                        <w:t xml:space="preserve"> according to the country of consignment in comparison with imports by country of origin were </w:t>
                      </w:r>
                      <w:r>
                        <w:rPr>
                          <w:lang w:val="en-GB"/>
                        </w:rPr>
                        <w:t>low</w:t>
                      </w:r>
                      <w:r w:rsidRPr="006F26C8">
                        <w:rPr>
                          <w:lang w:val="en-GB"/>
                        </w:rPr>
                        <w:t xml:space="preserve">er by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.5%.</w:t>
                      </w: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193D62" w:rsidRDefault="007F0AD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F0AD4" w:rsidRPr="00193D62" w:rsidRDefault="007F0AD4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1" w:rightFromText="141" w:vertAnchor="page" w:horzAnchor="margin" w:tblpY="3037"/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A26985" w:rsidRPr="00AD78DC" w:rsidTr="00A26985">
        <w:trPr>
          <w:trHeight w:hRule="exact" w:val="340"/>
        </w:trPr>
        <w:tc>
          <w:tcPr>
            <w:tcW w:w="2268" w:type="dxa"/>
            <w:vMerge w:val="restart"/>
            <w:vAlign w:val="center"/>
          </w:tcPr>
          <w:p w:rsidR="00A26985" w:rsidRPr="00AD78DC" w:rsidRDefault="00A26985" w:rsidP="00A26985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9A6E18">
              <w:rPr>
                <w:rFonts w:cs="Arial"/>
                <w:sz w:val="16"/>
                <w:szCs w:val="16"/>
              </w:rPr>
              <w:t>4</w:t>
            </w:r>
            <w:r w:rsidRPr="00AD78DC">
              <w:rPr>
                <w:rFonts w:cs="Arial"/>
                <w:sz w:val="16"/>
                <w:szCs w:val="16"/>
              </w:rPr>
              <w:t xml:space="preserve"> 2026</w:t>
            </w:r>
          </w:p>
        </w:tc>
        <w:tc>
          <w:tcPr>
            <w:tcW w:w="644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4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A26985" w:rsidRPr="00AD78DC" w:rsidTr="00A26985">
        <w:trPr>
          <w:trHeight w:hRule="exact" w:val="340"/>
        </w:trPr>
        <w:tc>
          <w:tcPr>
            <w:tcW w:w="2268" w:type="dxa"/>
            <w:vMerge/>
          </w:tcPr>
          <w:p w:rsidR="00A26985" w:rsidRPr="00AD78DC" w:rsidRDefault="00A26985" w:rsidP="00A2698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3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9A6E18">
              <w:rPr>
                <w:rFonts w:cs="Arial"/>
                <w:sz w:val="16"/>
                <w:szCs w:val="16"/>
              </w:rPr>
              <w:t>4</w:t>
            </w:r>
            <w:r w:rsidRPr="00AD78DC">
              <w:rPr>
                <w:rFonts w:cs="Arial"/>
                <w:sz w:val="16"/>
                <w:szCs w:val="16"/>
              </w:rPr>
              <w:t xml:space="preserve"> 2025 = 100</w:t>
            </w:r>
          </w:p>
        </w:tc>
        <w:tc>
          <w:tcPr>
            <w:tcW w:w="1288" w:type="dxa"/>
            <w:gridSpan w:val="2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9A6E18">
              <w:rPr>
                <w:rFonts w:cs="Arial"/>
                <w:sz w:val="16"/>
                <w:szCs w:val="16"/>
              </w:rPr>
              <w:t>4</w:t>
            </w:r>
          </w:p>
        </w:tc>
      </w:tr>
      <w:tr w:rsidR="00A26985" w:rsidRPr="00AD78DC" w:rsidTr="00A26985">
        <w:trPr>
          <w:trHeight w:hRule="exact" w:val="340"/>
        </w:trPr>
        <w:tc>
          <w:tcPr>
            <w:tcW w:w="2268" w:type="dxa"/>
            <w:vMerge/>
          </w:tcPr>
          <w:p w:rsidR="00A26985" w:rsidRPr="00AD78DC" w:rsidRDefault="00A26985" w:rsidP="00A2698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A26985" w:rsidRPr="00AD78DC" w:rsidTr="00A26985">
        <w:tc>
          <w:tcPr>
            <w:tcW w:w="8023" w:type="dxa"/>
            <w:gridSpan w:val="9"/>
            <w:vAlign w:val="center"/>
          </w:tcPr>
          <w:p w:rsidR="00A26985" w:rsidRPr="00AD78DC" w:rsidRDefault="00A26985" w:rsidP="00A2698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38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Fira Sans"/>
                <w:color w:val="000000"/>
                <w:sz w:val="16"/>
                <w:szCs w:val="16"/>
              </w:rPr>
              <w:t>109</w:t>
            </w:r>
            <w:r w:rsidR="004443B6"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Denmark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173667" w:rsidRPr="00AD78DC" w:rsidTr="00A26985">
        <w:tc>
          <w:tcPr>
            <w:tcW w:w="2268" w:type="dxa"/>
            <w:vAlign w:val="center"/>
          </w:tcPr>
          <w:p w:rsidR="00173667" w:rsidRPr="00AD78DC" w:rsidRDefault="00173667" w:rsidP="0017366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173667" w:rsidRPr="00FA778E" w:rsidRDefault="00173667" w:rsidP="0017366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443B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</w:tbl>
    <w:p w:rsidR="00CB2FA6" w:rsidRDefault="00CB2FA6" w:rsidP="00D3340D">
      <w:pPr>
        <w:spacing w:line="288" w:lineRule="auto"/>
        <w:rPr>
          <w:shd w:val="clear" w:color="auto" w:fill="FFFFFF"/>
          <w:lang w:val="en-GB"/>
        </w:rPr>
      </w:pPr>
    </w:p>
    <w:p w:rsidR="00CB2FA6" w:rsidRDefault="00CB2FA6" w:rsidP="00D3340D">
      <w:pPr>
        <w:spacing w:line="288" w:lineRule="auto"/>
        <w:rPr>
          <w:shd w:val="clear" w:color="auto" w:fill="FFFFFF"/>
          <w:lang w:val="en-GB"/>
        </w:rPr>
      </w:pPr>
    </w:p>
    <w:p w:rsidR="00D3340D" w:rsidRPr="00AD78DC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D46BCF">
        <w:rPr>
          <w:shd w:val="clear" w:color="auto" w:fill="FFFFFF"/>
          <w:lang w:val="en-GB"/>
        </w:rPr>
        <w:t>–</w:t>
      </w:r>
      <w:r w:rsidR="00073CDB">
        <w:rPr>
          <w:shd w:val="clear" w:color="auto" w:fill="FFFFFF"/>
          <w:lang w:val="en-GB"/>
        </w:rPr>
        <w:t>April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2026</w:t>
      </w:r>
      <w:r w:rsidRPr="00AD78DC">
        <w:rPr>
          <w:shd w:val="clear" w:color="auto" w:fill="FFFFFF"/>
          <w:lang w:val="en-GB"/>
        </w:rPr>
        <w:t xml:space="preserve"> trade turnover in goods according to the SITC nomenclature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compared to the same period of </w:t>
      </w:r>
      <w:r w:rsidR="00DA2DDA" w:rsidRPr="00AD78DC">
        <w:rPr>
          <w:shd w:val="clear" w:color="auto" w:fill="FFFFFF"/>
          <w:lang w:val="en-GB"/>
        </w:rPr>
        <w:t>2025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</w:t>
      </w:r>
      <w:r w:rsidR="00E5220E" w:rsidRPr="00AD78DC">
        <w:rPr>
          <w:shd w:val="clear" w:color="auto" w:fill="FFFFFF"/>
          <w:lang w:val="en-GB"/>
        </w:rPr>
        <w:t>increased</w:t>
      </w:r>
      <w:r w:rsidRPr="00AD78DC">
        <w:rPr>
          <w:shd w:val="clear" w:color="auto" w:fill="FFFFFF"/>
          <w:lang w:val="en-GB"/>
        </w:rPr>
        <w:t xml:space="preserve"> in exports in </w:t>
      </w:r>
      <w:r w:rsidR="001D79E3">
        <w:rPr>
          <w:shd w:val="clear" w:color="auto" w:fill="FFFFFF"/>
          <w:lang w:val="en-GB"/>
        </w:rPr>
        <w:t>8</w:t>
      </w:r>
      <w:r w:rsidRPr="00AD78DC">
        <w:rPr>
          <w:shd w:val="clear" w:color="auto" w:fill="FFFFFF"/>
          <w:lang w:val="en-GB"/>
        </w:rPr>
        <w:t xml:space="preserve"> commodity section</w:t>
      </w:r>
      <w:r w:rsidR="00C25A07">
        <w:rPr>
          <w:shd w:val="clear" w:color="auto" w:fill="FFFFFF"/>
          <w:lang w:val="en-GB"/>
        </w:rPr>
        <w:t>s</w:t>
      </w:r>
      <w:r w:rsidR="00207819" w:rsidRPr="00AD78DC">
        <w:rPr>
          <w:shd w:val="clear" w:color="auto" w:fill="FFFFFF"/>
          <w:lang w:val="en-GB"/>
        </w:rPr>
        <w:t xml:space="preserve"> while</w:t>
      </w:r>
      <w:r w:rsidRPr="00AD78DC">
        <w:rPr>
          <w:shd w:val="clear" w:color="auto" w:fill="FFFFFF"/>
          <w:lang w:val="en-GB"/>
        </w:rPr>
        <w:t xml:space="preserve"> imports recorded increases in </w:t>
      </w:r>
      <w:r w:rsidR="00073CDB">
        <w:rPr>
          <w:shd w:val="clear" w:color="auto" w:fill="FFFFFF"/>
          <w:lang w:val="en-GB"/>
        </w:rPr>
        <w:t>5</w:t>
      </w:r>
      <w:r w:rsidRPr="00AD78DC">
        <w:rPr>
          <w:shd w:val="clear" w:color="auto" w:fill="FFFFFF"/>
          <w:lang w:val="en-GB"/>
        </w:rPr>
        <w:t xml:space="preserve"> commodity sections.</w:t>
      </w:r>
      <w:r w:rsidRPr="00AD78DC">
        <w:rPr>
          <w:spacing w:val="-2"/>
          <w:shd w:val="clear" w:color="auto" w:fill="FFFFFF"/>
          <w:lang w:val="en-GB"/>
        </w:rPr>
        <w:t xml:space="preserve"> </w:t>
      </w:r>
    </w:p>
    <w:p w:rsidR="00995700" w:rsidRPr="00AD78DC" w:rsidRDefault="002F573B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lang w:val="en-GB"/>
        </w:rPr>
        <w:t>In exports, increase</w:t>
      </w:r>
      <w:r w:rsidR="00C25A07">
        <w:rPr>
          <w:spacing w:val="-4"/>
          <w:lang w:val="en-GB"/>
        </w:rPr>
        <w:t>s</w:t>
      </w:r>
      <w:r w:rsidRPr="00AD78DC">
        <w:rPr>
          <w:spacing w:val="-4"/>
          <w:lang w:val="en-GB"/>
        </w:rPr>
        <w:t xml:space="preserve"> </w:t>
      </w:r>
      <w:r w:rsidR="00415BAF">
        <w:rPr>
          <w:spacing w:val="-4"/>
          <w:lang w:val="en-GB"/>
        </w:rPr>
        <w:t>w</w:t>
      </w:r>
      <w:r w:rsidR="00C25A07">
        <w:rPr>
          <w:spacing w:val="-4"/>
          <w:lang w:val="en-GB"/>
        </w:rPr>
        <w:t xml:space="preserve">ere </w:t>
      </w:r>
      <w:r w:rsidRPr="00AD78DC">
        <w:rPr>
          <w:spacing w:val="-4"/>
          <w:lang w:val="en-GB"/>
        </w:rPr>
        <w:t xml:space="preserve">recorded in </w:t>
      </w:r>
      <w:r w:rsidR="007B31BB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BB5936">
        <w:rPr>
          <w:spacing w:val="-2"/>
          <w:shd w:val="clear" w:color="auto" w:fill="FFFFFF"/>
          <w:lang w:val="en-GB"/>
        </w:rPr>
        <w:t>70.3</w:t>
      </w:r>
      <w:r w:rsidR="007B31BB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,</w:t>
      </w:r>
      <w:r w:rsidR="00BB5936">
        <w:rPr>
          <w:spacing w:val="-4"/>
          <w:shd w:val="clear" w:color="auto" w:fill="FFFFFF"/>
          <w:lang w:val="en-GB"/>
        </w:rPr>
        <w:t xml:space="preserve"> </w:t>
      </w:r>
      <w:r w:rsidR="00BB5936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BB5936">
        <w:rPr>
          <w:spacing w:val="-2"/>
          <w:shd w:val="clear" w:color="auto" w:fill="FFFFFF"/>
          <w:lang w:val="en-GB"/>
        </w:rPr>
        <w:t>10.7</w:t>
      </w:r>
      <w:r w:rsidR="00BB5936" w:rsidRPr="00AD78DC">
        <w:rPr>
          <w:spacing w:val="-4"/>
          <w:shd w:val="clear" w:color="auto" w:fill="FFFFFF"/>
          <w:lang w:val="en-GB"/>
        </w:rPr>
        <w:t>%</w:t>
      </w:r>
      <w:r w:rsidR="00BB5936">
        <w:rPr>
          <w:spacing w:val="-4"/>
          <w:shd w:val="clear" w:color="auto" w:fill="FFFFFF"/>
          <w:lang w:val="en-GB"/>
        </w:rPr>
        <w:t xml:space="preserve">), </w:t>
      </w:r>
      <w:r w:rsidR="00BB5936" w:rsidRPr="00AD78DC">
        <w:rPr>
          <w:spacing w:val="-4"/>
          <w:shd w:val="clear" w:color="auto" w:fill="FFFFFF"/>
          <w:lang w:val="en-GB"/>
        </w:rPr>
        <w:t>manufactured</w:t>
      </w:r>
      <w:r w:rsidR="00BB5936">
        <w:rPr>
          <w:spacing w:val="-4"/>
          <w:shd w:val="clear" w:color="auto" w:fill="FFFFFF"/>
          <w:lang w:val="en-GB"/>
        </w:rPr>
        <w:t xml:space="preserve"> </w:t>
      </w:r>
      <w:r w:rsidR="00BB5936" w:rsidRPr="00AD78DC">
        <w:rPr>
          <w:spacing w:val="-4"/>
          <w:shd w:val="clear" w:color="auto" w:fill="FFFFFF"/>
          <w:lang w:val="en-GB"/>
        </w:rPr>
        <w:t xml:space="preserve">goods classified </w:t>
      </w:r>
      <w:r w:rsidR="00BB5936">
        <w:rPr>
          <w:spacing w:val="-4"/>
          <w:shd w:val="clear" w:color="auto" w:fill="FFFFFF"/>
          <w:lang w:val="en-GB"/>
        </w:rPr>
        <w:t>mainly</w:t>
      </w:r>
      <w:r w:rsidR="00BB5936" w:rsidRPr="00AD78DC">
        <w:rPr>
          <w:spacing w:val="-4"/>
          <w:shd w:val="clear" w:color="auto" w:fill="FFFFFF"/>
          <w:lang w:val="en-GB"/>
        </w:rPr>
        <w:t xml:space="preserve"> by material (by </w:t>
      </w:r>
      <w:r w:rsidR="00BB5936">
        <w:rPr>
          <w:spacing w:val="-2"/>
          <w:shd w:val="clear" w:color="auto" w:fill="FFFFFF"/>
          <w:lang w:val="en-GB"/>
        </w:rPr>
        <w:t>5.</w:t>
      </w:r>
      <w:r w:rsidR="003D6284">
        <w:rPr>
          <w:spacing w:val="-2"/>
          <w:shd w:val="clear" w:color="auto" w:fill="FFFFFF"/>
          <w:lang w:val="en-GB"/>
        </w:rPr>
        <w:t>7</w:t>
      </w:r>
      <w:r w:rsidR="00BB5936" w:rsidRPr="00AD78DC">
        <w:rPr>
          <w:spacing w:val="-4"/>
          <w:shd w:val="clear" w:color="auto" w:fill="FFFFFF"/>
          <w:lang w:val="en-GB"/>
        </w:rPr>
        <w:t>%)</w:t>
      </w:r>
      <w:r w:rsidR="00BB5936">
        <w:rPr>
          <w:spacing w:val="-4"/>
          <w:shd w:val="clear" w:color="auto" w:fill="FFFFFF"/>
          <w:lang w:val="en-GB"/>
        </w:rPr>
        <w:t>,</w:t>
      </w:r>
      <w:r w:rsidR="003D6EC2">
        <w:rPr>
          <w:spacing w:val="-4"/>
          <w:shd w:val="clear" w:color="auto" w:fill="FFFFFF"/>
          <w:lang w:val="en-GB"/>
        </w:rPr>
        <w:t xml:space="preserve"> </w:t>
      </w:r>
      <w:r w:rsidR="003D6EC2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3D6EC2">
        <w:rPr>
          <w:spacing w:val="-2"/>
          <w:shd w:val="clear" w:color="auto" w:fill="FFFFFF"/>
          <w:lang w:val="en-GB"/>
        </w:rPr>
        <w:t>5.5</w:t>
      </w:r>
      <w:r w:rsidR="003D6EC2" w:rsidRPr="00AD78DC">
        <w:rPr>
          <w:spacing w:val="-4"/>
          <w:shd w:val="clear" w:color="auto" w:fill="FFFFFF"/>
          <w:lang w:val="en-GB"/>
        </w:rPr>
        <w:t>%)</w:t>
      </w:r>
      <w:r w:rsidR="003D6EC2">
        <w:rPr>
          <w:spacing w:val="-4"/>
          <w:shd w:val="clear" w:color="auto" w:fill="FFFFFF"/>
          <w:lang w:val="en-GB"/>
        </w:rPr>
        <w:t xml:space="preserve">, </w:t>
      </w:r>
      <w:r w:rsidR="003D6EC2" w:rsidRPr="00AD78DC">
        <w:rPr>
          <w:spacing w:val="-4"/>
          <w:shd w:val="clear" w:color="auto" w:fill="FFFFFF"/>
          <w:lang w:val="en-GB"/>
        </w:rPr>
        <w:t xml:space="preserve">chemicals and related products (by </w:t>
      </w:r>
      <w:r w:rsidR="003D6EC2">
        <w:rPr>
          <w:spacing w:val="-4"/>
          <w:shd w:val="clear" w:color="auto" w:fill="FFFFFF"/>
          <w:lang w:val="en-GB"/>
        </w:rPr>
        <w:t>4.5</w:t>
      </w:r>
      <w:r w:rsidR="003D6EC2" w:rsidRPr="00AD78DC">
        <w:rPr>
          <w:spacing w:val="-4"/>
          <w:shd w:val="clear" w:color="auto" w:fill="FFFFFF"/>
          <w:lang w:val="en-GB"/>
        </w:rPr>
        <w:t>%)</w:t>
      </w:r>
      <w:r w:rsidR="003D6EC2">
        <w:rPr>
          <w:spacing w:val="-4"/>
          <w:shd w:val="clear" w:color="auto" w:fill="FFFFFF"/>
          <w:lang w:val="en-GB"/>
        </w:rPr>
        <w:t>,</w:t>
      </w:r>
      <w:r w:rsidR="00914FE7">
        <w:rPr>
          <w:spacing w:val="-4"/>
          <w:shd w:val="clear" w:color="auto" w:fill="FFFFFF"/>
          <w:lang w:val="en-GB"/>
        </w:rPr>
        <w:t xml:space="preserve"> </w:t>
      </w:r>
      <w:r w:rsidR="00914FE7" w:rsidRPr="00AD78DC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595645">
        <w:rPr>
          <w:spacing w:val="-2"/>
          <w:shd w:val="clear" w:color="auto" w:fill="FFFFFF"/>
          <w:lang w:val="en-GB"/>
        </w:rPr>
        <w:t>2</w:t>
      </w:r>
      <w:r w:rsidR="00914FE7">
        <w:rPr>
          <w:spacing w:val="-2"/>
          <w:shd w:val="clear" w:color="auto" w:fill="FFFFFF"/>
          <w:lang w:val="en-GB"/>
        </w:rPr>
        <w:t>.5</w:t>
      </w:r>
      <w:r w:rsidR="00914FE7" w:rsidRPr="00AD78DC">
        <w:rPr>
          <w:spacing w:val="-4"/>
          <w:shd w:val="clear" w:color="auto" w:fill="FFFFFF"/>
          <w:lang w:val="en-GB"/>
        </w:rPr>
        <w:t>%)</w:t>
      </w:r>
      <w:r w:rsidR="00595645">
        <w:rPr>
          <w:spacing w:val="-4"/>
          <w:shd w:val="clear" w:color="auto" w:fill="FFFFFF"/>
          <w:lang w:val="en-GB"/>
        </w:rPr>
        <w:t>,</w:t>
      </w:r>
      <w:r w:rsidR="002A008A">
        <w:rPr>
          <w:spacing w:val="-4"/>
          <w:shd w:val="clear" w:color="auto" w:fill="FFFFFF"/>
          <w:lang w:val="en-GB"/>
        </w:rPr>
        <w:t xml:space="preserve"> </w:t>
      </w:r>
      <w:r w:rsidR="002A008A" w:rsidRPr="00AD78DC">
        <w:rPr>
          <w:spacing w:val="-4"/>
          <w:shd w:val="clear" w:color="auto" w:fill="FFFFFF"/>
          <w:lang w:val="en-GB"/>
        </w:rPr>
        <w:t xml:space="preserve">food and live animals (by </w:t>
      </w:r>
      <w:r w:rsidR="002A008A">
        <w:rPr>
          <w:spacing w:val="-2"/>
          <w:shd w:val="clear" w:color="auto" w:fill="FFFFFF"/>
          <w:lang w:val="en-GB"/>
        </w:rPr>
        <w:t>2.1%</w:t>
      </w:r>
      <w:r w:rsidR="002A008A" w:rsidRPr="00AD78DC">
        <w:rPr>
          <w:spacing w:val="-4"/>
          <w:shd w:val="clear" w:color="auto" w:fill="FFFFFF"/>
          <w:lang w:val="en-GB"/>
        </w:rPr>
        <w:t>)</w:t>
      </w:r>
      <w:r w:rsidR="002A008A">
        <w:rPr>
          <w:spacing w:val="-4"/>
          <w:shd w:val="clear" w:color="auto" w:fill="FFFFFF"/>
          <w:lang w:val="en-GB"/>
        </w:rPr>
        <w:t xml:space="preserve"> and </w:t>
      </w:r>
      <w:r w:rsidR="001D79E3"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1D79E3">
        <w:rPr>
          <w:spacing w:val="-2"/>
          <w:shd w:val="clear" w:color="auto" w:fill="FFFFFF"/>
          <w:lang w:val="en-GB"/>
        </w:rPr>
        <w:t>1.</w:t>
      </w:r>
      <w:r w:rsidR="002A008A">
        <w:rPr>
          <w:spacing w:val="-2"/>
          <w:shd w:val="clear" w:color="auto" w:fill="FFFFFF"/>
          <w:lang w:val="en-GB"/>
        </w:rPr>
        <w:t>6</w:t>
      </w:r>
      <w:r w:rsidR="001D79E3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.</w:t>
      </w:r>
      <w:r w:rsidR="00193A9A">
        <w:rPr>
          <w:spacing w:val="-4"/>
          <w:shd w:val="clear" w:color="auto" w:fill="FFFFFF"/>
          <w:lang w:val="en-GB"/>
        </w:rPr>
        <w:t xml:space="preserve"> </w:t>
      </w:r>
      <w:r w:rsidR="00134865">
        <w:rPr>
          <w:spacing w:val="-4"/>
          <w:lang w:val="en-GB"/>
        </w:rPr>
        <w:t>D</w:t>
      </w:r>
      <w:r w:rsidR="005978BB" w:rsidRPr="00AD78DC">
        <w:rPr>
          <w:spacing w:val="-4"/>
          <w:lang w:val="en-GB"/>
        </w:rPr>
        <w:t>ecline</w:t>
      </w:r>
      <w:r w:rsidR="00134865">
        <w:rPr>
          <w:spacing w:val="-4"/>
          <w:lang w:val="en-GB"/>
        </w:rPr>
        <w:t>s</w:t>
      </w:r>
      <w:r w:rsidR="005978BB" w:rsidRPr="00AD78DC">
        <w:rPr>
          <w:spacing w:val="-4"/>
          <w:lang w:val="en-GB"/>
        </w:rPr>
        <w:t xml:space="preserve"> concerned</w:t>
      </w:r>
      <w:r w:rsidR="005978BB">
        <w:rPr>
          <w:spacing w:val="-4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animal and vegetable oils, fats and waxes (by </w:t>
      </w:r>
      <w:r w:rsidR="00F77F86">
        <w:rPr>
          <w:spacing w:val="-2"/>
          <w:shd w:val="clear" w:color="auto" w:fill="FFFFFF"/>
          <w:lang w:val="en-GB"/>
        </w:rPr>
        <w:t>8.2</w:t>
      </w:r>
      <w:r w:rsidR="00116325" w:rsidRPr="00AD78DC">
        <w:rPr>
          <w:spacing w:val="-4"/>
          <w:shd w:val="clear" w:color="auto" w:fill="FFFFFF"/>
          <w:lang w:val="en-GB"/>
        </w:rPr>
        <w:t>%)</w:t>
      </w:r>
      <w:r w:rsidR="00121FFA">
        <w:rPr>
          <w:spacing w:val="-4"/>
          <w:shd w:val="clear" w:color="auto" w:fill="FFFFFF"/>
          <w:lang w:val="en-GB"/>
        </w:rPr>
        <w:t xml:space="preserve"> </w:t>
      </w:r>
      <w:bookmarkStart w:id="13" w:name="_GoBack"/>
      <w:bookmarkEnd w:id="13"/>
      <w:r w:rsidR="007D1803">
        <w:rPr>
          <w:spacing w:val="-4"/>
          <w:shd w:val="clear" w:color="auto" w:fill="FFFFFF"/>
          <w:lang w:val="en-GB"/>
        </w:rPr>
        <w:t xml:space="preserve">and </w:t>
      </w:r>
      <w:r w:rsidR="00EE6980" w:rsidRPr="00AD78DC">
        <w:rPr>
          <w:spacing w:val="-4"/>
          <w:shd w:val="clear" w:color="auto" w:fill="FFFFFF"/>
          <w:lang w:val="en-GB"/>
        </w:rPr>
        <w:t>crude materials, inedible, except fuels (by</w:t>
      </w:r>
      <w:r w:rsidR="00F77F86">
        <w:rPr>
          <w:spacing w:val="-4"/>
          <w:shd w:val="clear" w:color="auto" w:fill="FFFFFF"/>
          <w:lang w:val="en-GB"/>
        </w:rPr>
        <w:t xml:space="preserve"> 0.8</w:t>
      </w:r>
      <w:r w:rsidR="00EE6980" w:rsidRPr="00AD78DC">
        <w:rPr>
          <w:spacing w:val="-4"/>
          <w:shd w:val="clear" w:color="auto" w:fill="FFFFFF"/>
          <w:lang w:val="en-GB"/>
        </w:rPr>
        <w:t>%)</w:t>
      </w:r>
      <w:r w:rsidR="00E15D2A">
        <w:rPr>
          <w:spacing w:val="-4"/>
          <w:shd w:val="clear" w:color="auto" w:fill="FFFFFF"/>
          <w:lang w:val="en-GB"/>
        </w:rPr>
        <w:t>.</w:t>
      </w:r>
    </w:p>
    <w:p w:rsidR="009F3FCB" w:rsidRPr="00AD78DC" w:rsidRDefault="00293851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shd w:val="clear" w:color="auto" w:fill="FFFFFF"/>
          <w:lang w:val="en-GB"/>
        </w:rPr>
        <w:t xml:space="preserve">In </w:t>
      </w:r>
      <w:r w:rsidR="00766E91" w:rsidRPr="00AD78DC">
        <w:rPr>
          <w:spacing w:val="-4"/>
          <w:shd w:val="clear" w:color="auto" w:fill="FFFFFF"/>
          <w:lang w:val="en-GB"/>
        </w:rPr>
        <w:t xml:space="preserve">imports </w:t>
      </w:r>
      <w:r w:rsidRPr="00AD78DC">
        <w:rPr>
          <w:spacing w:val="-4"/>
          <w:shd w:val="clear" w:color="auto" w:fill="FFFFFF"/>
          <w:lang w:val="en-GB"/>
        </w:rPr>
        <w:t>i</w:t>
      </w:r>
      <w:r w:rsidR="00191AE6" w:rsidRPr="00AD78DC">
        <w:rPr>
          <w:spacing w:val="-4"/>
          <w:shd w:val="clear" w:color="auto" w:fill="FFFFFF"/>
          <w:lang w:val="en-GB"/>
        </w:rPr>
        <w:t>ncreases were recorded in</w:t>
      </w:r>
      <w:r w:rsidR="007F0F73" w:rsidRPr="00AD78DC">
        <w:rPr>
          <w:spacing w:val="-4"/>
          <w:shd w:val="clear" w:color="auto" w:fill="FFFFFF"/>
          <w:lang w:val="en-GB"/>
        </w:rPr>
        <w:t>:</w:t>
      </w:r>
      <w:r w:rsidR="00007A78">
        <w:rPr>
          <w:spacing w:val="-4"/>
          <w:shd w:val="clear" w:color="auto" w:fill="FFFFFF"/>
          <w:lang w:val="en-GB"/>
        </w:rPr>
        <w:t xml:space="preserve"> </w:t>
      </w:r>
      <w:r w:rsidR="00007A78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007A78">
        <w:rPr>
          <w:shd w:val="clear" w:color="auto" w:fill="FFFFFF"/>
          <w:lang w:val="en-GB"/>
        </w:rPr>
        <w:t>25.6</w:t>
      </w:r>
      <w:r w:rsidR="00007A78" w:rsidRPr="00AD78DC">
        <w:rPr>
          <w:spacing w:val="-4"/>
          <w:shd w:val="clear" w:color="auto" w:fill="FFFFFF"/>
          <w:lang w:val="en-GB"/>
        </w:rPr>
        <w:t>%)</w:t>
      </w:r>
      <w:r w:rsidR="00007A78">
        <w:rPr>
          <w:spacing w:val="-4"/>
          <w:shd w:val="clear" w:color="auto" w:fill="FFFFFF"/>
          <w:lang w:val="en-GB"/>
        </w:rPr>
        <w:t>,</w:t>
      </w:r>
      <w:r w:rsidR="00EB5D9D">
        <w:rPr>
          <w:spacing w:val="-4"/>
          <w:shd w:val="clear" w:color="auto" w:fill="FFFFFF"/>
          <w:lang w:val="en-GB"/>
        </w:rPr>
        <w:t xml:space="preserve"> </w:t>
      </w:r>
      <w:r w:rsidR="00EB5D9D" w:rsidRPr="00AD78DC">
        <w:rPr>
          <w:spacing w:val="-4"/>
          <w:shd w:val="clear" w:color="auto" w:fill="FFFFFF"/>
          <w:lang w:val="en-GB"/>
        </w:rPr>
        <w:t>animal</w:t>
      </w:r>
      <w:r w:rsidR="00EB5D9D">
        <w:rPr>
          <w:spacing w:val="-4"/>
          <w:shd w:val="clear" w:color="auto" w:fill="FFFFFF"/>
          <w:lang w:val="en-GB"/>
        </w:rPr>
        <w:t xml:space="preserve"> and</w:t>
      </w:r>
      <w:r w:rsidR="00EB5D9D" w:rsidRPr="00AD78DC">
        <w:rPr>
          <w:spacing w:val="-4"/>
          <w:shd w:val="clear" w:color="auto" w:fill="FFFFFF"/>
          <w:lang w:val="en-GB"/>
        </w:rPr>
        <w:t xml:space="preserve"> vegetable oils, fats and waxes (by </w:t>
      </w:r>
      <w:r w:rsidR="00EB5D9D">
        <w:rPr>
          <w:shd w:val="clear" w:color="auto" w:fill="FFFFFF"/>
          <w:lang w:val="en-GB"/>
        </w:rPr>
        <w:t>8.7</w:t>
      </w:r>
      <w:r w:rsidR="00EB5D9D" w:rsidRPr="00AD78DC">
        <w:rPr>
          <w:spacing w:val="-4"/>
          <w:shd w:val="clear" w:color="auto" w:fill="FFFFFF"/>
          <w:lang w:val="en-GB"/>
        </w:rPr>
        <w:t>%)</w:t>
      </w:r>
      <w:r w:rsidR="00EB5D9D">
        <w:rPr>
          <w:spacing w:val="-4"/>
          <w:shd w:val="clear" w:color="auto" w:fill="FFFFFF"/>
          <w:lang w:val="en-GB"/>
        </w:rPr>
        <w:t xml:space="preserve">, </w:t>
      </w:r>
      <w:r w:rsidR="00EB5D9D" w:rsidRPr="00AD78DC">
        <w:rPr>
          <w:spacing w:val="-4"/>
          <w:shd w:val="clear" w:color="auto" w:fill="FFFFFF"/>
          <w:lang w:val="en-GB"/>
        </w:rPr>
        <w:t>machinery and transport equipment (by</w:t>
      </w:r>
      <w:r w:rsidR="00EB5D9D">
        <w:rPr>
          <w:spacing w:val="-4"/>
          <w:shd w:val="clear" w:color="auto" w:fill="FFFFFF"/>
          <w:lang w:val="en-GB"/>
        </w:rPr>
        <w:t xml:space="preserve"> 8.6</w:t>
      </w:r>
      <w:r w:rsidR="00EB5D9D" w:rsidRPr="0023258D">
        <w:rPr>
          <w:shd w:val="clear" w:color="auto" w:fill="FFFFFF"/>
          <w:lang w:val="en-GB"/>
        </w:rPr>
        <w:t>%</w:t>
      </w:r>
      <w:r w:rsidR="00EB5D9D" w:rsidRPr="00AD78DC">
        <w:rPr>
          <w:spacing w:val="-4"/>
          <w:shd w:val="clear" w:color="auto" w:fill="FFFFFF"/>
          <w:lang w:val="en-GB"/>
        </w:rPr>
        <w:t>)</w:t>
      </w:r>
      <w:r w:rsidR="00EB5D9D">
        <w:rPr>
          <w:spacing w:val="-4"/>
          <w:shd w:val="clear" w:color="auto" w:fill="FFFFFF"/>
          <w:lang w:val="en-GB"/>
        </w:rPr>
        <w:t xml:space="preserve">, </w:t>
      </w:r>
      <w:r w:rsidR="00EB5D9D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EB5D9D">
        <w:rPr>
          <w:shd w:val="clear" w:color="auto" w:fill="FFFFFF"/>
          <w:lang w:val="en-GB"/>
        </w:rPr>
        <w:t>8.2</w:t>
      </w:r>
      <w:r w:rsidR="00EB5D9D" w:rsidRPr="00AD78DC">
        <w:rPr>
          <w:spacing w:val="-4"/>
          <w:shd w:val="clear" w:color="auto" w:fill="FFFFFF"/>
          <w:lang w:val="en-GB"/>
        </w:rPr>
        <w:t>%)</w:t>
      </w:r>
      <w:r w:rsidR="002D5DE7">
        <w:rPr>
          <w:spacing w:val="-4"/>
          <w:shd w:val="clear" w:color="auto" w:fill="FFFFFF"/>
          <w:lang w:val="en-GB"/>
        </w:rPr>
        <w:t xml:space="preserve"> and</w:t>
      </w:r>
      <w:r w:rsidR="00EB5D9D" w:rsidRPr="00710815">
        <w:rPr>
          <w:spacing w:val="-4"/>
          <w:shd w:val="clear" w:color="auto" w:fill="FFFFFF"/>
          <w:lang w:val="en-GB"/>
        </w:rPr>
        <w:t xml:space="preserve"> </w:t>
      </w:r>
      <w:r w:rsidR="00EB5D9D" w:rsidRPr="00AD78DC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EB5D9D">
        <w:rPr>
          <w:shd w:val="clear" w:color="auto" w:fill="FFFFFF"/>
          <w:lang w:val="en-GB"/>
        </w:rPr>
        <w:t>5.7</w:t>
      </w:r>
      <w:r w:rsidR="00EB5D9D" w:rsidRPr="00AD78DC">
        <w:rPr>
          <w:spacing w:val="-4"/>
          <w:shd w:val="clear" w:color="auto" w:fill="FFFFFF"/>
          <w:lang w:val="en-GB"/>
        </w:rPr>
        <w:t>%)</w:t>
      </w:r>
      <w:r w:rsidR="00A1263F">
        <w:rPr>
          <w:spacing w:val="-4"/>
          <w:shd w:val="clear" w:color="auto" w:fill="FFFFFF"/>
          <w:lang w:val="en-GB"/>
        </w:rPr>
        <w:t>. D</w:t>
      </w:r>
      <w:r w:rsidR="00A1263F" w:rsidRPr="00AD78DC">
        <w:rPr>
          <w:spacing w:val="-4"/>
          <w:shd w:val="clear" w:color="auto" w:fill="FFFFFF"/>
          <w:lang w:val="en-GB"/>
        </w:rPr>
        <w:t xml:space="preserve">ecreases </w:t>
      </w:r>
      <w:r w:rsidR="00A1263F">
        <w:rPr>
          <w:spacing w:val="-4"/>
          <w:shd w:val="clear" w:color="auto" w:fill="FFFFFF"/>
          <w:lang w:val="en-GB"/>
        </w:rPr>
        <w:t>concerned</w:t>
      </w:r>
      <w:r w:rsidR="00A1263F" w:rsidRPr="00AD78DC">
        <w:rPr>
          <w:spacing w:val="-4"/>
          <w:shd w:val="clear" w:color="auto" w:fill="FFFFFF"/>
          <w:lang w:val="en-GB"/>
        </w:rPr>
        <w:t>:</w:t>
      </w:r>
      <w:r w:rsidR="00A1263F">
        <w:rPr>
          <w:spacing w:val="-4"/>
          <w:shd w:val="clear" w:color="auto" w:fill="FFFFFF"/>
          <w:lang w:val="en-GB"/>
        </w:rPr>
        <w:t xml:space="preserve"> </w:t>
      </w:r>
      <w:r w:rsidR="00A1263F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A1263F">
        <w:rPr>
          <w:shd w:val="clear" w:color="auto" w:fill="FFFFFF"/>
          <w:lang w:val="en-GB"/>
        </w:rPr>
        <w:t>6.8</w:t>
      </w:r>
      <w:r w:rsidR="00A1263F" w:rsidRPr="00AD78DC">
        <w:rPr>
          <w:spacing w:val="-4"/>
          <w:shd w:val="clear" w:color="auto" w:fill="FFFFFF"/>
          <w:lang w:val="en-GB"/>
        </w:rPr>
        <w:t>%)</w:t>
      </w:r>
      <w:r w:rsidR="00A1263F">
        <w:rPr>
          <w:spacing w:val="-4"/>
          <w:shd w:val="clear" w:color="auto" w:fill="FFFFFF"/>
          <w:lang w:val="en-GB"/>
        </w:rPr>
        <w:t xml:space="preserve">, </w:t>
      </w:r>
      <w:r w:rsidR="00A1263F"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A1263F">
        <w:rPr>
          <w:shd w:val="clear" w:color="auto" w:fill="FFFFFF"/>
          <w:lang w:val="en-GB"/>
        </w:rPr>
        <w:t>6.0</w:t>
      </w:r>
      <w:r w:rsidR="00A1263F" w:rsidRPr="00AD78DC">
        <w:rPr>
          <w:spacing w:val="-4"/>
          <w:shd w:val="clear" w:color="auto" w:fill="FFFFFF"/>
          <w:lang w:val="en-GB"/>
        </w:rPr>
        <w:t>%),</w:t>
      </w:r>
      <w:r w:rsidR="00A1263F">
        <w:rPr>
          <w:spacing w:val="-4"/>
          <w:shd w:val="clear" w:color="auto" w:fill="FFFFFF"/>
          <w:lang w:val="en-GB"/>
        </w:rPr>
        <w:t xml:space="preserve"> </w:t>
      </w:r>
      <w:r w:rsidR="00A1263F" w:rsidRPr="00AD78DC">
        <w:rPr>
          <w:spacing w:val="-4"/>
          <w:shd w:val="clear" w:color="auto" w:fill="FFFFFF"/>
          <w:lang w:val="en-GB"/>
        </w:rPr>
        <w:t>manufactured goods classified chiefly by material (by</w:t>
      </w:r>
      <w:r w:rsidR="00A1263F">
        <w:rPr>
          <w:spacing w:val="-4"/>
          <w:shd w:val="clear" w:color="auto" w:fill="FFFFFF"/>
          <w:lang w:val="en-GB"/>
        </w:rPr>
        <w:t xml:space="preserve"> </w:t>
      </w:r>
      <w:r w:rsidR="00DF7D19">
        <w:rPr>
          <w:spacing w:val="-4"/>
          <w:shd w:val="clear" w:color="auto" w:fill="FFFFFF"/>
          <w:lang w:val="en-GB"/>
        </w:rPr>
        <w:t>1</w:t>
      </w:r>
      <w:r w:rsidR="00A1263F">
        <w:rPr>
          <w:spacing w:val="-4"/>
          <w:shd w:val="clear" w:color="auto" w:fill="FFFFFF"/>
          <w:lang w:val="en-GB"/>
        </w:rPr>
        <w:t>.5%)</w:t>
      </w:r>
      <w:r w:rsidR="00DF7D19">
        <w:rPr>
          <w:spacing w:val="-4"/>
          <w:shd w:val="clear" w:color="auto" w:fill="FFFFFF"/>
          <w:lang w:val="en-GB"/>
        </w:rPr>
        <w:t xml:space="preserve">, </w:t>
      </w:r>
      <w:r w:rsidR="00DF7D19" w:rsidRPr="00AD78DC">
        <w:rPr>
          <w:spacing w:val="-4"/>
          <w:shd w:val="clear" w:color="auto" w:fill="FFFFFF"/>
          <w:lang w:val="en-GB"/>
        </w:rPr>
        <w:t>chemicals and related products (by</w:t>
      </w:r>
      <w:r w:rsidR="00DF7D19">
        <w:rPr>
          <w:spacing w:val="-4"/>
          <w:shd w:val="clear" w:color="auto" w:fill="FFFFFF"/>
          <w:lang w:val="en-GB"/>
        </w:rPr>
        <w:t xml:space="preserve"> 1.1</w:t>
      </w:r>
      <w:r w:rsidR="00DF7D19" w:rsidRPr="00AD78DC">
        <w:rPr>
          <w:spacing w:val="-4"/>
          <w:shd w:val="clear" w:color="auto" w:fill="FFFFFF"/>
          <w:lang w:val="en-GB"/>
        </w:rPr>
        <w:t>%)</w:t>
      </w:r>
      <w:r w:rsidR="00DF7D19">
        <w:rPr>
          <w:spacing w:val="-4"/>
          <w:shd w:val="clear" w:color="auto" w:fill="FFFFFF"/>
          <w:lang w:val="en-GB"/>
        </w:rPr>
        <w:t xml:space="preserve"> </w:t>
      </w:r>
      <w:r w:rsidR="00710815">
        <w:rPr>
          <w:spacing w:val="-4"/>
          <w:shd w:val="clear" w:color="auto" w:fill="FFFFFF"/>
          <w:lang w:val="en-GB"/>
        </w:rPr>
        <w:t xml:space="preserve">and </w:t>
      </w:r>
      <w:r w:rsidR="00710815" w:rsidRPr="00AD78DC">
        <w:rPr>
          <w:spacing w:val="-4"/>
          <w:shd w:val="clear" w:color="auto" w:fill="FFFFFF"/>
          <w:lang w:val="en-GB"/>
        </w:rPr>
        <w:t xml:space="preserve">food and live animals </w:t>
      </w:r>
      <w:r w:rsidR="00710815">
        <w:rPr>
          <w:spacing w:val="-4"/>
          <w:shd w:val="clear" w:color="auto" w:fill="FFFFFF"/>
          <w:lang w:val="en-GB"/>
        </w:rPr>
        <w:t xml:space="preserve">(by </w:t>
      </w:r>
      <w:r w:rsidR="003520F4">
        <w:rPr>
          <w:spacing w:val="-4"/>
          <w:shd w:val="clear" w:color="auto" w:fill="FFFFFF"/>
          <w:lang w:val="en-GB"/>
        </w:rPr>
        <w:t>0</w:t>
      </w:r>
      <w:r w:rsidR="00710815">
        <w:rPr>
          <w:spacing w:val="-4"/>
          <w:shd w:val="clear" w:color="auto" w:fill="FFFFFF"/>
          <w:lang w:val="en-GB"/>
        </w:rPr>
        <w:t>.</w:t>
      </w:r>
      <w:r w:rsidR="00DF7D19">
        <w:rPr>
          <w:spacing w:val="-4"/>
          <w:shd w:val="clear" w:color="auto" w:fill="FFFFFF"/>
          <w:lang w:val="en-GB"/>
        </w:rPr>
        <w:t>3</w:t>
      </w:r>
      <w:r w:rsidR="00710815">
        <w:rPr>
          <w:spacing w:val="-4"/>
          <w:shd w:val="clear" w:color="auto" w:fill="FFFFFF"/>
          <w:lang w:val="en-GB"/>
        </w:rPr>
        <w:t>%).</w:t>
      </w: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DF7D19" w:rsidRPr="00AD78DC" w:rsidRDefault="00DF7D1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A02EF5" w:rsidRDefault="00A02EF5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A02EF5" w:rsidRDefault="00A02EF5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A02EF5" w:rsidRPr="00AD78DC" w:rsidRDefault="00A02EF5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D918FF" w:rsidRPr="00D46A49" w:rsidRDefault="000D422C" w:rsidP="00C830AF">
      <w:pPr>
        <w:spacing w:line="288" w:lineRule="auto"/>
        <w:ind w:right="-155"/>
        <w:rPr>
          <w:noProof/>
          <w:spacing w:val="-4"/>
          <w:szCs w:val="19"/>
          <w:lang w:val="en-GB"/>
        </w:rPr>
      </w:pPr>
      <w:r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lastRenderedPageBreak/>
        <w:t>Chart 2</w:t>
      </w:r>
      <w:r w:rsidR="00E34A39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. Composition of exports by sections according to SITC nomenclature in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January</w:t>
      </w:r>
      <w:r w:rsidR="004B71B6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–</w:t>
      </w:r>
      <w:r w:rsidR="0099468F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April</w:t>
      </w:r>
      <w:r w:rsidR="008C585C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2026</w:t>
      </w:r>
      <w:r w:rsidR="00943943" w:rsidRPr="00D46A49">
        <w:rPr>
          <w:noProof/>
          <w:spacing w:val="-4"/>
          <w:szCs w:val="19"/>
          <w:lang w:val="en-GB"/>
        </w:rPr>
        <w:t xml:space="preserve"> </w:t>
      </w:r>
    </w:p>
    <w:p w:rsidR="00EF10F8" w:rsidRPr="00AD78DC" w:rsidRDefault="00287AE2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2363215" wp14:editId="442C123D">
            <wp:extent cx="5122545" cy="3154680"/>
            <wp:effectExtent l="0" t="0" r="1905" b="7620"/>
            <wp:docPr id="14" name="Wykres 14" descr="Chart 2. Composition of exports by sections according to SITC nomenclature in January–April 2026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1339" w:rsidRPr="00D46A49" w:rsidRDefault="00501339" w:rsidP="00501339">
      <w:pPr>
        <w:spacing w:line="288" w:lineRule="auto"/>
        <w:ind w:right="-155"/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</w:pPr>
      <w:r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Chart 3. Composition of imports by sections according to SITC nomenclature in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January</w:t>
      </w:r>
      <w:r w:rsidR="004B71B6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–</w:t>
      </w:r>
      <w:r w:rsidR="0099468F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April</w:t>
      </w:r>
      <w:r w:rsidR="00842EFE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2026</w:t>
      </w:r>
    </w:p>
    <w:p w:rsidR="00AD195B" w:rsidRPr="00AD78DC" w:rsidRDefault="005464EC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bookmarkStart w:id="14" w:name="_Hlk97571462"/>
      <w:r>
        <w:rPr>
          <w:noProof/>
        </w:rPr>
        <w:drawing>
          <wp:inline distT="0" distB="0" distL="0" distR="0" wp14:anchorId="265546A1" wp14:editId="30835DEA">
            <wp:extent cx="5122545" cy="3169920"/>
            <wp:effectExtent l="0" t="0" r="1905" b="0"/>
            <wp:docPr id="1" name="Wykres 1" descr="Chart 3. Composition of imports by sections according to SITC nomenclature in January–April 20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4"/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7A011D" w:rsidRDefault="007A011D" w:rsidP="00366025">
      <w:pPr>
        <w:rPr>
          <w:szCs w:val="19"/>
          <w:lang w:val="en-GB" w:eastAsia="pl-PL"/>
        </w:rPr>
      </w:pPr>
    </w:p>
    <w:p w:rsidR="007A011D" w:rsidRDefault="007A011D" w:rsidP="00366025">
      <w:pPr>
        <w:rPr>
          <w:szCs w:val="19"/>
          <w:lang w:val="en-GB" w:eastAsia="pl-PL"/>
        </w:rPr>
      </w:pPr>
    </w:p>
    <w:p w:rsidR="00684A08" w:rsidRPr="00AD78DC" w:rsidRDefault="00684A08" w:rsidP="00366025">
      <w:pPr>
        <w:rPr>
          <w:rFonts w:cs="Arial"/>
          <w:lang w:val="en-GB"/>
        </w:rPr>
      </w:pPr>
      <w:r w:rsidRPr="00AD78DC">
        <w:rPr>
          <w:szCs w:val="19"/>
          <w:lang w:val="en-GB" w:eastAsia="pl-PL"/>
        </w:rPr>
        <w:t>In the case of quoting Statistics Poland data, please provide information: ‘Source of data: Statistics Poland’, and in the case of publishing calculations made on data published by Statistics Poland, please provide information: ‘Own work based on Statistics Poland data’.</w:t>
      </w:r>
    </w:p>
    <w:p w:rsidR="00684A08" w:rsidRPr="00AD78DC" w:rsidRDefault="00684A08" w:rsidP="00366025">
      <w:pPr>
        <w:rPr>
          <w:rFonts w:cs="Arial"/>
          <w:lang w:val="en-GB"/>
        </w:rPr>
        <w:sectPr w:rsidR="00684A08" w:rsidRPr="00AD78DC" w:rsidSect="00165FD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EA3465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:rsidR="003D3C52" w:rsidRPr="00AD78DC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="003D3C52" w:rsidRPr="00AD78DC" w:rsidRDefault="00B764AD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>Prices</w:t>
            </w:r>
            <w:r w:rsidR="003D3C52"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and Services Department </w:t>
            </w:r>
          </w:p>
          <w:p w:rsidR="003D3C52" w:rsidRPr="00AD78DC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D78DC">
              <w:rPr>
                <w:b/>
                <w:lang w:val="fi-FI"/>
              </w:rPr>
              <w:t>Director Ewa Adach – Stankiewicz</w:t>
            </w:r>
          </w:p>
          <w:p w:rsidR="003D3C52" w:rsidRPr="00AD78DC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D78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:rsidR="003D3C52" w:rsidRPr="00AD78DC" w:rsidRDefault="003D3C52" w:rsidP="00EC5FCF">
            <w:pPr>
              <w:rPr>
                <w:b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t>Issued by:</w:t>
            </w:r>
            <w:r w:rsidRPr="00AD78DC">
              <w:rPr>
                <w:rFonts w:cs="Arial"/>
                <w:sz w:val="20"/>
                <w:lang w:val="en-GB"/>
              </w:rPr>
              <w:br/>
            </w:r>
            <w:r w:rsidRPr="00AD78DC">
              <w:rPr>
                <w:b/>
                <w:lang w:val="en-GB"/>
              </w:rPr>
              <w:t>Press Office</w:t>
            </w:r>
          </w:p>
          <w:p w:rsidR="003D3C52" w:rsidRPr="00AD78DC" w:rsidRDefault="003D3C52" w:rsidP="00EC5FCF">
            <w:pPr>
              <w:rPr>
                <w:lang w:val="en-GB"/>
              </w:rPr>
            </w:pPr>
            <w:r w:rsidRPr="00AD78DC">
              <w:rPr>
                <w:lang w:val="en-GB"/>
              </w:rPr>
              <w:t>Mobile: (+48) 695 255 032</w:t>
            </w:r>
          </w:p>
          <w:p w:rsidR="003D3C52" w:rsidRPr="00AD78DC" w:rsidRDefault="003D3C52" w:rsidP="00EC5FCF">
            <w:pPr>
              <w:spacing w:after="0"/>
              <w:rPr>
                <w:lang w:val="en-GB"/>
              </w:rPr>
            </w:pPr>
            <w:r w:rsidRPr="00AD78DC">
              <w:rPr>
                <w:lang w:val="en-GB"/>
              </w:rPr>
              <w:t>Phone: (+48 22) 608 38 04</w:t>
            </w:r>
            <w:r w:rsidR="004E198C">
              <w:rPr>
                <w:lang w:val="en-GB"/>
              </w:rPr>
              <w:t>,</w:t>
            </w:r>
            <w:r w:rsidRPr="00AD78DC">
              <w:rPr>
                <w:lang w:val="en-GB"/>
              </w:rPr>
              <w:t xml:space="preserve"> (+48 22) 449 41 45</w:t>
            </w:r>
            <w:r w:rsidR="001E5F7F">
              <w:rPr>
                <w:lang w:val="en-GB"/>
              </w:rPr>
              <w:t>,</w:t>
            </w:r>
            <w:r w:rsidRPr="00AD78DC">
              <w:rPr>
                <w:lang w:val="en-GB"/>
              </w:rPr>
              <w:t xml:space="preserve"> </w:t>
            </w:r>
          </w:p>
          <w:p w:rsidR="003D3C52" w:rsidRPr="00AD78DC" w:rsidRDefault="003D3C52" w:rsidP="00EC5FCF">
            <w:pPr>
              <w:spacing w:before="0"/>
              <w:rPr>
                <w:lang w:val="en-GB"/>
              </w:rPr>
            </w:pPr>
            <w:r w:rsidRPr="00AD78DC">
              <w:rPr>
                <w:lang w:val="en-GB"/>
              </w:rPr>
              <w:t xml:space="preserve">             (+48 22) 608 30 09</w:t>
            </w:r>
          </w:p>
          <w:p w:rsidR="001E5F7F" w:rsidRDefault="001E5F7F" w:rsidP="001E5F7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b/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hyperlink r:id="rId17" w:history="1">
              <w:r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3D3C52" w:rsidRPr="00AD78DC" w:rsidRDefault="001E5F7F" w:rsidP="001E5F7F">
            <w:pPr>
              <w:rPr>
                <w:lang w:val="en-GB"/>
              </w:rPr>
            </w:pPr>
            <w:r w:rsidRPr="00AD78DC">
              <w:rPr>
                <w:lang w:val="en-GB"/>
              </w:rPr>
              <w:t xml:space="preserve"> </w:t>
            </w:r>
          </w:p>
        </w:tc>
      </w:tr>
      <w:tr w:rsidR="001E5F7F" w:rsidRPr="00080F3A" w:rsidTr="00EC5FCF">
        <w:trPr>
          <w:trHeight w:val="418"/>
        </w:trPr>
        <w:tc>
          <w:tcPr>
            <w:tcW w:w="4926" w:type="dxa"/>
            <w:vMerge w:val="restart"/>
          </w:tcPr>
          <w:p w:rsidR="001E5F7F" w:rsidRPr="00AD78DC" w:rsidRDefault="001E5F7F" w:rsidP="001E5F7F">
            <w:pPr>
              <w:rPr>
                <w:b/>
                <w:sz w:val="20"/>
                <w:lang w:val="en-GB"/>
              </w:rPr>
            </w:pPr>
            <w:r w:rsidRPr="00AD78DC">
              <w:rPr>
                <w:b/>
                <w:sz w:val="20"/>
                <w:lang w:val="en-GB"/>
              </w:rPr>
              <w:t xml:space="preserve"> </w:t>
            </w:r>
          </w:p>
          <w:p w:rsidR="001E5F7F" w:rsidRPr="00AD78DC" w:rsidRDefault="001E5F7F" w:rsidP="001E5F7F">
            <w:pPr>
              <w:rPr>
                <w:sz w:val="20"/>
                <w:lang w:val="en-GB"/>
              </w:rPr>
            </w:pPr>
            <w:r w:rsidRPr="00AD78DC">
              <w:rPr>
                <w:sz w:val="20"/>
                <w:lang w:val="en-GB"/>
              </w:rPr>
              <w:t xml:space="preserve"> </w:t>
            </w:r>
          </w:p>
          <w:p w:rsidR="001E5F7F" w:rsidRPr="00AD78DC" w:rsidRDefault="001E5F7F" w:rsidP="001E5F7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1E5F7F" w:rsidRPr="00AD78DC" w:rsidRDefault="00C71085" w:rsidP="001E5F7F">
            <w:pPr>
              <w:ind w:firstLine="680"/>
              <w:rPr>
                <w:sz w:val="18"/>
                <w:lang w:val="en-US"/>
              </w:rPr>
            </w:pPr>
            <w:r>
              <w:pict w14:anchorId="74D68A04">
                <v:shape id="Obraz 21" o:spid="_x0000_s1028" type="#_x0000_t75" alt="Website icon" style="position:absolute;left:0;text-align:left;margin-left:6.2pt;margin-top:1.7pt;width:19.8pt;height:1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8" o:title="Website icon"/>
                </v:shape>
              </w:pict>
            </w:r>
            <w:hyperlink r:id="rId19" w:history="1">
              <w:r w:rsidR="001E5F7F">
                <w:rPr>
                  <w:rStyle w:val="Hipercze"/>
                  <w:sz w:val="20"/>
                </w:rPr>
                <w:t>stat.gov.pl/en/</w:t>
              </w:r>
              <w:r w:rsidR="001E5F7F">
                <w:rPr>
                  <w:rStyle w:val="Hipercze"/>
                  <w:sz w:val="18"/>
                </w:rPr>
                <w:t xml:space="preserve">    </w:t>
              </w:r>
            </w:hyperlink>
            <w:r w:rsidR="001E5F7F">
              <w:rPr>
                <w:sz w:val="18"/>
              </w:rPr>
              <w:t xml:space="preserve"> </w:t>
            </w:r>
          </w:p>
        </w:tc>
      </w:tr>
      <w:tr w:rsidR="001E5F7F" w:rsidRPr="00AD78DC" w:rsidTr="00EC5FCF">
        <w:trPr>
          <w:trHeight w:val="418"/>
        </w:trPr>
        <w:tc>
          <w:tcPr>
            <w:tcW w:w="4926" w:type="dxa"/>
            <w:vMerge/>
          </w:tcPr>
          <w:p w:rsidR="001E5F7F" w:rsidRPr="00AD78DC" w:rsidRDefault="001E5F7F" w:rsidP="001E5F7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E5F7F" w:rsidRPr="00AD78DC" w:rsidRDefault="00C71085" w:rsidP="001E5F7F">
            <w:pPr>
              <w:ind w:firstLine="680"/>
              <w:rPr>
                <w:sz w:val="18"/>
              </w:rPr>
            </w:pPr>
            <w:r>
              <w:pict w14:anchorId="14DDA97B">
                <v:shape id="Obraz 22" o:spid="_x0000_s1029" type="#_x0000_t75" style="position:absolute;left:0;text-align:left;margin-left:6pt;margin-top:1.7pt;width:19.8pt;height:19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0" o:title=""/>
                </v:shape>
              </w:pict>
            </w:r>
            <w:hyperlink r:id="rId21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noProof/>
                  <w:sz w:val="20"/>
                </w:rPr>
                <w:t>StatPoland</w:t>
              </w:r>
              <w:proofErr w:type="spellEnd"/>
            </w:hyperlink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  <w:vMerge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C71085" w:rsidP="001E5F7F">
            <w:pPr>
              <w:ind w:firstLine="680"/>
              <w:rPr>
                <w:sz w:val="18"/>
              </w:rPr>
            </w:pPr>
            <w:r>
              <w:pict w14:anchorId="2650188C">
                <v:shape id="Obraz 23" o:spid="_x0000_s1030" type="#_x0000_t75" alt="Facebook icon" style="position:absolute;left:0;text-align:left;margin-left:6.35pt;margin-top:1.1pt;width:19.8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2" o:title="Facebook icon"/>
                </v:shape>
              </w:pict>
            </w:r>
            <w:hyperlink r:id="rId23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sz w:val="20"/>
                </w:rPr>
                <w:t>GlownyUrzadStatystyczny</w:t>
              </w:r>
              <w:proofErr w:type="spellEnd"/>
            </w:hyperlink>
            <w:r w:rsidR="001E5F7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C71085" w:rsidP="001E5F7F">
            <w:pPr>
              <w:ind w:firstLine="680"/>
              <w:rPr>
                <w:sz w:val="20"/>
              </w:rPr>
            </w:pPr>
            <w:r>
              <w:pict w14:anchorId="5C837CB6">
                <v:shape id="Obraz 5" o:spid="_x0000_s1031" type="#_x0000_t75" alt="Instagram icon" style="position:absolute;left:0;text-align:left;margin-left:6.5pt;margin-top:1pt;width:19.8pt;height:19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4" o:title="Instagram icon"/>
                </v:shape>
              </w:pict>
            </w:r>
            <w:hyperlink r:id="rId25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sz w:val="20"/>
                </w:rPr>
                <w:t>gus_stat</w:t>
              </w:r>
              <w:proofErr w:type="spellEnd"/>
            </w:hyperlink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C71085" w:rsidP="001E5F7F">
            <w:pPr>
              <w:ind w:firstLine="680"/>
              <w:rPr>
                <w:sz w:val="20"/>
              </w:rPr>
            </w:pPr>
            <w:r>
              <w:pict w14:anchorId="317A2DAF">
                <v:shape id="Obraz 11" o:spid="_x0000_s1032" type="#_x0000_t75" alt="Youtube icon" style="position:absolute;left:0;text-align:left;margin-left:6.5pt;margin-top:1.1pt;width:19.8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6" o:title="Youtube icon"/>
                </v:shape>
              </w:pict>
            </w:r>
            <w:hyperlink r:id="rId27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1E5F7F" w:rsidRPr="00AD78DC" w:rsidTr="00EC5FCF">
        <w:trPr>
          <w:trHeight w:val="953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C71085" w:rsidP="001E5F7F">
            <w:pPr>
              <w:ind w:firstLine="680"/>
              <w:rPr>
                <w:sz w:val="20"/>
              </w:rPr>
            </w:pPr>
            <w:hyperlink r:id="rId28" w:history="1">
              <w:r w:rsidR="001E5F7F">
                <w:rPr>
                  <w:rStyle w:val="Hipercze"/>
                  <w:noProof/>
                  <w:sz w:val="20"/>
                </w:rPr>
                <w:t>@Glówny Urząd Statystyczny</w:t>
              </w:r>
            </w:hyperlink>
            <w:r>
              <w:pict w14:anchorId="74C06F3E">
                <v:shape id="Obraz 14" o:spid="_x0000_s1033" type="#_x0000_t75" alt="Linkedin icon" style="position:absolute;left:0;text-align:left;margin-left:6.5pt;margin-top:1.2pt;width:19.8pt;height:19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9" o:title="Linkedin icon"/>
                </v:shape>
              </w:pict>
            </w:r>
          </w:p>
        </w:tc>
      </w:tr>
      <w:tr w:rsidR="003D3C52" w:rsidRPr="00EA3465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78DC">
              <w:rPr>
                <w:b/>
                <w:lang w:val="en-GB"/>
              </w:rPr>
              <w:t>Related information</w:t>
            </w:r>
          </w:p>
          <w:p w:rsidR="003D3C52" w:rsidRPr="00AD78DC" w:rsidRDefault="00C71085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0" w:tooltip="Link to the publication: Foreign trade. Prices in foreign trade " w:history="1">
              <w:r w:rsidR="003D3C52" w:rsidRPr="00AD78DC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begin"/>
            </w:r>
            <w:r w:rsidR="005C77A2" w:rsidRPr="00AD78DC">
              <w:rPr>
                <w:rFonts w:cs="Times New Roman"/>
                <w:lang w:val="en"/>
              </w:rPr>
              <w:instrText>HYPERLINK "https://stat.gov.pl/en/topics/statistical-yearbooks/statistical-yearbooks/yearbook-of-foreign-trade-statistics-of-poland-2025,9,19.html" \o "Link to the publication: Yearbook of Foreign Trade Statistics of Poland 2025"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Yearbook of Foreign Trade Statistics of Poland 202</w:t>
            </w:r>
            <w:r w:rsidRPr="00AD78DC">
              <w:rPr>
                <w:rStyle w:val="Hipercze"/>
                <w:lang w:val="en"/>
              </w:rPr>
              <w:t>5</w:t>
            </w:r>
          </w:p>
          <w:p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begin"/>
            </w:r>
            <w:r w:rsidR="003D3C52" w:rsidRPr="00AD78DC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Foreign trade. Mirror and asymmetry statistics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European Union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Trade in goods by enterprise characteristics (TEC)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the world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D78DC">
              <w:rPr>
                <w:rFonts w:cs="Times New Roman"/>
              </w:rPr>
              <w:fldChar w:fldCharType="begin"/>
            </w:r>
            <w:r w:rsidRPr="00AD78DC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D78DC">
              <w:rPr>
                <w:rFonts w:cs="Times New Roman"/>
              </w:rPr>
              <w:fldChar w:fldCharType="separate"/>
            </w:r>
            <w:hyperlink r:id="rId31" w:tooltip="Link to the database page: Knowledge Databases (DBW). Foreign trade" w:history="1">
              <w:r w:rsidRPr="00AD78DC">
                <w:rPr>
                  <w:rStyle w:val="Hipercze"/>
                </w:rPr>
                <w:t>Knowledge Databases (DBW). Foreign trade</w:t>
              </w:r>
            </w:hyperlink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</w:rPr>
              <w:fldChar w:fldCharType="end"/>
            </w:r>
            <w:hyperlink r:id="rId32" w:tooltip="Link to the main page -Database. Analytical Platform  - SWAiD - Knowledge Databases. Foreign trade" w:history="1"/>
            <w:r w:rsidRPr="00AD78DC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 xml:space="preserve">Exports of commodities </w:t>
            </w:r>
          </w:p>
          <w:p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Imports of commodities</w:t>
            </w:r>
          </w:p>
          <w:p w:rsidR="003D3C52" w:rsidRPr="00AD78DC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Balance foreign trade commodity turnover</w:t>
            </w:r>
          </w:p>
          <w:p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</w:p>
          <w:p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165FDF">
      <w:headerReference w:type="default" r:id="rId33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085" w:rsidRDefault="00C71085" w:rsidP="000662E2">
      <w:pPr>
        <w:spacing w:after="0" w:line="240" w:lineRule="auto"/>
      </w:pPr>
      <w:r>
        <w:separator/>
      </w:r>
    </w:p>
  </w:endnote>
  <w:endnote w:type="continuationSeparator" w:id="0">
    <w:p w:rsidR="00C71085" w:rsidRDefault="00C710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:rsidR="007F0AD4" w:rsidRDefault="007F0A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F0AD4" w:rsidRDefault="007F0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:rsidR="007F0AD4" w:rsidRDefault="007F0A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F0AD4" w:rsidRDefault="007F0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085" w:rsidRDefault="00C71085" w:rsidP="000662E2">
      <w:pPr>
        <w:spacing w:after="0" w:line="240" w:lineRule="auto"/>
      </w:pPr>
      <w:r>
        <w:separator/>
      </w:r>
    </w:p>
  </w:footnote>
  <w:footnote w:type="continuationSeparator" w:id="0">
    <w:p w:rsidR="00C71085" w:rsidRDefault="00C71085" w:rsidP="000662E2">
      <w:pPr>
        <w:spacing w:after="0" w:line="240" w:lineRule="auto"/>
      </w:pPr>
      <w:r>
        <w:continuationSeparator/>
      </w:r>
    </w:p>
  </w:footnote>
  <w:footnote w:id="1">
    <w:p w:rsidR="007F0AD4" w:rsidRPr="00645281" w:rsidRDefault="007F0AD4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:rsidR="007F0AD4" w:rsidRPr="00EC45CC" w:rsidRDefault="007F0AD4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:rsidR="007F0AD4" w:rsidRPr="00645281" w:rsidRDefault="007F0AD4" w:rsidP="000C2149">
      <w:pPr>
        <w:pStyle w:val="Tekstprzypisudolnego"/>
        <w:rPr>
          <w:rStyle w:val="PrzypisZnak"/>
        </w:rPr>
      </w:pPr>
    </w:p>
  </w:footnote>
  <w:footnote w:id="2">
    <w:p w:rsidR="007F0AD4" w:rsidRPr="00AD195B" w:rsidRDefault="007F0AD4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:rsidR="007F0AD4" w:rsidRPr="006D21E6" w:rsidRDefault="007F0AD4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D4" w:rsidRDefault="007F0A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256C502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EDD7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F0AD4" w:rsidRDefault="007F0A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D4" w:rsidRDefault="007F0AD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041B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F0AD4" w:rsidRPr="003C6C8D" w:rsidRDefault="007F0AD4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5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F0AD4" w:rsidRPr="003C6C8D" w:rsidRDefault="007F0AD4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5" name="Obraz 15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AD4" w:rsidRDefault="007F0AD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598F4411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April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AD4" w:rsidRPr="00C97596" w:rsidRDefault="007F0AD4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15.06.2026</w:t>
                          </w:r>
                        </w:p>
                        <w:p w:rsidR="007F0AD4" w:rsidRPr="00C97596" w:rsidRDefault="007F0AD4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e of publication of the news release: 15th of April 2026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" filled="f" stroked="f">
              <v:textbox>
                <w:txbxContent>
                  <w:p w:rsidR="007F0AD4" w:rsidRPr="00C97596" w:rsidRDefault="007F0AD4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15.06.2026</w:t>
                    </w:r>
                  </w:p>
                  <w:p w:rsidR="007F0AD4" w:rsidRPr="00C97596" w:rsidRDefault="007F0AD4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D4" w:rsidRDefault="007F0AD4">
    <w:pPr>
      <w:pStyle w:val="Nagwek"/>
    </w:pPr>
  </w:p>
  <w:p w:rsidR="007F0AD4" w:rsidRDefault="007F0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15pt;height:124.9pt;visibility:visible" o:bullet="t">
        <v:imagedata r:id="rId1" o:title=""/>
      </v:shape>
    </w:pict>
  </w:numPicBullet>
  <w:numPicBullet w:numPicBulletId="1">
    <w:pict>
      <v:shape id="_x0000_i1033" type="#_x0000_t75" style="width:124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67C"/>
    <w:rsid w:val="00001A49"/>
    <w:rsid w:val="00001C5B"/>
    <w:rsid w:val="00002329"/>
    <w:rsid w:val="000023FD"/>
    <w:rsid w:val="00002F31"/>
    <w:rsid w:val="00003437"/>
    <w:rsid w:val="0000347D"/>
    <w:rsid w:val="00003760"/>
    <w:rsid w:val="00003807"/>
    <w:rsid w:val="000049BD"/>
    <w:rsid w:val="00004FB6"/>
    <w:rsid w:val="000054F8"/>
    <w:rsid w:val="00005A4A"/>
    <w:rsid w:val="00005EB6"/>
    <w:rsid w:val="00005F2D"/>
    <w:rsid w:val="0000709F"/>
    <w:rsid w:val="00007A78"/>
    <w:rsid w:val="00010131"/>
    <w:rsid w:val="000102DE"/>
    <w:rsid w:val="000108B8"/>
    <w:rsid w:val="00010B14"/>
    <w:rsid w:val="00012A26"/>
    <w:rsid w:val="00013969"/>
    <w:rsid w:val="00013E67"/>
    <w:rsid w:val="00014BD9"/>
    <w:rsid w:val="00014C18"/>
    <w:rsid w:val="000152F5"/>
    <w:rsid w:val="0001530D"/>
    <w:rsid w:val="00015A8E"/>
    <w:rsid w:val="00015F6A"/>
    <w:rsid w:val="00016703"/>
    <w:rsid w:val="00017B64"/>
    <w:rsid w:val="00017EBA"/>
    <w:rsid w:val="00020CD0"/>
    <w:rsid w:val="00020CD4"/>
    <w:rsid w:val="00021626"/>
    <w:rsid w:val="000219C4"/>
    <w:rsid w:val="00021B0C"/>
    <w:rsid w:val="00021BCB"/>
    <w:rsid w:val="00021C87"/>
    <w:rsid w:val="0002270B"/>
    <w:rsid w:val="000235F4"/>
    <w:rsid w:val="00023C19"/>
    <w:rsid w:val="00024733"/>
    <w:rsid w:val="00024AFF"/>
    <w:rsid w:val="00024ED6"/>
    <w:rsid w:val="00025467"/>
    <w:rsid w:val="000258E4"/>
    <w:rsid w:val="00025BE5"/>
    <w:rsid w:val="00027656"/>
    <w:rsid w:val="00027F0E"/>
    <w:rsid w:val="00030B97"/>
    <w:rsid w:val="0003231A"/>
    <w:rsid w:val="00032853"/>
    <w:rsid w:val="0003297D"/>
    <w:rsid w:val="0003338F"/>
    <w:rsid w:val="0003572D"/>
    <w:rsid w:val="00035AFD"/>
    <w:rsid w:val="00037222"/>
    <w:rsid w:val="00037614"/>
    <w:rsid w:val="00037968"/>
    <w:rsid w:val="00040EA2"/>
    <w:rsid w:val="00041748"/>
    <w:rsid w:val="0004369D"/>
    <w:rsid w:val="000437A5"/>
    <w:rsid w:val="00043DAB"/>
    <w:rsid w:val="0004464C"/>
    <w:rsid w:val="00044B1C"/>
    <w:rsid w:val="00044DD0"/>
    <w:rsid w:val="00045325"/>
    <w:rsid w:val="0004582E"/>
    <w:rsid w:val="00045E8E"/>
    <w:rsid w:val="000470AA"/>
    <w:rsid w:val="00047C56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A4E"/>
    <w:rsid w:val="00066C1C"/>
    <w:rsid w:val="00070820"/>
    <w:rsid w:val="00071743"/>
    <w:rsid w:val="00071ED2"/>
    <w:rsid w:val="00072870"/>
    <w:rsid w:val="000732FA"/>
    <w:rsid w:val="00073363"/>
    <w:rsid w:val="00073CDB"/>
    <w:rsid w:val="00073CE8"/>
    <w:rsid w:val="00073DEA"/>
    <w:rsid w:val="00074DD8"/>
    <w:rsid w:val="00074E5B"/>
    <w:rsid w:val="0007528B"/>
    <w:rsid w:val="00076023"/>
    <w:rsid w:val="00076601"/>
    <w:rsid w:val="000767B9"/>
    <w:rsid w:val="00076A47"/>
    <w:rsid w:val="00076FE2"/>
    <w:rsid w:val="00077F7E"/>
    <w:rsid w:val="000806F7"/>
    <w:rsid w:val="00080F3A"/>
    <w:rsid w:val="000819CC"/>
    <w:rsid w:val="00081BF6"/>
    <w:rsid w:val="000826D3"/>
    <w:rsid w:val="000830ED"/>
    <w:rsid w:val="00083314"/>
    <w:rsid w:val="00083C6E"/>
    <w:rsid w:val="00085196"/>
    <w:rsid w:val="000866DD"/>
    <w:rsid w:val="00086FF9"/>
    <w:rsid w:val="000873BC"/>
    <w:rsid w:val="00087C72"/>
    <w:rsid w:val="0009041B"/>
    <w:rsid w:val="00091256"/>
    <w:rsid w:val="00092201"/>
    <w:rsid w:val="0009234B"/>
    <w:rsid w:val="00092C54"/>
    <w:rsid w:val="00092E2F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4CE3"/>
    <w:rsid w:val="000A5123"/>
    <w:rsid w:val="000A6214"/>
    <w:rsid w:val="000A6A65"/>
    <w:rsid w:val="000A6C2C"/>
    <w:rsid w:val="000A72E4"/>
    <w:rsid w:val="000A7AEA"/>
    <w:rsid w:val="000B0727"/>
    <w:rsid w:val="000B0EC7"/>
    <w:rsid w:val="000B1003"/>
    <w:rsid w:val="000B26C1"/>
    <w:rsid w:val="000B2704"/>
    <w:rsid w:val="000B2D6A"/>
    <w:rsid w:val="000B36F4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0BC"/>
    <w:rsid w:val="000C135D"/>
    <w:rsid w:val="000C1AB7"/>
    <w:rsid w:val="000C1EA8"/>
    <w:rsid w:val="000C2149"/>
    <w:rsid w:val="000C31CF"/>
    <w:rsid w:val="000C32D0"/>
    <w:rsid w:val="000C332C"/>
    <w:rsid w:val="000C36D4"/>
    <w:rsid w:val="000C3770"/>
    <w:rsid w:val="000C38FB"/>
    <w:rsid w:val="000C48ED"/>
    <w:rsid w:val="000C4C5D"/>
    <w:rsid w:val="000C609F"/>
    <w:rsid w:val="000C6B92"/>
    <w:rsid w:val="000C7452"/>
    <w:rsid w:val="000C7A3B"/>
    <w:rsid w:val="000D039B"/>
    <w:rsid w:val="000D1A17"/>
    <w:rsid w:val="000D1D43"/>
    <w:rsid w:val="000D225C"/>
    <w:rsid w:val="000D2316"/>
    <w:rsid w:val="000D2A5C"/>
    <w:rsid w:val="000D3E9E"/>
    <w:rsid w:val="000D41F5"/>
    <w:rsid w:val="000D422C"/>
    <w:rsid w:val="000D6975"/>
    <w:rsid w:val="000D6D4E"/>
    <w:rsid w:val="000D73AB"/>
    <w:rsid w:val="000D77E7"/>
    <w:rsid w:val="000D7C88"/>
    <w:rsid w:val="000E0918"/>
    <w:rsid w:val="000E2861"/>
    <w:rsid w:val="000E3B1D"/>
    <w:rsid w:val="000E3FC3"/>
    <w:rsid w:val="000E45FB"/>
    <w:rsid w:val="000E4EEB"/>
    <w:rsid w:val="000E5724"/>
    <w:rsid w:val="000E575E"/>
    <w:rsid w:val="000E6F29"/>
    <w:rsid w:val="000F02EB"/>
    <w:rsid w:val="000F0ED8"/>
    <w:rsid w:val="000F0F58"/>
    <w:rsid w:val="000F1021"/>
    <w:rsid w:val="000F143C"/>
    <w:rsid w:val="000F153A"/>
    <w:rsid w:val="000F2113"/>
    <w:rsid w:val="000F31F8"/>
    <w:rsid w:val="000F3941"/>
    <w:rsid w:val="000F397C"/>
    <w:rsid w:val="000F42E0"/>
    <w:rsid w:val="000F6CAD"/>
    <w:rsid w:val="000F7129"/>
    <w:rsid w:val="00100ACD"/>
    <w:rsid w:val="001011C3"/>
    <w:rsid w:val="001013C9"/>
    <w:rsid w:val="001026AA"/>
    <w:rsid w:val="00102D3E"/>
    <w:rsid w:val="00103451"/>
    <w:rsid w:val="001035A4"/>
    <w:rsid w:val="0010469A"/>
    <w:rsid w:val="00105187"/>
    <w:rsid w:val="00105ADF"/>
    <w:rsid w:val="00105E2A"/>
    <w:rsid w:val="00105F31"/>
    <w:rsid w:val="001065B2"/>
    <w:rsid w:val="00107393"/>
    <w:rsid w:val="00110077"/>
    <w:rsid w:val="001100A4"/>
    <w:rsid w:val="00110D87"/>
    <w:rsid w:val="001121BA"/>
    <w:rsid w:val="001146CE"/>
    <w:rsid w:val="00114DB9"/>
    <w:rsid w:val="00115F3D"/>
    <w:rsid w:val="00116087"/>
    <w:rsid w:val="00116325"/>
    <w:rsid w:val="00116985"/>
    <w:rsid w:val="00117DB2"/>
    <w:rsid w:val="00121FFA"/>
    <w:rsid w:val="00122454"/>
    <w:rsid w:val="0012272A"/>
    <w:rsid w:val="00124A2D"/>
    <w:rsid w:val="00124BDF"/>
    <w:rsid w:val="0012654F"/>
    <w:rsid w:val="0012796B"/>
    <w:rsid w:val="00130296"/>
    <w:rsid w:val="00130954"/>
    <w:rsid w:val="00130DA4"/>
    <w:rsid w:val="00131775"/>
    <w:rsid w:val="00134588"/>
    <w:rsid w:val="00134865"/>
    <w:rsid w:val="00134D15"/>
    <w:rsid w:val="00136742"/>
    <w:rsid w:val="00136A73"/>
    <w:rsid w:val="00136B18"/>
    <w:rsid w:val="00137318"/>
    <w:rsid w:val="00137B70"/>
    <w:rsid w:val="00140495"/>
    <w:rsid w:val="00141609"/>
    <w:rsid w:val="00141776"/>
    <w:rsid w:val="001419BD"/>
    <w:rsid w:val="001423B6"/>
    <w:rsid w:val="001423BE"/>
    <w:rsid w:val="00143398"/>
    <w:rsid w:val="0014370B"/>
    <w:rsid w:val="0014391C"/>
    <w:rsid w:val="001440E1"/>
    <w:rsid w:val="001448A7"/>
    <w:rsid w:val="0014586D"/>
    <w:rsid w:val="001460D2"/>
    <w:rsid w:val="00146621"/>
    <w:rsid w:val="00147677"/>
    <w:rsid w:val="0014778F"/>
    <w:rsid w:val="001478E5"/>
    <w:rsid w:val="00150575"/>
    <w:rsid w:val="001512E5"/>
    <w:rsid w:val="001519B0"/>
    <w:rsid w:val="00152273"/>
    <w:rsid w:val="00152844"/>
    <w:rsid w:val="00152ACD"/>
    <w:rsid w:val="001530E2"/>
    <w:rsid w:val="0015342E"/>
    <w:rsid w:val="00153678"/>
    <w:rsid w:val="00153B76"/>
    <w:rsid w:val="001550E5"/>
    <w:rsid w:val="001553B0"/>
    <w:rsid w:val="001554C4"/>
    <w:rsid w:val="00155908"/>
    <w:rsid w:val="00155DA2"/>
    <w:rsid w:val="00157052"/>
    <w:rsid w:val="001577BF"/>
    <w:rsid w:val="00157D49"/>
    <w:rsid w:val="00160422"/>
    <w:rsid w:val="0016178E"/>
    <w:rsid w:val="00162325"/>
    <w:rsid w:val="00162413"/>
    <w:rsid w:val="00163907"/>
    <w:rsid w:val="001646C5"/>
    <w:rsid w:val="00165FDF"/>
    <w:rsid w:val="00167D17"/>
    <w:rsid w:val="00170635"/>
    <w:rsid w:val="001706DB"/>
    <w:rsid w:val="001706E7"/>
    <w:rsid w:val="0017078D"/>
    <w:rsid w:val="001710C6"/>
    <w:rsid w:val="00172461"/>
    <w:rsid w:val="001725E9"/>
    <w:rsid w:val="00173667"/>
    <w:rsid w:val="00173B8A"/>
    <w:rsid w:val="0017464E"/>
    <w:rsid w:val="00174967"/>
    <w:rsid w:val="00175E53"/>
    <w:rsid w:val="001804B7"/>
    <w:rsid w:val="00180527"/>
    <w:rsid w:val="0018057F"/>
    <w:rsid w:val="00180D43"/>
    <w:rsid w:val="00181458"/>
    <w:rsid w:val="001824D4"/>
    <w:rsid w:val="00183B0B"/>
    <w:rsid w:val="001840AC"/>
    <w:rsid w:val="001848DA"/>
    <w:rsid w:val="00185497"/>
    <w:rsid w:val="00185BAA"/>
    <w:rsid w:val="0018611F"/>
    <w:rsid w:val="00186BC3"/>
    <w:rsid w:val="00187424"/>
    <w:rsid w:val="00191AE6"/>
    <w:rsid w:val="0019224D"/>
    <w:rsid w:val="00193A4A"/>
    <w:rsid w:val="00193A9A"/>
    <w:rsid w:val="00193D62"/>
    <w:rsid w:val="00193D78"/>
    <w:rsid w:val="00193F7E"/>
    <w:rsid w:val="00194008"/>
    <w:rsid w:val="0019402A"/>
    <w:rsid w:val="00194452"/>
    <w:rsid w:val="001951DA"/>
    <w:rsid w:val="001952C2"/>
    <w:rsid w:val="001955FB"/>
    <w:rsid w:val="00195F2C"/>
    <w:rsid w:val="00196317"/>
    <w:rsid w:val="00196C53"/>
    <w:rsid w:val="001978FE"/>
    <w:rsid w:val="001A01B7"/>
    <w:rsid w:val="001A0EB4"/>
    <w:rsid w:val="001A11C4"/>
    <w:rsid w:val="001A1355"/>
    <w:rsid w:val="001A2F71"/>
    <w:rsid w:val="001A33F3"/>
    <w:rsid w:val="001A5F85"/>
    <w:rsid w:val="001A78FA"/>
    <w:rsid w:val="001B076B"/>
    <w:rsid w:val="001B0D5D"/>
    <w:rsid w:val="001B1592"/>
    <w:rsid w:val="001B21C3"/>
    <w:rsid w:val="001B2B9A"/>
    <w:rsid w:val="001B3255"/>
    <w:rsid w:val="001B46C3"/>
    <w:rsid w:val="001B492A"/>
    <w:rsid w:val="001B4C7D"/>
    <w:rsid w:val="001B53A2"/>
    <w:rsid w:val="001B6FEB"/>
    <w:rsid w:val="001B7AEC"/>
    <w:rsid w:val="001B7D95"/>
    <w:rsid w:val="001C1F3E"/>
    <w:rsid w:val="001C2334"/>
    <w:rsid w:val="001C2814"/>
    <w:rsid w:val="001C2C72"/>
    <w:rsid w:val="001C3269"/>
    <w:rsid w:val="001C578A"/>
    <w:rsid w:val="001C57B6"/>
    <w:rsid w:val="001C632D"/>
    <w:rsid w:val="001C6842"/>
    <w:rsid w:val="001D1579"/>
    <w:rsid w:val="001D1DB4"/>
    <w:rsid w:val="001D2C57"/>
    <w:rsid w:val="001D4B5E"/>
    <w:rsid w:val="001D5A52"/>
    <w:rsid w:val="001D5E58"/>
    <w:rsid w:val="001D6273"/>
    <w:rsid w:val="001D6601"/>
    <w:rsid w:val="001D6C58"/>
    <w:rsid w:val="001D79E3"/>
    <w:rsid w:val="001D7D28"/>
    <w:rsid w:val="001D7DC0"/>
    <w:rsid w:val="001D7F84"/>
    <w:rsid w:val="001E09EA"/>
    <w:rsid w:val="001E2F8A"/>
    <w:rsid w:val="001E2FD0"/>
    <w:rsid w:val="001E3673"/>
    <w:rsid w:val="001E3C47"/>
    <w:rsid w:val="001E3F4A"/>
    <w:rsid w:val="001E41FF"/>
    <w:rsid w:val="001E4242"/>
    <w:rsid w:val="001E4A2F"/>
    <w:rsid w:val="001E5F7F"/>
    <w:rsid w:val="001E649A"/>
    <w:rsid w:val="001E704E"/>
    <w:rsid w:val="001F0CAB"/>
    <w:rsid w:val="001F1414"/>
    <w:rsid w:val="001F18ED"/>
    <w:rsid w:val="001F1A39"/>
    <w:rsid w:val="001F2151"/>
    <w:rsid w:val="001F32D6"/>
    <w:rsid w:val="001F591E"/>
    <w:rsid w:val="001F69A9"/>
    <w:rsid w:val="001F6FFE"/>
    <w:rsid w:val="001F76B0"/>
    <w:rsid w:val="0020149A"/>
    <w:rsid w:val="00202F1D"/>
    <w:rsid w:val="0020305C"/>
    <w:rsid w:val="002034C7"/>
    <w:rsid w:val="00203B87"/>
    <w:rsid w:val="00203E54"/>
    <w:rsid w:val="00205E2C"/>
    <w:rsid w:val="00207819"/>
    <w:rsid w:val="002078C6"/>
    <w:rsid w:val="002114A0"/>
    <w:rsid w:val="002118AD"/>
    <w:rsid w:val="00211A33"/>
    <w:rsid w:val="00212B03"/>
    <w:rsid w:val="00215467"/>
    <w:rsid w:val="00215CAA"/>
    <w:rsid w:val="00216A9B"/>
    <w:rsid w:val="002171FE"/>
    <w:rsid w:val="00217509"/>
    <w:rsid w:val="00217614"/>
    <w:rsid w:val="002212E7"/>
    <w:rsid w:val="00221AEE"/>
    <w:rsid w:val="00221BA2"/>
    <w:rsid w:val="0022212F"/>
    <w:rsid w:val="002242B5"/>
    <w:rsid w:val="002248BB"/>
    <w:rsid w:val="002253F4"/>
    <w:rsid w:val="00226715"/>
    <w:rsid w:val="00226B65"/>
    <w:rsid w:val="00226F10"/>
    <w:rsid w:val="0022712B"/>
    <w:rsid w:val="00231F40"/>
    <w:rsid w:val="0023258D"/>
    <w:rsid w:val="00232B84"/>
    <w:rsid w:val="00232E26"/>
    <w:rsid w:val="00234E12"/>
    <w:rsid w:val="00235776"/>
    <w:rsid w:val="00235954"/>
    <w:rsid w:val="00235A86"/>
    <w:rsid w:val="00235F0F"/>
    <w:rsid w:val="00236616"/>
    <w:rsid w:val="002370F5"/>
    <w:rsid w:val="002415A6"/>
    <w:rsid w:val="00241800"/>
    <w:rsid w:val="0024185E"/>
    <w:rsid w:val="002421C6"/>
    <w:rsid w:val="00242525"/>
    <w:rsid w:val="002427A7"/>
    <w:rsid w:val="00243CF4"/>
    <w:rsid w:val="00244592"/>
    <w:rsid w:val="00245219"/>
    <w:rsid w:val="00245AFC"/>
    <w:rsid w:val="00246534"/>
    <w:rsid w:val="00247488"/>
    <w:rsid w:val="002477E8"/>
    <w:rsid w:val="002515C5"/>
    <w:rsid w:val="00251C00"/>
    <w:rsid w:val="002526E7"/>
    <w:rsid w:val="00252990"/>
    <w:rsid w:val="00253035"/>
    <w:rsid w:val="002536D7"/>
    <w:rsid w:val="00253F03"/>
    <w:rsid w:val="00255134"/>
    <w:rsid w:val="00255B68"/>
    <w:rsid w:val="00256A41"/>
    <w:rsid w:val="002574F9"/>
    <w:rsid w:val="00257A14"/>
    <w:rsid w:val="0026021D"/>
    <w:rsid w:val="00260BE9"/>
    <w:rsid w:val="00260F64"/>
    <w:rsid w:val="00264113"/>
    <w:rsid w:val="0026525B"/>
    <w:rsid w:val="002665F2"/>
    <w:rsid w:val="00270CD1"/>
    <w:rsid w:val="00271535"/>
    <w:rsid w:val="00273D51"/>
    <w:rsid w:val="0027462D"/>
    <w:rsid w:val="0027530A"/>
    <w:rsid w:val="00275799"/>
    <w:rsid w:val="0027591C"/>
    <w:rsid w:val="00276811"/>
    <w:rsid w:val="002769F5"/>
    <w:rsid w:val="00277011"/>
    <w:rsid w:val="00277277"/>
    <w:rsid w:val="00277571"/>
    <w:rsid w:val="0027784B"/>
    <w:rsid w:val="00277A82"/>
    <w:rsid w:val="0028009E"/>
    <w:rsid w:val="0028106C"/>
    <w:rsid w:val="00282699"/>
    <w:rsid w:val="00282A29"/>
    <w:rsid w:val="00282CBD"/>
    <w:rsid w:val="00283F38"/>
    <w:rsid w:val="00284235"/>
    <w:rsid w:val="002842B5"/>
    <w:rsid w:val="0028458E"/>
    <w:rsid w:val="002846CD"/>
    <w:rsid w:val="002850D3"/>
    <w:rsid w:val="0028567F"/>
    <w:rsid w:val="0028661D"/>
    <w:rsid w:val="00287AE2"/>
    <w:rsid w:val="0029104C"/>
    <w:rsid w:val="0029184E"/>
    <w:rsid w:val="002926DF"/>
    <w:rsid w:val="00292DAF"/>
    <w:rsid w:val="00293851"/>
    <w:rsid w:val="00294018"/>
    <w:rsid w:val="0029451A"/>
    <w:rsid w:val="00294D99"/>
    <w:rsid w:val="00295062"/>
    <w:rsid w:val="00296697"/>
    <w:rsid w:val="00296C5F"/>
    <w:rsid w:val="002970D9"/>
    <w:rsid w:val="00297509"/>
    <w:rsid w:val="00297846"/>
    <w:rsid w:val="002A008A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290F"/>
    <w:rsid w:val="002B30B6"/>
    <w:rsid w:val="002B37EA"/>
    <w:rsid w:val="002B4F64"/>
    <w:rsid w:val="002B6B12"/>
    <w:rsid w:val="002B7192"/>
    <w:rsid w:val="002C0A99"/>
    <w:rsid w:val="002C1805"/>
    <w:rsid w:val="002C1BC2"/>
    <w:rsid w:val="002C29B0"/>
    <w:rsid w:val="002C3872"/>
    <w:rsid w:val="002C3A8E"/>
    <w:rsid w:val="002C47BD"/>
    <w:rsid w:val="002C4F67"/>
    <w:rsid w:val="002C4FB6"/>
    <w:rsid w:val="002C6442"/>
    <w:rsid w:val="002D209F"/>
    <w:rsid w:val="002D45CF"/>
    <w:rsid w:val="002D5DE7"/>
    <w:rsid w:val="002D6100"/>
    <w:rsid w:val="002E0344"/>
    <w:rsid w:val="002E0CC8"/>
    <w:rsid w:val="002E101D"/>
    <w:rsid w:val="002E1D56"/>
    <w:rsid w:val="002E1F1A"/>
    <w:rsid w:val="002E3AF5"/>
    <w:rsid w:val="002E4522"/>
    <w:rsid w:val="002E612A"/>
    <w:rsid w:val="002E6140"/>
    <w:rsid w:val="002E6985"/>
    <w:rsid w:val="002E71B6"/>
    <w:rsid w:val="002F00F2"/>
    <w:rsid w:val="002F15AB"/>
    <w:rsid w:val="002F248C"/>
    <w:rsid w:val="002F24D3"/>
    <w:rsid w:val="002F2768"/>
    <w:rsid w:val="002F2E13"/>
    <w:rsid w:val="002F336F"/>
    <w:rsid w:val="002F3519"/>
    <w:rsid w:val="002F573B"/>
    <w:rsid w:val="002F6FBE"/>
    <w:rsid w:val="002F77C8"/>
    <w:rsid w:val="0030066D"/>
    <w:rsid w:val="003013FD"/>
    <w:rsid w:val="00301B4E"/>
    <w:rsid w:val="00301DA1"/>
    <w:rsid w:val="003042A4"/>
    <w:rsid w:val="00304F22"/>
    <w:rsid w:val="003052F5"/>
    <w:rsid w:val="0030544E"/>
    <w:rsid w:val="00305F53"/>
    <w:rsid w:val="00305F79"/>
    <w:rsid w:val="00306B6F"/>
    <w:rsid w:val="00306C7C"/>
    <w:rsid w:val="003079F6"/>
    <w:rsid w:val="0031047D"/>
    <w:rsid w:val="00310D94"/>
    <w:rsid w:val="003126B3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289"/>
    <w:rsid w:val="00322ED2"/>
    <w:rsid w:val="00322EDD"/>
    <w:rsid w:val="0032347D"/>
    <w:rsid w:val="00323CD9"/>
    <w:rsid w:val="00323D57"/>
    <w:rsid w:val="00324C03"/>
    <w:rsid w:val="003251C0"/>
    <w:rsid w:val="00325B44"/>
    <w:rsid w:val="00326180"/>
    <w:rsid w:val="00327170"/>
    <w:rsid w:val="00327CCB"/>
    <w:rsid w:val="00330FCE"/>
    <w:rsid w:val="00331467"/>
    <w:rsid w:val="00332320"/>
    <w:rsid w:val="0033262E"/>
    <w:rsid w:val="00333029"/>
    <w:rsid w:val="00333825"/>
    <w:rsid w:val="0033416A"/>
    <w:rsid w:val="003341EC"/>
    <w:rsid w:val="00335370"/>
    <w:rsid w:val="00335E69"/>
    <w:rsid w:val="00336BD0"/>
    <w:rsid w:val="00336E93"/>
    <w:rsid w:val="00340F34"/>
    <w:rsid w:val="00341FC0"/>
    <w:rsid w:val="003426BE"/>
    <w:rsid w:val="0034385D"/>
    <w:rsid w:val="00343C4A"/>
    <w:rsid w:val="0034561F"/>
    <w:rsid w:val="003459D7"/>
    <w:rsid w:val="00345F7C"/>
    <w:rsid w:val="00346180"/>
    <w:rsid w:val="003468AF"/>
    <w:rsid w:val="003476DC"/>
    <w:rsid w:val="00347BB8"/>
    <w:rsid w:val="00347D72"/>
    <w:rsid w:val="00350E67"/>
    <w:rsid w:val="00351546"/>
    <w:rsid w:val="003518BF"/>
    <w:rsid w:val="00351AF8"/>
    <w:rsid w:val="003520F4"/>
    <w:rsid w:val="00352FDF"/>
    <w:rsid w:val="00353159"/>
    <w:rsid w:val="0035340C"/>
    <w:rsid w:val="0035352C"/>
    <w:rsid w:val="003536A0"/>
    <w:rsid w:val="00353BD9"/>
    <w:rsid w:val="00353D88"/>
    <w:rsid w:val="00354424"/>
    <w:rsid w:val="003555BC"/>
    <w:rsid w:val="00355689"/>
    <w:rsid w:val="003575EA"/>
    <w:rsid w:val="00357611"/>
    <w:rsid w:val="00357BC2"/>
    <w:rsid w:val="003604DE"/>
    <w:rsid w:val="00361189"/>
    <w:rsid w:val="00361521"/>
    <w:rsid w:val="00361D99"/>
    <w:rsid w:val="0036257A"/>
    <w:rsid w:val="0036442C"/>
    <w:rsid w:val="00364903"/>
    <w:rsid w:val="00364F0B"/>
    <w:rsid w:val="00365C2D"/>
    <w:rsid w:val="00366025"/>
    <w:rsid w:val="003666BD"/>
    <w:rsid w:val="00367237"/>
    <w:rsid w:val="003672DA"/>
    <w:rsid w:val="003675A1"/>
    <w:rsid w:val="0036761B"/>
    <w:rsid w:val="00367987"/>
    <w:rsid w:val="0037077F"/>
    <w:rsid w:val="003710DE"/>
    <w:rsid w:val="00371D98"/>
    <w:rsid w:val="00371FAC"/>
    <w:rsid w:val="00371FC0"/>
    <w:rsid w:val="0037357C"/>
    <w:rsid w:val="00373882"/>
    <w:rsid w:val="00373EAA"/>
    <w:rsid w:val="00374338"/>
    <w:rsid w:val="00375D13"/>
    <w:rsid w:val="00377464"/>
    <w:rsid w:val="0038098E"/>
    <w:rsid w:val="0038101F"/>
    <w:rsid w:val="0038173C"/>
    <w:rsid w:val="00381978"/>
    <w:rsid w:val="0038341F"/>
    <w:rsid w:val="003834F3"/>
    <w:rsid w:val="003843DB"/>
    <w:rsid w:val="0038490F"/>
    <w:rsid w:val="003851D8"/>
    <w:rsid w:val="00385AA9"/>
    <w:rsid w:val="00386AA1"/>
    <w:rsid w:val="003875D9"/>
    <w:rsid w:val="003900DF"/>
    <w:rsid w:val="003910F8"/>
    <w:rsid w:val="003914AB"/>
    <w:rsid w:val="0039171A"/>
    <w:rsid w:val="003935B4"/>
    <w:rsid w:val="00393761"/>
    <w:rsid w:val="0039463F"/>
    <w:rsid w:val="003954E3"/>
    <w:rsid w:val="003970F9"/>
    <w:rsid w:val="00397349"/>
    <w:rsid w:val="00397D18"/>
    <w:rsid w:val="003A009C"/>
    <w:rsid w:val="003A01D5"/>
    <w:rsid w:val="003A1B36"/>
    <w:rsid w:val="003A1DE1"/>
    <w:rsid w:val="003A2504"/>
    <w:rsid w:val="003A28C2"/>
    <w:rsid w:val="003A2B9C"/>
    <w:rsid w:val="003A45CD"/>
    <w:rsid w:val="003A4F03"/>
    <w:rsid w:val="003A6DFD"/>
    <w:rsid w:val="003A740E"/>
    <w:rsid w:val="003A7703"/>
    <w:rsid w:val="003B024D"/>
    <w:rsid w:val="003B0D2A"/>
    <w:rsid w:val="003B1454"/>
    <w:rsid w:val="003B1D15"/>
    <w:rsid w:val="003B2673"/>
    <w:rsid w:val="003B2C4C"/>
    <w:rsid w:val="003B3FD5"/>
    <w:rsid w:val="003B40D3"/>
    <w:rsid w:val="003B46F9"/>
    <w:rsid w:val="003B4873"/>
    <w:rsid w:val="003B56F8"/>
    <w:rsid w:val="003B632C"/>
    <w:rsid w:val="003B636A"/>
    <w:rsid w:val="003B6458"/>
    <w:rsid w:val="003B6DAF"/>
    <w:rsid w:val="003B6FBF"/>
    <w:rsid w:val="003C0F6B"/>
    <w:rsid w:val="003C1341"/>
    <w:rsid w:val="003C1C8A"/>
    <w:rsid w:val="003C340F"/>
    <w:rsid w:val="003C36F5"/>
    <w:rsid w:val="003C3CD8"/>
    <w:rsid w:val="003C3FC1"/>
    <w:rsid w:val="003C59E0"/>
    <w:rsid w:val="003C6B82"/>
    <w:rsid w:val="003C6C8D"/>
    <w:rsid w:val="003C7E12"/>
    <w:rsid w:val="003D0596"/>
    <w:rsid w:val="003D0FFC"/>
    <w:rsid w:val="003D23E6"/>
    <w:rsid w:val="003D34AC"/>
    <w:rsid w:val="003D3C52"/>
    <w:rsid w:val="003D3FF3"/>
    <w:rsid w:val="003D41FE"/>
    <w:rsid w:val="003D4D62"/>
    <w:rsid w:val="003D4EB7"/>
    <w:rsid w:val="003D4F95"/>
    <w:rsid w:val="003D5F42"/>
    <w:rsid w:val="003D60A9"/>
    <w:rsid w:val="003D6284"/>
    <w:rsid w:val="003D6299"/>
    <w:rsid w:val="003D6903"/>
    <w:rsid w:val="003D6EC2"/>
    <w:rsid w:val="003E01F1"/>
    <w:rsid w:val="003E0D23"/>
    <w:rsid w:val="003E1602"/>
    <w:rsid w:val="003E1C02"/>
    <w:rsid w:val="003E1EAA"/>
    <w:rsid w:val="003E3376"/>
    <w:rsid w:val="003E3842"/>
    <w:rsid w:val="003E52E2"/>
    <w:rsid w:val="003E5DEB"/>
    <w:rsid w:val="003E629C"/>
    <w:rsid w:val="003E696E"/>
    <w:rsid w:val="003E731C"/>
    <w:rsid w:val="003E7830"/>
    <w:rsid w:val="003F0845"/>
    <w:rsid w:val="003F0B77"/>
    <w:rsid w:val="003F0E79"/>
    <w:rsid w:val="003F16AB"/>
    <w:rsid w:val="003F19FC"/>
    <w:rsid w:val="003F1F8C"/>
    <w:rsid w:val="003F2699"/>
    <w:rsid w:val="003F2C51"/>
    <w:rsid w:val="003F35AD"/>
    <w:rsid w:val="003F4C97"/>
    <w:rsid w:val="003F5B94"/>
    <w:rsid w:val="003F5D25"/>
    <w:rsid w:val="003F647C"/>
    <w:rsid w:val="003F6750"/>
    <w:rsid w:val="003F6F95"/>
    <w:rsid w:val="003F7312"/>
    <w:rsid w:val="003F7B61"/>
    <w:rsid w:val="003F7FE6"/>
    <w:rsid w:val="00400193"/>
    <w:rsid w:val="00400588"/>
    <w:rsid w:val="00400A85"/>
    <w:rsid w:val="00400D50"/>
    <w:rsid w:val="00401090"/>
    <w:rsid w:val="00401D73"/>
    <w:rsid w:val="00402E8E"/>
    <w:rsid w:val="00403D48"/>
    <w:rsid w:val="004045B9"/>
    <w:rsid w:val="00406426"/>
    <w:rsid w:val="004064F8"/>
    <w:rsid w:val="00406ADC"/>
    <w:rsid w:val="0041028A"/>
    <w:rsid w:val="00410666"/>
    <w:rsid w:val="00410B29"/>
    <w:rsid w:val="00411B9B"/>
    <w:rsid w:val="00411D0A"/>
    <w:rsid w:val="004120F3"/>
    <w:rsid w:val="00415BAF"/>
    <w:rsid w:val="004171BE"/>
    <w:rsid w:val="004175FA"/>
    <w:rsid w:val="00417747"/>
    <w:rsid w:val="00420827"/>
    <w:rsid w:val="00421112"/>
    <w:rsid w:val="004212E7"/>
    <w:rsid w:val="00421B9D"/>
    <w:rsid w:val="00422523"/>
    <w:rsid w:val="00422CA3"/>
    <w:rsid w:val="00422CBD"/>
    <w:rsid w:val="0042417F"/>
    <w:rsid w:val="0042446D"/>
    <w:rsid w:val="00424CB7"/>
    <w:rsid w:val="0042571C"/>
    <w:rsid w:val="00426502"/>
    <w:rsid w:val="00427431"/>
    <w:rsid w:val="00427530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5DED"/>
    <w:rsid w:val="00437395"/>
    <w:rsid w:val="00437C07"/>
    <w:rsid w:val="0044024D"/>
    <w:rsid w:val="0044103D"/>
    <w:rsid w:val="00441136"/>
    <w:rsid w:val="00441F5E"/>
    <w:rsid w:val="00442049"/>
    <w:rsid w:val="004423C0"/>
    <w:rsid w:val="00442496"/>
    <w:rsid w:val="004425C3"/>
    <w:rsid w:val="00442A89"/>
    <w:rsid w:val="00442B8D"/>
    <w:rsid w:val="004438E5"/>
    <w:rsid w:val="004443B6"/>
    <w:rsid w:val="0044478E"/>
    <w:rsid w:val="00445047"/>
    <w:rsid w:val="004460DE"/>
    <w:rsid w:val="0044728B"/>
    <w:rsid w:val="00450C1B"/>
    <w:rsid w:val="00450D25"/>
    <w:rsid w:val="00451B69"/>
    <w:rsid w:val="00453E2D"/>
    <w:rsid w:val="00454067"/>
    <w:rsid w:val="00454A01"/>
    <w:rsid w:val="00454E36"/>
    <w:rsid w:val="0045590E"/>
    <w:rsid w:val="004567B4"/>
    <w:rsid w:val="00460478"/>
    <w:rsid w:val="00460A51"/>
    <w:rsid w:val="00462817"/>
    <w:rsid w:val="004629FC"/>
    <w:rsid w:val="004634C3"/>
    <w:rsid w:val="00463601"/>
    <w:rsid w:val="00463E39"/>
    <w:rsid w:val="00463F1A"/>
    <w:rsid w:val="004649BA"/>
    <w:rsid w:val="004657FC"/>
    <w:rsid w:val="0046619C"/>
    <w:rsid w:val="0046621C"/>
    <w:rsid w:val="00466489"/>
    <w:rsid w:val="00466DEB"/>
    <w:rsid w:val="00470067"/>
    <w:rsid w:val="00470C5C"/>
    <w:rsid w:val="004712D4"/>
    <w:rsid w:val="0047250A"/>
    <w:rsid w:val="0047271E"/>
    <w:rsid w:val="004733F6"/>
    <w:rsid w:val="00474E69"/>
    <w:rsid w:val="004751A6"/>
    <w:rsid w:val="0047609B"/>
    <w:rsid w:val="00476742"/>
    <w:rsid w:val="00476BB8"/>
    <w:rsid w:val="00476D65"/>
    <w:rsid w:val="00477E50"/>
    <w:rsid w:val="00480E59"/>
    <w:rsid w:val="0048150D"/>
    <w:rsid w:val="0048182A"/>
    <w:rsid w:val="0048231B"/>
    <w:rsid w:val="00482526"/>
    <w:rsid w:val="00482EF5"/>
    <w:rsid w:val="00482F48"/>
    <w:rsid w:val="00483247"/>
    <w:rsid w:val="0048326A"/>
    <w:rsid w:val="004836D7"/>
    <w:rsid w:val="00483F3B"/>
    <w:rsid w:val="00484848"/>
    <w:rsid w:val="00484C1A"/>
    <w:rsid w:val="00485C11"/>
    <w:rsid w:val="00485E01"/>
    <w:rsid w:val="00486FDA"/>
    <w:rsid w:val="00487962"/>
    <w:rsid w:val="00490A98"/>
    <w:rsid w:val="00490E02"/>
    <w:rsid w:val="004911B3"/>
    <w:rsid w:val="004911FF"/>
    <w:rsid w:val="00491AC1"/>
    <w:rsid w:val="00491CFA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6841"/>
    <w:rsid w:val="00497A7E"/>
    <w:rsid w:val="004A0681"/>
    <w:rsid w:val="004A0A68"/>
    <w:rsid w:val="004A1094"/>
    <w:rsid w:val="004A1B20"/>
    <w:rsid w:val="004A1D92"/>
    <w:rsid w:val="004A2079"/>
    <w:rsid w:val="004A273F"/>
    <w:rsid w:val="004A29AD"/>
    <w:rsid w:val="004A2D0F"/>
    <w:rsid w:val="004A3712"/>
    <w:rsid w:val="004A4064"/>
    <w:rsid w:val="004A4965"/>
    <w:rsid w:val="004A61FF"/>
    <w:rsid w:val="004B03EA"/>
    <w:rsid w:val="004B0767"/>
    <w:rsid w:val="004B131D"/>
    <w:rsid w:val="004B14FE"/>
    <w:rsid w:val="004B1C41"/>
    <w:rsid w:val="004B2314"/>
    <w:rsid w:val="004B2776"/>
    <w:rsid w:val="004B2FBB"/>
    <w:rsid w:val="004B437B"/>
    <w:rsid w:val="004B4F87"/>
    <w:rsid w:val="004B5760"/>
    <w:rsid w:val="004B64A7"/>
    <w:rsid w:val="004B671D"/>
    <w:rsid w:val="004B6FD6"/>
    <w:rsid w:val="004B71B6"/>
    <w:rsid w:val="004C05E8"/>
    <w:rsid w:val="004C063B"/>
    <w:rsid w:val="004C0BD6"/>
    <w:rsid w:val="004C0FD7"/>
    <w:rsid w:val="004C1895"/>
    <w:rsid w:val="004C22FB"/>
    <w:rsid w:val="004C29D3"/>
    <w:rsid w:val="004C30B0"/>
    <w:rsid w:val="004C340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0469"/>
    <w:rsid w:val="004D100F"/>
    <w:rsid w:val="004D123D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198C"/>
    <w:rsid w:val="004E2F1A"/>
    <w:rsid w:val="004E3FAB"/>
    <w:rsid w:val="004E63BF"/>
    <w:rsid w:val="004E73F7"/>
    <w:rsid w:val="004E763E"/>
    <w:rsid w:val="004E7942"/>
    <w:rsid w:val="004F062B"/>
    <w:rsid w:val="004F0C3C"/>
    <w:rsid w:val="004F2F4A"/>
    <w:rsid w:val="004F34CB"/>
    <w:rsid w:val="004F3960"/>
    <w:rsid w:val="004F573F"/>
    <w:rsid w:val="004F5EEA"/>
    <w:rsid w:val="004F63FC"/>
    <w:rsid w:val="004F69EE"/>
    <w:rsid w:val="004F7748"/>
    <w:rsid w:val="00501339"/>
    <w:rsid w:val="0050239E"/>
    <w:rsid w:val="0050252B"/>
    <w:rsid w:val="005043A9"/>
    <w:rsid w:val="00504E44"/>
    <w:rsid w:val="005051C5"/>
    <w:rsid w:val="0050542B"/>
    <w:rsid w:val="00505A92"/>
    <w:rsid w:val="00505AFD"/>
    <w:rsid w:val="00506215"/>
    <w:rsid w:val="00506302"/>
    <w:rsid w:val="0050680B"/>
    <w:rsid w:val="0050703B"/>
    <w:rsid w:val="0050703F"/>
    <w:rsid w:val="005077C6"/>
    <w:rsid w:val="00507913"/>
    <w:rsid w:val="005102D5"/>
    <w:rsid w:val="00510700"/>
    <w:rsid w:val="0051165C"/>
    <w:rsid w:val="00512FEF"/>
    <w:rsid w:val="00513A92"/>
    <w:rsid w:val="00514757"/>
    <w:rsid w:val="0051570B"/>
    <w:rsid w:val="005159F8"/>
    <w:rsid w:val="00515F66"/>
    <w:rsid w:val="0051626B"/>
    <w:rsid w:val="00517DF1"/>
    <w:rsid w:val="00517E3D"/>
    <w:rsid w:val="005203F1"/>
    <w:rsid w:val="00520765"/>
    <w:rsid w:val="005216A6"/>
    <w:rsid w:val="00521BC3"/>
    <w:rsid w:val="00521F21"/>
    <w:rsid w:val="005249BC"/>
    <w:rsid w:val="00524ADF"/>
    <w:rsid w:val="00524B1B"/>
    <w:rsid w:val="0052532E"/>
    <w:rsid w:val="005253C0"/>
    <w:rsid w:val="00525461"/>
    <w:rsid w:val="0052797B"/>
    <w:rsid w:val="005300D4"/>
    <w:rsid w:val="005309DA"/>
    <w:rsid w:val="00530F5C"/>
    <w:rsid w:val="005313E7"/>
    <w:rsid w:val="00531737"/>
    <w:rsid w:val="00531ACF"/>
    <w:rsid w:val="00532852"/>
    <w:rsid w:val="00533632"/>
    <w:rsid w:val="00533756"/>
    <w:rsid w:val="00533EE9"/>
    <w:rsid w:val="005364B8"/>
    <w:rsid w:val="00536DAE"/>
    <w:rsid w:val="00537B5D"/>
    <w:rsid w:val="0054023B"/>
    <w:rsid w:val="0054102B"/>
    <w:rsid w:val="0054145E"/>
    <w:rsid w:val="00541F44"/>
    <w:rsid w:val="0054251F"/>
    <w:rsid w:val="00542848"/>
    <w:rsid w:val="00542970"/>
    <w:rsid w:val="00542BE5"/>
    <w:rsid w:val="00544654"/>
    <w:rsid w:val="005451EA"/>
    <w:rsid w:val="00545553"/>
    <w:rsid w:val="005464EC"/>
    <w:rsid w:val="00546617"/>
    <w:rsid w:val="00546F85"/>
    <w:rsid w:val="005472A7"/>
    <w:rsid w:val="005476AB"/>
    <w:rsid w:val="0054771C"/>
    <w:rsid w:val="00547CE2"/>
    <w:rsid w:val="005501CE"/>
    <w:rsid w:val="00550618"/>
    <w:rsid w:val="005509AA"/>
    <w:rsid w:val="005520D8"/>
    <w:rsid w:val="00552C51"/>
    <w:rsid w:val="005540B1"/>
    <w:rsid w:val="00556CF1"/>
    <w:rsid w:val="00557D82"/>
    <w:rsid w:val="005604E6"/>
    <w:rsid w:val="00560FB0"/>
    <w:rsid w:val="00561D5A"/>
    <w:rsid w:val="00562B27"/>
    <w:rsid w:val="00562C88"/>
    <w:rsid w:val="0056377D"/>
    <w:rsid w:val="00563E55"/>
    <w:rsid w:val="005644AC"/>
    <w:rsid w:val="00564D48"/>
    <w:rsid w:val="005654D8"/>
    <w:rsid w:val="00565905"/>
    <w:rsid w:val="00566464"/>
    <w:rsid w:val="005676E4"/>
    <w:rsid w:val="005700CF"/>
    <w:rsid w:val="0057042D"/>
    <w:rsid w:val="0057094E"/>
    <w:rsid w:val="00570F21"/>
    <w:rsid w:val="00570FE0"/>
    <w:rsid w:val="0057134E"/>
    <w:rsid w:val="00572459"/>
    <w:rsid w:val="00572A09"/>
    <w:rsid w:val="00572BAA"/>
    <w:rsid w:val="00573661"/>
    <w:rsid w:val="005736B5"/>
    <w:rsid w:val="0057486C"/>
    <w:rsid w:val="00574882"/>
    <w:rsid w:val="00574C70"/>
    <w:rsid w:val="005759A0"/>
    <w:rsid w:val="00575B19"/>
    <w:rsid w:val="00575C8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2E74"/>
    <w:rsid w:val="005835E7"/>
    <w:rsid w:val="00583FEE"/>
    <w:rsid w:val="00584B4F"/>
    <w:rsid w:val="005850BB"/>
    <w:rsid w:val="00585385"/>
    <w:rsid w:val="005855C8"/>
    <w:rsid w:val="0058599F"/>
    <w:rsid w:val="00585A80"/>
    <w:rsid w:val="00586936"/>
    <w:rsid w:val="0058696E"/>
    <w:rsid w:val="005916D7"/>
    <w:rsid w:val="00592003"/>
    <w:rsid w:val="0059240E"/>
    <w:rsid w:val="0059266A"/>
    <w:rsid w:val="005932E4"/>
    <w:rsid w:val="00593321"/>
    <w:rsid w:val="005934CE"/>
    <w:rsid w:val="00594C60"/>
    <w:rsid w:val="00595645"/>
    <w:rsid w:val="00595C39"/>
    <w:rsid w:val="0059663D"/>
    <w:rsid w:val="0059786A"/>
    <w:rsid w:val="0059788D"/>
    <w:rsid w:val="005978BB"/>
    <w:rsid w:val="005A1589"/>
    <w:rsid w:val="005A16E9"/>
    <w:rsid w:val="005A36A7"/>
    <w:rsid w:val="005A4478"/>
    <w:rsid w:val="005A5483"/>
    <w:rsid w:val="005A564C"/>
    <w:rsid w:val="005A603F"/>
    <w:rsid w:val="005A698C"/>
    <w:rsid w:val="005A729A"/>
    <w:rsid w:val="005B1BF6"/>
    <w:rsid w:val="005B1FEE"/>
    <w:rsid w:val="005B3C50"/>
    <w:rsid w:val="005B3C8F"/>
    <w:rsid w:val="005B4659"/>
    <w:rsid w:val="005B4A7E"/>
    <w:rsid w:val="005B53FF"/>
    <w:rsid w:val="005B5C39"/>
    <w:rsid w:val="005B5D1E"/>
    <w:rsid w:val="005B6060"/>
    <w:rsid w:val="005B644C"/>
    <w:rsid w:val="005B65A4"/>
    <w:rsid w:val="005B753A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5BCC"/>
    <w:rsid w:val="005C6070"/>
    <w:rsid w:val="005C6BB4"/>
    <w:rsid w:val="005C77A2"/>
    <w:rsid w:val="005C7DF1"/>
    <w:rsid w:val="005D08D5"/>
    <w:rsid w:val="005D0950"/>
    <w:rsid w:val="005D10FE"/>
    <w:rsid w:val="005D11CF"/>
    <w:rsid w:val="005D12BD"/>
    <w:rsid w:val="005D41A5"/>
    <w:rsid w:val="005D5863"/>
    <w:rsid w:val="005D5912"/>
    <w:rsid w:val="005D5961"/>
    <w:rsid w:val="005D5BAC"/>
    <w:rsid w:val="005D6493"/>
    <w:rsid w:val="005D650B"/>
    <w:rsid w:val="005D69B1"/>
    <w:rsid w:val="005D6F5C"/>
    <w:rsid w:val="005D706E"/>
    <w:rsid w:val="005E00B0"/>
    <w:rsid w:val="005E045B"/>
    <w:rsid w:val="005E0799"/>
    <w:rsid w:val="005E2DCC"/>
    <w:rsid w:val="005E346F"/>
    <w:rsid w:val="005E5EE7"/>
    <w:rsid w:val="005E6740"/>
    <w:rsid w:val="005E67F5"/>
    <w:rsid w:val="005E7002"/>
    <w:rsid w:val="005E76AC"/>
    <w:rsid w:val="005F0F6A"/>
    <w:rsid w:val="005F1BBB"/>
    <w:rsid w:val="005F1C20"/>
    <w:rsid w:val="005F2BEF"/>
    <w:rsid w:val="005F30B8"/>
    <w:rsid w:val="005F4138"/>
    <w:rsid w:val="005F4437"/>
    <w:rsid w:val="005F455D"/>
    <w:rsid w:val="005F4EF3"/>
    <w:rsid w:val="005F53AC"/>
    <w:rsid w:val="005F57B5"/>
    <w:rsid w:val="005F5A80"/>
    <w:rsid w:val="005F74A9"/>
    <w:rsid w:val="00600D19"/>
    <w:rsid w:val="00601564"/>
    <w:rsid w:val="006044FF"/>
    <w:rsid w:val="006047B4"/>
    <w:rsid w:val="00605B97"/>
    <w:rsid w:val="00605F35"/>
    <w:rsid w:val="00605FB2"/>
    <w:rsid w:val="00606EF8"/>
    <w:rsid w:val="00607CC5"/>
    <w:rsid w:val="00612636"/>
    <w:rsid w:val="006142F9"/>
    <w:rsid w:val="00615394"/>
    <w:rsid w:val="006155B5"/>
    <w:rsid w:val="006214D2"/>
    <w:rsid w:val="00621C21"/>
    <w:rsid w:val="006230D2"/>
    <w:rsid w:val="0062336B"/>
    <w:rsid w:val="006234BA"/>
    <w:rsid w:val="00623B85"/>
    <w:rsid w:val="0062435C"/>
    <w:rsid w:val="00624E18"/>
    <w:rsid w:val="0062578F"/>
    <w:rsid w:val="00627489"/>
    <w:rsid w:val="00627AF9"/>
    <w:rsid w:val="00627C2A"/>
    <w:rsid w:val="00630A8C"/>
    <w:rsid w:val="006316B7"/>
    <w:rsid w:val="00631D25"/>
    <w:rsid w:val="00632F6C"/>
    <w:rsid w:val="00633014"/>
    <w:rsid w:val="006332BB"/>
    <w:rsid w:val="00633AC9"/>
    <w:rsid w:val="0063437B"/>
    <w:rsid w:val="006346D6"/>
    <w:rsid w:val="00634B60"/>
    <w:rsid w:val="00635189"/>
    <w:rsid w:val="0063605D"/>
    <w:rsid w:val="00637C0D"/>
    <w:rsid w:val="00637D96"/>
    <w:rsid w:val="006401A1"/>
    <w:rsid w:val="0064023D"/>
    <w:rsid w:val="00640AF6"/>
    <w:rsid w:val="00641F00"/>
    <w:rsid w:val="0064284B"/>
    <w:rsid w:val="00642BD6"/>
    <w:rsid w:val="00643285"/>
    <w:rsid w:val="006436C0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2173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359"/>
    <w:rsid w:val="006709C4"/>
    <w:rsid w:val="00670AAF"/>
    <w:rsid w:val="00670E27"/>
    <w:rsid w:val="00671108"/>
    <w:rsid w:val="00671352"/>
    <w:rsid w:val="006736A4"/>
    <w:rsid w:val="00673C26"/>
    <w:rsid w:val="00674C82"/>
    <w:rsid w:val="00675080"/>
    <w:rsid w:val="0067586D"/>
    <w:rsid w:val="00675AEA"/>
    <w:rsid w:val="00676043"/>
    <w:rsid w:val="0068029E"/>
    <w:rsid w:val="00680608"/>
    <w:rsid w:val="00680669"/>
    <w:rsid w:val="00681233"/>
    <w:rsid w:val="006812AF"/>
    <w:rsid w:val="006814BA"/>
    <w:rsid w:val="00682359"/>
    <w:rsid w:val="0068327D"/>
    <w:rsid w:val="00683419"/>
    <w:rsid w:val="00684A08"/>
    <w:rsid w:val="00684B35"/>
    <w:rsid w:val="0068528D"/>
    <w:rsid w:val="0068638E"/>
    <w:rsid w:val="00690129"/>
    <w:rsid w:val="006921D7"/>
    <w:rsid w:val="00692537"/>
    <w:rsid w:val="006930CB"/>
    <w:rsid w:val="00694AF0"/>
    <w:rsid w:val="006955FA"/>
    <w:rsid w:val="00696600"/>
    <w:rsid w:val="0069729F"/>
    <w:rsid w:val="00697FAC"/>
    <w:rsid w:val="006A1323"/>
    <w:rsid w:val="006A1B99"/>
    <w:rsid w:val="006A1FEA"/>
    <w:rsid w:val="006A215D"/>
    <w:rsid w:val="006A2A25"/>
    <w:rsid w:val="006A33B7"/>
    <w:rsid w:val="006A401F"/>
    <w:rsid w:val="006A4B50"/>
    <w:rsid w:val="006A55B0"/>
    <w:rsid w:val="006A6D93"/>
    <w:rsid w:val="006A7BD5"/>
    <w:rsid w:val="006A7D57"/>
    <w:rsid w:val="006B0840"/>
    <w:rsid w:val="006B0CA3"/>
    <w:rsid w:val="006B0E9E"/>
    <w:rsid w:val="006B1C3F"/>
    <w:rsid w:val="006B2A16"/>
    <w:rsid w:val="006B4353"/>
    <w:rsid w:val="006B4737"/>
    <w:rsid w:val="006B53C4"/>
    <w:rsid w:val="006B5863"/>
    <w:rsid w:val="006B5958"/>
    <w:rsid w:val="006B5AE4"/>
    <w:rsid w:val="006B631B"/>
    <w:rsid w:val="006B6BCF"/>
    <w:rsid w:val="006C1122"/>
    <w:rsid w:val="006C2126"/>
    <w:rsid w:val="006C3AAC"/>
    <w:rsid w:val="006C6FF9"/>
    <w:rsid w:val="006C7A67"/>
    <w:rsid w:val="006D0825"/>
    <w:rsid w:val="006D1738"/>
    <w:rsid w:val="006D193A"/>
    <w:rsid w:val="006D2044"/>
    <w:rsid w:val="006D21E6"/>
    <w:rsid w:val="006D29E1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0C0F"/>
    <w:rsid w:val="006E1A22"/>
    <w:rsid w:val="006E274D"/>
    <w:rsid w:val="006E3560"/>
    <w:rsid w:val="006E4227"/>
    <w:rsid w:val="006F26C8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050"/>
    <w:rsid w:val="0070117A"/>
    <w:rsid w:val="00701D51"/>
    <w:rsid w:val="00703532"/>
    <w:rsid w:val="00703545"/>
    <w:rsid w:val="007041B0"/>
    <w:rsid w:val="00704963"/>
    <w:rsid w:val="00704E4D"/>
    <w:rsid w:val="007051C3"/>
    <w:rsid w:val="00705DE1"/>
    <w:rsid w:val="00706A78"/>
    <w:rsid w:val="0070725D"/>
    <w:rsid w:val="00707515"/>
    <w:rsid w:val="00707EC3"/>
    <w:rsid w:val="00710815"/>
    <w:rsid w:val="007114BF"/>
    <w:rsid w:val="007123DC"/>
    <w:rsid w:val="00712450"/>
    <w:rsid w:val="007128E2"/>
    <w:rsid w:val="007131EA"/>
    <w:rsid w:val="007135A7"/>
    <w:rsid w:val="00713E15"/>
    <w:rsid w:val="00713E1D"/>
    <w:rsid w:val="007143EA"/>
    <w:rsid w:val="00714A8B"/>
    <w:rsid w:val="00714CB1"/>
    <w:rsid w:val="00715534"/>
    <w:rsid w:val="007159B2"/>
    <w:rsid w:val="007179B3"/>
    <w:rsid w:val="00717D5C"/>
    <w:rsid w:val="0072037C"/>
    <w:rsid w:val="00720486"/>
    <w:rsid w:val="00720B1A"/>
    <w:rsid w:val="007211B1"/>
    <w:rsid w:val="00722640"/>
    <w:rsid w:val="00722A04"/>
    <w:rsid w:val="00723032"/>
    <w:rsid w:val="0072341D"/>
    <w:rsid w:val="00723FCE"/>
    <w:rsid w:val="00724C09"/>
    <w:rsid w:val="00724D7B"/>
    <w:rsid w:val="007251D7"/>
    <w:rsid w:val="00725E3B"/>
    <w:rsid w:val="00726835"/>
    <w:rsid w:val="00726BEE"/>
    <w:rsid w:val="00726FE7"/>
    <w:rsid w:val="007275EE"/>
    <w:rsid w:val="007311F3"/>
    <w:rsid w:val="007312B6"/>
    <w:rsid w:val="00731A52"/>
    <w:rsid w:val="00732FB4"/>
    <w:rsid w:val="00733426"/>
    <w:rsid w:val="0073371B"/>
    <w:rsid w:val="00733A7E"/>
    <w:rsid w:val="007342C5"/>
    <w:rsid w:val="0073488F"/>
    <w:rsid w:val="00735413"/>
    <w:rsid w:val="007368BE"/>
    <w:rsid w:val="00737496"/>
    <w:rsid w:val="0074020F"/>
    <w:rsid w:val="007405D5"/>
    <w:rsid w:val="0074087A"/>
    <w:rsid w:val="0074094F"/>
    <w:rsid w:val="00741D7B"/>
    <w:rsid w:val="00743EC8"/>
    <w:rsid w:val="00744279"/>
    <w:rsid w:val="00744506"/>
    <w:rsid w:val="00744595"/>
    <w:rsid w:val="00745695"/>
    <w:rsid w:val="00746173"/>
    <w:rsid w:val="00746187"/>
    <w:rsid w:val="00746427"/>
    <w:rsid w:val="007476ED"/>
    <w:rsid w:val="00751394"/>
    <w:rsid w:val="0075292C"/>
    <w:rsid w:val="007534D2"/>
    <w:rsid w:val="007534DA"/>
    <w:rsid w:val="007551C5"/>
    <w:rsid w:val="00755490"/>
    <w:rsid w:val="00755812"/>
    <w:rsid w:val="007563EC"/>
    <w:rsid w:val="00756531"/>
    <w:rsid w:val="00757AC5"/>
    <w:rsid w:val="0076028E"/>
    <w:rsid w:val="00761826"/>
    <w:rsid w:val="0076254F"/>
    <w:rsid w:val="00762790"/>
    <w:rsid w:val="007632A6"/>
    <w:rsid w:val="007639A7"/>
    <w:rsid w:val="0076444C"/>
    <w:rsid w:val="0076506A"/>
    <w:rsid w:val="007653E3"/>
    <w:rsid w:val="00766C32"/>
    <w:rsid w:val="00766E91"/>
    <w:rsid w:val="00770C05"/>
    <w:rsid w:val="007725FD"/>
    <w:rsid w:val="00772FE0"/>
    <w:rsid w:val="007734C7"/>
    <w:rsid w:val="00773AC6"/>
    <w:rsid w:val="00773E91"/>
    <w:rsid w:val="007744B8"/>
    <w:rsid w:val="00775048"/>
    <w:rsid w:val="00775B0D"/>
    <w:rsid w:val="00775C1F"/>
    <w:rsid w:val="00775FC9"/>
    <w:rsid w:val="0077695A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0C6"/>
    <w:rsid w:val="007842FB"/>
    <w:rsid w:val="0078512B"/>
    <w:rsid w:val="00785AF0"/>
    <w:rsid w:val="00786124"/>
    <w:rsid w:val="00786BAF"/>
    <w:rsid w:val="00787480"/>
    <w:rsid w:val="007874AC"/>
    <w:rsid w:val="007876FA"/>
    <w:rsid w:val="00787CAC"/>
    <w:rsid w:val="00787DA7"/>
    <w:rsid w:val="0079028D"/>
    <w:rsid w:val="00791083"/>
    <w:rsid w:val="00791666"/>
    <w:rsid w:val="00791951"/>
    <w:rsid w:val="00791FB0"/>
    <w:rsid w:val="007924C1"/>
    <w:rsid w:val="00794D93"/>
    <w:rsid w:val="00794F37"/>
    <w:rsid w:val="0079514B"/>
    <w:rsid w:val="007954DB"/>
    <w:rsid w:val="00796B88"/>
    <w:rsid w:val="00796DCA"/>
    <w:rsid w:val="00796F08"/>
    <w:rsid w:val="00797F86"/>
    <w:rsid w:val="007A011D"/>
    <w:rsid w:val="007A1C69"/>
    <w:rsid w:val="007A25D3"/>
    <w:rsid w:val="007A2DC1"/>
    <w:rsid w:val="007A4980"/>
    <w:rsid w:val="007A5118"/>
    <w:rsid w:val="007A57E5"/>
    <w:rsid w:val="007A78F3"/>
    <w:rsid w:val="007B189B"/>
    <w:rsid w:val="007B1B4E"/>
    <w:rsid w:val="007B1FF6"/>
    <w:rsid w:val="007B269C"/>
    <w:rsid w:val="007B26E4"/>
    <w:rsid w:val="007B31BB"/>
    <w:rsid w:val="007B3D9D"/>
    <w:rsid w:val="007B4A79"/>
    <w:rsid w:val="007B7FF8"/>
    <w:rsid w:val="007C0723"/>
    <w:rsid w:val="007C0DEB"/>
    <w:rsid w:val="007C11B9"/>
    <w:rsid w:val="007C1C52"/>
    <w:rsid w:val="007C1FF3"/>
    <w:rsid w:val="007C3D28"/>
    <w:rsid w:val="007C48FC"/>
    <w:rsid w:val="007C4CE5"/>
    <w:rsid w:val="007C5E9F"/>
    <w:rsid w:val="007C60FC"/>
    <w:rsid w:val="007C7C3D"/>
    <w:rsid w:val="007D0057"/>
    <w:rsid w:val="007D1803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0CDF"/>
    <w:rsid w:val="007E11C9"/>
    <w:rsid w:val="007E11D8"/>
    <w:rsid w:val="007E1339"/>
    <w:rsid w:val="007E13DD"/>
    <w:rsid w:val="007E194E"/>
    <w:rsid w:val="007E292B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0AD4"/>
    <w:rsid w:val="007F0F73"/>
    <w:rsid w:val="007F1FA6"/>
    <w:rsid w:val="007F23F1"/>
    <w:rsid w:val="007F2A2D"/>
    <w:rsid w:val="007F2C0F"/>
    <w:rsid w:val="007F324B"/>
    <w:rsid w:val="007F350D"/>
    <w:rsid w:val="007F3999"/>
    <w:rsid w:val="007F42DB"/>
    <w:rsid w:val="007F49F1"/>
    <w:rsid w:val="007F4E80"/>
    <w:rsid w:val="007F5717"/>
    <w:rsid w:val="007F5B50"/>
    <w:rsid w:val="007F6DA6"/>
    <w:rsid w:val="007F6E7C"/>
    <w:rsid w:val="007F6EA5"/>
    <w:rsid w:val="00800CB9"/>
    <w:rsid w:val="00801FA5"/>
    <w:rsid w:val="00802454"/>
    <w:rsid w:val="00802E5A"/>
    <w:rsid w:val="00802FAD"/>
    <w:rsid w:val="00803894"/>
    <w:rsid w:val="00804A36"/>
    <w:rsid w:val="0080553C"/>
    <w:rsid w:val="00805850"/>
    <w:rsid w:val="00805A24"/>
    <w:rsid w:val="00805B46"/>
    <w:rsid w:val="0080692D"/>
    <w:rsid w:val="008129D7"/>
    <w:rsid w:val="00812F3A"/>
    <w:rsid w:val="0081363D"/>
    <w:rsid w:val="0081414E"/>
    <w:rsid w:val="00814BE3"/>
    <w:rsid w:val="00814DC4"/>
    <w:rsid w:val="0081566A"/>
    <w:rsid w:val="00815E93"/>
    <w:rsid w:val="00815F15"/>
    <w:rsid w:val="00817140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69D6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632"/>
    <w:rsid w:val="00835DE9"/>
    <w:rsid w:val="008403A9"/>
    <w:rsid w:val="0084092E"/>
    <w:rsid w:val="008411A3"/>
    <w:rsid w:val="00841C85"/>
    <w:rsid w:val="00841DCB"/>
    <w:rsid w:val="008421F5"/>
    <w:rsid w:val="0084243C"/>
    <w:rsid w:val="00842EFE"/>
    <w:rsid w:val="00843261"/>
    <w:rsid w:val="00843537"/>
    <w:rsid w:val="00843795"/>
    <w:rsid w:val="0084402E"/>
    <w:rsid w:val="00845559"/>
    <w:rsid w:val="008459BF"/>
    <w:rsid w:val="00846780"/>
    <w:rsid w:val="00847014"/>
    <w:rsid w:val="00847F0F"/>
    <w:rsid w:val="0085051F"/>
    <w:rsid w:val="0085170B"/>
    <w:rsid w:val="008517A6"/>
    <w:rsid w:val="00851AEC"/>
    <w:rsid w:val="00851B8E"/>
    <w:rsid w:val="00852385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3C89"/>
    <w:rsid w:val="00864A6B"/>
    <w:rsid w:val="008652BA"/>
    <w:rsid w:val="0086588A"/>
    <w:rsid w:val="0086768A"/>
    <w:rsid w:val="0086770D"/>
    <w:rsid w:val="00870A9B"/>
    <w:rsid w:val="00871ACF"/>
    <w:rsid w:val="00871AF8"/>
    <w:rsid w:val="008720A0"/>
    <w:rsid w:val="0087213F"/>
    <w:rsid w:val="00872897"/>
    <w:rsid w:val="00872BFA"/>
    <w:rsid w:val="00873014"/>
    <w:rsid w:val="00873212"/>
    <w:rsid w:val="008745C2"/>
    <w:rsid w:val="00874AE4"/>
    <w:rsid w:val="008754C4"/>
    <w:rsid w:val="00875B1B"/>
    <w:rsid w:val="00876A85"/>
    <w:rsid w:val="00876DBF"/>
    <w:rsid w:val="008770BE"/>
    <w:rsid w:val="008802DC"/>
    <w:rsid w:val="00880669"/>
    <w:rsid w:val="0088082F"/>
    <w:rsid w:val="00880CA5"/>
    <w:rsid w:val="00880DD3"/>
    <w:rsid w:val="008822FA"/>
    <w:rsid w:val="0088258A"/>
    <w:rsid w:val="00883099"/>
    <w:rsid w:val="00883801"/>
    <w:rsid w:val="008843E2"/>
    <w:rsid w:val="008844EC"/>
    <w:rsid w:val="008848F4"/>
    <w:rsid w:val="008855A1"/>
    <w:rsid w:val="00885F6E"/>
    <w:rsid w:val="00886332"/>
    <w:rsid w:val="0088645C"/>
    <w:rsid w:val="00886FD0"/>
    <w:rsid w:val="00890348"/>
    <w:rsid w:val="00890664"/>
    <w:rsid w:val="00890E18"/>
    <w:rsid w:val="00891840"/>
    <w:rsid w:val="00891989"/>
    <w:rsid w:val="00892546"/>
    <w:rsid w:val="00892BC0"/>
    <w:rsid w:val="008948AB"/>
    <w:rsid w:val="008952E1"/>
    <w:rsid w:val="00896408"/>
    <w:rsid w:val="008A10A2"/>
    <w:rsid w:val="008A1C4D"/>
    <w:rsid w:val="008A1C5D"/>
    <w:rsid w:val="008A26D9"/>
    <w:rsid w:val="008A29FE"/>
    <w:rsid w:val="008A5450"/>
    <w:rsid w:val="008A718D"/>
    <w:rsid w:val="008A7ADA"/>
    <w:rsid w:val="008A7C7B"/>
    <w:rsid w:val="008B0722"/>
    <w:rsid w:val="008B1B0C"/>
    <w:rsid w:val="008B2F2F"/>
    <w:rsid w:val="008B3830"/>
    <w:rsid w:val="008B3902"/>
    <w:rsid w:val="008B5A64"/>
    <w:rsid w:val="008B5D5E"/>
    <w:rsid w:val="008B6256"/>
    <w:rsid w:val="008B6B79"/>
    <w:rsid w:val="008B7FB0"/>
    <w:rsid w:val="008C09AE"/>
    <w:rsid w:val="008C0C29"/>
    <w:rsid w:val="008C0C51"/>
    <w:rsid w:val="008C1F1E"/>
    <w:rsid w:val="008C2560"/>
    <w:rsid w:val="008C2F28"/>
    <w:rsid w:val="008C41A9"/>
    <w:rsid w:val="008C585C"/>
    <w:rsid w:val="008C5868"/>
    <w:rsid w:val="008C59F2"/>
    <w:rsid w:val="008D02CE"/>
    <w:rsid w:val="008D06DB"/>
    <w:rsid w:val="008D154F"/>
    <w:rsid w:val="008D1FAF"/>
    <w:rsid w:val="008D285D"/>
    <w:rsid w:val="008D40CD"/>
    <w:rsid w:val="008D416F"/>
    <w:rsid w:val="008D4B27"/>
    <w:rsid w:val="008D71BA"/>
    <w:rsid w:val="008D786D"/>
    <w:rsid w:val="008E0528"/>
    <w:rsid w:val="008E07F1"/>
    <w:rsid w:val="008E184F"/>
    <w:rsid w:val="008E201A"/>
    <w:rsid w:val="008E23E8"/>
    <w:rsid w:val="008E2D5B"/>
    <w:rsid w:val="008E33B0"/>
    <w:rsid w:val="008E3823"/>
    <w:rsid w:val="008E441B"/>
    <w:rsid w:val="008E4C94"/>
    <w:rsid w:val="008E597A"/>
    <w:rsid w:val="008E5F7C"/>
    <w:rsid w:val="008E62CC"/>
    <w:rsid w:val="008E6BAC"/>
    <w:rsid w:val="008E722B"/>
    <w:rsid w:val="008F09BA"/>
    <w:rsid w:val="008F0C4A"/>
    <w:rsid w:val="008F139A"/>
    <w:rsid w:val="008F2CE2"/>
    <w:rsid w:val="008F334D"/>
    <w:rsid w:val="008F3638"/>
    <w:rsid w:val="008F4105"/>
    <w:rsid w:val="008F4DE6"/>
    <w:rsid w:val="008F545D"/>
    <w:rsid w:val="008F5C80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5B9"/>
    <w:rsid w:val="00904789"/>
    <w:rsid w:val="00905D2F"/>
    <w:rsid w:val="009065DD"/>
    <w:rsid w:val="009066A7"/>
    <w:rsid w:val="00911111"/>
    <w:rsid w:val="00911424"/>
    <w:rsid w:val="0091149A"/>
    <w:rsid w:val="00911553"/>
    <w:rsid w:val="00912107"/>
    <w:rsid w:val="009127BA"/>
    <w:rsid w:val="00914321"/>
    <w:rsid w:val="00914CFD"/>
    <w:rsid w:val="00914FE7"/>
    <w:rsid w:val="00915D8D"/>
    <w:rsid w:val="00915E9A"/>
    <w:rsid w:val="00920BC2"/>
    <w:rsid w:val="00921F50"/>
    <w:rsid w:val="009227A6"/>
    <w:rsid w:val="00924286"/>
    <w:rsid w:val="00925194"/>
    <w:rsid w:val="00925599"/>
    <w:rsid w:val="009266E8"/>
    <w:rsid w:val="00926D8F"/>
    <w:rsid w:val="00926F3A"/>
    <w:rsid w:val="00926F8C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48D1"/>
    <w:rsid w:val="00935DBF"/>
    <w:rsid w:val="009369CF"/>
    <w:rsid w:val="009374EE"/>
    <w:rsid w:val="009374FA"/>
    <w:rsid w:val="0093769C"/>
    <w:rsid w:val="0094011D"/>
    <w:rsid w:val="00940302"/>
    <w:rsid w:val="0094039E"/>
    <w:rsid w:val="009408F4"/>
    <w:rsid w:val="00941346"/>
    <w:rsid w:val="0094257C"/>
    <w:rsid w:val="00942F3B"/>
    <w:rsid w:val="00943278"/>
    <w:rsid w:val="009435A7"/>
    <w:rsid w:val="00943943"/>
    <w:rsid w:val="009451EB"/>
    <w:rsid w:val="00946462"/>
    <w:rsid w:val="009465B2"/>
    <w:rsid w:val="009475BD"/>
    <w:rsid w:val="00947647"/>
    <w:rsid w:val="00947790"/>
    <w:rsid w:val="00947E5D"/>
    <w:rsid w:val="00950369"/>
    <w:rsid w:val="0095042B"/>
    <w:rsid w:val="009506D3"/>
    <w:rsid w:val="009509D6"/>
    <w:rsid w:val="00951099"/>
    <w:rsid w:val="0095115F"/>
    <w:rsid w:val="0095156E"/>
    <w:rsid w:val="00951A12"/>
    <w:rsid w:val="009530DB"/>
    <w:rsid w:val="00953676"/>
    <w:rsid w:val="009542D9"/>
    <w:rsid w:val="0095539B"/>
    <w:rsid w:val="00955983"/>
    <w:rsid w:val="00955FF5"/>
    <w:rsid w:val="009567BA"/>
    <w:rsid w:val="009573F6"/>
    <w:rsid w:val="00957B49"/>
    <w:rsid w:val="009621A2"/>
    <w:rsid w:val="009639B7"/>
    <w:rsid w:val="00963EBE"/>
    <w:rsid w:val="00964A3E"/>
    <w:rsid w:val="009664AF"/>
    <w:rsid w:val="00966D4C"/>
    <w:rsid w:val="00966EB1"/>
    <w:rsid w:val="009701A2"/>
    <w:rsid w:val="009702AD"/>
    <w:rsid w:val="009702EB"/>
    <w:rsid w:val="009705EE"/>
    <w:rsid w:val="00970F47"/>
    <w:rsid w:val="00971029"/>
    <w:rsid w:val="009733FE"/>
    <w:rsid w:val="009734D6"/>
    <w:rsid w:val="0097686A"/>
    <w:rsid w:val="00977927"/>
    <w:rsid w:val="00977B64"/>
    <w:rsid w:val="00977FB2"/>
    <w:rsid w:val="009804AB"/>
    <w:rsid w:val="0098135C"/>
    <w:rsid w:val="0098156A"/>
    <w:rsid w:val="00981637"/>
    <w:rsid w:val="00982B24"/>
    <w:rsid w:val="00982C3F"/>
    <w:rsid w:val="009831A8"/>
    <w:rsid w:val="009831B8"/>
    <w:rsid w:val="009835E7"/>
    <w:rsid w:val="009837CB"/>
    <w:rsid w:val="0098396E"/>
    <w:rsid w:val="00983B25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037"/>
    <w:rsid w:val="00991BAC"/>
    <w:rsid w:val="009921F7"/>
    <w:rsid w:val="00992926"/>
    <w:rsid w:val="00993FB9"/>
    <w:rsid w:val="0099454C"/>
    <w:rsid w:val="0099468F"/>
    <w:rsid w:val="009946FC"/>
    <w:rsid w:val="00995351"/>
    <w:rsid w:val="00995700"/>
    <w:rsid w:val="00996CF6"/>
    <w:rsid w:val="00996DBF"/>
    <w:rsid w:val="00997CC8"/>
    <w:rsid w:val="009A036A"/>
    <w:rsid w:val="009A0F70"/>
    <w:rsid w:val="009A1428"/>
    <w:rsid w:val="009A2834"/>
    <w:rsid w:val="009A311E"/>
    <w:rsid w:val="009A3193"/>
    <w:rsid w:val="009A3280"/>
    <w:rsid w:val="009A39CF"/>
    <w:rsid w:val="009A40AF"/>
    <w:rsid w:val="009A47F0"/>
    <w:rsid w:val="009A4920"/>
    <w:rsid w:val="009A4A98"/>
    <w:rsid w:val="009A5386"/>
    <w:rsid w:val="009A5C86"/>
    <w:rsid w:val="009A607B"/>
    <w:rsid w:val="009A6A82"/>
    <w:rsid w:val="009A6E18"/>
    <w:rsid w:val="009A6EA0"/>
    <w:rsid w:val="009A7808"/>
    <w:rsid w:val="009A7DB0"/>
    <w:rsid w:val="009B0130"/>
    <w:rsid w:val="009B17EA"/>
    <w:rsid w:val="009B19A1"/>
    <w:rsid w:val="009B1D47"/>
    <w:rsid w:val="009B2178"/>
    <w:rsid w:val="009B3FC6"/>
    <w:rsid w:val="009B4B22"/>
    <w:rsid w:val="009B510A"/>
    <w:rsid w:val="009B5807"/>
    <w:rsid w:val="009B6005"/>
    <w:rsid w:val="009B6742"/>
    <w:rsid w:val="009B6750"/>
    <w:rsid w:val="009B6F8D"/>
    <w:rsid w:val="009C0363"/>
    <w:rsid w:val="009C0C9F"/>
    <w:rsid w:val="009C1335"/>
    <w:rsid w:val="009C14EF"/>
    <w:rsid w:val="009C17B6"/>
    <w:rsid w:val="009C1972"/>
    <w:rsid w:val="009C1AB2"/>
    <w:rsid w:val="009C1FB3"/>
    <w:rsid w:val="009C3D24"/>
    <w:rsid w:val="009C3ED3"/>
    <w:rsid w:val="009C643C"/>
    <w:rsid w:val="009C69B4"/>
    <w:rsid w:val="009C708B"/>
    <w:rsid w:val="009C7251"/>
    <w:rsid w:val="009D0F07"/>
    <w:rsid w:val="009D1900"/>
    <w:rsid w:val="009D19FF"/>
    <w:rsid w:val="009D23B8"/>
    <w:rsid w:val="009D40D2"/>
    <w:rsid w:val="009D5D17"/>
    <w:rsid w:val="009D603C"/>
    <w:rsid w:val="009D6318"/>
    <w:rsid w:val="009D63EC"/>
    <w:rsid w:val="009D6A6F"/>
    <w:rsid w:val="009D752E"/>
    <w:rsid w:val="009D779E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4567"/>
    <w:rsid w:val="009E5051"/>
    <w:rsid w:val="009E52B8"/>
    <w:rsid w:val="009E54E3"/>
    <w:rsid w:val="009E5D09"/>
    <w:rsid w:val="009E6058"/>
    <w:rsid w:val="009E77EA"/>
    <w:rsid w:val="009E7BDD"/>
    <w:rsid w:val="009E7EFF"/>
    <w:rsid w:val="009F0682"/>
    <w:rsid w:val="009F081C"/>
    <w:rsid w:val="009F23A6"/>
    <w:rsid w:val="009F2629"/>
    <w:rsid w:val="009F294E"/>
    <w:rsid w:val="009F2C39"/>
    <w:rsid w:val="009F3FCB"/>
    <w:rsid w:val="00A00ADB"/>
    <w:rsid w:val="00A02EF5"/>
    <w:rsid w:val="00A0459B"/>
    <w:rsid w:val="00A05668"/>
    <w:rsid w:val="00A06170"/>
    <w:rsid w:val="00A066D7"/>
    <w:rsid w:val="00A06767"/>
    <w:rsid w:val="00A06C78"/>
    <w:rsid w:val="00A06D51"/>
    <w:rsid w:val="00A06E35"/>
    <w:rsid w:val="00A07107"/>
    <w:rsid w:val="00A07155"/>
    <w:rsid w:val="00A102A0"/>
    <w:rsid w:val="00A119C1"/>
    <w:rsid w:val="00A11F6A"/>
    <w:rsid w:val="00A12167"/>
    <w:rsid w:val="00A12268"/>
    <w:rsid w:val="00A123CB"/>
    <w:rsid w:val="00A1263F"/>
    <w:rsid w:val="00A13626"/>
    <w:rsid w:val="00A139F5"/>
    <w:rsid w:val="00A13CCD"/>
    <w:rsid w:val="00A1433B"/>
    <w:rsid w:val="00A14BD9"/>
    <w:rsid w:val="00A14EA7"/>
    <w:rsid w:val="00A16091"/>
    <w:rsid w:val="00A16433"/>
    <w:rsid w:val="00A16C0D"/>
    <w:rsid w:val="00A16E9B"/>
    <w:rsid w:val="00A17083"/>
    <w:rsid w:val="00A173FF"/>
    <w:rsid w:val="00A17B12"/>
    <w:rsid w:val="00A201E2"/>
    <w:rsid w:val="00A22FCF"/>
    <w:rsid w:val="00A2394A"/>
    <w:rsid w:val="00A23D91"/>
    <w:rsid w:val="00A243D7"/>
    <w:rsid w:val="00A24DAE"/>
    <w:rsid w:val="00A25260"/>
    <w:rsid w:val="00A259BA"/>
    <w:rsid w:val="00A25F4C"/>
    <w:rsid w:val="00A26985"/>
    <w:rsid w:val="00A2774F"/>
    <w:rsid w:val="00A30379"/>
    <w:rsid w:val="00A3190C"/>
    <w:rsid w:val="00A323C5"/>
    <w:rsid w:val="00A33C88"/>
    <w:rsid w:val="00A33E3E"/>
    <w:rsid w:val="00A33F2A"/>
    <w:rsid w:val="00A35335"/>
    <w:rsid w:val="00A35EAA"/>
    <w:rsid w:val="00A3652D"/>
    <w:rsid w:val="00A365B0"/>
    <w:rsid w:val="00A365F4"/>
    <w:rsid w:val="00A36F67"/>
    <w:rsid w:val="00A3753B"/>
    <w:rsid w:val="00A40075"/>
    <w:rsid w:val="00A40D7A"/>
    <w:rsid w:val="00A416B1"/>
    <w:rsid w:val="00A41778"/>
    <w:rsid w:val="00A41CAA"/>
    <w:rsid w:val="00A43659"/>
    <w:rsid w:val="00A4391A"/>
    <w:rsid w:val="00A44ACB"/>
    <w:rsid w:val="00A451BA"/>
    <w:rsid w:val="00A45763"/>
    <w:rsid w:val="00A46503"/>
    <w:rsid w:val="00A47A1C"/>
    <w:rsid w:val="00A47D80"/>
    <w:rsid w:val="00A50A24"/>
    <w:rsid w:val="00A50E21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AC3"/>
    <w:rsid w:val="00A74E8D"/>
    <w:rsid w:val="00A7609D"/>
    <w:rsid w:val="00A76F14"/>
    <w:rsid w:val="00A77EC2"/>
    <w:rsid w:val="00A80083"/>
    <w:rsid w:val="00A803E9"/>
    <w:rsid w:val="00A810F9"/>
    <w:rsid w:val="00A81564"/>
    <w:rsid w:val="00A81F44"/>
    <w:rsid w:val="00A83CD1"/>
    <w:rsid w:val="00A844E6"/>
    <w:rsid w:val="00A84923"/>
    <w:rsid w:val="00A84E9F"/>
    <w:rsid w:val="00A84EAD"/>
    <w:rsid w:val="00A857A6"/>
    <w:rsid w:val="00A86ECC"/>
    <w:rsid w:val="00A86FCC"/>
    <w:rsid w:val="00A876AE"/>
    <w:rsid w:val="00A87B36"/>
    <w:rsid w:val="00A87F62"/>
    <w:rsid w:val="00A90788"/>
    <w:rsid w:val="00A90BCD"/>
    <w:rsid w:val="00A90F9A"/>
    <w:rsid w:val="00A91118"/>
    <w:rsid w:val="00A913B8"/>
    <w:rsid w:val="00A91F3D"/>
    <w:rsid w:val="00A92509"/>
    <w:rsid w:val="00A9303B"/>
    <w:rsid w:val="00AA0E9C"/>
    <w:rsid w:val="00AA106D"/>
    <w:rsid w:val="00AA11D4"/>
    <w:rsid w:val="00AA3322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2B27"/>
    <w:rsid w:val="00AB3053"/>
    <w:rsid w:val="00AB36DF"/>
    <w:rsid w:val="00AB38AA"/>
    <w:rsid w:val="00AB456C"/>
    <w:rsid w:val="00AB496D"/>
    <w:rsid w:val="00AB584F"/>
    <w:rsid w:val="00AB5A6B"/>
    <w:rsid w:val="00AB5B97"/>
    <w:rsid w:val="00AB63AB"/>
    <w:rsid w:val="00AB6562"/>
    <w:rsid w:val="00AB664E"/>
    <w:rsid w:val="00AB6D25"/>
    <w:rsid w:val="00AC20DC"/>
    <w:rsid w:val="00AC2C0D"/>
    <w:rsid w:val="00AC5A64"/>
    <w:rsid w:val="00AC639B"/>
    <w:rsid w:val="00AC6AED"/>
    <w:rsid w:val="00AD195B"/>
    <w:rsid w:val="00AD1C11"/>
    <w:rsid w:val="00AD1CDE"/>
    <w:rsid w:val="00AD34B4"/>
    <w:rsid w:val="00AD5275"/>
    <w:rsid w:val="00AD5FDD"/>
    <w:rsid w:val="00AD61A4"/>
    <w:rsid w:val="00AD6A93"/>
    <w:rsid w:val="00AD728E"/>
    <w:rsid w:val="00AD78DC"/>
    <w:rsid w:val="00AD79AF"/>
    <w:rsid w:val="00AD7BD4"/>
    <w:rsid w:val="00AD7C20"/>
    <w:rsid w:val="00AE003F"/>
    <w:rsid w:val="00AE026B"/>
    <w:rsid w:val="00AE0ABD"/>
    <w:rsid w:val="00AE0DB3"/>
    <w:rsid w:val="00AE1342"/>
    <w:rsid w:val="00AE14C9"/>
    <w:rsid w:val="00AE2D4B"/>
    <w:rsid w:val="00AE3BC2"/>
    <w:rsid w:val="00AE4F99"/>
    <w:rsid w:val="00AE50C0"/>
    <w:rsid w:val="00AE55FF"/>
    <w:rsid w:val="00AE56C6"/>
    <w:rsid w:val="00AE586F"/>
    <w:rsid w:val="00AE636C"/>
    <w:rsid w:val="00AE63DB"/>
    <w:rsid w:val="00AE6BC6"/>
    <w:rsid w:val="00AE6F53"/>
    <w:rsid w:val="00AF01A0"/>
    <w:rsid w:val="00AF09F3"/>
    <w:rsid w:val="00AF0CDF"/>
    <w:rsid w:val="00AF5519"/>
    <w:rsid w:val="00AF6AC1"/>
    <w:rsid w:val="00AF7276"/>
    <w:rsid w:val="00AF7FD7"/>
    <w:rsid w:val="00B00A77"/>
    <w:rsid w:val="00B01375"/>
    <w:rsid w:val="00B014B2"/>
    <w:rsid w:val="00B015DA"/>
    <w:rsid w:val="00B017A9"/>
    <w:rsid w:val="00B01B67"/>
    <w:rsid w:val="00B01E15"/>
    <w:rsid w:val="00B02A8D"/>
    <w:rsid w:val="00B02E34"/>
    <w:rsid w:val="00B035A6"/>
    <w:rsid w:val="00B03B4A"/>
    <w:rsid w:val="00B04C23"/>
    <w:rsid w:val="00B058A3"/>
    <w:rsid w:val="00B06FF0"/>
    <w:rsid w:val="00B1011C"/>
    <w:rsid w:val="00B113A9"/>
    <w:rsid w:val="00B11D55"/>
    <w:rsid w:val="00B11DFB"/>
    <w:rsid w:val="00B11F7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16565"/>
    <w:rsid w:val="00B2070C"/>
    <w:rsid w:val="00B21D03"/>
    <w:rsid w:val="00B21E21"/>
    <w:rsid w:val="00B234E7"/>
    <w:rsid w:val="00B241A9"/>
    <w:rsid w:val="00B24DA0"/>
    <w:rsid w:val="00B2502C"/>
    <w:rsid w:val="00B25835"/>
    <w:rsid w:val="00B26BF4"/>
    <w:rsid w:val="00B27CDF"/>
    <w:rsid w:val="00B30E43"/>
    <w:rsid w:val="00B3103B"/>
    <w:rsid w:val="00B31E5A"/>
    <w:rsid w:val="00B31F08"/>
    <w:rsid w:val="00B34992"/>
    <w:rsid w:val="00B36EEA"/>
    <w:rsid w:val="00B36EFC"/>
    <w:rsid w:val="00B37894"/>
    <w:rsid w:val="00B40AE0"/>
    <w:rsid w:val="00B40E8D"/>
    <w:rsid w:val="00B435CB"/>
    <w:rsid w:val="00B43730"/>
    <w:rsid w:val="00B4396D"/>
    <w:rsid w:val="00B43A4C"/>
    <w:rsid w:val="00B44328"/>
    <w:rsid w:val="00B45BC6"/>
    <w:rsid w:val="00B462F9"/>
    <w:rsid w:val="00B474D7"/>
    <w:rsid w:val="00B47817"/>
    <w:rsid w:val="00B501D7"/>
    <w:rsid w:val="00B50D01"/>
    <w:rsid w:val="00B51363"/>
    <w:rsid w:val="00B52265"/>
    <w:rsid w:val="00B5234B"/>
    <w:rsid w:val="00B5279C"/>
    <w:rsid w:val="00B5363E"/>
    <w:rsid w:val="00B54D04"/>
    <w:rsid w:val="00B54F94"/>
    <w:rsid w:val="00B5580B"/>
    <w:rsid w:val="00B55A1F"/>
    <w:rsid w:val="00B55CEB"/>
    <w:rsid w:val="00B561C0"/>
    <w:rsid w:val="00B60288"/>
    <w:rsid w:val="00B60D87"/>
    <w:rsid w:val="00B614FA"/>
    <w:rsid w:val="00B62672"/>
    <w:rsid w:val="00B62886"/>
    <w:rsid w:val="00B648D6"/>
    <w:rsid w:val="00B653AB"/>
    <w:rsid w:val="00B65CB2"/>
    <w:rsid w:val="00B65F9E"/>
    <w:rsid w:val="00B66555"/>
    <w:rsid w:val="00B66B19"/>
    <w:rsid w:val="00B670A6"/>
    <w:rsid w:val="00B70B9A"/>
    <w:rsid w:val="00B70E33"/>
    <w:rsid w:val="00B7104B"/>
    <w:rsid w:val="00B72ED6"/>
    <w:rsid w:val="00B74137"/>
    <w:rsid w:val="00B764AD"/>
    <w:rsid w:val="00B77835"/>
    <w:rsid w:val="00B80D98"/>
    <w:rsid w:val="00B8115E"/>
    <w:rsid w:val="00B811B4"/>
    <w:rsid w:val="00B821CA"/>
    <w:rsid w:val="00B82DF6"/>
    <w:rsid w:val="00B83224"/>
    <w:rsid w:val="00B83CF0"/>
    <w:rsid w:val="00B86308"/>
    <w:rsid w:val="00B87A2C"/>
    <w:rsid w:val="00B907DA"/>
    <w:rsid w:val="00B914E9"/>
    <w:rsid w:val="00B91E80"/>
    <w:rsid w:val="00B91F18"/>
    <w:rsid w:val="00B9214D"/>
    <w:rsid w:val="00B92654"/>
    <w:rsid w:val="00B92788"/>
    <w:rsid w:val="00B92B28"/>
    <w:rsid w:val="00B92C59"/>
    <w:rsid w:val="00B93085"/>
    <w:rsid w:val="00B956EE"/>
    <w:rsid w:val="00B95F0F"/>
    <w:rsid w:val="00BA0257"/>
    <w:rsid w:val="00BA10FF"/>
    <w:rsid w:val="00BA1710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3EA"/>
    <w:rsid w:val="00BB0736"/>
    <w:rsid w:val="00BB0D60"/>
    <w:rsid w:val="00BB1872"/>
    <w:rsid w:val="00BB35BD"/>
    <w:rsid w:val="00BB438D"/>
    <w:rsid w:val="00BB4F09"/>
    <w:rsid w:val="00BB5936"/>
    <w:rsid w:val="00BB59BD"/>
    <w:rsid w:val="00BB6C29"/>
    <w:rsid w:val="00BB6E59"/>
    <w:rsid w:val="00BB74C5"/>
    <w:rsid w:val="00BC1166"/>
    <w:rsid w:val="00BC17F6"/>
    <w:rsid w:val="00BC3493"/>
    <w:rsid w:val="00BC4EE0"/>
    <w:rsid w:val="00BC5100"/>
    <w:rsid w:val="00BC51FC"/>
    <w:rsid w:val="00BC571A"/>
    <w:rsid w:val="00BC5899"/>
    <w:rsid w:val="00BC6850"/>
    <w:rsid w:val="00BC7149"/>
    <w:rsid w:val="00BD15A8"/>
    <w:rsid w:val="00BD2BC3"/>
    <w:rsid w:val="00BD2F53"/>
    <w:rsid w:val="00BD3A2D"/>
    <w:rsid w:val="00BD4AFD"/>
    <w:rsid w:val="00BD4E33"/>
    <w:rsid w:val="00BD5068"/>
    <w:rsid w:val="00BE0677"/>
    <w:rsid w:val="00BE0F74"/>
    <w:rsid w:val="00BE11C6"/>
    <w:rsid w:val="00BE3A9A"/>
    <w:rsid w:val="00BE494C"/>
    <w:rsid w:val="00BE53EE"/>
    <w:rsid w:val="00BE588F"/>
    <w:rsid w:val="00BE5B8B"/>
    <w:rsid w:val="00BE63EB"/>
    <w:rsid w:val="00BE748C"/>
    <w:rsid w:val="00BE7A65"/>
    <w:rsid w:val="00BF0610"/>
    <w:rsid w:val="00BF0F88"/>
    <w:rsid w:val="00BF2440"/>
    <w:rsid w:val="00BF2C8D"/>
    <w:rsid w:val="00BF33F5"/>
    <w:rsid w:val="00BF37A6"/>
    <w:rsid w:val="00BF456B"/>
    <w:rsid w:val="00BF6798"/>
    <w:rsid w:val="00BF735C"/>
    <w:rsid w:val="00BF7A4E"/>
    <w:rsid w:val="00C01EC4"/>
    <w:rsid w:val="00C02119"/>
    <w:rsid w:val="00C02127"/>
    <w:rsid w:val="00C02129"/>
    <w:rsid w:val="00C022FD"/>
    <w:rsid w:val="00C030DE"/>
    <w:rsid w:val="00C03108"/>
    <w:rsid w:val="00C03963"/>
    <w:rsid w:val="00C054D3"/>
    <w:rsid w:val="00C065BF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959"/>
    <w:rsid w:val="00C20B6C"/>
    <w:rsid w:val="00C2205B"/>
    <w:rsid w:val="00C22105"/>
    <w:rsid w:val="00C244AD"/>
    <w:rsid w:val="00C244B6"/>
    <w:rsid w:val="00C24AB5"/>
    <w:rsid w:val="00C24E93"/>
    <w:rsid w:val="00C2599C"/>
    <w:rsid w:val="00C25A04"/>
    <w:rsid w:val="00C25A07"/>
    <w:rsid w:val="00C27187"/>
    <w:rsid w:val="00C27D0C"/>
    <w:rsid w:val="00C30406"/>
    <w:rsid w:val="00C3052B"/>
    <w:rsid w:val="00C306F4"/>
    <w:rsid w:val="00C309E9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2A2"/>
    <w:rsid w:val="00C425BC"/>
    <w:rsid w:val="00C4368C"/>
    <w:rsid w:val="00C43A47"/>
    <w:rsid w:val="00C448F9"/>
    <w:rsid w:val="00C45082"/>
    <w:rsid w:val="00C450D7"/>
    <w:rsid w:val="00C45CD2"/>
    <w:rsid w:val="00C4686E"/>
    <w:rsid w:val="00C473CD"/>
    <w:rsid w:val="00C47F76"/>
    <w:rsid w:val="00C50A24"/>
    <w:rsid w:val="00C50B56"/>
    <w:rsid w:val="00C516E7"/>
    <w:rsid w:val="00C51825"/>
    <w:rsid w:val="00C520FD"/>
    <w:rsid w:val="00C53DAB"/>
    <w:rsid w:val="00C5495A"/>
    <w:rsid w:val="00C5627C"/>
    <w:rsid w:val="00C571B9"/>
    <w:rsid w:val="00C57B60"/>
    <w:rsid w:val="00C57C83"/>
    <w:rsid w:val="00C60E2D"/>
    <w:rsid w:val="00C61D43"/>
    <w:rsid w:val="00C621AD"/>
    <w:rsid w:val="00C63164"/>
    <w:rsid w:val="00C6348E"/>
    <w:rsid w:val="00C63B52"/>
    <w:rsid w:val="00C6464A"/>
    <w:rsid w:val="00C64A37"/>
    <w:rsid w:val="00C64CE0"/>
    <w:rsid w:val="00C667D5"/>
    <w:rsid w:val="00C67C6B"/>
    <w:rsid w:val="00C67DC0"/>
    <w:rsid w:val="00C704E3"/>
    <w:rsid w:val="00C71085"/>
    <w:rsid w:val="00C71497"/>
    <w:rsid w:val="00C7158E"/>
    <w:rsid w:val="00C71AA9"/>
    <w:rsid w:val="00C7250B"/>
    <w:rsid w:val="00C72B90"/>
    <w:rsid w:val="00C733C3"/>
    <w:rsid w:val="00C7346B"/>
    <w:rsid w:val="00C743AE"/>
    <w:rsid w:val="00C76401"/>
    <w:rsid w:val="00C7649A"/>
    <w:rsid w:val="00C769FD"/>
    <w:rsid w:val="00C7731D"/>
    <w:rsid w:val="00C77C0E"/>
    <w:rsid w:val="00C77C4A"/>
    <w:rsid w:val="00C77C78"/>
    <w:rsid w:val="00C800B3"/>
    <w:rsid w:val="00C830AF"/>
    <w:rsid w:val="00C83C95"/>
    <w:rsid w:val="00C85162"/>
    <w:rsid w:val="00C85BB8"/>
    <w:rsid w:val="00C86115"/>
    <w:rsid w:val="00C867A5"/>
    <w:rsid w:val="00C86E6F"/>
    <w:rsid w:val="00C873F3"/>
    <w:rsid w:val="00C87541"/>
    <w:rsid w:val="00C904ED"/>
    <w:rsid w:val="00C91002"/>
    <w:rsid w:val="00C912FD"/>
    <w:rsid w:val="00C91687"/>
    <w:rsid w:val="00C919A4"/>
    <w:rsid w:val="00C924A8"/>
    <w:rsid w:val="00C92C54"/>
    <w:rsid w:val="00C945FE"/>
    <w:rsid w:val="00C947C2"/>
    <w:rsid w:val="00C96C52"/>
    <w:rsid w:val="00C96FAA"/>
    <w:rsid w:val="00C9703F"/>
    <w:rsid w:val="00C97A04"/>
    <w:rsid w:val="00C97C34"/>
    <w:rsid w:val="00CA107B"/>
    <w:rsid w:val="00CA117D"/>
    <w:rsid w:val="00CA1F2E"/>
    <w:rsid w:val="00CA26F9"/>
    <w:rsid w:val="00CA28B0"/>
    <w:rsid w:val="00CA2A79"/>
    <w:rsid w:val="00CA2B2E"/>
    <w:rsid w:val="00CA484D"/>
    <w:rsid w:val="00CA7B89"/>
    <w:rsid w:val="00CA7E78"/>
    <w:rsid w:val="00CB0FE2"/>
    <w:rsid w:val="00CB1824"/>
    <w:rsid w:val="00CB203F"/>
    <w:rsid w:val="00CB2E8F"/>
    <w:rsid w:val="00CB2FA6"/>
    <w:rsid w:val="00CB4128"/>
    <w:rsid w:val="00CB4A89"/>
    <w:rsid w:val="00CB4DB9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BBE"/>
    <w:rsid w:val="00CC2C53"/>
    <w:rsid w:val="00CC303A"/>
    <w:rsid w:val="00CC4D77"/>
    <w:rsid w:val="00CC5570"/>
    <w:rsid w:val="00CC5F9D"/>
    <w:rsid w:val="00CC6016"/>
    <w:rsid w:val="00CC60CF"/>
    <w:rsid w:val="00CC6D1D"/>
    <w:rsid w:val="00CC71A4"/>
    <w:rsid w:val="00CC739E"/>
    <w:rsid w:val="00CC7850"/>
    <w:rsid w:val="00CD0011"/>
    <w:rsid w:val="00CD0512"/>
    <w:rsid w:val="00CD1D80"/>
    <w:rsid w:val="00CD2230"/>
    <w:rsid w:val="00CD2FE9"/>
    <w:rsid w:val="00CD4F9D"/>
    <w:rsid w:val="00CD58B7"/>
    <w:rsid w:val="00CD617B"/>
    <w:rsid w:val="00CD6436"/>
    <w:rsid w:val="00CD6E9B"/>
    <w:rsid w:val="00CD7B35"/>
    <w:rsid w:val="00CE115B"/>
    <w:rsid w:val="00CE3144"/>
    <w:rsid w:val="00CE5895"/>
    <w:rsid w:val="00CE7660"/>
    <w:rsid w:val="00CF0FEE"/>
    <w:rsid w:val="00CF19E3"/>
    <w:rsid w:val="00CF2E54"/>
    <w:rsid w:val="00CF4099"/>
    <w:rsid w:val="00CF46BB"/>
    <w:rsid w:val="00CF4CE3"/>
    <w:rsid w:val="00CF4F5E"/>
    <w:rsid w:val="00CF6598"/>
    <w:rsid w:val="00CF77F5"/>
    <w:rsid w:val="00D004EA"/>
    <w:rsid w:val="00D00796"/>
    <w:rsid w:val="00D01958"/>
    <w:rsid w:val="00D020D7"/>
    <w:rsid w:val="00D02C6D"/>
    <w:rsid w:val="00D0345B"/>
    <w:rsid w:val="00D03FA2"/>
    <w:rsid w:val="00D042BF"/>
    <w:rsid w:val="00D044DC"/>
    <w:rsid w:val="00D056E1"/>
    <w:rsid w:val="00D057A7"/>
    <w:rsid w:val="00D05A05"/>
    <w:rsid w:val="00D0608D"/>
    <w:rsid w:val="00D06C75"/>
    <w:rsid w:val="00D07008"/>
    <w:rsid w:val="00D1022A"/>
    <w:rsid w:val="00D1028F"/>
    <w:rsid w:val="00D10F47"/>
    <w:rsid w:val="00D120E7"/>
    <w:rsid w:val="00D125C7"/>
    <w:rsid w:val="00D12B29"/>
    <w:rsid w:val="00D12D65"/>
    <w:rsid w:val="00D1451F"/>
    <w:rsid w:val="00D157C9"/>
    <w:rsid w:val="00D163F0"/>
    <w:rsid w:val="00D16674"/>
    <w:rsid w:val="00D17FAC"/>
    <w:rsid w:val="00D20190"/>
    <w:rsid w:val="00D203BB"/>
    <w:rsid w:val="00D22920"/>
    <w:rsid w:val="00D238D4"/>
    <w:rsid w:val="00D251A7"/>
    <w:rsid w:val="00D261A2"/>
    <w:rsid w:val="00D26C10"/>
    <w:rsid w:val="00D26CEB"/>
    <w:rsid w:val="00D31380"/>
    <w:rsid w:val="00D3159E"/>
    <w:rsid w:val="00D315E9"/>
    <w:rsid w:val="00D32738"/>
    <w:rsid w:val="00D32CA3"/>
    <w:rsid w:val="00D3340D"/>
    <w:rsid w:val="00D3456F"/>
    <w:rsid w:val="00D34A67"/>
    <w:rsid w:val="00D34D98"/>
    <w:rsid w:val="00D3514F"/>
    <w:rsid w:val="00D3569F"/>
    <w:rsid w:val="00D35902"/>
    <w:rsid w:val="00D361D6"/>
    <w:rsid w:val="00D404A2"/>
    <w:rsid w:val="00D40A9F"/>
    <w:rsid w:val="00D40C0C"/>
    <w:rsid w:val="00D41DD8"/>
    <w:rsid w:val="00D4408E"/>
    <w:rsid w:val="00D44A6F"/>
    <w:rsid w:val="00D45012"/>
    <w:rsid w:val="00D45056"/>
    <w:rsid w:val="00D45E4A"/>
    <w:rsid w:val="00D463D0"/>
    <w:rsid w:val="00D46A49"/>
    <w:rsid w:val="00D46BCF"/>
    <w:rsid w:val="00D475B0"/>
    <w:rsid w:val="00D4761D"/>
    <w:rsid w:val="00D47B11"/>
    <w:rsid w:val="00D47C3F"/>
    <w:rsid w:val="00D47D30"/>
    <w:rsid w:val="00D47FF0"/>
    <w:rsid w:val="00D50F0D"/>
    <w:rsid w:val="00D515E8"/>
    <w:rsid w:val="00D51670"/>
    <w:rsid w:val="00D53921"/>
    <w:rsid w:val="00D540E1"/>
    <w:rsid w:val="00D54173"/>
    <w:rsid w:val="00D54AAC"/>
    <w:rsid w:val="00D565B7"/>
    <w:rsid w:val="00D56971"/>
    <w:rsid w:val="00D57B0C"/>
    <w:rsid w:val="00D60272"/>
    <w:rsid w:val="00D616D2"/>
    <w:rsid w:val="00D6284F"/>
    <w:rsid w:val="00D63811"/>
    <w:rsid w:val="00D6392E"/>
    <w:rsid w:val="00D63B5F"/>
    <w:rsid w:val="00D643AB"/>
    <w:rsid w:val="00D651EA"/>
    <w:rsid w:val="00D65891"/>
    <w:rsid w:val="00D65EDF"/>
    <w:rsid w:val="00D6615C"/>
    <w:rsid w:val="00D66A93"/>
    <w:rsid w:val="00D66B9E"/>
    <w:rsid w:val="00D673CB"/>
    <w:rsid w:val="00D67CD3"/>
    <w:rsid w:val="00D70EF7"/>
    <w:rsid w:val="00D736F2"/>
    <w:rsid w:val="00D740F7"/>
    <w:rsid w:val="00D74FA5"/>
    <w:rsid w:val="00D75BA7"/>
    <w:rsid w:val="00D76DE9"/>
    <w:rsid w:val="00D77600"/>
    <w:rsid w:val="00D80E51"/>
    <w:rsid w:val="00D824AF"/>
    <w:rsid w:val="00D82643"/>
    <w:rsid w:val="00D83736"/>
    <w:rsid w:val="00D8397C"/>
    <w:rsid w:val="00D83B18"/>
    <w:rsid w:val="00D84422"/>
    <w:rsid w:val="00D846A7"/>
    <w:rsid w:val="00D86537"/>
    <w:rsid w:val="00D865A3"/>
    <w:rsid w:val="00D869BD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A25"/>
    <w:rsid w:val="00D96CB5"/>
    <w:rsid w:val="00DA0139"/>
    <w:rsid w:val="00DA08CB"/>
    <w:rsid w:val="00DA0BBB"/>
    <w:rsid w:val="00DA2A0D"/>
    <w:rsid w:val="00DA2AB8"/>
    <w:rsid w:val="00DA2DDA"/>
    <w:rsid w:val="00DA3A53"/>
    <w:rsid w:val="00DA4845"/>
    <w:rsid w:val="00DA4E00"/>
    <w:rsid w:val="00DA4E89"/>
    <w:rsid w:val="00DA5743"/>
    <w:rsid w:val="00DA5751"/>
    <w:rsid w:val="00DA6108"/>
    <w:rsid w:val="00DA65A1"/>
    <w:rsid w:val="00DA69EF"/>
    <w:rsid w:val="00DA741E"/>
    <w:rsid w:val="00DA7C1C"/>
    <w:rsid w:val="00DB0416"/>
    <w:rsid w:val="00DB147A"/>
    <w:rsid w:val="00DB1B7A"/>
    <w:rsid w:val="00DB2551"/>
    <w:rsid w:val="00DB2A2D"/>
    <w:rsid w:val="00DB3804"/>
    <w:rsid w:val="00DB562E"/>
    <w:rsid w:val="00DB5C76"/>
    <w:rsid w:val="00DB5E2A"/>
    <w:rsid w:val="00DB63FF"/>
    <w:rsid w:val="00DB74B3"/>
    <w:rsid w:val="00DB7A46"/>
    <w:rsid w:val="00DC0326"/>
    <w:rsid w:val="00DC042D"/>
    <w:rsid w:val="00DC0935"/>
    <w:rsid w:val="00DC0B6C"/>
    <w:rsid w:val="00DC12CE"/>
    <w:rsid w:val="00DC32F8"/>
    <w:rsid w:val="00DC4920"/>
    <w:rsid w:val="00DC5A0C"/>
    <w:rsid w:val="00DC5C7C"/>
    <w:rsid w:val="00DC5DC8"/>
    <w:rsid w:val="00DC5E80"/>
    <w:rsid w:val="00DC6708"/>
    <w:rsid w:val="00DC745E"/>
    <w:rsid w:val="00DC7B4F"/>
    <w:rsid w:val="00DD0608"/>
    <w:rsid w:val="00DD0E59"/>
    <w:rsid w:val="00DD0EDB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2BDB"/>
    <w:rsid w:val="00DE373F"/>
    <w:rsid w:val="00DE5FD1"/>
    <w:rsid w:val="00DE658F"/>
    <w:rsid w:val="00DE7BC2"/>
    <w:rsid w:val="00DE7F89"/>
    <w:rsid w:val="00DF0000"/>
    <w:rsid w:val="00DF00BE"/>
    <w:rsid w:val="00DF0177"/>
    <w:rsid w:val="00DF2ED4"/>
    <w:rsid w:val="00DF3A90"/>
    <w:rsid w:val="00DF59BA"/>
    <w:rsid w:val="00DF6B95"/>
    <w:rsid w:val="00DF7A45"/>
    <w:rsid w:val="00DF7D19"/>
    <w:rsid w:val="00E00360"/>
    <w:rsid w:val="00E00F74"/>
    <w:rsid w:val="00E0111F"/>
    <w:rsid w:val="00E01436"/>
    <w:rsid w:val="00E01473"/>
    <w:rsid w:val="00E01F4E"/>
    <w:rsid w:val="00E02558"/>
    <w:rsid w:val="00E0262D"/>
    <w:rsid w:val="00E045BD"/>
    <w:rsid w:val="00E046FE"/>
    <w:rsid w:val="00E062F3"/>
    <w:rsid w:val="00E06E04"/>
    <w:rsid w:val="00E07009"/>
    <w:rsid w:val="00E10701"/>
    <w:rsid w:val="00E1103F"/>
    <w:rsid w:val="00E11924"/>
    <w:rsid w:val="00E11C96"/>
    <w:rsid w:val="00E12641"/>
    <w:rsid w:val="00E12DB3"/>
    <w:rsid w:val="00E133FA"/>
    <w:rsid w:val="00E148F3"/>
    <w:rsid w:val="00E149E9"/>
    <w:rsid w:val="00E14E5E"/>
    <w:rsid w:val="00E15AA8"/>
    <w:rsid w:val="00E15D2A"/>
    <w:rsid w:val="00E17566"/>
    <w:rsid w:val="00E17B77"/>
    <w:rsid w:val="00E211FA"/>
    <w:rsid w:val="00E22AAF"/>
    <w:rsid w:val="00E22EB4"/>
    <w:rsid w:val="00E23015"/>
    <w:rsid w:val="00E23337"/>
    <w:rsid w:val="00E23434"/>
    <w:rsid w:val="00E23D63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A4D"/>
    <w:rsid w:val="00E41DC9"/>
    <w:rsid w:val="00E42FF9"/>
    <w:rsid w:val="00E4315D"/>
    <w:rsid w:val="00E435E1"/>
    <w:rsid w:val="00E441B4"/>
    <w:rsid w:val="00E44C70"/>
    <w:rsid w:val="00E4655D"/>
    <w:rsid w:val="00E46EDD"/>
    <w:rsid w:val="00E4714C"/>
    <w:rsid w:val="00E50595"/>
    <w:rsid w:val="00E51296"/>
    <w:rsid w:val="00E51AEB"/>
    <w:rsid w:val="00E5220E"/>
    <w:rsid w:val="00E522A7"/>
    <w:rsid w:val="00E53C35"/>
    <w:rsid w:val="00E54452"/>
    <w:rsid w:val="00E557BC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917"/>
    <w:rsid w:val="00E76D26"/>
    <w:rsid w:val="00E76F9D"/>
    <w:rsid w:val="00E778EB"/>
    <w:rsid w:val="00E800AB"/>
    <w:rsid w:val="00E809CC"/>
    <w:rsid w:val="00E84385"/>
    <w:rsid w:val="00E84D76"/>
    <w:rsid w:val="00E84F3B"/>
    <w:rsid w:val="00E84F96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6849"/>
    <w:rsid w:val="00E97EA9"/>
    <w:rsid w:val="00EA03F2"/>
    <w:rsid w:val="00EA1F22"/>
    <w:rsid w:val="00EA1F4F"/>
    <w:rsid w:val="00EA2361"/>
    <w:rsid w:val="00EA2D7E"/>
    <w:rsid w:val="00EA3465"/>
    <w:rsid w:val="00EA3880"/>
    <w:rsid w:val="00EA4B55"/>
    <w:rsid w:val="00EA59DC"/>
    <w:rsid w:val="00EA5C56"/>
    <w:rsid w:val="00EA5DDB"/>
    <w:rsid w:val="00EA65E5"/>
    <w:rsid w:val="00EA7003"/>
    <w:rsid w:val="00EA70C0"/>
    <w:rsid w:val="00EB0648"/>
    <w:rsid w:val="00EB0D93"/>
    <w:rsid w:val="00EB1390"/>
    <w:rsid w:val="00EB28B3"/>
    <w:rsid w:val="00EB2C71"/>
    <w:rsid w:val="00EB2F24"/>
    <w:rsid w:val="00EB376B"/>
    <w:rsid w:val="00EB4340"/>
    <w:rsid w:val="00EB459C"/>
    <w:rsid w:val="00EB556D"/>
    <w:rsid w:val="00EB5A7D"/>
    <w:rsid w:val="00EB5D9D"/>
    <w:rsid w:val="00EB5DC7"/>
    <w:rsid w:val="00EB6BD8"/>
    <w:rsid w:val="00EB705B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10E0"/>
    <w:rsid w:val="00ED2029"/>
    <w:rsid w:val="00ED21EB"/>
    <w:rsid w:val="00ED2258"/>
    <w:rsid w:val="00ED2E4F"/>
    <w:rsid w:val="00ED3770"/>
    <w:rsid w:val="00ED3D1A"/>
    <w:rsid w:val="00ED4841"/>
    <w:rsid w:val="00ED55C0"/>
    <w:rsid w:val="00ED5C65"/>
    <w:rsid w:val="00ED5EF4"/>
    <w:rsid w:val="00ED5F2B"/>
    <w:rsid w:val="00ED6607"/>
    <w:rsid w:val="00ED682B"/>
    <w:rsid w:val="00ED699A"/>
    <w:rsid w:val="00ED77AC"/>
    <w:rsid w:val="00ED7E14"/>
    <w:rsid w:val="00EE13AC"/>
    <w:rsid w:val="00EE1AC4"/>
    <w:rsid w:val="00EE1D3C"/>
    <w:rsid w:val="00EE269C"/>
    <w:rsid w:val="00EE2812"/>
    <w:rsid w:val="00EE284B"/>
    <w:rsid w:val="00EE41D5"/>
    <w:rsid w:val="00EE50D7"/>
    <w:rsid w:val="00EE59EF"/>
    <w:rsid w:val="00EE66D6"/>
    <w:rsid w:val="00EE6932"/>
    <w:rsid w:val="00EE6980"/>
    <w:rsid w:val="00EE7199"/>
    <w:rsid w:val="00EF10F8"/>
    <w:rsid w:val="00EF28C9"/>
    <w:rsid w:val="00EF2954"/>
    <w:rsid w:val="00EF313B"/>
    <w:rsid w:val="00EF5917"/>
    <w:rsid w:val="00EF5E42"/>
    <w:rsid w:val="00EF6555"/>
    <w:rsid w:val="00EF7393"/>
    <w:rsid w:val="00F00E7F"/>
    <w:rsid w:val="00F0141E"/>
    <w:rsid w:val="00F0187D"/>
    <w:rsid w:val="00F02010"/>
    <w:rsid w:val="00F0273C"/>
    <w:rsid w:val="00F02C7E"/>
    <w:rsid w:val="00F037A4"/>
    <w:rsid w:val="00F04391"/>
    <w:rsid w:val="00F0517A"/>
    <w:rsid w:val="00F05285"/>
    <w:rsid w:val="00F053BA"/>
    <w:rsid w:val="00F05968"/>
    <w:rsid w:val="00F05F1F"/>
    <w:rsid w:val="00F061AE"/>
    <w:rsid w:val="00F06DAF"/>
    <w:rsid w:val="00F079E5"/>
    <w:rsid w:val="00F07BF1"/>
    <w:rsid w:val="00F1127E"/>
    <w:rsid w:val="00F1227D"/>
    <w:rsid w:val="00F127BB"/>
    <w:rsid w:val="00F138F8"/>
    <w:rsid w:val="00F14E93"/>
    <w:rsid w:val="00F152E6"/>
    <w:rsid w:val="00F15367"/>
    <w:rsid w:val="00F164FF"/>
    <w:rsid w:val="00F1659A"/>
    <w:rsid w:val="00F16F65"/>
    <w:rsid w:val="00F17A2F"/>
    <w:rsid w:val="00F218AD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6AB"/>
    <w:rsid w:val="00F317BC"/>
    <w:rsid w:val="00F3214C"/>
    <w:rsid w:val="00F32749"/>
    <w:rsid w:val="00F32A03"/>
    <w:rsid w:val="00F33654"/>
    <w:rsid w:val="00F33A2E"/>
    <w:rsid w:val="00F33EDD"/>
    <w:rsid w:val="00F3415A"/>
    <w:rsid w:val="00F34433"/>
    <w:rsid w:val="00F34675"/>
    <w:rsid w:val="00F34FB0"/>
    <w:rsid w:val="00F35071"/>
    <w:rsid w:val="00F35D91"/>
    <w:rsid w:val="00F365FB"/>
    <w:rsid w:val="00F3672E"/>
    <w:rsid w:val="00F37172"/>
    <w:rsid w:val="00F3724C"/>
    <w:rsid w:val="00F4024A"/>
    <w:rsid w:val="00F429DA"/>
    <w:rsid w:val="00F43017"/>
    <w:rsid w:val="00F4477E"/>
    <w:rsid w:val="00F4587F"/>
    <w:rsid w:val="00F45A42"/>
    <w:rsid w:val="00F460EC"/>
    <w:rsid w:val="00F46DE9"/>
    <w:rsid w:val="00F47DDF"/>
    <w:rsid w:val="00F51364"/>
    <w:rsid w:val="00F52704"/>
    <w:rsid w:val="00F52A21"/>
    <w:rsid w:val="00F52C12"/>
    <w:rsid w:val="00F5427B"/>
    <w:rsid w:val="00F553EE"/>
    <w:rsid w:val="00F553F8"/>
    <w:rsid w:val="00F562DE"/>
    <w:rsid w:val="00F56DE5"/>
    <w:rsid w:val="00F600F4"/>
    <w:rsid w:val="00F602C7"/>
    <w:rsid w:val="00F604CC"/>
    <w:rsid w:val="00F60ABF"/>
    <w:rsid w:val="00F611C3"/>
    <w:rsid w:val="00F62855"/>
    <w:rsid w:val="00F629D3"/>
    <w:rsid w:val="00F63430"/>
    <w:rsid w:val="00F63AF9"/>
    <w:rsid w:val="00F63B71"/>
    <w:rsid w:val="00F65561"/>
    <w:rsid w:val="00F657FD"/>
    <w:rsid w:val="00F66D5E"/>
    <w:rsid w:val="00F66E87"/>
    <w:rsid w:val="00F6728B"/>
    <w:rsid w:val="00F67D8F"/>
    <w:rsid w:val="00F70339"/>
    <w:rsid w:val="00F70DA2"/>
    <w:rsid w:val="00F7135B"/>
    <w:rsid w:val="00F71863"/>
    <w:rsid w:val="00F72551"/>
    <w:rsid w:val="00F72B46"/>
    <w:rsid w:val="00F73382"/>
    <w:rsid w:val="00F75638"/>
    <w:rsid w:val="00F7639D"/>
    <w:rsid w:val="00F76699"/>
    <w:rsid w:val="00F769A1"/>
    <w:rsid w:val="00F769EB"/>
    <w:rsid w:val="00F77215"/>
    <w:rsid w:val="00F777E3"/>
    <w:rsid w:val="00F77F86"/>
    <w:rsid w:val="00F802BE"/>
    <w:rsid w:val="00F80EFA"/>
    <w:rsid w:val="00F83D3E"/>
    <w:rsid w:val="00F84215"/>
    <w:rsid w:val="00F857D1"/>
    <w:rsid w:val="00F86024"/>
    <w:rsid w:val="00F8611A"/>
    <w:rsid w:val="00F86467"/>
    <w:rsid w:val="00F86A8F"/>
    <w:rsid w:val="00F87227"/>
    <w:rsid w:val="00F87DA5"/>
    <w:rsid w:val="00F915A7"/>
    <w:rsid w:val="00F93E0C"/>
    <w:rsid w:val="00F945E6"/>
    <w:rsid w:val="00F945FD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6FC5"/>
    <w:rsid w:val="00FA7066"/>
    <w:rsid w:val="00FB04DD"/>
    <w:rsid w:val="00FB0569"/>
    <w:rsid w:val="00FB0BAA"/>
    <w:rsid w:val="00FB0CE1"/>
    <w:rsid w:val="00FB1CD2"/>
    <w:rsid w:val="00FB34B8"/>
    <w:rsid w:val="00FB3665"/>
    <w:rsid w:val="00FB42D4"/>
    <w:rsid w:val="00FB4608"/>
    <w:rsid w:val="00FB4F2A"/>
    <w:rsid w:val="00FB50BD"/>
    <w:rsid w:val="00FB5129"/>
    <w:rsid w:val="00FB5226"/>
    <w:rsid w:val="00FB5906"/>
    <w:rsid w:val="00FB5AAC"/>
    <w:rsid w:val="00FB63CC"/>
    <w:rsid w:val="00FB6438"/>
    <w:rsid w:val="00FB66D8"/>
    <w:rsid w:val="00FB762F"/>
    <w:rsid w:val="00FB77CA"/>
    <w:rsid w:val="00FB7BE3"/>
    <w:rsid w:val="00FC0A29"/>
    <w:rsid w:val="00FC0B7D"/>
    <w:rsid w:val="00FC0BCE"/>
    <w:rsid w:val="00FC0E59"/>
    <w:rsid w:val="00FC175E"/>
    <w:rsid w:val="00FC1F54"/>
    <w:rsid w:val="00FC22FC"/>
    <w:rsid w:val="00FC2323"/>
    <w:rsid w:val="00FC2698"/>
    <w:rsid w:val="00FC2AED"/>
    <w:rsid w:val="00FC2C3E"/>
    <w:rsid w:val="00FC3032"/>
    <w:rsid w:val="00FC314E"/>
    <w:rsid w:val="00FC3E5D"/>
    <w:rsid w:val="00FC3F6A"/>
    <w:rsid w:val="00FC4819"/>
    <w:rsid w:val="00FC64F7"/>
    <w:rsid w:val="00FC6F55"/>
    <w:rsid w:val="00FC78D5"/>
    <w:rsid w:val="00FD094E"/>
    <w:rsid w:val="00FD0E3A"/>
    <w:rsid w:val="00FD1BEE"/>
    <w:rsid w:val="00FD237D"/>
    <w:rsid w:val="00FD3454"/>
    <w:rsid w:val="00FD38E4"/>
    <w:rsid w:val="00FD3F69"/>
    <w:rsid w:val="00FD4B11"/>
    <w:rsid w:val="00FD4D71"/>
    <w:rsid w:val="00FD4DA9"/>
    <w:rsid w:val="00FD53BA"/>
    <w:rsid w:val="00FD5EA7"/>
    <w:rsid w:val="00FD69B6"/>
    <w:rsid w:val="00FD6A0F"/>
    <w:rsid w:val="00FD714C"/>
    <w:rsid w:val="00FD7CCC"/>
    <w:rsid w:val="00FE0256"/>
    <w:rsid w:val="00FE0EE5"/>
    <w:rsid w:val="00FE1D97"/>
    <w:rsid w:val="00FE1E33"/>
    <w:rsid w:val="00FE46DF"/>
    <w:rsid w:val="00FE5836"/>
    <w:rsid w:val="00FE5AD7"/>
    <w:rsid w:val="00FE5BB1"/>
    <w:rsid w:val="00FE6549"/>
    <w:rsid w:val="00FE74D4"/>
    <w:rsid w:val="00FE7DA8"/>
    <w:rsid w:val="00FF037B"/>
    <w:rsid w:val="00FF1498"/>
    <w:rsid w:val="00FF189A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AFC41"/>
  <w15:chartTrackingRefBased/>
  <w15:docId w15:val="{298E5F31-4E92-4263-9D54-2C37AA4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13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x.com/StatPoland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7.png"/><Relationship Id="rId32" Type="http://schemas.openxmlformats.org/officeDocument/2006/relationships/hyperlink" Target="http://swaid.stat.gov.pl/EN/SitePages/StronaGlownaDBW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" TargetMode="External"/><Relationship Id="rId28" Type="http://schemas.openxmlformats.org/officeDocument/2006/relationships/hyperlink" Target="https://www.linkedin.com/company/glownyurzadstatystyczny/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s://new.stat.gov.pl/en" TargetMode="External"/><Relationship Id="rId31" Type="http://schemas.openxmlformats.org/officeDocument/2006/relationships/hyperlink" Target="https://dbw.stat.gov.pl/en/dashboard/1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en/topics/prices-trade/trade/foreign-trade-prices-in-foreign-trade,6,15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nosalaK\Documents\Informacja%20sygnalna\sprawdzenie%20informacji%20sygnalnej%2008.06.2026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7777777777777776E-2"/>
          <c:w val="0.93405118110236218"/>
          <c:h val="0.746359725867599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Arkusz1!$A$9</c:f>
              <c:strCache>
                <c:ptCount val="1"/>
                <c:pt idx="0">
                  <c:v> Exports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Arkusz1!$Q$1:$AO$2</c:f>
              <c:multiLvlStrCache>
                <c:ptCount val="25"/>
                <c:lvl>
                  <c:pt idx="0">
                    <c:v>04</c:v>
                  </c:pt>
                  <c:pt idx="1">
                    <c:v>05</c:v>
                  </c:pt>
                  <c:pt idx="2">
                    <c:v>06</c:v>
                  </c:pt>
                  <c:pt idx="3">
                    <c:v>07</c:v>
                  </c:pt>
                  <c:pt idx="4">
                    <c:v>08</c:v>
                  </c:pt>
                  <c:pt idx="5">
                    <c:v>09</c:v>
                  </c:pt>
                  <c:pt idx="6">
                    <c:v>10</c:v>
                  </c:pt>
                  <c:pt idx="7">
                    <c:v>11</c:v>
                  </c:pt>
                  <c:pt idx="8">
                    <c:v>12</c:v>
                  </c:pt>
                  <c:pt idx="9">
                    <c:v>01</c:v>
                  </c:pt>
                  <c:pt idx="10">
                    <c:v>02</c:v>
                  </c:pt>
                  <c:pt idx="11">
                    <c:v>03</c:v>
                  </c:pt>
                  <c:pt idx="12">
                    <c:v>04</c:v>
                  </c:pt>
                  <c:pt idx="13">
                    <c:v>05</c:v>
                  </c:pt>
                  <c:pt idx="14">
                    <c:v>06</c:v>
                  </c:pt>
                  <c:pt idx="15">
                    <c:v>07</c:v>
                  </c:pt>
                  <c:pt idx="16">
                    <c:v>08</c:v>
                  </c:pt>
                  <c:pt idx="17">
                    <c:v>09</c:v>
                  </c:pt>
                  <c:pt idx="18">
                    <c:v>10</c:v>
                  </c:pt>
                  <c:pt idx="19">
                    <c:v>11</c:v>
                  </c:pt>
                  <c:pt idx="20">
                    <c:v>12</c:v>
                  </c:pt>
                  <c:pt idx="21">
                    <c:v>01</c:v>
                  </c:pt>
                  <c:pt idx="22">
                    <c:v>02</c:v>
                  </c:pt>
                  <c:pt idx="23">
                    <c:v>03</c:v>
                  </c:pt>
                  <c:pt idx="24">
                    <c:v>04</c:v>
                  </c:pt>
                </c:lvl>
                <c:lvl>
                  <c:pt idx="0">
                    <c:v>2024</c:v>
                  </c:pt>
                  <c:pt idx="9">
                    <c:v>2025</c:v>
                  </c:pt>
                  <c:pt idx="21">
                    <c:v>2026</c:v>
                  </c:pt>
                </c:lvl>
              </c:multiLvlStrCache>
            </c:multiLvlStrRef>
          </c:cat>
          <c:val>
            <c:numRef>
              <c:f>Arkusz1!$Q$9:$AO$9</c:f>
              <c:numCache>
                <c:formatCode>0.0</c:formatCode>
                <c:ptCount val="25"/>
                <c:pt idx="0">
                  <c:v>99.4</c:v>
                </c:pt>
                <c:pt idx="1">
                  <c:v>89.5</c:v>
                </c:pt>
                <c:pt idx="2">
                  <c:v>92</c:v>
                </c:pt>
                <c:pt idx="3">
                  <c:v>102.3</c:v>
                </c:pt>
                <c:pt idx="4">
                  <c:v>94.8</c:v>
                </c:pt>
                <c:pt idx="5">
                  <c:v>96</c:v>
                </c:pt>
                <c:pt idx="6">
                  <c:v>97.7</c:v>
                </c:pt>
                <c:pt idx="7">
                  <c:v>96.6</c:v>
                </c:pt>
                <c:pt idx="8">
                  <c:v>100.5</c:v>
                </c:pt>
                <c:pt idx="9">
                  <c:v>101.6</c:v>
                </c:pt>
                <c:pt idx="10">
                  <c:v>96.9</c:v>
                </c:pt>
                <c:pt idx="11">
                  <c:v>102.4</c:v>
                </c:pt>
                <c:pt idx="12">
                  <c:v>99.6</c:v>
                </c:pt>
                <c:pt idx="13">
                  <c:v>104.8</c:v>
                </c:pt>
                <c:pt idx="14">
                  <c:v>103.4</c:v>
                </c:pt>
                <c:pt idx="15">
                  <c:v>103.3</c:v>
                </c:pt>
                <c:pt idx="16">
                  <c:v>99.4</c:v>
                </c:pt>
                <c:pt idx="17">
                  <c:v>105.8</c:v>
                </c:pt>
                <c:pt idx="18">
                  <c:v>102.4</c:v>
                </c:pt>
                <c:pt idx="19">
                  <c:v>98.9</c:v>
                </c:pt>
                <c:pt idx="20">
                  <c:v>105.7</c:v>
                </c:pt>
                <c:pt idx="21">
                  <c:v>96.7</c:v>
                </c:pt>
                <c:pt idx="22">
                  <c:v>103.2</c:v>
                </c:pt>
                <c:pt idx="23">
                  <c:v>109.7</c:v>
                </c:pt>
                <c:pt idx="24">
                  <c:v>103.5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B4-4A1C-B33E-CB5FB736772D}"/>
            </c:ext>
          </c:extLst>
        </c:ser>
        <c:ser>
          <c:idx val="1"/>
          <c:order val="1"/>
          <c:tx>
            <c:strRef>
              <c:f>Arkusz1!$A$10</c:f>
              <c:strCache>
                <c:ptCount val="1"/>
                <c:pt idx="0">
                  <c:v> Imports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Arkusz1!$Q$1:$AO$2</c:f>
              <c:multiLvlStrCache>
                <c:ptCount val="25"/>
                <c:lvl>
                  <c:pt idx="0">
                    <c:v>04</c:v>
                  </c:pt>
                  <c:pt idx="1">
                    <c:v>05</c:v>
                  </c:pt>
                  <c:pt idx="2">
                    <c:v>06</c:v>
                  </c:pt>
                  <c:pt idx="3">
                    <c:v>07</c:v>
                  </c:pt>
                  <c:pt idx="4">
                    <c:v>08</c:v>
                  </c:pt>
                  <c:pt idx="5">
                    <c:v>09</c:v>
                  </c:pt>
                  <c:pt idx="6">
                    <c:v>10</c:v>
                  </c:pt>
                  <c:pt idx="7">
                    <c:v>11</c:v>
                  </c:pt>
                  <c:pt idx="8">
                    <c:v>12</c:v>
                  </c:pt>
                  <c:pt idx="9">
                    <c:v>01</c:v>
                  </c:pt>
                  <c:pt idx="10">
                    <c:v>02</c:v>
                  </c:pt>
                  <c:pt idx="11">
                    <c:v>03</c:v>
                  </c:pt>
                  <c:pt idx="12">
                    <c:v>04</c:v>
                  </c:pt>
                  <c:pt idx="13">
                    <c:v>05</c:v>
                  </c:pt>
                  <c:pt idx="14">
                    <c:v>06</c:v>
                  </c:pt>
                  <c:pt idx="15">
                    <c:v>07</c:v>
                  </c:pt>
                  <c:pt idx="16">
                    <c:v>08</c:v>
                  </c:pt>
                  <c:pt idx="17">
                    <c:v>09</c:v>
                  </c:pt>
                  <c:pt idx="18">
                    <c:v>10</c:v>
                  </c:pt>
                  <c:pt idx="19">
                    <c:v>11</c:v>
                  </c:pt>
                  <c:pt idx="20">
                    <c:v>12</c:v>
                  </c:pt>
                  <c:pt idx="21">
                    <c:v>01</c:v>
                  </c:pt>
                  <c:pt idx="22">
                    <c:v>02</c:v>
                  </c:pt>
                  <c:pt idx="23">
                    <c:v>03</c:v>
                  </c:pt>
                  <c:pt idx="24">
                    <c:v>04</c:v>
                  </c:pt>
                </c:lvl>
                <c:lvl>
                  <c:pt idx="0">
                    <c:v>2024</c:v>
                  </c:pt>
                  <c:pt idx="9">
                    <c:v>2025</c:v>
                  </c:pt>
                  <c:pt idx="21">
                    <c:v>2026</c:v>
                  </c:pt>
                </c:lvl>
              </c:multiLvlStrCache>
            </c:multiLvlStrRef>
          </c:cat>
          <c:val>
            <c:numRef>
              <c:f>Arkusz1!$Q$10:$AO$10</c:f>
              <c:numCache>
                <c:formatCode>0.0</c:formatCode>
                <c:ptCount val="25"/>
                <c:pt idx="0">
                  <c:v>99.6</c:v>
                </c:pt>
                <c:pt idx="1">
                  <c:v>92.8</c:v>
                </c:pt>
                <c:pt idx="2">
                  <c:v>97.8</c:v>
                </c:pt>
                <c:pt idx="3">
                  <c:v>105.6</c:v>
                </c:pt>
                <c:pt idx="4">
                  <c:v>101.3</c:v>
                </c:pt>
                <c:pt idx="5">
                  <c:v>99.2</c:v>
                </c:pt>
                <c:pt idx="6">
                  <c:v>101.3</c:v>
                </c:pt>
                <c:pt idx="7">
                  <c:v>99.1</c:v>
                </c:pt>
                <c:pt idx="8">
                  <c:v>103.7</c:v>
                </c:pt>
                <c:pt idx="9">
                  <c:v>108.6</c:v>
                </c:pt>
                <c:pt idx="10">
                  <c:v>100.2</c:v>
                </c:pt>
                <c:pt idx="11">
                  <c:v>108.8</c:v>
                </c:pt>
                <c:pt idx="12">
                  <c:v>103.9</c:v>
                </c:pt>
                <c:pt idx="13">
                  <c:v>108.6</c:v>
                </c:pt>
                <c:pt idx="14">
                  <c:v>102.3</c:v>
                </c:pt>
                <c:pt idx="15">
                  <c:v>102.3</c:v>
                </c:pt>
                <c:pt idx="16">
                  <c:v>99.2</c:v>
                </c:pt>
                <c:pt idx="17">
                  <c:v>107.1</c:v>
                </c:pt>
                <c:pt idx="18">
                  <c:v>101.6</c:v>
                </c:pt>
                <c:pt idx="19">
                  <c:v>98.3</c:v>
                </c:pt>
                <c:pt idx="20">
                  <c:v>106.3</c:v>
                </c:pt>
                <c:pt idx="21">
                  <c:v>93.5</c:v>
                </c:pt>
                <c:pt idx="22">
                  <c:v>104.3</c:v>
                </c:pt>
                <c:pt idx="23">
                  <c:v>107.8</c:v>
                </c:pt>
                <c:pt idx="24">
                  <c:v>105.7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B4-4A1C-B33E-CB5FB7367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45903"/>
        <c:axId val="1798850223"/>
      </c:lineChart>
      <c:catAx>
        <c:axId val="1798845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50223"/>
        <c:crossesAt val="100"/>
        <c:auto val="1"/>
        <c:lblAlgn val="ctr"/>
        <c:lblOffset val="100"/>
        <c:noMultiLvlLbl val="0"/>
      </c:catAx>
      <c:valAx>
        <c:axId val="179885022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4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20778652668414"/>
          <c:y val="0.95407480314960635"/>
          <c:w val="0.34758420822397201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DF-4082-99EC-DA7F4A63AA8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DF-4082-99EC-DA7F4A63AA8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DF-4082-99EC-DA7F4A63AA8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DF-4082-99EC-DA7F4A63AA8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DF-4082-99EC-DA7F4A63AA8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DF-4082-99EC-DA7F4A63AA8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DF-4082-99EC-DA7F4A63AA8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DF-4082-99EC-DA7F4A63AA8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DF-4082-99EC-DA7F4A63AA8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DF-4082-99EC-DA7F4A63AA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0.5</c:v>
                </c:pt>
                <c:pt idx="1">
                  <c:v>16.899999999999999</c:v>
                </c:pt>
                <c:pt idx="2">
                  <c:v>37.4</c:v>
                </c:pt>
                <c:pt idx="3">
                  <c:v>16.7</c:v>
                </c:pt>
                <c:pt idx="4">
                  <c:v>9.5</c:v>
                </c:pt>
                <c:pt idx="5">
                  <c:v>0.2</c:v>
                </c:pt>
                <c:pt idx="6">
                  <c:v>2.4</c:v>
                </c:pt>
                <c:pt idx="7">
                  <c:v>1.8</c:v>
                </c:pt>
                <c:pt idx="8">
                  <c:v>1.9</c:v>
                </c:pt>
                <c:pt idx="9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FE-4D95-A886-D6EE960316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7100167596089138"/>
              <c:y val="0.813783992554110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59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0C3-4F27-BFE8-CC0D4FBC4CF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0C3-4F27-BFE8-CC0D4FBC4CF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C3-4F27-BFE8-CC0D4FBC4CF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0C3-4F27-BFE8-CC0D4FBC4CF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C3-4F27-BFE8-CC0D4FBC4CF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0C3-4F27-BFE8-CC0D4FBC4CF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C3-4F27-BFE8-CC0D4FBC4CF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C3-4F27-BFE8-CC0D4FBC4CF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C3-4F27-BFE8-CC0D4FBC4CF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C3-4F27-BFE8-CC0D4FBC4C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2.7</c:v>
                </c:pt>
                <c:pt idx="1">
                  <c:v>14</c:v>
                </c:pt>
                <c:pt idx="2">
                  <c:v>37</c:v>
                </c:pt>
                <c:pt idx="3">
                  <c:v>14</c:v>
                </c:pt>
                <c:pt idx="4">
                  <c:v>13.5</c:v>
                </c:pt>
                <c:pt idx="5">
                  <c:v>0.5</c:v>
                </c:pt>
                <c:pt idx="6">
                  <c:v>6.7</c:v>
                </c:pt>
                <c:pt idx="7">
                  <c:v>2.6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E-4312-B540-F5FAF1DA29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At val="0"/>
        <c:auto val="1"/>
        <c:lblAlgn val="ctr"/>
        <c:lblOffset val="100"/>
        <c:noMultiLvlLbl val="0"/>
      </c:catAx>
      <c:valAx>
        <c:axId val="781244608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244969378827649"/>
              <c:y val="0.813865558471857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75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B7C1-0D64-49A9-B6EC-8887E968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2029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Foreign trade turnover in total and by countries in january-april 2026</dc:subject>
  <dc:creator>Statistics Poland</dc:creator>
  <cp:keywords/>
  <dc:description/>
  <cp:lastPrinted>2025-04-14T07:47:00Z</cp:lastPrinted>
  <dcterms:created xsi:type="dcterms:W3CDTF">2026-05-11T07:46:00Z</dcterms:created>
  <dcterms:modified xsi:type="dcterms:W3CDTF">2026-06-11T07:44:00Z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