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9.xml" ContentType="application/vnd.openxmlformats-officedocument.drawingml.chartshapes+xml"/>
  <Override PartName="/word/charts/chart20.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0.xml" ContentType="application/vnd.openxmlformats-officedocument.drawingml.chartshapes+xml"/>
  <Override PartName="/word/charts/chart21.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94DB2" w14:textId="305B930A" w:rsidR="003A25B8" w:rsidRDefault="003A25B8" w:rsidP="00764D9C">
      <w:pPr>
        <w:pStyle w:val="tytuinformacji"/>
        <w:rPr>
          <w:shd w:val="clear" w:color="auto" w:fill="FFFFFF"/>
        </w:rPr>
      </w:pPr>
    </w:p>
    <w:p w14:paraId="7EE94DB3" w14:textId="69BA75C7" w:rsidR="003A25B8" w:rsidRPr="00127FCF" w:rsidRDefault="003A25B8" w:rsidP="00764D9C">
      <w:pPr>
        <w:pStyle w:val="tytuinformacji"/>
        <w:rPr>
          <w:sz w:val="18"/>
          <w:szCs w:val="18"/>
          <w:shd w:val="clear" w:color="auto" w:fill="FFFFFF"/>
        </w:rPr>
      </w:pPr>
      <w:bookmarkStart w:id="0" w:name="_Hlk71794721"/>
      <w:bookmarkEnd w:id="0"/>
    </w:p>
    <w:p w14:paraId="7EE94DB4" w14:textId="6DC952FA" w:rsidR="00AB520C" w:rsidRPr="003A25B8" w:rsidRDefault="00AB520C" w:rsidP="00764D9C">
      <w:pPr>
        <w:pStyle w:val="tytuinformacji"/>
        <w:rPr>
          <w:shd w:val="clear" w:color="auto" w:fill="FFFFFF"/>
          <w:lang w:val="en-GB"/>
        </w:rPr>
      </w:pPr>
      <w:r w:rsidRPr="003A25B8">
        <w:rPr>
          <w:shd w:val="clear" w:color="auto" w:fill="FFFFFF"/>
          <w:lang w:val="en-GB"/>
        </w:rPr>
        <w:t>The situation of households in 20</w:t>
      </w:r>
      <w:r w:rsidR="00EC7A9B">
        <w:rPr>
          <w:shd w:val="clear" w:color="auto" w:fill="FFFFFF"/>
          <w:lang w:val="en-GB"/>
        </w:rPr>
        <w:t>2</w:t>
      </w:r>
      <w:r w:rsidR="00120F6F">
        <w:rPr>
          <w:shd w:val="clear" w:color="auto" w:fill="FFFFFF"/>
          <w:lang w:val="en-GB"/>
        </w:rPr>
        <w:t>5</w:t>
      </w:r>
      <w:r w:rsidRPr="003A25B8">
        <w:rPr>
          <w:shd w:val="clear" w:color="auto" w:fill="FFFFFF"/>
          <w:lang w:val="en-GB"/>
        </w:rPr>
        <w:t xml:space="preserve"> on the bas</w:t>
      </w:r>
      <w:r w:rsidR="00EC7A9B">
        <w:rPr>
          <w:shd w:val="clear" w:color="auto" w:fill="FFFFFF"/>
          <w:lang w:val="en-GB"/>
        </w:rPr>
        <w:t>is</w:t>
      </w:r>
      <w:r w:rsidRPr="003A25B8">
        <w:rPr>
          <w:shd w:val="clear" w:color="auto" w:fill="FFFFFF"/>
          <w:lang w:val="en-GB"/>
        </w:rPr>
        <w:t xml:space="preserve"> of result</w:t>
      </w:r>
      <w:r w:rsidR="00EC7A9B">
        <w:rPr>
          <w:shd w:val="clear" w:color="auto" w:fill="FFFFFF"/>
          <w:lang w:val="en-GB"/>
        </w:rPr>
        <w:t>s</w:t>
      </w:r>
      <w:r w:rsidRPr="003A25B8">
        <w:rPr>
          <w:shd w:val="clear" w:color="auto" w:fill="FFFFFF"/>
          <w:lang w:val="en-GB"/>
        </w:rPr>
        <w:t xml:space="preserve"> of </w:t>
      </w:r>
      <w:r w:rsidR="00EC7A9B">
        <w:rPr>
          <w:shd w:val="clear" w:color="auto" w:fill="FFFFFF"/>
          <w:lang w:val="en-GB"/>
        </w:rPr>
        <w:t xml:space="preserve">the </w:t>
      </w:r>
      <w:r w:rsidRPr="003A25B8">
        <w:rPr>
          <w:shd w:val="clear" w:color="auto" w:fill="FFFFFF"/>
          <w:lang w:val="en-GB"/>
        </w:rPr>
        <w:t>Household Budget Survey</w:t>
      </w:r>
      <w:bookmarkStart w:id="1" w:name="_GoBack"/>
      <w:bookmarkEnd w:id="1"/>
    </w:p>
    <w:p w14:paraId="7EE94DB5" w14:textId="4508B346" w:rsidR="00764D9C" w:rsidRPr="003A25B8" w:rsidRDefault="00CF2552" w:rsidP="00764D9C">
      <w:pPr>
        <w:pStyle w:val="tytuinformacji"/>
        <w:rPr>
          <w:i/>
          <w:shd w:val="clear" w:color="auto" w:fill="FFFFFF"/>
          <w:lang w:val="en-GB"/>
        </w:rPr>
      </w:pPr>
      <w:r>
        <w:rPr>
          <w:i/>
          <w:noProof/>
          <w:lang w:eastAsia="pl-PL"/>
        </w:rPr>
        <mc:AlternateContent>
          <mc:Choice Requires="wps">
            <w:drawing>
              <wp:anchor distT="45720" distB="45720" distL="114300" distR="114300" simplePos="0" relativeHeight="251798528" behindDoc="1" locked="0" layoutInCell="1" allowOverlap="1" wp14:anchorId="7EE94F90" wp14:editId="07C2B847">
                <wp:simplePos x="0" y="0"/>
                <wp:positionH relativeFrom="column">
                  <wp:posOffset>5257165</wp:posOffset>
                </wp:positionH>
                <wp:positionV relativeFrom="paragraph">
                  <wp:posOffset>335915</wp:posOffset>
                </wp:positionV>
                <wp:extent cx="1724025" cy="2027555"/>
                <wp:effectExtent l="0" t="0" r="0" b="0"/>
                <wp:wrapTight wrapText="bothSides">
                  <wp:wrapPolygon edited="0">
                    <wp:start x="716" y="0"/>
                    <wp:lineTo x="716" y="21309"/>
                    <wp:lineTo x="20765" y="21309"/>
                    <wp:lineTo x="20765" y="0"/>
                    <wp:lineTo x="716" y="0"/>
                  </wp:wrapPolygon>
                </wp:wrapTight>
                <wp:docPr id="227" name="Pole tekstow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027555"/>
                        </a:xfrm>
                        <a:prstGeom prst="rect">
                          <a:avLst/>
                        </a:prstGeom>
                        <a:noFill/>
                        <a:ln w="9525">
                          <a:noFill/>
                          <a:miter lim="800000"/>
                          <a:headEnd/>
                          <a:tailEnd/>
                        </a:ln>
                      </wps:spPr>
                      <wps:txbx>
                        <w:txbxContent>
                          <w:p w14:paraId="7EE95009" w14:textId="0E8E2675" w:rsidR="00E127EB" w:rsidRDefault="00E127EB" w:rsidP="00764D9C">
                            <w:pPr>
                              <w:pStyle w:val="tekstzboku"/>
                              <w:rPr>
                                <w:lang w:val="en-GB"/>
                              </w:rPr>
                            </w:pPr>
                            <w:r w:rsidRPr="004968D1">
                              <w:rPr>
                                <w:lang w:val="en-GB"/>
                              </w:rPr>
                              <w:t>In 202</w:t>
                            </w:r>
                            <w:r>
                              <w:rPr>
                                <w:lang w:val="en-GB"/>
                              </w:rPr>
                              <w:t>5</w:t>
                            </w:r>
                            <w:r w:rsidRPr="004968D1">
                              <w:rPr>
                                <w:lang w:val="en-GB"/>
                              </w:rPr>
                              <w:t>,</w:t>
                            </w:r>
                            <w:r>
                              <w:rPr>
                                <w:lang w:val="en-GB"/>
                              </w:rPr>
                              <w:t xml:space="preserve"> the income situation </w:t>
                            </w:r>
                            <w:r w:rsidRPr="004968D1">
                              <w:rPr>
                                <w:lang w:val="en-GB"/>
                              </w:rPr>
                              <w:t xml:space="preserve">of households </w:t>
                            </w:r>
                            <w:r>
                              <w:rPr>
                                <w:lang w:val="en-GB"/>
                              </w:rPr>
                              <w:t xml:space="preserve"> </w:t>
                            </w:r>
                            <w:r w:rsidRPr="004968D1">
                              <w:rPr>
                                <w:lang w:val="en-GB"/>
                              </w:rPr>
                              <w:t>improved</w:t>
                            </w:r>
                            <w:r>
                              <w:rPr>
                                <w:lang w:val="en-GB"/>
                              </w:rPr>
                              <w:t xml:space="preserve">. </w:t>
                            </w:r>
                            <w:r w:rsidRPr="00A140DA">
                              <w:rPr>
                                <w:lang w:val="en-GB"/>
                              </w:rPr>
                              <w:t xml:space="preserve">Average </w:t>
                            </w:r>
                            <w:r>
                              <w:rPr>
                                <w:lang w:val="en-GB"/>
                              </w:rPr>
                              <w:t xml:space="preserve">monthly </w:t>
                            </w:r>
                            <w:r w:rsidRPr="00A140DA">
                              <w:rPr>
                                <w:lang w:val="en-GB"/>
                              </w:rPr>
                              <w:t>income and</w:t>
                            </w:r>
                            <w:r w:rsidR="00DC537B">
                              <w:rPr>
                                <w:lang w:val="en-GB"/>
                              </w:rPr>
                              <w:t>, to lesser extent,</w:t>
                            </w:r>
                            <w:r w:rsidRPr="00A140DA">
                              <w:rPr>
                                <w:lang w:val="en-GB"/>
                              </w:rPr>
                              <w:t xml:space="preserve"> average </w:t>
                            </w:r>
                            <w:r>
                              <w:rPr>
                                <w:lang w:val="en-GB"/>
                              </w:rPr>
                              <w:t>monthly expenditure</w:t>
                            </w:r>
                            <w:r w:rsidRPr="00A140DA">
                              <w:rPr>
                                <w:lang w:val="en-GB"/>
                              </w:rPr>
                              <w:t xml:space="preserve"> </w:t>
                            </w:r>
                            <w:r>
                              <w:rPr>
                                <w:lang w:val="en-GB"/>
                              </w:rPr>
                              <w:t xml:space="preserve">per capita in households </w:t>
                            </w:r>
                            <w:r w:rsidRPr="00A140DA">
                              <w:rPr>
                                <w:lang w:val="en-GB"/>
                              </w:rPr>
                              <w:t xml:space="preserve">increased both </w:t>
                            </w:r>
                            <w:r>
                              <w:rPr>
                                <w:lang w:val="en-GB"/>
                              </w:rPr>
                              <w:t xml:space="preserve">in </w:t>
                            </w:r>
                            <w:r w:rsidRPr="00A140DA">
                              <w:rPr>
                                <w:lang w:val="en-GB"/>
                              </w:rPr>
                              <w:t>nominal and in real terms</w:t>
                            </w:r>
                            <w:r w:rsidR="00DC537B">
                              <w:rPr>
                                <w:lang w:val="en-GB"/>
                              </w:rPr>
                              <w:t xml:space="preserve">. </w:t>
                            </w:r>
                            <w:r w:rsidR="00DC537B" w:rsidRPr="00DC537B">
                              <w:rPr>
                                <w:lang w:val="en-GB"/>
                              </w:rPr>
                              <w:t>The share of expenditure in available income decreased from 59.3% in 2024 to 57.6% in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90" id="_x0000_t202" coordsize="21600,21600" o:spt="202" path="m,l,21600r21600,l21600,xe">
                <v:stroke joinstyle="miter"/>
                <v:path gradientshapeok="t" o:connecttype="rect"/>
              </v:shapetype>
              <v:shape id="Pole tekstowe 227" o:spid="_x0000_s1026" type="#_x0000_t202" style="position:absolute;margin-left:413.95pt;margin-top:26.45pt;width:135.75pt;height:159.65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" filled="f" stroked="f">
                <v:textbox>
                  <w:txbxContent>
                    <w:p w14:paraId="7EE95009" w14:textId="0E8E2675" w:rsidR="00E127EB" w:rsidRDefault="00E127EB" w:rsidP="00764D9C">
                      <w:pPr>
                        <w:pStyle w:val="tekstzboku"/>
                        <w:rPr>
                          <w:lang w:val="en-GB"/>
                        </w:rPr>
                      </w:pPr>
                      <w:r w:rsidRPr="004968D1">
                        <w:rPr>
                          <w:lang w:val="en-GB"/>
                        </w:rPr>
                        <w:t>In 202</w:t>
                      </w:r>
                      <w:r>
                        <w:rPr>
                          <w:lang w:val="en-GB"/>
                        </w:rPr>
                        <w:t>5</w:t>
                      </w:r>
                      <w:r w:rsidRPr="004968D1">
                        <w:rPr>
                          <w:lang w:val="en-GB"/>
                        </w:rPr>
                        <w:t>,</w:t>
                      </w:r>
                      <w:r>
                        <w:rPr>
                          <w:lang w:val="en-GB"/>
                        </w:rPr>
                        <w:t xml:space="preserve"> the income situation </w:t>
                      </w:r>
                      <w:r w:rsidRPr="004968D1">
                        <w:rPr>
                          <w:lang w:val="en-GB"/>
                        </w:rPr>
                        <w:t xml:space="preserve">of households </w:t>
                      </w:r>
                      <w:r>
                        <w:rPr>
                          <w:lang w:val="en-GB"/>
                        </w:rPr>
                        <w:t xml:space="preserve"> </w:t>
                      </w:r>
                      <w:r w:rsidRPr="004968D1">
                        <w:rPr>
                          <w:lang w:val="en-GB"/>
                        </w:rPr>
                        <w:t>improved</w:t>
                      </w:r>
                      <w:r>
                        <w:rPr>
                          <w:lang w:val="en-GB"/>
                        </w:rPr>
                        <w:t xml:space="preserve">. </w:t>
                      </w:r>
                      <w:r w:rsidRPr="00A140DA">
                        <w:rPr>
                          <w:lang w:val="en-GB"/>
                        </w:rPr>
                        <w:t xml:space="preserve">Average </w:t>
                      </w:r>
                      <w:r>
                        <w:rPr>
                          <w:lang w:val="en-GB"/>
                        </w:rPr>
                        <w:t xml:space="preserve">monthly </w:t>
                      </w:r>
                      <w:r w:rsidRPr="00A140DA">
                        <w:rPr>
                          <w:lang w:val="en-GB"/>
                        </w:rPr>
                        <w:t>income and</w:t>
                      </w:r>
                      <w:r w:rsidR="00DC537B">
                        <w:rPr>
                          <w:lang w:val="en-GB"/>
                        </w:rPr>
                        <w:t>, to lesser extent,</w:t>
                      </w:r>
                      <w:r w:rsidRPr="00A140DA">
                        <w:rPr>
                          <w:lang w:val="en-GB"/>
                        </w:rPr>
                        <w:t xml:space="preserve"> average </w:t>
                      </w:r>
                      <w:r>
                        <w:rPr>
                          <w:lang w:val="en-GB"/>
                        </w:rPr>
                        <w:t>monthly expenditure</w:t>
                      </w:r>
                      <w:r w:rsidRPr="00A140DA">
                        <w:rPr>
                          <w:lang w:val="en-GB"/>
                        </w:rPr>
                        <w:t xml:space="preserve"> </w:t>
                      </w:r>
                      <w:r>
                        <w:rPr>
                          <w:lang w:val="en-GB"/>
                        </w:rPr>
                        <w:t xml:space="preserve">per capita in households </w:t>
                      </w:r>
                      <w:r w:rsidRPr="00A140DA">
                        <w:rPr>
                          <w:lang w:val="en-GB"/>
                        </w:rPr>
                        <w:t xml:space="preserve">increased both </w:t>
                      </w:r>
                      <w:r>
                        <w:rPr>
                          <w:lang w:val="en-GB"/>
                        </w:rPr>
                        <w:t xml:space="preserve">in </w:t>
                      </w:r>
                      <w:r w:rsidRPr="00A140DA">
                        <w:rPr>
                          <w:lang w:val="en-GB"/>
                        </w:rPr>
                        <w:t>nominal and in real terms</w:t>
                      </w:r>
                      <w:r w:rsidR="00DC537B">
                        <w:rPr>
                          <w:lang w:val="en-GB"/>
                        </w:rPr>
                        <w:t xml:space="preserve">. </w:t>
                      </w:r>
                      <w:r w:rsidR="00DC537B" w:rsidRPr="00DC537B">
                        <w:rPr>
                          <w:lang w:val="en-GB"/>
                        </w:rPr>
                        <w:t>The share of expenditure in available income decreased from 59.3% in 2024 to 57.6% in 2025</w:t>
                      </w:r>
                    </w:p>
                  </w:txbxContent>
                </v:textbox>
                <w10:wrap type="tight"/>
              </v:shape>
            </w:pict>
          </mc:Fallback>
        </mc:AlternateContent>
      </w:r>
    </w:p>
    <w:p w14:paraId="7EE94DB7" w14:textId="2B0F2723" w:rsidR="00907638" w:rsidRDefault="00BF6020" w:rsidP="00D43603">
      <w:pPr>
        <w:pStyle w:val="LID"/>
        <w:rPr>
          <w:lang w:val="en-GB"/>
        </w:rPr>
      </w:pPr>
      <w:r>
        <w:rPr>
          <w:rFonts w:ascii="Times New Roman" w:hAnsi="Times New Roman" w:cs="Times New Roman"/>
          <w:sz w:val="24"/>
          <w:szCs w:val="24"/>
        </w:rPr>
        <mc:AlternateContent>
          <mc:Choice Requires="wps">
            <w:drawing>
              <wp:anchor distT="45720" distB="45720" distL="114300" distR="114300" simplePos="0" relativeHeight="251840512" behindDoc="0" locked="0" layoutInCell="1" allowOverlap="1" wp14:anchorId="30055143" wp14:editId="1609400A">
                <wp:simplePos x="0" y="0"/>
                <wp:positionH relativeFrom="margin">
                  <wp:posOffset>0</wp:posOffset>
                </wp:positionH>
                <wp:positionV relativeFrom="paragraph">
                  <wp:posOffset>88900</wp:posOffset>
                </wp:positionV>
                <wp:extent cx="2203200" cy="1555200"/>
                <wp:effectExtent l="0" t="0" r="6985" b="6985"/>
                <wp:wrapSquare wrapText="bothSides"/>
                <wp:docPr id="16" name="Pole tekstowe 16" descr="Opis wskaźnik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200" cy="1555200"/>
                        </a:xfrm>
                        <a:prstGeom prst="roundRect">
                          <a:avLst/>
                        </a:prstGeom>
                        <a:solidFill>
                          <a:srgbClr val="001D77"/>
                        </a:solidFill>
                        <a:ln w="9525">
                          <a:noFill/>
                          <a:miter lim="800000"/>
                          <a:headEnd/>
                          <a:tailEnd/>
                        </a:ln>
                      </wps:spPr>
                      <wps:txbx>
                        <w:txbxContent>
                          <w:p w14:paraId="570B5440" w14:textId="3A585A93" w:rsidR="00E127EB" w:rsidRPr="0003344D" w:rsidRDefault="00E127EB" w:rsidP="00BF6020">
                            <w:pPr>
                              <w:spacing w:after="0" w:line="240" w:lineRule="auto"/>
                              <w:rPr>
                                <w:rFonts w:ascii="Fira Sans SemiBold" w:hAnsi="Fira Sans SemiBold"/>
                                <w:color w:val="FFFFFF"/>
                                <w:sz w:val="72"/>
                                <w:lang w:val="en-GB"/>
                              </w:rPr>
                            </w:pPr>
                            <w:r>
                              <w:rPr>
                                <w:rStyle w:val="IkonawskanikaZnak"/>
                                <w:sz w:val="76"/>
                                <w:szCs w:val="76"/>
                              </w:rPr>
                              <w:sym w:font="Wingdings" w:char="F0F1"/>
                            </w:r>
                            <w:r w:rsidRPr="0003344D">
                              <w:rPr>
                                <w:i/>
                                <w:noProof/>
                                <w:color w:val="001D77"/>
                                <w:lang w:val="en-GB" w:eastAsia="pl-PL"/>
                              </w:rPr>
                              <w:t xml:space="preserve"> </w:t>
                            </w:r>
                            <w:r>
                              <w:rPr>
                                <w:rFonts w:ascii="Fira Sans SemiBold" w:hAnsi="Fira Sans SemiBold"/>
                                <w:color w:val="FFFFFF"/>
                                <w:sz w:val="72"/>
                                <w:lang w:val="en-GB"/>
                              </w:rPr>
                              <w:t>6.7</w:t>
                            </w:r>
                            <w:r w:rsidRPr="0003344D">
                              <w:rPr>
                                <w:rFonts w:ascii="Fira Sans SemiBold" w:hAnsi="Fira Sans SemiBold"/>
                                <w:color w:val="FFFFFF"/>
                                <w:sz w:val="72"/>
                                <w:lang w:val="en-GB"/>
                              </w:rPr>
                              <w:t>%</w:t>
                            </w:r>
                          </w:p>
                          <w:p w14:paraId="68ABFE14" w14:textId="52FC5285" w:rsidR="00E127EB" w:rsidRPr="00BF6020" w:rsidRDefault="00E127EB" w:rsidP="00BF6020">
                            <w:pPr>
                              <w:pStyle w:val="tekstnaniebieskimtle"/>
                              <w:rPr>
                                <w:sz w:val="18"/>
                                <w:szCs w:val="20"/>
                                <w:lang w:val="en-GB"/>
                              </w:rPr>
                            </w:pPr>
                            <w:r w:rsidRPr="00BF6020">
                              <w:rPr>
                                <w:lang w:val="en-GB"/>
                              </w:rPr>
                              <w:t xml:space="preserve">The </w:t>
                            </w:r>
                            <w:r>
                              <w:rPr>
                                <w:lang w:val="en-GB"/>
                              </w:rPr>
                              <w:t>in</w:t>
                            </w:r>
                            <w:r w:rsidRPr="00BF6020">
                              <w:rPr>
                                <w:lang w:val="en-GB"/>
                              </w:rPr>
                              <w:t>crease of the average monthly available income per capita in households in 202</w:t>
                            </w:r>
                            <w:r w:rsidR="00D945DB">
                              <w:rPr>
                                <w:lang w:val="en-GB"/>
                              </w:rPr>
                              <w:t xml:space="preserve">5 </w:t>
                            </w:r>
                            <w:r w:rsidRPr="00BF6020">
                              <w:rPr>
                                <w:lang w:val="en-GB"/>
                              </w:rPr>
                              <w:t>in real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055143" id="Pole tekstowe 16" o:spid="_x0000_s1027" alt="Opis wskaźnika" style="position:absolute;margin-left:0;margin-top:7pt;width:173.5pt;height:122.45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" fillcolor="#001d77" stroked="f">
                <v:stroke joinstyle="miter"/>
                <v:textbox>
                  <w:txbxContent>
                    <w:p w14:paraId="570B5440" w14:textId="3A585A93" w:rsidR="00E127EB" w:rsidRPr="0003344D" w:rsidRDefault="00E127EB" w:rsidP="00BF6020">
                      <w:pPr>
                        <w:spacing w:after="0" w:line="240" w:lineRule="auto"/>
                        <w:rPr>
                          <w:rFonts w:ascii="Fira Sans SemiBold" w:hAnsi="Fira Sans SemiBold"/>
                          <w:color w:val="FFFFFF"/>
                          <w:sz w:val="72"/>
                          <w:lang w:val="en-GB"/>
                        </w:rPr>
                      </w:pPr>
                      <w:r>
                        <w:rPr>
                          <w:rStyle w:val="IkonawskanikaZnak"/>
                          <w:sz w:val="76"/>
                          <w:szCs w:val="76"/>
                        </w:rPr>
                        <w:sym w:font="Wingdings" w:char="F0F1"/>
                      </w:r>
                      <w:r w:rsidRPr="0003344D">
                        <w:rPr>
                          <w:i/>
                          <w:noProof/>
                          <w:color w:val="001D77"/>
                          <w:lang w:val="en-GB" w:eastAsia="pl-PL"/>
                        </w:rPr>
                        <w:t xml:space="preserve"> </w:t>
                      </w:r>
                      <w:r>
                        <w:rPr>
                          <w:rFonts w:ascii="Fira Sans SemiBold" w:hAnsi="Fira Sans SemiBold"/>
                          <w:color w:val="FFFFFF"/>
                          <w:sz w:val="72"/>
                          <w:lang w:val="en-GB"/>
                        </w:rPr>
                        <w:t>6.7</w:t>
                      </w:r>
                      <w:r w:rsidRPr="0003344D">
                        <w:rPr>
                          <w:rFonts w:ascii="Fira Sans SemiBold" w:hAnsi="Fira Sans SemiBold"/>
                          <w:color w:val="FFFFFF"/>
                          <w:sz w:val="72"/>
                          <w:lang w:val="en-GB"/>
                        </w:rPr>
                        <w:t>%</w:t>
                      </w:r>
                    </w:p>
                    <w:p w14:paraId="68ABFE14" w14:textId="52FC5285" w:rsidR="00E127EB" w:rsidRPr="00BF6020" w:rsidRDefault="00E127EB" w:rsidP="00BF6020">
                      <w:pPr>
                        <w:pStyle w:val="tekstnaniebieskimtle"/>
                        <w:rPr>
                          <w:sz w:val="18"/>
                          <w:szCs w:val="20"/>
                          <w:lang w:val="en-GB"/>
                        </w:rPr>
                      </w:pPr>
                      <w:r w:rsidRPr="00BF6020">
                        <w:rPr>
                          <w:lang w:val="en-GB"/>
                        </w:rPr>
                        <w:t xml:space="preserve">The </w:t>
                      </w:r>
                      <w:r>
                        <w:rPr>
                          <w:lang w:val="en-GB"/>
                        </w:rPr>
                        <w:t>in</w:t>
                      </w:r>
                      <w:r w:rsidRPr="00BF6020">
                        <w:rPr>
                          <w:lang w:val="en-GB"/>
                        </w:rPr>
                        <w:t>crease of the average monthly available income per capita in households in 202</w:t>
                      </w:r>
                      <w:r w:rsidR="00D945DB">
                        <w:rPr>
                          <w:lang w:val="en-GB"/>
                        </w:rPr>
                        <w:t xml:space="preserve">5 </w:t>
                      </w:r>
                      <w:r w:rsidRPr="00BF6020">
                        <w:rPr>
                          <w:lang w:val="en-GB"/>
                        </w:rPr>
                        <w:t>in real terms</w:t>
                      </w:r>
                    </w:p>
                  </w:txbxContent>
                </v:textbox>
                <w10:wrap type="square" anchorx="margin"/>
              </v:roundrect>
            </w:pict>
          </mc:Fallback>
        </mc:AlternateContent>
      </w:r>
      <w:r w:rsidR="00B26E28" w:rsidRPr="001075EA">
        <w:rPr>
          <w:lang w:val="en-GB"/>
        </w:rPr>
        <w:t>In 20</w:t>
      </w:r>
      <w:r w:rsidR="00EC7A9B">
        <w:rPr>
          <w:lang w:val="en-GB"/>
        </w:rPr>
        <w:t>2</w:t>
      </w:r>
      <w:r w:rsidR="00C30737">
        <w:rPr>
          <w:lang w:val="en-GB"/>
        </w:rPr>
        <w:t>5</w:t>
      </w:r>
      <w:r w:rsidR="00035A6C">
        <w:rPr>
          <w:lang w:val="en-GB"/>
        </w:rPr>
        <w:t xml:space="preserve"> </w:t>
      </w:r>
      <w:r w:rsidR="009A40BA">
        <w:rPr>
          <w:lang w:val="en-GB"/>
        </w:rPr>
        <w:t>the financial</w:t>
      </w:r>
      <w:r w:rsidR="00035A6C">
        <w:rPr>
          <w:lang w:val="en-GB"/>
        </w:rPr>
        <w:t xml:space="preserve"> situation of households</w:t>
      </w:r>
      <w:r w:rsidR="00E03B00">
        <w:rPr>
          <w:lang w:val="en-GB"/>
        </w:rPr>
        <w:t xml:space="preserve"> </w:t>
      </w:r>
      <w:r w:rsidR="0060146F">
        <w:rPr>
          <w:lang w:val="en-GB"/>
        </w:rPr>
        <w:t xml:space="preserve"> </w:t>
      </w:r>
      <w:r w:rsidR="00E03B00">
        <w:rPr>
          <w:lang w:val="en-GB"/>
        </w:rPr>
        <w:t>improved</w:t>
      </w:r>
      <w:r w:rsidR="006A43C7">
        <w:rPr>
          <w:lang w:val="en-GB"/>
        </w:rPr>
        <w:t xml:space="preserve"> in comparison with 202</w:t>
      </w:r>
      <w:r w:rsidR="00C30737">
        <w:rPr>
          <w:lang w:val="en-GB"/>
        </w:rPr>
        <w:t>4</w:t>
      </w:r>
      <w:r w:rsidR="00411F82">
        <w:rPr>
          <w:lang w:val="en-GB"/>
        </w:rPr>
        <w:t xml:space="preserve">. </w:t>
      </w:r>
      <w:r w:rsidR="009B7EA0" w:rsidRPr="009B7EA0">
        <w:rPr>
          <w:lang w:val="en-GB"/>
        </w:rPr>
        <w:t xml:space="preserve">Households </w:t>
      </w:r>
      <w:r w:rsidR="00411F82">
        <w:rPr>
          <w:lang w:val="en-GB"/>
        </w:rPr>
        <w:t>attained</w:t>
      </w:r>
      <w:r w:rsidR="009B7EA0" w:rsidRPr="009B7EA0">
        <w:rPr>
          <w:lang w:val="en-GB"/>
        </w:rPr>
        <w:t xml:space="preserve"> </w:t>
      </w:r>
      <w:r w:rsidR="00222FC9">
        <w:rPr>
          <w:lang w:val="en-GB"/>
        </w:rPr>
        <w:t>in nominal terms</w:t>
      </w:r>
      <w:r w:rsidR="00222FC9" w:rsidRPr="009B7EA0">
        <w:rPr>
          <w:lang w:val="en-GB"/>
        </w:rPr>
        <w:t xml:space="preserve"> </w:t>
      </w:r>
      <w:r w:rsidR="009B7EA0" w:rsidRPr="009B7EA0">
        <w:rPr>
          <w:lang w:val="en-GB"/>
        </w:rPr>
        <w:t>higher income</w:t>
      </w:r>
      <w:r w:rsidR="00411F82">
        <w:rPr>
          <w:lang w:val="en-GB"/>
        </w:rPr>
        <w:t xml:space="preserve">, </w:t>
      </w:r>
      <w:r w:rsidR="000B4D50">
        <w:rPr>
          <w:lang w:val="en-GB"/>
        </w:rPr>
        <w:t>but they also had higher</w:t>
      </w:r>
      <w:r w:rsidR="009B7EA0" w:rsidRPr="009B7EA0">
        <w:rPr>
          <w:lang w:val="en-GB"/>
        </w:rPr>
        <w:t xml:space="preserve"> expen</w:t>
      </w:r>
      <w:r w:rsidR="009B7EA0">
        <w:rPr>
          <w:lang w:val="en-GB"/>
        </w:rPr>
        <w:t>diture</w:t>
      </w:r>
      <w:r w:rsidR="009B7EA0" w:rsidRPr="009B7EA0">
        <w:rPr>
          <w:lang w:val="en-GB"/>
        </w:rPr>
        <w:t>.</w:t>
      </w:r>
      <w:r w:rsidR="00B26E28" w:rsidRPr="005C7565">
        <w:rPr>
          <w:lang w:val="en-GB"/>
        </w:rPr>
        <w:t xml:space="preserve"> The </w:t>
      </w:r>
      <w:r w:rsidR="002C087F">
        <w:rPr>
          <w:lang w:val="en-GB"/>
        </w:rPr>
        <w:t xml:space="preserve">level of </w:t>
      </w:r>
      <w:r w:rsidR="00B26E28" w:rsidRPr="005C7565">
        <w:rPr>
          <w:lang w:val="en-GB"/>
        </w:rPr>
        <w:t>average monthly available income per capita in 20</w:t>
      </w:r>
      <w:r w:rsidR="004968D1">
        <w:rPr>
          <w:lang w:val="en-GB"/>
        </w:rPr>
        <w:t>2</w:t>
      </w:r>
      <w:r w:rsidR="009C2BCE">
        <w:rPr>
          <w:lang w:val="en-GB"/>
        </w:rPr>
        <w:t>5</w:t>
      </w:r>
      <w:r w:rsidR="006127DE">
        <w:rPr>
          <w:lang w:val="en-GB"/>
        </w:rPr>
        <w:t xml:space="preserve"> </w:t>
      </w:r>
      <w:r w:rsidR="00B26E28" w:rsidRPr="005C7565">
        <w:rPr>
          <w:lang w:val="en-GB"/>
        </w:rPr>
        <w:t>amounted to PLN</w:t>
      </w:r>
      <w:r w:rsidR="00077E63">
        <w:rPr>
          <w:lang w:val="en-GB"/>
        </w:rPr>
        <w:t> </w:t>
      </w:r>
      <w:r w:rsidR="0060146F">
        <w:rPr>
          <w:lang w:val="en-GB"/>
        </w:rPr>
        <w:t>3</w:t>
      </w:r>
      <w:r w:rsidR="008D2D83">
        <w:rPr>
          <w:lang w:val="en-GB"/>
        </w:rPr>
        <w:t>500</w:t>
      </w:r>
      <w:r w:rsidR="00D01E6C">
        <w:rPr>
          <w:rStyle w:val="Odwoanieprzypisudolnego"/>
          <w:lang w:val="en-GB"/>
        </w:rPr>
        <w:footnoteReference w:id="1"/>
      </w:r>
      <w:r w:rsidR="00B26E28" w:rsidRPr="005C7565">
        <w:rPr>
          <w:lang w:val="en-GB"/>
        </w:rPr>
        <w:t xml:space="preserve"> </w:t>
      </w:r>
      <w:r w:rsidR="0099545C" w:rsidRPr="005C7565">
        <w:rPr>
          <w:lang w:val="en-GB"/>
        </w:rPr>
        <w:t xml:space="preserve">and </w:t>
      </w:r>
      <w:r w:rsidR="00713CA6">
        <w:rPr>
          <w:lang w:val="en-GB"/>
        </w:rPr>
        <w:t xml:space="preserve">was higher by </w:t>
      </w:r>
      <w:r w:rsidR="0060146F">
        <w:rPr>
          <w:lang w:val="en-GB"/>
        </w:rPr>
        <w:t>1</w:t>
      </w:r>
      <w:r w:rsidR="00B23663">
        <w:rPr>
          <w:lang w:val="en-GB"/>
        </w:rPr>
        <w:t>0.5</w:t>
      </w:r>
      <w:r w:rsidR="00713CA6">
        <w:rPr>
          <w:lang w:val="en-GB"/>
        </w:rPr>
        <w:t xml:space="preserve">% in nominal terms, </w:t>
      </w:r>
      <w:r w:rsidR="00222FC9">
        <w:rPr>
          <w:lang w:val="en-GB"/>
        </w:rPr>
        <w:t>and</w:t>
      </w:r>
      <w:r w:rsidR="00713CA6">
        <w:rPr>
          <w:lang w:val="en-GB"/>
        </w:rPr>
        <w:t xml:space="preserve"> by </w:t>
      </w:r>
      <w:r w:rsidR="00B23663">
        <w:rPr>
          <w:lang w:val="en-GB"/>
        </w:rPr>
        <w:t>6.7</w:t>
      </w:r>
      <w:r w:rsidR="00713CA6" w:rsidRPr="005C7565">
        <w:rPr>
          <w:lang w:val="en-GB"/>
        </w:rPr>
        <w:t xml:space="preserve">% </w:t>
      </w:r>
      <w:r w:rsidR="0099545C" w:rsidRPr="005C7565">
        <w:rPr>
          <w:lang w:val="en-GB"/>
        </w:rPr>
        <w:t>in real terms than the income in 20</w:t>
      </w:r>
      <w:r w:rsidR="009B7EA0">
        <w:rPr>
          <w:lang w:val="en-GB"/>
        </w:rPr>
        <w:t>2</w:t>
      </w:r>
      <w:r w:rsidR="00B23663">
        <w:rPr>
          <w:lang w:val="en-GB"/>
        </w:rPr>
        <w:t>4</w:t>
      </w:r>
      <w:r w:rsidR="0099545C" w:rsidRPr="005C7565">
        <w:rPr>
          <w:lang w:val="en-GB"/>
        </w:rPr>
        <w:t>. The average monthly expendit</w:t>
      </w:r>
      <w:r w:rsidR="00167A47">
        <w:rPr>
          <w:lang w:val="en-GB"/>
        </w:rPr>
        <w:t>ure</w:t>
      </w:r>
      <w:r w:rsidR="00DC537B" w:rsidRPr="00F27CAF">
        <w:rPr>
          <w:rStyle w:val="Odwoanieprzypisudolnego"/>
          <w:color w:val="FFFFFF" w:themeColor="background1"/>
          <w:shd w:val="clear" w:color="auto" w:fill="FFFFFF"/>
        </w:rPr>
        <w:footnoteReference w:id="2"/>
      </w:r>
      <w:r w:rsidR="00167A47">
        <w:rPr>
          <w:lang w:val="en-GB"/>
        </w:rPr>
        <w:t xml:space="preserve"> per capita in households in </w:t>
      </w:r>
      <w:r w:rsidR="0099545C" w:rsidRPr="005C7565">
        <w:rPr>
          <w:lang w:val="en-GB"/>
        </w:rPr>
        <w:t>20</w:t>
      </w:r>
      <w:r w:rsidR="004968D1">
        <w:rPr>
          <w:lang w:val="en-GB"/>
        </w:rPr>
        <w:t>2</w:t>
      </w:r>
      <w:r w:rsidR="00B23663">
        <w:rPr>
          <w:lang w:val="en-GB"/>
        </w:rPr>
        <w:t>5</w:t>
      </w:r>
      <w:r w:rsidR="0099545C" w:rsidRPr="005C7565">
        <w:rPr>
          <w:lang w:val="en-GB"/>
        </w:rPr>
        <w:t xml:space="preserve"> </w:t>
      </w:r>
      <w:r w:rsidR="00222FC9">
        <w:rPr>
          <w:lang w:val="en-GB"/>
        </w:rPr>
        <w:t>reached the value of</w:t>
      </w:r>
      <w:r w:rsidR="0099545C" w:rsidRPr="005C7565">
        <w:rPr>
          <w:lang w:val="en-GB"/>
        </w:rPr>
        <w:t xml:space="preserve"> PLN</w:t>
      </w:r>
      <w:r w:rsidR="00077E63">
        <w:rPr>
          <w:lang w:val="en-GB"/>
        </w:rPr>
        <w:t> </w:t>
      </w:r>
      <w:r w:rsidR="00B23663">
        <w:rPr>
          <w:lang w:val="en-GB"/>
        </w:rPr>
        <w:t>2015</w:t>
      </w:r>
      <w:r w:rsidR="000B4D50">
        <w:rPr>
          <w:lang w:val="en-GB"/>
        </w:rPr>
        <w:t xml:space="preserve">, </w:t>
      </w:r>
      <w:r w:rsidR="00DC537B">
        <w:rPr>
          <w:lang w:val="en-GB"/>
        </w:rPr>
        <w:t xml:space="preserve">and </w:t>
      </w:r>
      <w:r w:rsidR="000B4D50">
        <w:rPr>
          <w:lang w:val="en-GB"/>
        </w:rPr>
        <w:t>were</w:t>
      </w:r>
      <w:r w:rsidR="00713CA6" w:rsidRPr="005C7565">
        <w:rPr>
          <w:lang w:val="en-GB"/>
        </w:rPr>
        <w:t xml:space="preserve"> </w:t>
      </w:r>
      <w:r w:rsidR="00713CA6">
        <w:rPr>
          <w:lang w:val="en-GB"/>
        </w:rPr>
        <w:t>higher</w:t>
      </w:r>
      <w:r w:rsidR="00713CA6" w:rsidRPr="005C7565">
        <w:rPr>
          <w:lang w:val="en-GB"/>
        </w:rPr>
        <w:t xml:space="preserve"> </w:t>
      </w:r>
      <w:r w:rsidR="00527B57">
        <w:rPr>
          <w:lang w:val="en-GB"/>
        </w:rPr>
        <w:t xml:space="preserve">on a yearly basis – </w:t>
      </w:r>
      <w:r w:rsidR="00713CA6">
        <w:rPr>
          <w:lang w:val="en-GB"/>
        </w:rPr>
        <w:t xml:space="preserve">by </w:t>
      </w:r>
      <w:r w:rsidR="00B23663">
        <w:rPr>
          <w:lang w:val="en-GB"/>
        </w:rPr>
        <w:t xml:space="preserve">7.3% </w:t>
      </w:r>
      <w:r w:rsidR="00713CA6">
        <w:rPr>
          <w:lang w:val="en-GB"/>
        </w:rPr>
        <w:t xml:space="preserve">in nominal terms, and by </w:t>
      </w:r>
      <w:r w:rsidR="00B23663">
        <w:rPr>
          <w:lang w:val="en-GB"/>
        </w:rPr>
        <w:t xml:space="preserve">3.6% </w:t>
      </w:r>
      <w:r w:rsidR="00167A47">
        <w:rPr>
          <w:lang w:val="en-GB"/>
        </w:rPr>
        <w:t>in </w:t>
      </w:r>
      <w:r w:rsidR="0099545C" w:rsidRPr="005C7565">
        <w:rPr>
          <w:lang w:val="en-GB"/>
        </w:rPr>
        <w:t xml:space="preserve">real terms </w:t>
      </w:r>
      <w:r w:rsidR="0081537D" w:rsidRPr="005C7565">
        <w:rPr>
          <w:lang w:val="en-GB"/>
        </w:rPr>
        <w:t xml:space="preserve">than </w:t>
      </w:r>
      <w:r w:rsidR="002C087F">
        <w:rPr>
          <w:lang w:val="en-GB"/>
        </w:rPr>
        <w:t xml:space="preserve">expenditure </w:t>
      </w:r>
      <w:r w:rsidR="0081537D" w:rsidRPr="005C7565">
        <w:rPr>
          <w:lang w:val="en-GB"/>
        </w:rPr>
        <w:t>in 20</w:t>
      </w:r>
      <w:r w:rsidR="0003344D">
        <w:rPr>
          <w:lang w:val="en-GB"/>
        </w:rPr>
        <w:t>2</w:t>
      </w:r>
      <w:r w:rsidR="00B23663">
        <w:rPr>
          <w:lang w:val="en-GB"/>
        </w:rPr>
        <w:t>4</w:t>
      </w:r>
      <w:r w:rsidR="0081537D" w:rsidRPr="005C7565">
        <w:rPr>
          <w:lang w:val="en-GB"/>
        </w:rPr>
        <w:t>.</w:t>
      </w:r>
      <w:r w:rsidR="000B4D50" w:rsidRPr="00EC1934">
        <w:rPr>
          <w:lang w:val="en-GB"/>
        </w:rPr>
        <w:t xml:space="preserve"> </w:t>
      </w:r>
      <w:r w:rsidR="00222FC9">
        <w:rPr>
          <w:lang w:val="en-GB"/>
        </w:rPr>
        <w:t>The</w:t>
      </w:r>
      <w:r w:rsidR="00EC1934" w:rsidRPr="00EC1934">
        <w:rPr>
          <w:lang w:val="en-GB"/>
        </w:rPr>
        <w:t xml:space="preserve"> share of expenditure in </w:t>
      </w:r>
      <w:r w:rsidR="00EC1934">
        <w:rPr>
          <w:lang w:val="en-GB"/>
        </w:rPr>
        <w:t>available</w:t>
      </w:r>
      <w:r w:rsidR="00EC1934" w:rsidRPr="00EC1934">
        <w:rPr>
          <w:lang w:val="en-GB"/>
        </w:rPr>
        <w:t xml:space="preserve"> income </w:t>
      </w:r>
      <w:r w:rsidR="00222FC9">
        <w:rPr>
          <w:lang w:val="en-GB"/>
        </w:rPr>
        <w:t>de</w:t>
      </w:r>
      <w:r w:rsidR="00EC1934" w:rsidRPr="00EC1934">
        <w:rPr>
          <w:lang w:val="en-GB"/>
        </w:rPr>
        <w:t xml:space="preserve">creased from </w:t>
      </w:r>
      <w:r w:rsidR="00B23663">
        <w:rPr>
          <w:lang w:val="en-GB"/>
        </w:rPr>
        <w:t>59.3</w:t>
      </w:r>
      <w:r w:rsidR="00EC1934" w:rsidRPr="00EC1934">
        <w:rPr>
          <w:lang w:val="en-GB"/>
        </w:rPr>
        <w:t>% in 202</w:t>
      </w:r>
      <w:r w:rsidR="00B23663">
        <w:rPr>
          <w:lang w:val="en-GB"/>
        </w:rPr>
        <w:t>4</w:t>
      </w:r>
      <w:r w:rsidR="00EC1934" w:rsidRPr="00EC1934">
        <w:rPr>
          <w:lang w:val="en-GB"/>
        </w:rPr>
        <w:t xml:space="preserve"> to </w:t>
      </w:r>
      <w:r w:rsidR="009E1086">
        <w:rPr>
          <w:lang w:val="en-GB"/>
        </w:rPr>
        <w:t>5</w:t>
      </w:r>
      <w:r w:rsidR="00B23663">
        <w:rPr>
          <w:lang w:val="en-GB"/>
        </w:rPr>
        <w:t>7.6</w:t>
      </w:r>
      <w:r w:rsidR="00EC1934" w:rsidRPr="00EC1934">
        <w:rPr>
          <w:lang w:val="en-GB"/>
        </w:rPr>
        <w:t>% in 202</w:t>
      </w:r>
      <w:r w:rsidR="00B23663">
        <w:rPr>
          <w:lang w:val="en-GB"/>
        </w:rPr>
        <w:t>5</w:t>
      </w:r>
      <w:r w:rsidR="00EC1934" w:rsidRPr="00EC1934">
        <w:rPr>
          <w:lang w:val="en-GB"/>
        </w:rPr>
        <w:t>.</w:t>
      </w:r>
      <w:r w:rsidR="001156FC">
        <w:rPr>
          <w:lang w:val="en-GB"/>
        </w:rPr>
        <w:t xml:space="preserve"> </w:t>
      </w:r>
    </w:p>
    <w:p w14:paraId="7EE94DB8" w14:textId="13B2033A" w:rsidR="00764D9C" w:rsidRPr="000B4D50" w:rsidRDefault="00977078" w:rsidP="00977078">
      <w:pPr>
        <w:spacing w:before="360" w:after="240" w:line="240" w:lineRule="auto"/>
        <w:rPr>
          <w:i/>
          <w:lang w:val="en-GB" w:eastAsia="pl-PL"/>
        </w:rPr>
      </w:pPr>
      <w:r>
        <w:rPr>
          <w:noProof/>
          <w:lang w:eastAsia="pl-PL"/>
        </w:rPr>
        <w:drawing>
          <wp:inline distT="0" distB="0" distL="0" distR="0" wp14:anchorId="2F32885C" wp14:editId="48FEE407">
            <wp:extent cx="5122545" cy="3564000"/>
            <wp:effectExtent l="0" t="0" r="1905" b="0"/>
            <wp:docPr id="12" name="Wykres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E94DBA" w14:textId="7738A953" w:rsidR="00764D9C" w:rsidRPr="00E8284F" w:rsidRDefault="009F4263" w:rsidP="00F64E3E">
      <w:pPr>
        <w:spacing w:before="360" w:line="240" w:lineRule="auto"/>
        <w:rPr>
          <w:lang w:val="en-GB"/>
        </w:rPr>
      </w:pPr>
      <w:r w:rsidRPr="00993DDE">
        <w:rPr>
          <w:noProof/>
          <w:color w:val="001D77"/>
          <w:lang w:eastAsia="pl-PL"/>
        </w:rPr>
        <w:lastRenderedPageBreak/>
        <mc:AlternateContent>
          <mc:Choice Requires="wps">
            <w:drawing>
              <wp:anchor distT="45720" distB="45720" distL="114300" distR="114300" simplePos="0" relativeHeight="251800576" behindDoc="1" locked="0" layoutInCell="1" allowOverlap="1" wp14:anchorId="7EE94F98" wp14:editId="3A23677B">
                <wp:simplePos x="0" y="0"/>
                <wp:positionH relativeFrom="column">
                  <wp:posOffset>5257800</wp:posOffset>
                </wp:positionH>
                <wp:positionV relativeFrom="paragraph">
                  <wp:posOffset>101600</wp:posOffset>
                </wp:positionV>
                <wp:extent cx="1725295" cy="1384300"/>
                <wp:effectExtent l="0" t="0" r="0" b="6350"/>
                <wp:wrapTight wrapText="bothSides">
                  <wp:wrapPolygon edited="0">
                    <wp:start x="715" y="0"/>
                    <wp:lineTo x="715" y="21402"/>
                    <wp:lineTo x="20749" y="21402"/>
                    <wp:lineTo x="20749" y="0"/>
                    <wp:lineTo x="715" y="0"/>
                  </wp:wrapPolygon>
                </wp:wrapTight>
                <wp:docPr id="223" name="Pole tekstow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84300"/>
                        </a:xfrm>
                        <a:prstGeom prst="rect">
                          <a:avLst/>
                        </a:prstGeom>
                        <a:noFill/>
                        <a:ln w="9525">
                          <a:noFill/>
                          <a:miter lim="800000"/>
                          <a:headEnd/>
                          <a:tailEnd/>
                        </a:ln>
                      </wps:spPr>
                      <wps:txbx>
                        <w:txbxContent>
                          <w:p w14:paraId="7EE9500E" w14:textId="776D19F3" w:rsidR="00E127EB" w:rsidRPr="00A13CB9" w:rsidRDefault="00E127EB"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w:t>
                            </w:r>
                            <w:r>
                              <w:rPr>
                                <w:rFonts w:eastAsia="Times New Roman"/>
                                <w:bCs/>
                                <w:color w:val="001D77"/>
                                <w:sz w:val="18"/>
                                <w:szCs w:val="18"/>
                                <w:lang w:val="en-GB" w:eastAsia="pl-PL"/>
                              </w:rPr>
                              <w:t xml:space="preserve">average </w:t>
                            </w:r>
                            <w:r w:rsidRPr="00A13CB9">
                              <w:rPr>
                                <w:rFonts w:eastAsia="Times New Roman"/>
                                <w:bCs/>
                                <w:color w:val="001D77"/>
                                <w:sz w:val="18"/>
                                <w:szCs w:val="18"/>
                                <w:lang w:val="en-GB" w:eastAsia="pl-PL"/>
                              </w:rPr>
                              <w:t xml:space="preserve">monthly </w:t>
                            </w:r>
                            <w:r>
                              <w:rPr>
                                <w:rFonts w:eastAsia="Times New Roman"/>
                                <w:bCs/>
                                <w:color w:val="001D77"/>
                                <w:sz w:val="18"/>
                                <w:szCs w:val="18"/>
                                <w:lang w:val="en-GB" w:eastAsia="pl-PL"/>
                              </w:rPr>
                              <w:t xml:space="preserve">available </w:t>
                            </w:r>
                            <w:r w:rsidRPr="00A13CB9">
                              <w:rPr>
                                <w:rFonts w:eastAsia="Times New Roman"/>
                                <w:bCs/>
                                <w:color w:val="001D77"/>
                                <w:sz w:val="18"/>
                                <w:szCs w:val="18"/>
                                <w:lang w:val="en-GB" w:eastAsia="pl-PL"/>
                              </w:rPr>
                              <w:t>in</w:t>
                            </w:r>
                            <w:r>
                              <w:rPr>
                                <w:rFonts w:eastAsia="Times New Roman"/>
                                <w:bCs/>
                                <w:color w:val="001D77"/>
                                <w:sz w:val="18"/>
                                <w:szCs w:val="18"/>
                                <w:lang w:val="en-GB" w:eastAsia="pl-PL"/>
                              </w:rPr>
                              <w:t xml:space="preserve">come per capita – PLN 4198, as well as </w:t>
                            </w:r>
                            <w:r w:rsidRPr="009F4263">
                              <w:rPr>
                                <w:rFonts w:eastAsia="Times New Roman"/>
                                <w:bCs/>
                                <w:color w:val="001D77"/>
                                <w:sz w:val="18"/>
                                <w:szCs w:val="18"/>
                                <w:lang w:val="en-GB" w:eastAsia="pl-PL"/>
                              </w:rPr>
                              <w:t xml:space="preserve">average monthly </w:t>
                            </w:r>
                            <w:r>
                              <w:rPr>
                                <w:rFonts w:eastAsia="Times New Roman"/>
                                <w:bCs/>
                                <w:color w:val="001D77"/>
                                <w:sz w:val="18"/>
                                <w:szCs w:val="18"/>
                                <w:lang w:val="en-GB" w:eastAsia="pl-PL"/>
                              </w:rPr>
                              <w:t>expenditure</w:t>
                            </w:r>
                            <w:r w:rsidRPr="00A13CB9">
                              <w:rPr>
                                <w:rFonts w:eastAsia="Times New Roman"/>
                                <w:bCs/>
                                <w:color w:val="001D77"/>
                                <w:sz w:val="18"/>
                                <w:szCs w:val="18"/>
                                <w:lang w:val="en-GB" w:eastAsia="pl-PL"/>
                              </w:rPr>
                              <w:t xml:space="preserve"> per capita</w:t>
                            </w:r>
                            <w:r>
                              <w:rPr>
                                <w:rFonts w:eastAsia="Times New Roman"/>
                                <w:bCs/>
                                <w:color w:val="001D77"/>
                                <w:sz w:val="18"/>
                                <w:szCs w:val="18"/>
                                <w:lang w:val="en-GB" w:eastAsia="pl-PL"/>
                              </w:rPr>
                              <w:t xml:space="preserve"> – </w:t>
                            </w:r>
                            <w:r w:rsidRPr="00A13CB9">
                              <w:rPr>
                                <w:rFonts w:eastAsia="Times New Roman"/>
                                <w:bCs/>
                                <w:color w:val="001D77"/>
                                <w:sz w:val="18"/>
                                <w:szCs w:val="18"/>
                                <w:lang w:val="en-GB" w:eastAsia="pl-PL"/>
                              </w:rPr>
                              <w:t xml:space="preserve">PLN </w:t>
                            </w:r>
                            <w:r>
                              <w:rPr>
                                <w:rFonts w:eastAsia="Times New Roman"/>
                                <w:bCs/>
                                <w:color w:val="001D77"/>
                                <w:sz w:val="18"/>
                                <w:szCs w:val="18"/>
                                <w:lang w:val="en-GB" w:eastAsia="pl-PL"/>
                              </w:rPr>
                              <w:t>2270</w:t>
                            </w:r>
                            <w:r w:rsidRPr="00A13CB9">
                              <w:rPr>
                                <w:rFonts w:eastAsia="Times New Roman"/>
                                <w:bCs/>
                                <w:color w:val="001D77"/>
                                <w:sz w:val="18"/>
                                <w:szCs w:val="18"/>
                                <w:lang w:val="en-GB"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98" id="Pole tekstowe 223" o:spid="_x0000_s1028" type="#_x0000_t202" style="position:absolute;margin-left:414pt;margin-top:8pt;width:135.85pt;height:109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" filled="f" stroked="f">
                <v:textbox>
                  <w:txbxContent>
                    <w:p w14:paraId="7EE9500E" w14:textId="776D19F3" w:rsidR="00E127EB" w:rsidRPr="00A13CB9" w:rsidRDefault="00E127EB"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Households of self-employed outside farming had the highes</w:t>
                      </w:r>
                      <w:r>
                        <w:rPr>
                          <w:rFonts w:eastAsia="Times New Roman"/>
                          <w:bCs/>
                          <w:color w:val="001D77"/>
                          <w:sz w:val="18"/>
                          <w:szCs w:val="18"/>
                          <w:lang w:val="en-GB" w:eastAsia="pl-PL"/>
                        </w:rPr>
                        <w:t>t</w:t>
                      </w:r>
                      <w:r w:rsidRPr="00A13CB9">
                        <w:rPr>
                          <w:rFonts w:eastAsia="Times New Roman"/>
                          <w:bCs/>
                          <w:color w:val="001D77"/>
                          <w:sz w:val="18"/>
                          <w:szCs w:val="18"/>
                          <w:lang w:val="en-GB" w:eastAsia="pl-PL"/>
                        </w:rPr>
                        <w:t xml:space="preserve"> </w:t>
                      </w:r>
                      <w:r>
                        <w:rPr>
                          <w:rFonts w:eastAsia="Times New Roman"/>
                          <w:bCs/>
                          <w:color w:val="001D77"/>
                          <w:sz w:val="18"/>
                          <w:szCs w:val="18"/>
                          <w:lang w:val="en-GB" w:eastAsia="pl-PL"/>
                        </w:rPr>
                        <w:t xml:space="preserve">average </w:t>
                      </w:r>
                      <w:r w:rsidRPr="00A13CB9">
                        <w:rPr>
                          <w:rFonts w:eastAsia="Times New Roman"/>
                          <w:bCs/>
                          <w:color w:val="001D77"/>
                          <w:sz w:val="18"/>
                          <w:szCs w:val="18"/>
                          <w:lang w:val="en-GB" w:eastAsia="pl-PL"/>
                        </w:rPr>
                        <w:t xml:space="preserve">monthly </w:t>
                      </w:r>
                      <w:r>
                        <w:rPr>
                          <w:rFonts w:eastAsia="Times New Roman"/>
                          <w:bCs/>
                          <w:color w:val="001D77"/>
                          <w:sz w:val="18"/>
                          <w:szCs w:val="18"/>
                          <w:lang w:val="en-GB" w:eastAsia="pl-PL"/>
                        </w:rPr>
                        <w:t xml:space="preserve">available </w:t>
                      </w:r>
                      <w:r w:rsidRPr="00A13CB9">
                        <w:rPr>
                          <w:rFonts w:eastAsia="Times New Roman"/>
                          <w:bCs/>
                          <w:color w:val="001D77"/>
                          <w:sz w:val="18"/>
                          <w:szCs w:val="18"/>
                          <w:lang w:val="en-GB" w:eastAsia="pl-PL"/>
                        </w:rPr>
                        <w:t>in</w:t>
                      </w:r>
                      <w:r>
                        <w:rPr>
                          <w:rFonts w:eastAsia="Times New Roman"/>
                          <w:bCs/>
                          <w:color w:val="001D77"/>
                          <w:sz w:val="18"/>
                          <w:szCs w:val="18"/>
                          <w:lang w:val="en-GB" w:eastAsia="pl-PL"/>
                        </w:rPr>
                        <w:t xml:space="preserve">come per capita – PLN 4198, as well as </w:t>
                      </w:r>
                      <w:r w:rsidRPr="009F4263">
                        <w:rPr>
                          <w:rFonts w:eastAsia="Times New Roman"/>
                          <w:bCs/>
                          <w:color w:val="001D77"/>
                          <w:sz w:val="18"/>
                          <w:szCs w:val="18"/>
                          <w:lang w:val="en-GB" w:eastAsia="pl-PL"/>
                        </w:rPr>
                        <w:t xml:space="preserve">average monthly </w:t>
                      </w:r>
                      <w:r>
                        <w:rPr>
                          <w:rFonts w:eastAsia="Times New Roman"/>
                          <w:bCs/>
                          <w:color w:val="001D77"/>
                          <w:sz w:val="18"/>
                          <w:szCs w:val="18"/>
                          <w:lang w:val="en-GB" w:eastAsia="pl-PL"/>
                        </w:rPr>
                        <w:t>expenditure</w:t>
                      </w:r>
                      <w:r w:rsidRPr="00A13CB9">
                        <w:rPr>
                          <w:rFonts w:eastAsia="Times New Roman"/>
                          <w:bCs/>
                          <w:color w:val="001D77"/>
                          <w:sz w:val="18"/>
                          <w:szCs w:val="18"/>
                          <w:lang w:val="en-GB" w:eastAsia="pl-PL"/>
                        </w:rPr>
                        <w:t xml:space="preserve"> per capita</w:t>
                      </w:r>
                      <w:r>
                        <w:rPr>
                          <w:rFonts w:eastAsia="Times New Roman"/>
                          <w:bCs/>
                          <w:color w:val="001D77"/>
                          <w:sz w:val="18"/>
                          <w:szCs w:val="18"/>
                          <w:lang w:val="en-GB" w:eastAsia="pl-PL"/>
                        </w:rPr>
                        <w:t xml:space="preserve"> – </w:t>
                      </w:r>
                      <w:r w:rsidRPr="00A13CB9">
                        <w:rPr>
                          <w:rFonts w:eastAsia="Times New Roman"/>
                          <w:bCs/>
                          <w:color w:val="001D77"/>
                          <w:sz w:val="18"/>
                          <w:szCs w:val="18"/>
                          <w:lang w:val="en-GB" w:eastAsia="pl-PL"/>
                        </w:rPr>
                        <w:t xml:space="preserve">PLN </w:t>
                      </w:r>
                      <w:r>
                        <w:rPr>
                          <w:rFonts w:eastAsia="Times New Roman"/>
                          <w:bCs/>
                          <w:color w:val="001D77"/>
                          <w:sz w:val="18"/>
                          <w:szCs w:val="18"/>
                          <w:lang w:val="en-GB" w:eastAsia="pl-PL"/>
                        </w:rPr>
                        <w:t>2270</w:t>
                      </w:r>
                      <w:r w:rsidRPr="00A13CB9">
                        <w:rPr>
                          <w:rFonts w:eastAsia="Times New Roman"/>
                          <w:bCs/>
                          <w:color w:val="001D77"/>
                          <w:sz w:val="18"/>
                          <w:szCs w:val="18"/>
                          <w:lang w:val="en-GB" w:eastAsia="pl-PL"/>
                        </w:rPr>
                        <w:t xml:space="preserve"> </w:t>
                      </w:r>
                    </w:p>
                  </w:txbxContent>
                </v:textbox>
                <w10:wrap type="tight"/>
              </v:shape>
            </w:pict>
          </mc:Fallback>
        </mc:AlternateContent>
      </w:r>
      <w:r w:rsidR="00EE7914" w:rsidRPr="00993DDE">
        <w:rPr>
          <w:rFonts w:ascii="Fira Sans SemiBold" w:eastAsia="Times New Roman" w:hAnsi="Fira Sans SemiBold"/>
          <w:bCs/>
          <w:color w:val="001D77"/>
          <w:szCs w:val="24"/>
          <w:lang w:val="en-GB" w:eastAsia="pl-PL"/>
        </w:rPr>
        <w:t>Income a</w:t>
      </w:r>
      <w:r w:rsidR="00EE7914" w:rsidRPr="00E8284F">
        <w:rPr>
          <w:rFonts w:ascii="Fira Sans SemiBold" w:eastAsia="Times New Roman" w:hAnsi="Fira Sans SemiBold"/>
          <w:bCs/>
          <w:color w:val="001D77"/>
          <w:szCs w:val="24"/>
          <w:lang w:val="en-GB" w:eastAsia="pl-PL"/>
        </w:rPr>
        <w:t>nd expenditure</w:t>
      </w:r>
    </w:p>
    <w:p w14:paraId="7EE94DBB" w14:textId="4A1B7275" w:rsidR="009A70D0" w:rsidRDefault="009A70D0" w:rsidP="00764D9C">
      <w:pPr>
        <w:rPr>
          <w:spacing w:val="-2"/>
          <w:shd w:val="clear" w:color="auto" w:fill="FFFFFF"/>
          <w:lang w:val="en-GB"/>
        </w:rPr>
      </w:pPr>
      <w:r w:rsidRPr="009A70D0">
        <w:rPr>
          <w:spacing w:val="-2"/>
          <w:shd w:val="clear" w:color="auto" w:fill="FFFFFF"/>
          <w:lang w:val="en-GB"/>
        </w:rPr>
        <w:t>In 202</w:t>
      </w:r>
      <w:r w:rsidR="009B2FD1">
        <w:rPr>
          <w:spacing w:val="-2"/>
          <w:shd w:val="clear" w:color="auto" w:fill="FFFFFF"/>
          <w:lang w:val="en-GB"/>
        </w:rPr>
        <w:t>5</w:t>
      </w:r>
      <w:r w:rsidRPr="009A70D0">
        <w:rPr>
          <w:spacing w:val="-2"/>
          <w:shd w:val="clear" w:color="auto" w:fill="FFFFFF"/>
          <w:lang w:val="en-GB"/>
        </w:rPr>
        <w:t xml:space="preserve">, there </w:t>
      </w:r>
      <w:r w:rsidR="00993DDE">
        <w:rPr>
          <w:spacing w:val="-2"/>
          <w:shd w:val="clear" w:color="auto" w:fill="FFFFFF"/>
          <w:lang w:val="en-GB"/>
        </w:rPr>
        <w:t>were</w:t>
      </w:r>
      <w:r w:rsidRPr="009A70D0">
        <w:rPr>
          <w:spacing w:val="-2"/>
          <w:shd w:val="clear" w:color="auto" w:fill="FFFFFF"/>
          <w:lang w:val="en-GB"/>
        </w:rPr>
        <w:t xml:space="preserve"> still a relatively large </w:t>
      </w:r>
      <w:r w:rsidR="00AA62EC">
        <w:rPr>
          <w:spacing w:val="-2"/>
          <w:shd w:val="clear" w:color="auto" w:fill="FFFFFF"/>
          <w:lang w:val="en-GB"/>
        </w:rPr>
        <w:t>d</w:t>
      </w:r>
      <w:r w:rsidR="00993DDE">
        <w:rPr>
          <w:spacing w:val="-2"/>
          <w:shd w:val="clear" w:color="auto" w:fill="FFFFFF"/>
          <w:lang w:val="en-GB"/>
        </w:rPr>
        <w:t>ifferences</w:t>
      </w:r>
      <w:r w:rsidRPr="009A70D0">
        <w:rPr>
          <w:spacing w:val="-2"/>
          <w:shd w:val="clear" w:color="auto" w:fill="FFFFFF"/>
          <w:lang w:val="en-GB"/>
        </w:rPr>
        <w:t xml:space="preserve"> in average monthly income and expenditure between various socio-economic groups of households.</w:t>
      </w:r>
      <w:r>
        <w:rPr>
          <w:spacing w:val="-2"/>
          <w:shd w:val="clear" w:color="auto" w:fill="FFFFFF"/>
          <w:lang w:val="en-GB"/>
        </w:rPr>
        <w:t xml:space="preserve"> Similarly to</w:t>
      </w:r>
      <w:r w:rsidRPr="009A70D0">
        <w:rPr>
          <w:spacing w:val="-2"/>
          <w:shd w:val="clear" w:color="auto" w:fill="FFFFFF"/>
          <w:lang w:val="en-GB"/>
        </w:rPr>
        <w:t xml:space="preserve"> the previous years, the highest average monthly </w:t>
      </w:r>
      <w:r w:rsidR="001B509A">
        <w:rPr>
          <w:spacing w:val="-2"/>
          <w:shd w:val="clear" w:color="auto" w:fill="FFFFFF"/>
          <w:lang w:val="en-GB"/>
        </w:rPr>
        <w:t>available</w:t>
      </w:r>
      <w:r w:rsidRPr="009A70D0">
        <w:rPr>
          <w:spacing w:val="-2"/>
          <w:shd w:val="clear" w:color="auto" w:fill="FFFFFF"/>
          <w:lang w:val="en-GB"/>
        </w:rPr>
        <w:t xml:space="preserve"> income per capita in households (PLN</w:t>
      </w:r>
      <w:r w:rsidR="00077E63">
        <w:rPr>
          <w:spacing w:val="-2"/>
          <w:shd w:val="clear" w:color="auto" w:fill="FFFFFF"/>
          <w:lang w:val="en-GB"/>
        </w:rPr>
        <w:t> </w:t>
      </w:r>
      <w:r w:rsidR="009B2FD1">
        <w:rPr>
          <w:spacing w:val="-2"/>
          <w:shd w:val="clear" w:color="auto" w:fill="FFFFFF"/>
          <w:lang w:val="en-GB"/>
        </w:rPr>
        <w:t>4198</w:t>
      </w:r>
      <w:r w:rsidRPr="009A70D0">
        <w:rPr>
          <w:spacing w:val="-2"/>
          <w:shd w:val="clear" w:color="auto" w:fill="FFFFFF"/>
          <w:lang w:val="en-GB"/>
        </w:rPr>
        <w:t xml:space="preserve">) and </w:t>
      </w:r>
      <w:r w:rsidR="00993DDE">
        <w:rPr>
          <w:spacing w:val="-2"/>
          <w:shd w:val="clear" w:color="auto" w:fill="FFFFFF"/>
          <w:lang w:val="en-GB"/>
        </w:rPr>
        <w:t xml:space="preserve">the highest </w:t>
      </w:r>
      <w:r w:rsidRPr="009A70D0">
        <w:rPr>
          <w:spacing w:val="-2"/>
          <w:shd w:val="clear" w:color="auto" w:fill="FFFFFF"/>
          <w:lang w:val="en-GB"/>
        </w:rPr>
        <w:t xml:space="preserve">average monthly </w:t>
      </w:r>
      <w:r w:rsidR="002D696A" w:rsidRPr="006416F7">
        <w:rPr>
          <w:rFonts w:cs="Arial"/>
          <w:szCs w:val="19"/>
          <w:lang w:val="en-GB"/>
        </w:rPr>
        <w:t>expenditure</w:t>
      </w:r>
      <w:r w:rsidRPr="009A70D0">
        <w:rPr>
          <w:spacing w:val="-2"/>
          <w:shd w:val="clear" w:color="auto" w:fill="FFFFFF"/>
          <w:lang w:val="en-GB"/>
        </w:rPr>
        <w:t xml:space="preserve"> per capita </w:t>
      </w:r>
      <w:r w:rsidR="002D696A" w:rsidRPr="009A70D0">
        <w:rPr>
          <w:spacing w:val="-2"/>
          <w:shd w:val="clear" w:color="auto" w:fill="FFFFFF"/>
          <w:lang w:val="en-GB"/>
        </w:rPr>
        <w:t xml:space="preserve">(PLN </w:t>
      </w:r>
      <w:r w:rsidR="009B2FD1">
        <w:rPr>
          <w:spacing w:val="-2"/>
          <w:shd w:val="clear" w:color="auto" w:fill="FFFFFF"/>
          <w:lang w:val="en-GB"/>
        </w:rPr>
        <w:t>2270</w:t>
      </w:r>
      <w:r w:rsidR="002D696A" w:rsidRPr="009A70D0">
        <w:rPr>
          <w:spacing w:val="-2"/>
          <w:shd w:val="clear" w:color="auto" w:fill="FFFFFF"/>
          <w:lang w:val="en-GB"/>
        </w:rPr>
        <w:t>)</w:t>
      </w:r>
      <w:r w:rsidR="002D696A">
        <w:rPr>
          <w:spacing w:val="-2"/>
          <w:shd w:val="clear" w:color="auto" w:fill="FFFFFF"/>
          <w:lang w:val="en-GB"/>
        </w:rPr>
        <w:t xml:space="preserve"> </w:t>
      </w:r>
      <w:r w:rsidRPr="009A70D0">
        <w:rPr>
          <w:spacing w:val="-2"/>
          <w:shd w:val="clear" w:color="auto" w:fill="FFFFFF"/>
          <w:lang w:val="en-GB"/>
        </w:rPr>
        <w:t>were recorded in households of self-employed outside farm</w:t>
      </w:r>
      <w:r w:rsidR="002D696A">
        <w:rPr>
          <w:spacing w:val="-2"/>
          <w:shd w:val="clear" w:color="auto" w:fill="FFFFFF"/>
          <w:lang w:val="en-GB"/>
        </w:rPr>
        <w:t>ing</w:t>
      </w:r>
      <w:r w:rsidRPr="009A70D0">
        <w:rPr>
          <w:spacing w:val="-2"/>
          <w:shd w:val="clear" w:color="auto" w:fill="FFFFFF"/>
          <w:lang w:val="en-GB"/>
        </w:rPr>
        <w:t xml:space="preserve">. In this group of households </w:t>
      </w:r>
      <w:r w:rsidR="002D696A">
        <w:rPr>
          <w:spacing w:val="-2"/>
          <w:shd w:val="clear" w:color="auto" w:fill="FFFFFF"/>
          <w:lang w:val="en-GB"/>
        </w:rPr>
        <w:t>–</w:t>
      </w:r>
      <w:r w:rsidRPr="009A70D0">
        <w:rPr>
          <w:spacing w:val="-2"/>
          <w:shd w:val="clear" w:color="auto" w:fill="FFFFFF"/>
          <w:lang w:val="en-GB"/>
        </w:rPr>
        <w:t xml:space="preserve"> </w:t>
      </w:r>
      <w:r w:rsidR="002D696A">
        <w:rPr>
          <w:spacing w:val="-2"/>
          <w:shd w:val="clear" w:color="auto" w:fill="FFFFFF"/>
          <w:lang w:val="en-GB"/>
        </w:rPr>
        <w:t xml:space="preserve">in </w:t>
      </w:r>
      <w:r w:rsidRPr="009A70D0">
        <w:rPr>
          <w:spacing w:val="-2"/>
          <w:shd w:val="clear" w:color="auto" w:fill="FFFFFF"/>
          <w:lang w:val="en-GB"/>
        </w:rPr>
        <w:t>compar</w:t>
      </w:r>
      <w:r w:rsidR="002D696A">
        <w:rPr>
          <w:spacing w:val="-2"/>
          <w:shd w:val="clear" w:color="auto" w:fill="FFFFFF"/>
          <w:lang w:val="en-GB"/>
        </w:rPr>
        <w:t>ison with</w:t>
      </w:r>
      <w:r w:rsidRPr="009A70D0">
        <w:rPr>
          <w:spacing w:val="-2"/>
          <w:shd w:val="clear" w:color="auto" w:fill="FFFFFF"/>
          <w:lang w:val="en-GB"/>
        </w:rPr>
        <w:t xml:space="preserve"> the average for </w:t>
      </w:r>
      <w:r w:rsidR="002D696A">
        <w:rPr>
          <w:spacing w:val="-2"/>
          <w:shd w:val="clear" w:color="auto" w:fill="FFFFFF"/>
          <w:lang w:val="en-GB"/>
        </w:rPr>
        <w:t>the total of</w:t>
      </w:r>
      <w:r w:rsidRPr="009A70D0">
        <w:rPr>
          <w:spacing w:val="-2"/>
          <w:shd w:val="clear" w:color="auto" w:fill="FFFFFF"/>
          <w:lang w:val="en-GB"/>
        </w:rPr>
        <w:t xml:space="preserve"> households in Poland </w:t>
      </w:r>
      <w:r w:rsidR="00BA0232">
        <w:rPr>
          <w:spacing w:val="-2"/>
          <w:shd w:val="clear" w:color="auto" w:fill="FFFFFF"/>
          <w:lang w:val="en-GB"/>
        </w:rPr>
        <w:t>–</w:t>
      </w:r>
      <w:r w:rsidRPr="009A70D0">
        <w:rPr>
          <w:spacing w:val="-2"/>
          <w:shd w:val="clear" w:color="auto" w:fill="FFFFFF"/>
          <w:lang w:val="en-GB"/>
        </w:rPr>
        <w:t xml:space="preserve"> both income and expenditure were higher by </w:t>
      </w:r>
      <w:r w:rsidR="009E1086">
        <w:rPr>
          <w:spacing w:val="-2"/>
          <w:shd w:val="clear" w:color="auto" w:fill="FFFFFF"/>
          <w:lang w:val="en-GB"/>
        </w:rPr>
        <w:t>19</w:t>
      </w:r>
      <w:r w:rsidR="00B27471">
        <w:rPr>
          <w:spacing w:val="-2"/>
          <w:shd w:val="clear" w:color="auto" w:fill="FFFFFF"/>
          <w:lang w:val="en-GB"/>
        </w:rPr>
        <w:t>.</w:t>
      </w:r>
      <w:r w:rsidR="009B2FD1">
        <w:rPr>
          <w:spacing w:val="-2"/>
          <w:shd w:val="clear" w:color="auto" w:fill="FFFFFF"/>
          <w:lang w:val="en-GB"/>
        </w:rPr>
        <w:t>9</w:t>
      </w:r>
      <w:r w:rsidRPr="009A70D0">
        <w:rPr>
          <w:spacing w:val="-2"/>
          <w:shd w:val="clear" w:color="auto" w:fill="FFFFFF"/>
          <w:lang w:val="en-GB"/>
        </w:rPr>
        <w:t xml:space="preserve">% and </w:t>
      </w:r>
      <w:r w:rsidR="009B2FD1">
        <w:rPr>
          <w:spacing w:val="-2"/>
          <w:shd w:val="clear" w:color="auto" w:fill="FFFFFF"/>
          <w:lang w:val="en-GB"/>
        </w:rPr>
        <w:t>12.6</w:t>
      </w:r>
      <w:r w:rsidRPr="009A70D0">
        <w:rPr>
          <w:spacing w:val="-2"/>
          <w:shd w:val="clear" w:color="auto" w:fill="FFFFFF"/>
          <w:lang w:val="en-GB"/>
        </w:rPr>
        <w:t>% respectively (in 20</w:t>
      </w:r>
      <w:r w:rsidR="00BA0232">
        <w:rPr>
          <w:spacing w:val="-2"/>
          <w:shd w:val="clear" w:color="auto" w:fill="FFFFFF"/>
          <w:lang w:val="en-GB"/>
        </w:rPr>
        <w:t>2</w:t>
      </w:r>
      <w:r w:rsidR="009B2FD1">
        <w:rPr>
          <w:spacing w:val="-2"/>
          <w:shd w:val="clear" w:color="auto" w:fill="FFFFFF"/>
          <w:lang w:val="en-GB"/>
        </w:rPr>
        <w:t>4</w:t>
      </w:r>
      <w:r w:rsidR="002D696A">
        <w:rPr>
          <w:spacing w:val="-2"/>
          <w:shd w:val="clear" w:color="auto" w:fill="FFFFFF"/>
          <w:lang w:val="en-GB"/>
        </w:rPr>
        <w:t>,</w:t>
      </w:r>
      <w:r w:rsidRPr="009A70D0">
        <w:rPr>
          <w:spacing w:val="-2"/>
          <w:shd w:val="clear" w:color="auto" w:fill="FFFFFF"/>
          <w:lang w:val="en-GB"/>
        </w:rPr>
        <w:t xml:space="preserve"> by </w:t>
      </w:r>
      <w:r w:rsidR="009B2FD1">
        <w:rPr>
          <w:spacing w:val="-2"/>
          <w:shd w:val="clear" w:color="auto" w:fill="FFFFFF"/>
          <w:lang w:val="en-GB"/>
        </w:rPr>
        <w:t>19.7</w:t>
      </w:r>
      <w:r w:rsidRPr="009A70D0">
        <w:rPr>
          <w:spacing w:val="-2"/>
          <w:shd w:val="clear" w:color="auto" w:fill="FFFFFF"/>
          <w:lang w:val="en-GB"/>
        </w:rPr>
        <w:t xml:space="preserve">% and </w:t>
      </w:r>
      <w:r w:rsidR="009B2FD1">
        <w:rPr>
          <w:spacing w:val="-2"/>
          <w:shd w:val="clear" w:color="auto" w:fill="FFFFFF"/>
          <w:lang w:val="en-GB"/>
        </w:rPr>
        <w:t>14.5</w:t>
      </w:r>
      <w:r w:rsidRPr="009A70D0">
        <w:rPr>
          <w:spacing w:val="-2"/>
          <w:shd w:val="clear" w:color="auto" w:fill="FFFFFF"/>
          <w:lang w:val="en-GB"/>
        </w:rPr>
        <w:t>%</w:t>
      </w:r>
      <w:r w:rsidR="002D696A">
        <w:rPr>
          <w:spacing w:val="-2"/>
          <w:shd w:val="clear" w:color="auto" w:fill="FFFFFF"/>
          <w:lang w:val="en-GB"/>
        </w:rPr>
        <w:t xml:space="preserve"> </w:t>
      </w:r>
      <w:r w:rsidR="002D696A" w:rsidRPr="009A70D0">
        <w:rPr>
          <w:spacing w:val="-2"/>
          <w:shd w:val="clear" w:color="auto" w:fill="FFFFFF"/>
          <w:lang w:val="en-GB"/>
        </w:rPr>
        <w:t>respectively</w:t>
      </w:r>
      <w:r w:rsidRPr="009A70D0">
        <w:rPr>
          <w:spacing w:val="-2"/>
          <w:shd w:val="clear" w:color="auto" w:fill="FFFFFF"/>
          <w:lang w:val="en-GB"/>
        </w:rPr>
        <w:t>).</w:t>
      </w:r>
    </w:p>
    <w:p w14:paraId="7EE94DBC" w14:textId="70FC3F85" w:rsidR="00F95ACA" w:rsidRDefault="00DC537B" w:rsidP="00764D9C">
      <w:pPr>
        <w:rPr>
          <w:rFonts w:cs="Arial"/>
          <w:szCs w:val="19"/>
          <w:lang w:val="en-GB"/>
        </w:rPr>
      </w:pPr>
      <w:r>
        <w:rPr>
          <w:rFonts w:cs="Arial"/>
          <w:szCs w:val="19"/>
          <w:lang w:val="en-GB"/>
        </w:rPr>
        <w:t>I</w:t>
      </w:r>
      <w:r w:rsidR="000B4D50">
        <w:rPr>
          <w:rFonts w:cs="Arial"/>
          <w:szCs w:val="19"/>
          <w:lang w:val="en-GB"/>
        </w:rPr>
        <w:t>n 202</w:t>
      </w:r>
      <w:r w:rsidR="009B2FD1">
        <w:rPr>
          <w:rFonts w:cs="Arial"/>
          <w:szCs w:val="19"/>
          <w:lang w:val="en-GB"/>
        </w:rPr>
        <w:t>5</w:t>
      </w:r>
      <w:r w:rsidR="000B4D50">
        <w:rPr>
          <w:rFonts w:cs="Arial"/>
          <w:szCs w:val="19"/>
          <w:lang w:val="en-GB"/>
        </w:rPr>
        <w:t xml:space="preserve"> </w:t>
      </w:r>
      <w:r w:rsidR="00703FDA">
        <w:rPr>
          <w:rFonts w:cs="Arial"/>
          <w:szCs w:val="19"/>
          <w:lang w:val="en-GB"/>
        </w:rPr>
        <w:t>h</w:t>
      </w:r>
      <w:r w:rsidR="00F95ACA" w:rsidRPr="006416F7">
        <w:rPr>
          <w:rFonts w:cs="Arial"/>
          <w:szCs w:val="19"/>
          <w:lang w:val="en-GB"/>
        </w:rPr>
        <w:t xml:space="preserve">ouseholds of pensioners </w:t>
      </w:r>
      <w:r w:rsidR="00D61771">
        <w:rPr>
          <w:rFonts w:cs="Arial"/>
          <w:szCs w:val="19"/>
          <w:lang w:val="en-GB"/>
        </w:rPr>
        <w:t>had</w:t>
      </w:r>
      <w:r w:rsidR="00F95ACA" w:rsidRPr="006416F7">
        <w:rPr>
          <w:rFonts w:cs="Arial"/>
          <w:szCs w:val="19"/>
          <w:lang w:val="en-GB"/>
        </w:rPr>
        <w:t xml:space="preserve"> the lowest </w:t>
      </w:r>
      <w:r w:rsidR="00D61771">
        <w:rPr>
          <w:rFonts w:cs="Arial"/>
          <w:szCs w:val="19"/>
          <w:lang w:val="en-GB"/>
        </w:rPr>
        <w:t xml:space="preserve">average </w:t>
      </w:r>
      <w:r w:rsidR="00AB6AD5">
        <w:rPr>
          <w:rFonts w:cs="Arial"/>
          <w:szCs w:val="19"/>
          <w:lang w:val="en-GB"/>
        </w:rPr>
        <w:t xml:space="preserve">monthly </w:t>
      </w:r>
      <w:r w:rsidR="00F95ACA" w:rsidRPr="006416F7">
        <w:rPr>
          <w:rFonts w:cs="Arial"/>
          <w:szCs w:val="19"/>
          <w:lang w:val="en-GB"/>
        </w:rPr>
        <w:t>available income per capita</w:t>
      </w:r>
      <w:r>
        <w:rPr>
          <w:rFonts w:cs="Arial"/>
          <w:szCs w:val="19"/>
          <w:lang w:val="en-GB"/>
        </w:rPr>
        <w:t>,</w:t>
      </w:r>
      <w:r w:rsidRPr="00DC537B">
        <w:rPr>
          <w:lang w:val="en-GB"/>
        </w:rPr>
        <w:t xml:space="preserve"> </w:t>
      </w:r>
      <w:r w:rsidRPr="00DC537B">
        <w:rPr>
          <w:rFonts w:cs="Arial"/>
          <w:szCs w:val="19"/>
          <w:lang w:val="en-GB"/>
        </w:rPr>
        <w:t>which is a continuation of observations from previous years</w:t>
      </w:r>
      <w:r w:rsidR="00D61771">
        <w:rPr>
          <w:rFonts w:cs="Arial"/>
          <w:szCs w:val="19"/>
          <w:lang w:val="en-GB"/>
        </w:rPr>
        <w:t xml:space="preserve">. Their average </w:t>
      </w:r>
      <w:r w:rsidR="00EE52E2">
        <w:rPr>
          <w:rFonts w:cs="Arial"/>
          <w:szCs w:val="19"/>
          <w:lang w:val="en-GB"/>
        </w:rPr>
        <w:t xml:space="preserve">monthly available </w:t>
      </w:r>
      <w:r w:rsidR="00D61771">
        <w:rPr>
          <w:rFonts w:cs="Arial"/>
          <w:szCs w:val="19"/>
          <w:lang w:val="en-GB"/>
        </w:rPr>
        <w:t>income per capita amounted to</w:t>
      </w:r>
      <w:r w:rsidR="00F95ACA" w:rsidRPr="006416F7">
        <w:rPr>
          <w:rFonts w:cs="Arial"/>
          <w:szCs w:val="19"/>
          <w:lang w:val="en-GB"/>
        </w:rPr>
        <w:t xml:space="preserve"> PLN </w:t>
      </w:r>
      <w:r w:rsidR="009B2FD1">
        <w:rPr>
          <w:rFonts w:cs="Arial"/>
          <w:szCs w:val="19"/>
          <w:lang w:val="en-GB"/>
        </w:rPr>
        <w:t>2541</w:t>
      </w:r>
      <w:r w:rsidR="00F95ACA" w:rsidRPr="006416F7">
        <w:rPr>
          <w:rFonts w:cs="Arial"/>
          <w:szCs w:val="19"/>
          <w:lang w:val="en-GB"/>
        </w:rPr>
        <w:t xml:space="preserve">, </w:t>
      </w:r>
      <w:r w:rsidR="00B27471">
        <w:rPr>
          <w:rFonts w:cs="Arial"/>
          <w:szCs w:val="19"/>
          <w:lang w:val="en-GB"/>
        </w:rPr>
        <w:t>and</w:t>
      </w:r>
      <w:r w:rsidR="00F95ACA" w:rsidRPr="006416F7">
        <w:rPr>
          <w:rFonts w:cs="Arial"/>
          <w:szCs w:val="19"/>
          <w:lang w:val="en-GB"/>
        </w:rPr>
        <w:t xml:space="preserve"> was by </w:t>
      </w:r>
      <w:r w:rsidR="009B2FD1">
        <w:rPr>
          <w:rFonts w:cs="Arial"/>
          <w:szCs w:val="19"/>
          <w:lang w:val="en-GB"/>
        </w:rPr>
        <w:t>27.4</w:t>
      </w:r>
      <w:r w:rsidR="00F95ACA" w:rsidRPr="006416F7">
        <w:rPr>
          <w:rFonts w:cs="Arial"/>
          <w:szCs w:val="19"/>
          <w:lang w:val="en-GB"/>
        </w:rPr>
        <w:t xml:space="preserve">% lower than </w:t>
      </w:r>
      <w:r w:rsidR="00D913A1" w:rsidRPr="006416F7">
        <w:rPr>
          <w:rFonts w:cs="Arial"/>
          <w:szCs w:val="19"/>
          <w:lang w:val="en-GB"/>
        </w:rPr>
        <w:t xml:space="preserve">average </w:t>
      </w:r>
      <w:r w:rsidR="00D913A1">
        <w:rPr>
          <w:rFonts w:cs="Arial"/>
          <w:szCs w:val="19"/>
          <w:lang w:val="en-GB"/>
        </w:rPr>
        <w:t>for</w:t>
      </w:r>
      <w:r w:rsidR="00F95ACA" w:rsidRPr="006416F7">
        <w:rPr>
          <w:rFonts w:cs="Arial"/>
          <w:szCs w:val="19"/>
          <w:lang w:val="en-GB"/>
        </w:rPr>
        <w:t xml:space="preserve"> households</w:t>
      </w:r>
      <w:r w:rsidR="00D913A1">
        <w:rPr>
          <w:rFonts w:cs="Arial"/>
          <w:szCs w:val="19"/>
          <w:lang w:val="en-GB"/>
        </w:rPr>
        <w:t xml:space="preserve"> in</w:t>
      </w:r>
      <w:r w:rsidR="00F95ACA" w:rsidRPr="006416F7">
        <w:rPr>
          <w:rFonts w:cs="Arial"/>
          <w:szCs w:val="19"/>
          <w:lang w:val="en-GB"/>
        </w:rPr>
        <w:t xml:space="preserve"> </w:t>
      </w:r>
      <w:r w:rsidR="00D913A1" w:rsidRPr="006416F7">
        <w:rPr>
          <w:rFonts w:cs="Arial"/>
          <w:szCs w:val="19"/>
          <w:lang w:val="en-GB"/>
        </w:rPr>
        <w:t xml:space="preserve">total </w:t>
      </w:r>
      <w:r w:rsidR="00F95ACA" w:rsidRPr="006416F7">
        <w:rPr>
          <w:rFonts w:cs="Arial"/>
          <w:szCs w:val="19"/>
          <w:lang w:val="en-GB"/>
        </w:rPr>
        <w:t xml:space="preserve">(in </w:t>
      </w:r>
      <w:r w:rsidR="00F95ACA">
        <w:rPr>
          <w:rFonts w:cs="Arial"/>
          <w:szCs w:val="19"/>
          <w:lang w:val="en-GB"/>
        </w:rPr>
        <w:t>20</w:t>
      </w:r>
      <w:r w:rsidR="00BA0232">
        <w:rPr>
          <w:rFonts w:cs="Arial"/>
          <w:szCs w:val="19"/>
          <w:lang w:val="en-GB"/>
        </w:rPr>
        <w:t>2</w:t>
      </w:r>
      <w:r w:rsidR="009B2FD1">
        <w:rPr>
          <w:rFonts w:cs="Arial"/>
          <w:szCs w:val="19"/>
          <w:lang w:val="en-GB"/>
        </w:rPr>
        <w:t>4</w:t>
      </w:r>
      <w:r w:rsidR="00F95ACA" w:rsidRPr="006416F7">
        <w:rPr>
          <w:rFonts w:cs="Arial"/>
          <w:szCs w:val="19"/>
          <w:lang w:val="en-GB"/>
        </w:rPr>
        <w:t xml:space="preserve"> </w:t>
      </w:r>
      <w:r w:rsidR="00B27471">
        <w:rPr>
          <w:rFonts w:cs="Arial"/>
          <w:szCs w:val="19"/>
          <w:lang w:val="en-GB"/>
        </w:rPr>
        <w:t>lower</w:t>
      </w:r>
      <w:r w:rsidR="00F95ACA" w:rsidRPr="006416F7">
        <w:rPr>
          <w:rFonts w:cs="Arial"/>
          <w:szCs w:val="19"/>
          <w:lang w:val="en-GB"/>
        </w:rPr>
        <w:t> by </w:t>
      </w:r>
      <w:r w:rsidR="009B2FD1">
        <w:rPr>
          <w:rFonts w:cs="Arial"/>
          <w:szCs w:val="19"/>
          <w:lang w:val="en-GB"/>
        </w:rPr>
        <w:t>22.7</w:t>
      </w:r>
      <w:r w:rsidR="00F95ACA" w:rsidRPr="006416F7">
        <w:rPr>
          <w:rFonts w:cs="Arial"/>
          <w:szCs w:val="19"/>
          <w:lang w:val="en-GB"/>
        </w:rPr>
        <w:t xml:space="preserve">%). The lowest </w:t>
      </w:r>
      <w:r w:rsidR="000723AD">
        <w:rPr>
          <w:rFonts w:cs="Arial"/>
          <w:szCs w:val="19"/>
          <w:lang w:val="en-GB"/>
        </w:rPr>
        <w:t xml:space="preserve">average </w:t>
      </w:r>
      <w:r w:rsidR="00EC1934">
        <w:rPr>
          <w:rFonts w:cs="Arial"/>
          <w:szCs w:val="19"/>
          <w:lang w:val="en-GB"/>
        </w:rPr>
        <w:t xml:space="preserve">monthly </w:t>
      </w:r>
      <w:r w:rsidR="00F95ACA" w:rsidRPr="006416F7">
        <w:rPr>
          <w:rFonts w:cs="Arial"/>
          <w:szCs w:val="19"/>
          <w:lang w:val="en-GB"/>
        </w:rPr>
        <w:t xml:space="preserve">expenditure </w:t>
      </w:r>
      <w:r w:rsidR="00EC1934">
        <w:rPr>
          <w:rFonts w:cs="Arial"/>
          <w:szCs w:val="19"/>
          <w:lang w:val="en-GB"/>
        </w:rPr>
        <w:t xml:space="preserve">per capita </w:t>
      </w:r>
      <w:r w:rsidR="00F95ACA" w:rsidRPr="006416F7">
        <w:rPr>
          <w:rFonts w:cs="Arial"/>
          <w:szCs w:val="19"/>
          <w:lang w:val="en-GB"/>
        </w:rPr>
        <w:t xml:space="preserve">was </w:t>
      </w:r>
      <w:r w:rsidR="000723AD">
        <w:rPr>
          <w:rFonts w:cs="Arial"/>
          <w:szCs w:val="19"/>
          <w:lang w:val="en-GB"/>
        </w:rPr>
        <w:t>noted</w:t>
      </w:r>
      <w:r w:rsidR="00F95ACA" w:rsidRPr="006416F7">
        <w:rPr>
          <w:rFonts w:cs="Arial"/>
          <w:szCs w:val="19"/>
          <w:lang w:val="en-GB"/>
        </w:rPr>
        <w:t xml:space="preserve"> in the households of farmers (PLN </w:t>
      </w:r>
      <w:r w:rsidR="009B2FD1">
        <w:rPr>
          <w:rFonts w:cs="Arial"/>
          <w:szCs w:val="19"/>
          <w:lang w:val="en-GB"/>
        </w:rPr>
        <w:t>1359</w:t>
      </w:r>
      <w:r w:rsidR="00F95ACA" w:rsidRPr="006416F7">
        <w:rPr>
          <w:rFonts w:cs="Arial"/>
          <w:szCs w:val="19"/>
          <w:lang w:val="en-GB"/>
        </w:rPr>
        <w:t xml:space="preserve">) </w:t>
      </w:r>
      <w:r w:rsidR="000723AD">
        <w:rPr>
          <w:rFonts w:cs="Arial"/>
          <w:szCs w:val="19"/>
          <w:lang w:val="en-GB"/>
        </w:rPr>
        <w:t>and it was</w:t>
      </w:r>
      <w:r w:rsidR="00F95ACA" w:rsidRPr="006416F7">
        <w:rPr>
          <w:rFonts w:cs="Arial"/>
          <w:szCs w:val="19"/>
          <w:lang w:val="en-GB"/>
        </w:rPr>
        <w:t xml:space="preserve"> by </w:t>
      </w:r>
      <w:r w:rsidR="009B2FD1">
        <w:rPr>
          <w:rFonts w:cs="Arial"/>
          <w:szCs w:val="19"/>
          <w:lang w:val="en-GB"/>
        </w:rPr>
        <w:t>32.6</w:t>
      </w:r>
      <w:r w:rsidR="00F95ACA" w:rsidRPr="006416F7">
        <w:rPr>
          <w:rFonts w:cs="Arial"/>
          <w:szCs w:val="19"/>
          <w:lang w:val="en-GB"/>
        </w:rPr>
        <w:t xml:space="preserve">% lower than </w:t>
      </w:r>
      <w:r w:rsidR="00D913A1" w:rsidRPr="006416F7">
        <w:rPr>
          <w:rFonts w:cs="Arial"/>
          <w:szCs w:val="19"/>
          <w:lang w:val="en-GB"/>
        </w:rPr>
        <w:t xml:space="preserve">average </w:t>
      </w:r>
      <w:r w:rsidR="00D913A1">
        <w:rPr>
          <w:rFonts w:cs="Arial"/>
          <w:szCs w:val="19"/>
          <w:lang w:val="en-GB"/>
        </w:rPr>
        <w:t xml:space="preserve">for </w:t>
      </w:r>
      <w:r w:rsidR="00F95ACA" w:rsidRPr="006416F7">
        <w:rPr>
          <w:rFonts w:cs="Arial"/>
          <w:szCs w:val="19"/>
          <w:lang w:val="en-GB"/>
        </w:rPr>
        <w:t>household</w:t>
      </w:r>
      <w:r w:rsidR="00D913A1">
        <w:rPr>
          <w:rFonts w:cs="Arial"/>
          <w:szCs w:val="19"/>
          <w:lang w:val="en-GB"/>
        </w:rPr>
        <w:t>s in</w:t>
      </w:r>
      <w:r w:rsidR="00F95ACA" w:rsidRPr="006416F7">
        <w:rPr>
          <w:rFonts w:cs="Arial"/>
          <w:szCs w:val="19"/>
          <w:lang w:val="en-GB"/>
        </w:rPr>
        <w:t xml:space="preserve"> </w:t>
      </w:r>
      <w:r w:rsidR="00D913A1" w:rsidRPr="006416F7">
        <w:rPr>
          <w:rFonts w:cs="Arial"/>
          <w:szCs w:val="19"/>
          <w:lang w:val="en-GB"/>
        </w:rPr>
        <w:t xml:space="preserve">total </w:t>
      </w:r>
      <w:r w:rsidR="00F95ACA" w:rsidRPr="006416F7">
        <w:rPr>
          <w:rFonts w:cs="Arial"/>
          <w:szCs w:val="19"/>
          <w:lang w:val="en-GB"/>
        </w:rPr>
        <w:t>(in </w:t>
      </w:r>
      <w:r w:rsidR="002439CD">
        <w:rPr>
          <w:rFonts w:cs="Arial"/>
          <w:szCs w:val="19"/>
          <w:lang w:val="en-GB"/>
        </w:rPr>
        <w:t>20</w:t>
      </w:r>
      <w:r w:rsidR="00BA0232">
        <w:rPr>
          <w:rFonts w:cs="Arial"/>
          <w:szCs w:val="19"/>
          <w:lang w:val="en-GB"/>
        </w:rPr>
        <w:t>2</w:t>
      </w:r>
      <w:r w:rsidR="009B2FD1">
        <w:rPr>
          <w:rFonts w:cs="Arial"/>
          <w:szCs w:val="19"/>
          <w:lang w:val="en-GB"/>
        </w:rPr>
        <w:t>4</w:t>
      </w:r>
      <w:r w:rsidR="00F95ACA" w:rsidRPr="006416F7">
        <w:rPr>
          <w:rFonts w:cs="Arial"/>
          <w:szCs w:val="19"/>
          <w:lang w:val="en-GB"/>
        </w:rPr>
        <w:t xml:space="preserve"> – lower </w:t>
      </w:r>
      <w:r w:rsidR="00F95ACA" w:rsidRPr="00906D1B">
        <w:rPr>
          <w:rFonts w:cs="Arial"/>
          <w:szCs w:val="19"/>
          <w:lang w:val="en-GB"/>
        </w:rPr>
        <w:t xml:space="preserve">by </w:t>
      </w:r>
      <w:r w:rsidR="009B2FD1">
        <w:rPr>
          <w:rFonts w:cs="Arial"/>
          <w:szCs w:val="19"/>
          <w:lang w:val="en-GB"/>
        </w:rPr>
        <w:t>30.2</w:t>
      </w:r>
      <w:r w:rsidR="00F95ACA" w:rsidRPr="00906D1B">
        <w:rPr>
          <w:rFonts w:cs="Arial"/>
          <w:szCs w:val="19"/>
          <w:lang w:val="en-GB"/>
        </w:rPr>
        <w:t>%).</w:t>
      </w:r>
    </w:p>
    <w:p w14:paraId="7EE94DBE" w14:textId="3EBADF1B" w:rsidR="00764D9C" w:rsidRPr="007E6A56" w:rsidRDefault="00A93D4E" w:rsidP="00977078">
      <w:pPr>
        <w:spacing w:before="360" w:after="360" w:line="240" w:lineRule="auto"/>
        <w:jc w:val="both"/>
        <w:rPr>
          <w:b/>
          <w:i/>
          <w:spacing w:val="-2"/>
          <w:sz w:val="18"/>
          <w:shd w:val="clear" w:color="auto" w:fill="FFFFFF"/>
          <w:lang w:val="en-GB"/>
        </w:rPr>
      </w:pPr>
      <w:r>
        <w:rPr>
          <w:i/>
          <w:noProof/>
          <w:lang w:eastAsia="pl-PL"/>
        </w:rPr>
        <mc:AlternateContent>
          <mc:Choice Requires="wps">
            <w:drawing>
              <wp:anchor distT="45720" distB="45720" distL="114300" distR="114300" simplePos="0" relativeHeight="251811840" behindDoc="1" locked="0" layoutInCell="1" allowOverlap="1" wp14:anchorId="7EE94F9A" wp14:editId="169DE96D">
                <wp:simplePos x="0" y="0"/>
                <wp:positionH relativeFrom="column">
                  <wp:posOffset>5257800</wp:posOffset>
                </wp:positionH>
                <wp:positionV relativeFrom="paragraph">
                  <wp:posOffset>1141095</wp:posOffset>
                </wp:positionV>
                <wp:extent cx="1725295" cy="1363345"/>
                <wp:effectExtent l="0" t="0" r="0" b="0"/>
                <wp:wrapTight wrapText="bothSides">
                  <wp:wrapPolygon edited="0">
                    <wp:start x="715" y="0"/>
                    <wp:lineTo x="715" y="21127"/>
                    <wp:lineTo x="20749" y="21127"/>
                    <wp:lineTo x="20749" y="0"/>
                    <wp:lineTo x="715" y="0"/>
                  </wp:wrapPolygon>
                </wp:wrapTight>
                <wp:docPr id="222" name="Pole tekstow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63345"/>
                        </a:xfrm>
                        <a:prstGeom prst="rect">
                          <a:avLst/>
                        </a:prstGeom>
                        <a:noFill/>
                        <a:ln w="9525">
                          <a:noFill/>
                          <a:miter lim="800000"/>
                          <a:headEnd/>
                          <a:tailEnd/>
                        </a:ln>
                      </wps:spPr>
                      <wps:txbx>
                        <w:txbxContent>
                          <w:p w14:paraId="7EE9500F" w14:textId="77777777" w:rsidR="00E127EB" w:rsidRPr="004A5CF4" w:rsidRDefault="00E127EB"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14:paraId="7EE95010" w14:textId="77777777" w:rsidR="00E127EB" w:rsidRPr="004A5CF4" w:rsidRDefault="00E127EB" w:rsidP="00764D9C">
                            <w:pPr>
                              <w:spacing w:after="0"/>
                              <w:rPr>
                                <w:rFonts w:eastAsia="Times New Roman"/>
                                <w:bCs/>
                                <w:i/>
                                <w:color w:val="001D77"/>
                                <w:sz w:val="18"/>
                                <w:szCs w:val="18"/>
                                <w:lang w:val="en-GB"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9A" id="Pole tekstowe 222" o:spid="_x0000_s1029" type="#_x0000_t202" style="position:absolute;left:0;text-align:left;margin-left:414pt;margin-top:89.85pt;width:135.85pt;height:107.35pt;z-index:-25150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" filled="f" stroked="f">
                <v:textbox>
                  <w:txbxContent>
                    <w:p w14:paraId="7EE9500F" w14:textId="77777777" w:rsidR="00E127EB" w:rsidRPr="004A5CF4" w:rsidRDefault="00E127EB" w:rsidP="00764D9C">
                      <w:pPr>
                        <w:pStyle w:val="tekstzboku"/>
                        <w:rPr>
                          <w:lang w:val="en-GB"/>
                        </w:rPr>
                      </w:pPr>
                      <w:r w:rsidRPr="004A5CF4">
                        <w:rPr>
                          <w:lang w:val="en-GB"/>
                        </w:rPr>
                        <w:t xml:space="preserve">The highest share of expenditure in available income was observed </w:t>
                      </w:r>
                      <w:r>
                        <w:rPr>
                          <w:lang w:val="en-GB"/>
                        </w:rPr>
                        <w:t>in households of pensioners and the lowest in households of farmers</w:t>
                      </w:r>
                    </w:p>
                    <w:p w14:paraId="7EE95010" w14:textId="77777777" w:rsidR="00E127EB" w:rsidRPr="004A5CF4" w:rsidRDefault="00E127EB" w:rsidP="00764D9C">
                      <w:pPr>
                        <w:spacing w:after="0"/>
                        <w:rPr>
                          <w:rFonts w:eastAsia="Times New Roman"/>
                          <w:bCs/>
                          <w:i/>
                          <w:color w:val="001D77"/>
                          <w:sz w:val="18"/>
                          <w:szCs w:val="18"/>
                          <w:lang w:val="en-GB" w:eastAsia="pl-PL"/>
                        </w:rPr>
                      </w:pPr>
                    </w:p>
                  </w:txbxContent>
                </v:textbox>
                <w10:wrap type="tight"/>
              </v:shape>
            </w:pict>
          </mc:Fallback>
        </mc:AlternateContent>
      </w:r>
      <w:r w:rsidR="00977078">
        <w:rPr>
          <w:noProof/>
          <w:lang w:eastAsia="pl-PL"/>
        </w:rPr>
        <w:drawing>
          <wp:inline distT="0" distB="0" distL="0" distR="0" wp14:anchorId="177D3BCC" wp14:editId="000B3108">
            <wp:extent cx="5122545" cy="2772000"/>
            <wp:effectExtent l="0" t="0" r="1905" b="0"/>
            <wp:docPr id="19" name="Wykres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E94DC1" w14:textId="602C552F" w:rsidR="00BB1E25" w:rsidRPr="00E26767" w:rsidRDefault="000723AD" w:rsidP="005071C2">
      <w:pPr>
        <w:rPr>
          <w:rStyle w:val="Uwydatnienie"/>
          <w:rFonts w:cs="Arial"/>
          <w:b w:val="0"/>
          <w:spacing w:val="-2"/>
          <w:szCs w:val="19"/>
          <w:lang w:val="en-GB"/>
        </w:rPr>
      </w:pPr>
      <w:r w:rsidRPr="00E26767">
        <w:rPr>
          <w:rFonts w:cs="Arial"/>
          <w:spacing w:val="-2"/>
          <w:szCs w:val="19"/>
          <w:lang w:val="en-GB"/>
        </w:rPr>
        <w:t xml:space="preserve">As in previous years, </w:t>
      </w:r>
      <w:r w:rsidR="000B4D50" w:rsidRPr="00E26767">
        <w:rPr>
          <w:rFonts w:cs="Arial"/>
          <w:spacing w:val="-2"/>
          <w:szCs w:val="19"/>
          <w:lang w:val="en-GB"/>
        </w:rPr>
        <w:t>in 202</w:t>
      </w:r>
      <w:r w:rsidR="00C90428">
        <w:rPr>
          <w:rFonts w:cs="Arial"/>
          <w:spacing w:val="-2"/>
          <w:szCs w:val="19"/>
          <w:lang w:val="en-GB"/>
        </w:rPr>
        <w:t>5</w:t>
      </w:r>
      <w:r w:rsidR="00993DDE">
        <w:rPr>
          <w:rFonts w:cs="Arial"/>
          <w:spacing w:val="-2"/>
          <w:szCs w:val="19"/>
          <w:lang w:val="en-GB"/>
        </w:rPr>
        <w:t>, households of pensioners were characterized by</w:t>
      </w:r>
      <w:r w:rsidR="000B4D50" w:rsidRPr="00E26767">
        <w:rPr>
          <w:rFonts w:cs="Arial"/>
          <w:spacing w:val="-2"/>
          <w:szCs w:val="19"/>
          <w:lang w:val="en-GB"/>
        </w:rPr>
        <w:t xml:space="preserve"> </w:t>
      </w:r>
      <w:r w:rsidRPr="00E26767">
        <w:rPr>
          <w:rFonts w:cs="Arial"/>
          <w:spacing w:val="-2"/>
          <w:szCs w:val="19"/>
          <w:lang w:val="en-GB"/>
        </w:rPr>
        <w:t>t</w:t>
      </w:r>
      <w:r w:rsidR="007E6A56" w:rsidRPr="00E26767">
        <w:rPr>
          <w:rFonts w:cs="Arial"/>
          <w:spacing w:val="-2"/>
          <w:szCs w:val="19"/>
          <w:lang w:val="en-GB"/>
        </w:rPr>
        <w:t>he highest share of expenditure in income (</w:t>
      </w:r>
      <w:r w:rsidR="009E1086" w:rsidRPr="00E26767">
        <w:rPr>
          <w:rFonts w:cs="Arial"/>
          <w:spacing w:val="-2"/>
          <w:szCs w:val="19"/>
          <w:lang w:val="en-GB"/>
        </w:rPr>
        <w:t>7</w:t>
      </w:r>
      <w:r w:rsidR="00C90428">
        <w:rPr>
          <w:rFonts w:cs="Arial"/>
          <w:spacing w:val="-2"/>
          <w:szCs w:val="19"/>
          <w:lang w:val="en-GB"/>
        </w:rPr>
        <w:t>2.1</w:t>
      </w:r>
      <w:r w:rsidR="007E6A56" w:rsidRPr="00E26767">
        <w:rPr>
          <w:rFonts w:cs="Arial"/>
          <w:spacing w:val="-2"/>
          <w:szCs w:val="19"/>
          <w:lang w:val="en-GB"/>
        </w:rPr>
        <w:t xml:space="preserve">%) and the lowest amount of average monthly excess of </w:t>
      </w:r>
      <w:r w:rsidR="00907638" w:rsidRPr="00E26767">
        <w:rPr>
          <w:rFonts w:cs="Arial"/>
          <w:spacing w:val="-2"/>
          <w:szCs w:val="19"/>
          <w:lang w:val="en-GB"/>
        </w:rPr>
        <w:t xml:space="preserve">available </w:t>
      </w:r>
      <w:r w:rsidR="007E6A56" w:rsidRPr="00E26767">
        <w:rPr>
          <w:rFonts w:cs="Arial"/>
          <w:spacing w:val="-2"/>
          <w:szCs w:val="19"/>
          <w:lang w:val="en-GB"/>
        </w:rPr>
        <w:t xml:space="preserve">income </w:t>
      </w:r>
      <w:r w:rsidR="00703FDA" w:rsidRPr="00E26767">
        <w:rPr>
          <w:rFonts w:cs="Arial"/>
          <w:spacing w:val="-2"/>
          <w:szCs w:val="19"/>
          <w:lang w:val="en-GB"/>
        </w:rPr>
        <w:t xml:space="preserve">per capita </w:t>
      </w:r>
      <w:r w:rsidR="007E6A56" w:rsidRPr="00E26767">
        <w:rPr>
          <w:rFonts w:cs="Arial"/>
          <w:spacing w:val="-2"/>
          <w:szCs w:val="19"/>
          <w:lang w:val="en-GB"/>
        </w:rPr>
        <w:t>over</w:t>
      </w:r>
      <w:r w:rsidR="00907638" w:rsidRPr="00E26767">
        <w:rPr>
          <w:rFonts w:cs="Arial"/>
          <w:spacing w:val="-2"/>
          <w:szCs w:val="19"/>
          <w:lang w:val="en-GB"/>
        </w:rPr>
        <w:t xml:space="preserve"> </w:t>
      </w:r>
      <w:r w:rsidR="007E6A56" w:rsidRPr="00E26767">
        <w:rPr>
          <w:rFonts w:cs="Arial"/>
          <w:spacing w:val="-2"/>
          <w:szCs w:val="19"/>
          <w:lang w:val="en-GB"/>
        </w:rPr>
        <w:t xml:space="preserve">expenditure </w:t>
      </w:r>
      <w:r w:rsidR="00703FDA" w:rsidRPr="00E26767">
        <w:rPr>
          <w:rFonts w:cs="Arial"/>
          <w:spacing w:val="-2"/>
          <w:szCs w:val="19"/>
          <w:lang w:val="en-GB"/>
        </w:rPr>
        <w:t xml:space="preserve">per capita </w:t>
      </w:r>
      <w:r w:rsidR="007E6A56" w:rsidRPr="00E26767">
        <w:rPr>
          <w:rFonts w:cs="Arial"/>
          <w:spacing w:val="-2"/>
          <w:szCs w:val="19"/>
          <w:lang w:val="en-GB"/>
        </w:rPr>
        <w:t xml:space="preserve">(PLN </w:t>
      </w:r>
      <w:r w:rsidR="00C90428">
        <w:rPr>
          <w:rFonts w:cs="Arial"/>
          <w:spacing w:val="-2"/>
          <w:szCs w:val="19"/>
          <w:lang w:val="en-GB"/>
        </w:rPr>
        <w:t>709</w:t>
      </w:r>
      <w:r w:rsidR="007E6A56" w:rsidRPr="00E26767">
        <w:rPr>
          <w:rFonts w:cs="Arial"/>
          <w:spacing w:val="-2"/>
          <w:szCs w:val="19"/>
          <w:lang w:val="en-GB"/>
        </w:rPr>
        <w:t>). The lowest share of expenditure in income (</w:t>
      </w:r>
      <w:r w:rsidR="00C90428">
        <w:rPr>
          <w:rFonts w:cs="Arial"/>
          <w:spacing w:val="-2"/>
          <w:szCs w:val="19"/>
          <w:lang w:val="en-GB"/>
        </w:rPr>
        <w:t>32.7</w:t>
      </w:r>
      <w:r w:rsidR="007E6A56" w:rsidRPr="00E26767">
        <w:rPr>
          <w:rFonts w:cs="Arial"/>
          <w:spacing w:val="-2"/>
          <w:szCs w:val="19"/>
          <w:lang w:val="en-GB"/>
        </w:rPr>
        <w:t xml:space="preserve">%) </w:t>
      </w:r>
      <w:r w:rsidR="00B27471" w:rsidRPr="00E26767">
        <w:rPr>
          <w:rFonts w:cs="Arial"/>
          <w:spacing w:val="-2"/>
          <w:szCs w:val="19"/>
          <w:lang w:val="en-GB"/>
        </w:rPr>
        <w:t xml:space="preserve">similarly to the previous year had the households of farmers, </w:t>
      </w:r>
      <w:r w:rsidR="00A22B02" w:rsidRPr="00E26767">
        <w:rPr>
          <w:rFonts w:cs="Arial"/>
          <w:spacing w:val="-2"/>
          <w:szCs w:val="19"/>
          <w:lang w:val="en-GB"/>
        </w:rPr>
        <w:t>and in these households</w:t>
      </w:r>
      <w:r w:rsidR="00B27471" w:rsidRPr="00E26767">
        <w:rPr>
          <w:rFonts w:cs="Arial"/>
          <w:spacing w:val="-2"/>
          <w:szCs w:val="19"/>
          <w:lang w:val="en-GB"/>
        </w:rPr>
        <w:t xml:space="preserve"> </w:t>
      </w:r>
      <w:r w:rsidR="007E6A56" w:rsidRPr="00E26767">
        <w:rPr>
          <w:rFonts w:cs="Arial"/>
          <w:spacing w:val="-2"/>
          <w:szCs w:val="19"/>
          <w:lang w:val="en-GB"/>
        </w:rPr>
        <w:t xml:space="preserve">the highest average </w:t>
      </w:r>
      <w:r w:rsidR="007E6A56" w:rsidRPr="00E26767">
        <w:rPr>
          <w:rStyle w:val="st"/>
          <w:rFonts w:cs="Arial"/>
          <w:spacing w:val="-2"/>
          <w:szCs w:val="19"/>
          <w:lang w:val="en-GB"/>
        </w:rPr>
        <w:t xml:space="preserve">excess of </w:t>
      </w:r>
      <w:r w:rsidR="007E6A56" w:rsidRPr="00E26767">
        <w:rPr>
          <w:rStyle w:val="Uwydatnienie"/>
          <w:rFonts w:cs="Arial"/>
          <w:b w:val="0"/>
          <w:spacing w:val="-2"/>
          <w:szCs w:val="19"/>
          <w:lang w:val="en-GB"/>
        </w:rPr>
        <w:t xml:space="preserve">income over expenditure (PLN </w:t>
      </w:r>
      <w:r w:rsidR="00C90428">
        <w:rPr>
          <w:rStyle w:val="Uwydatnienie"/>
          <w:rFonts w:cs="Arial"/>
          <w:b w:val="0"/>
          <w:spacing w:val="-2"/>
          <w:szCs w:val="19"/>
          <w:lang w:val="en-GB"/>
        </w:rPr>
        <w:t>2800</w:t>
      </w:r>
      <w:r w:rsidR="007E6A56" w:rsidRPr="00E26767">
        <w:rPr>
          <w:rStyle w:val="Uwydatnienie"/>
          <w:rFonts w:cs="Arial"/>
          <w:b w:val="0"/>
          <w:spacing w:val="-2"/>
          <w:szCs w:val="19"/>
          <w:lang w:val="en-GB"/>
        </w:rPr>
        <w:t>)</w:t>
      </w:r>
      <w:r w:rsidR="00B27471" w:rsidRPr="00E26767">
        <w:rPr>
          <w:rStyle w:val="Uwydatnienie"/>
          <w:rFonts w:cs="Arial"/>
          <w:b w:val="0"/>
          <w:spacing w:val="-2"/>
          <w:szCs w:val="19"/>
          <w:lang w:val="en-GB"/>
        </w:rPr>
        <w:t xml:space="preserve"> </w:t>
      </w:r>
      <w:r w:rsidR="007E6A56" w:rsidRPr="00E26767">
        <w:rPr>
          <w:rStyle w:val="Uwydatnienie"/>
          <w:rFonts w:cs="Arial"/>
          <w:b w:val="0"/>
          <w:spacing w:val="-2"/>
          <w:szCs w:val="19"/>
          <w:lang w:val="en-GB"/>
        </w:rPr>
        <w:t xml:space="preserve">was </w:t>
      </w:r>
      <w:r w:rsidR="00993DDE">
        <w:rPr>
          <w:rStyle w:val="Uwydatnienie"/>
          <w:rFonts w:cs="Arial"/>
          <w:b w:val="0"/>
          <w:spacing w:val="-2"/>
          <w:szCs w:val="19"/>
          <w:lang w:val="en-GB"/>
        </w:rPr>
        <w:t xml:space="preserve">also </w:t>
      </w:r>
      <w:r w:rsidR="00B27471" w:rsidRPr="00E26767">
        <w:rPr>
          <w:rStyle w:val="Uwydatnienie"/>
          <w:rFonts w:cs="Arial"/>
          <w:b w:val="0"/>
          <w:spacing w:val="-2"/>
          <w:szCs w:val="19"/>
          <w:lang w:val="en-GB"/>
        </w:rPr>
        <w:t>noted</w:t>
      </w:r>
      <w:r w:rsidR="007E6A56" w:rsidRPr="00E26767">
        <w:rPr>
          <w:rStyle w:val="Uwydatnienie"/>
          <w:rFonts w:cs="Arial"/>
          <w:b w:val="0"/>
          <w:spacing w:val="-2"/>
          <w:szCs w:val="19"/>
          <w:lang w:val="en-GB"/>
        </w:rPr>
        <w:t xml:space="preserve">. </w:t>
      </w:r>
    </w:p>
    <w:p w14:paraId="7EE94DC2" w14:textId="124C4BF6" w:rsidR="007E6A56" w:rsidRPr="00DA1982" w:rsidRDefault="00AB6AD5" w:rsidP="005071C2">
      <w:pPr>
        <w:rPr>
          <w:spacing w:val="-3"/>
          <w:shd w:val="clear" w:color="auto" w:fill="FFFFFF"/>
          <w:lang w:val="en-GB"/>
        </w:rPr>
      </w:pPr>
      <w:r w:rsidRPr="00DA1982">
        <w:rPr>
          <w:rStyle w:val="Uwydatnienie"/>
          <w:rFonts w:cs="Arial"/>
          <w:b w:val="0"/>
          <w:spacing w:val="-3"/>
          <w:szCs w:val="19"/>
          <w:lang w:val="en-GB"/>
        </w:rPr>
        <w:t xml:space="preserve">In </w:t>
      </w:r>
      <w:r w:rsidR="000B4D50" w:rsidRPr="00DA1982">
        <w:rPr>
          <w:rStyle w:val="Uwydatnienie"/>
          <w:rFonts w:cs="Arial"/>
          <w:b w:val="0"/>
          <w:spacing w:val="-3"/>
          <w:szCs w:val="19"/>
          <w:lang w:val="en-GB"/>
        </w:rPr>
        <w:t>202</w:t>
      </w:r>
      <w:r w:rsidR="00C90428" w:rsidRPr="00DA1982">
        <w:rPr>
          <w:rStyle w:val="Uwydatnienie"/>
          <w:rFonts w:cs="Arial"/>
          <w:b w:val="0"/>
          <w:spacing w:val="-3"/>
          <w:szCs w:val="19"/>
          <w:lang w:val="en-GB"/>
        </w:rPr>
        <w:t>5</w:t>
      </w:r>
      <w:r w:rsidR="000B4D50" w:rsidRPr="00DA1982">
        <w:rPr>
          <w:rStyle w:val="Uwydatnienie"/>
          <w:rFonts w:cs="Arial"/>
          <w:b w:val="0"/>
          <w:spacing w:val="-3"/>
          <w:szCs w:val="19"/>
          <w:lang w:val="en-GB"/>
        </w:rPr>
        <w:t xml:space="preserve"> in </w:t>
      </w:r>
      <w:r w:rsidRPr="00DA1982">
        <w:rPr>
          <w:rStyle w:val="Uwydatnienie"/>
          <w:rFonts w:cs="Arial"/>
          <w:b w:val="0"/>
          <w:spacing w:val="-3"/>
          <w:szCs w:val="19"/>
          <w:lang w:val="en-GB"/>
        </w:rPr>
        <w:t xml:space="preserve">comparison with </w:t>
      </w:r>
      <w:r w:rsidR="000B4D50" w:rsidRPr="00DA1982">
        <w:rPr>
          <w:rStyle w:val="Uwydatnienie"/>
          <w:rFonts w:cs="Arial"/>
          <w:b w:val="0"/>
          <w:spacing w:val="-3"/>
          <w:szCs w:val="19"/>
          <w:lang w:val="en-GB"/>
        </w:rPr>
        <w:t>202</w:t>
      </w:r>
      <w:r w:rsidR="00C90428" w:rsidRPr="00DA1982">
        <w:rPr>
          <w:rStyle w:val="Uwydatnienie"/>
          <w:rFonts w:cs="Arial"/>
          <w:b w:val="0"/>
          <w:spacing w:val="-3"/>
          <w:szCs w:val="19"/>
          <w:lang w:val="en-GB"/>
        </w:rPr>
        <w:t>4</w:t>
      </w:r>
      <w:r w:rsidRPr="00DA1982">
        <w:rPr>
          <w:rStyle w:val="Uwydatnienie"/>
          <w:rFonts w:cs="Arial"/>
          <w:b w:val="0"/>
          <w:spacing w:val="-3"/>
          <w:szCs w:val="19"/>
          <w:lang w:val="en-GB"/>
        </w:rPr>
        <w:t xml:space="preserve"> t</w:t>
      </w:r>
      <w:r w:rsidR="00952D21" w:rsidRPr="00DA1982">
        <w:rPr>
          <w:rStyle w:val="Uwydatnienie"/>
          <w:rFonts w:cs="Arial"/>
          <w:b w:val="0"/>
          <w:spacing w:val="-3"/>
          <w:szCs w:val="19"/>
          <w:lang w:val="en-GB"/>
        </w:rPr>
        <w:t xml:space="preserve">he share of expenditure in income </w:t>
      </w:r>
      <w:r w:rsidRPr="00DA1982">
        <w:rPr>
          <w:rStyle w:val="Uwydatnienie"/>
          <w:rFonts w:cs="Arial"/>
          <w:b w:val="0"/>
          <w:spacing w:val="-3"/>
          <w:szCs w:val="19"/>
          <w:lang w:val="en-GB"/>
        </w:rPr>
        <w:t xml:space="preserve">for total households </w:t>
      </w:r>
      <w:r w:rsidR="00611143" w:rsidRPr="00DA1982">
        <w:rPr>
          <w:rStyle w:val="Uwydatnienie"/>
          <w:rFonts w:cs="Arial"/>
          <w:b w:val="0"/>
          <w:spacing w:val="-3"/>
          <w:szCs w:val="19"/>
          <w:lang w:val="en-GB"/>
        </w:rPr>
        <w:t>de</w:t>
      </w:r>
      <w:r w:rsidR="00952D21" w:rsidRPr="00DA1982">
        <w:rPr>
          <w:rStyle w:val="Uwydatnienie"/>
          <w:rFonts w:cs="Arial"/>
          <w:b w:val="0"/>
          <w:spacing w:val="-3"/>
          <w:szCs w:val="19"/>
          <w:lang w:val="en-GB"/>
        </w:rPr>
        <w:t xml:space="preserve">creased by </w:t>
      </w:r>
      <w:r w:rsidR="00C90428" w:rsidRPr="00DA1982">
        <w:rPr>
          <w:rStyle w:val="Uwydatnienie"/>
          <w:rFonts w:cs="Arial"/>
          <w:b w:val="0"/>
          <w:spacing w:val="-3"/>
          <w:szCs w:val="19"/>
          <w:lang w:val="en-GB"/>
        </w:rPr>
        <w:t>1.7</w:t>
      </w:r>
      <w:r w:rsidR="00952D21" w:rsidRPr="00DA1982">
        <w:rPr>
          <w:rStyle w:val="Uwydatnienie"/>
          <w:rFonts w:cs="Arial"/>
          <w:b w:val="0"/>
          <w:spacing w:val="-3"/>
          <w:szCs w:val="19"/>
          <w:lang w:val="en-GB"/>
        </w:rPr>
        <w:t xml:space="preserve"> percentage points</w:t>
      </w:r>
      <w:r w:rsidR="00AC0E82" w:rsidRPr="00DA1982">
        <w:rPr>
          <w:rStyle w:val="Uwydatnienie"/>
          <w:rFonts w:cs="Arial"/>
          <w:b w:val="0"/>
          <w:spacing w:val="-3"/>
          <w:szCs w:val="19"/>
          <w:lang w:val="en-GB"/>
        </w:rPr>
        <w:t xml:space="preserve"> to </w:t>
      </w:r>
      <w:r w:rsidR="00C90428" w:rsidRPr="00DA1982">
        <w:rPr>
          <w:rStyle w:val="Uwydatnienie"/>
          <w:rFonts w:cs="Arial"/>
          <w:b w:val="0"/>
          <w:spacing w:val="-3"/>
          <w:szCs w:val="19"/>
          <w:lang w:val="en-GB"/>
        </w:rPr>
        <w:t>57.6</w:t>
      </w:r>
      <w:r w:rsidR="00907638" w:rsidRPr="00DA1982">
        <w:rPr>
          <w:rStyle w:val="Uwydatnienie"/>
          <w:rFonts w:cs="Arial"/>
          <w:b w:val="0"/>
          <w:spacing w:val="-3"/>
          <w:szCs w:val="19"/>
          <w:lang w:val="en-GB"/>
        </w:rPr>
        <w:t>%</w:t>
      </w:r>
      <w:r w:rsidR="00703FDA" w:rsidRPr="00DA1982">
        <w:rPr>
          <w:rStyle w:val="Uwydatnienie"/>
          <w:rFonts w:cs="Arial"/>
          <w:b w:val="0"/>
          <w:spacing w:val="-3"/>
          <w:szCs w:val="19"/>
          <w:lang w:val="en-GB"/>
        </w:rPr>
        <w:t xml:space="preserve">, </w:t>
      </w:r>
      <w:r w:rsidR="00EC1934" w:rsidRPr="00DA1982">
        <w:rPr>
          <w:rStyle w:val="Uwydatnienie"/>
          <w:rFonts w:cs="Arial"/>
          <w:b w:val="0"/>
          <w:spacing w:val="-3"/>
          <w:szCs w:val="19"/>
          <w:lang w:val="en-GB"/>
        </w:rPr>
        <w:t xml:space="preserve">which indicates </w:t>
      </w:r>
      <w:r w:rsidR="006A43C7" w:rsidRPr="00DA1982">
        <w:rPr>
          <w:rStyle w:val="Uwydatnienie"/>
          <w:rFonts w:cs="Arial"/>
          <w:b w:val="0"/>
          <w:spacing w:val="-3"/>
          <w:szCs w:val="19"/>
          <w:lang w:val="en-GB"/>
        </w:rPr>
        <w:t xml:space="preserve">on average </w:t>
      </w:r>
      <w:r w:rsidR="00EC1934" w:rsidRPr="00DA1982">
        <w:rPr>
          <w:rStyle w:val="Uwydatnienie"/>
          <w:rFonts w:cs="Arial"/>
          <w:b w:val="0"/>
          <w:spacing w:val="-3"/>
          <w:szCs w:val="19"/>
          <w:lang w:val="en-GB"/>
        </w:rPr>
        <w:t xml:space="preserve">a </w:t>
      </w:r>
      <w:r w:rsidR="00611143" w:rsidRPr="00DA1982">
        <w:rPr>
          <w:rStyle w:val="Uwydatnienie"/>
          <w:rFonts w:cs="Arial"/>
          <w:b w:val="0"/>
          <w:spacing w:val="-3"/>
          <w:szCs w:val="19"/>
          <w:lang w:val="en-GB"/>
        </w:rPr>
        <w:t>higher</w:t>
      </w:r>
      <w:r w:rsidR="00EC1934" w:rsidRPr="00DA1982">
        <w:rPr>
          <w:rStyle w:val="Uwydatnienie"/>
          <w:rFonts w:cs="Arial"/>
          <w:b w:val="0"/>
          <w:spacing w:val="-3"/>
          <w:szCs w:val="19"/>
          <w:lang w:val="en-GB"/>
        </w:rPr>
        <w:t xml:space="preserve"> possibility of accumulating savings.</w:t>
      </w:r>
      <w:r w:rsidR="00A571DC" w:rsidRPr="00DA1982">
        <w:rPr>
          <w:rStyle w:val="Uwydatnienie"/>
          <w:rFonts w:cs="Arial"/>
          <w:b w:val="0"/>
          <w:spacing w:val="-3"/>
          <w:szCs w:val="19"/>
          <w:lang w:val="en-GB"/>
        </w:rPr>
        <w:t xml:space="preserve"> The share of average </w:t>
      </w:r>
      <w:r w:rsidR="00A93D4E" w:rsidRPr="00DA1982">
        <w:rPr>
          <w:rStyle w:val="Uwydatnienie"/>
          <w:rFonts w:cs="Arial"/>
          <w:b w:val="0"/>
          <w:spacing w:val="-3"/>
          <w:szCs w:val="19"/>
          <w:lang w:val="en-GB"/>
        </w:rPr>
        <w:t xml:space="preserve">monthly </w:t>
      </w:r>
      <w:r w:rsidR="00A571DC" w:rsidRPr="00DA1982">
        <w:rPr>
          <w:rStyle w:val="Uwydatnienie"/>
          <w:rFonts w:cs="Arial"/>
          <w:b w:val="0"/>
          <w:spacing w:val="-3"/>
          <w:szCs w:val="19"/>
          <w:lang w:val="en-GB"/>
        </w:rPr>
        <w:t xml:space="preserve">expenditure in average </w:t>
      </w:r>
      <w:r w:rsidR="00A93D4E" w:rsidRPr="00DA1982">
        <w:rPr>
          <w:rStyle w:val="Uwydatnienie"/>
          <w:rFonts w:cs="Arial"/>
          <w:b w:val="0"/>
          <w:spacing w:val="-3"/>
          <w:szCs w:val="19"/>
          <w:lang w:val="en-GB"/>
        </w:rPr>
        <w:t xml:space="preserve">monthly </w:t>
      </w:r>
      <w:r w:rsidR="00A571DC" w:rsidRPr="00DA1982">
        <w:rPr>
          <w:rStyle w:val="Uwydatnienie"/>
          <w:rFonts w:cs="Arial"/>
          <w:b w:val="0"/>
          <w:spacing w:val="-3"/>
          <w:szCs w:val="19"/>
          <w:lang w:val="en-GB"/>
        </w:rPr>
        <w:t xml:space="preserve">income decreased </w:t>
      </w:r>
      <w:r w:rsidR="00A22B02" w:rsidRPr="00DA1982">
        <w:rPr>
          <w:rStyle w:val="Uwydatnienie"/>
          <w:rFonts w:cs="Arial"/>
          <w:b w:val="0"/>
          <w:spacing w:val="-3"/>
          <w:szCs w:val="19"/>
          <w:lang w:val="en-GB"/>
        </w:rPr>
        <w:t xml:space="preserve">the most </w:t>
      </w:r>
      <w:r w:rsidR="00A571DC" w:rsidRPr="00DA1982">
        <w:rPr>
          <w:rStyle w:val="Uwydatnienie"/>
          <w:rFonts w:cs="Arial"/>
          <w:b w:val="0"/>
          <w:spacing w:val="-3"/>
          <w:szCs w:val="19"/>
          <w:lang w:val="en-GB"/>
        </w:rPr>
        <w:t>in the households of farmers</w:t>
      </w:r>
      <w:r w:rsidR="00A22B02" w:rsidRPr="00DA1982">
        <w:rPr>
          <w:rStyle w:val="Uwydatnienie"/>
          <w:rFonts w:cs="Arial"/>
          <w:b w:val="0"/>
          <w:spacing w:val="-3"/>
          <w:szCs w:val="19"/>
          <w:lang w:val="en-GB"/>
        </w:rPr>
        <w:t xml:space="preserve"> (by </w:t>
      </w:r>
      <w:r w:rsidR="00C90428" w:rsidRPr="00DA1982">
        <w:rPr>
          <w:rStyle w:val="Uwydatnienie"/>
          <w:rFonts w:cs="Arial"/>
          <w:b w:val="0"/>
          <w:spacing w:val="-3"/>
          <w:szCs w:val="19"/>
          <w:lang w:val="en-GB"/>
        </w:rPr>
        <w:t>6.9</w:t>
      </w:r>
      <w:r w:rsidR="00A22B02" w:rsidRPr="00DA1982">
        <w:rPr>
          <w:rStyle w:val="Uwydatnienie"/>
          <w:rFonts w:cs="Arial"/>
          <w:b w:val="0"/>
          <w:spacing w:val="-3"/>
          <w:szCs w:val="19"/>
          <w:lang w:val="en-GB"/>
        </w:rPr>
        <w:t xml:space="preserve"> percentage points) and</w:t>
      </w:r>
      <w:r w:rsidR="00A571DC" w:rsidRPr="00DA1982">
        <w:rPr>
          <w:rStyle w:val="Uwydatnienie"/>
          <w:rFonts w:cs="Arial"/>
          <w:b w:val="0"/>
          <w:spacing w:val="-3"/>
          <w:szCs w:val="19"/>
          <w:lang w:val="en-GB"/>
        </w:rPr>
        <w:t xml:space="preserve"> it increased </w:t>
      </w:r>
      <w:r w:rsidR="00C90428" w:rsidRPr="00DA1982">
        <w:rPr>
          <w:rStyle w:val="Uwydatnienie"/>
          <w:rFonts w:cs="Arial"/>
          <w:b w:val="0"/>
          <w:spacing w:val="-3"/>
          <w:szCs w:val="19"/>
          <w:lang w:val="en-GB"/>
        </w:rPr>
        <w:t xml:space="preserve">slightly </w:t>
      </w:r>
      <w:r w:rsidR="009365CF" w:rsidRPr="00DA1982">
        <w:rPr>
          <w:rStyle w:val="Uwydatnienie"/>
          <w:rFonts w:cs="Arial"/>
          <w:b w:val="0"/>
          <w:spacing w:val="-3"/>
          <w:szCs w:val="19"/>
          <w:lang w:val="en-GB"/>
        </w:rPr>
        <w:t>only</w:t>
      </w:r>
      <w:r w:rsidR="00A22B02" w:rsidRPr="00DA1982">
        <w:rPr>
          <w:rStyle w:val="Uwydatnienie"/>
          <w:rFonts w:cs="Arial"/>
          <w:b w:val="0"/>
          <w:spacing w:val="-3"/>
          <w:szCs w:val="19"/>
          <w:lang w:val="en-GB"/>
        </w:rPr>
        <w:t xml:space="preserve"> in the households of </w:t>
      </w:r>
      <w:r w:rsidR="00C90428" w:rsidRPr="00DA1982">
        <w:rPr>
          <w:rStyle w:val="Uwydatnienie"/>
          <w:rFonts w:cs="Arial"/>
          <w:b w:val="0"/>
          <w:spacing w:val="-3"/>
          <w:szCs w:val="19"/>
          <w:lang w:val="en-GB"/>
        </w:rPr>
        <w:t xml:space="preserve">retirees </w:t>
      </w:r>
      <w:r w:rsidR="00A22B02" w:rsidRPr="00DA1982">
        <w:rPr>
          <w:rStyle w:val="Uwydatnienie"/>
          <w:rFonts w:cs="Arial"/>
          <w:b w:val="0"/>
          <w:spacing w:val="-3"/>
          <w:szCs w:val="19"/>
          <w:lang w:val="en-GB"/>
        </w:rPr>
        <w:t xml:space="preserve"> (by </w:t>
      </w:r>
      <w:r w:rsidR="00C90428" w:rsidRPr="00DA1982">
        <w:rPr>
          <w:rStyle w:val="Uwydatnienie"/>
          <w:rFonts w:cs="Arial"/>
          <w:b w:val="0"/>
          <w:spacing w:val="-3"/>
          <w:szCs w:val="19"/>
          <w:lang w:val="en-GB"/>
        </w:rPr>
        <w:t>0.4</w:t>
      </w:r>
      <w:r w:rsidR="00A571DC" w:rsidRPr="00DA1982">
        <w:rPr>
          <w:rStyle w:val="Uwydatnienie"/>
          <w:rFonts w:cs="Arial"/>
          <w:b w:val="0"/>
          <w:spacing w:val="-3"/>
          <w:szCs w:val="19"/>
          <w:lang w:val="en-GB"/>
        </w:rPr>
        <w:t xml:space="preserve"> percentage point</w:t>
      </w:r>
      <w:r w:rsidR="00A22B02" w:rsidRPr="00DA1982">
        <w:rPr>
          <w:rStyle w:val="Uwydatnienie"/>
          <w:rFonts w:cs="Arial"/>
          <w:b w:val="0"/>
          <w:spacing w:val="-3"/>
          <w:szCs w:val="19"/>
          <w:lang w:val="en-GB"/>
        </w:rPr>
        <w:t>s)</w:t>
      </w:r>
      <w:r w:rsidR="00A571DC" w:rsidRPr="00DA1982">
        <w:rPr>
          <w:rStyle w:val="Uwydatnienie"/>
          <w:rFonts w:cs="Arial"/>
          <w:b w:val="0"/>
          <w:spacing w:val="-3"/>
          <w:szCs w:val="19"/>
          <w:lang w:val="en-GB"/>
        </w:rPr>
        <w:t>.</w:t>
      </w:r>
    </w:p>
    <w:p w14:paraId="055390E6" w14:textId="31EC142D" w:rsidR="00977078" w:rsidRPr="00E26767" w:rsidRDefault="00E127EB" w:rsidP="005071C2">
      <w:pPr>
        <w:spacing w:before="0" w:after="0"/>
        <w:rPr>
          <w:shd w:val="clear" w:color="auto" w:fill="FFFFFF"/>
          <w:lang w:val="en-GB"/>
        </w:rPr>
      </w:pPr>
      <w:r>
        <w:rPr>
          <w:shd w:val="clear" w:color="auto" w:fill="FFFFFF"/>
          <w:lang w:val="en-GB"/>
        </w:rPr>
        <w:t xml:space="preserve">Similarly to the previous year, the </w:t>
      </w:r>
      <w:r w:rsidR="00260783" w:rsidRPr="00E26767">
        <w:rPr>
          <w:shd w:val="clear" w:color="auto" w:fill="FFFFFF"/>
          <w:lang w:val="en-GB"/>
        </w:rPr>
        <w:t xml:space="preserve">average </w:t>
      </w:r>
      <w:r w:rsidR="00703FDA" w:rsidRPr="00E26767">
        <w:rPr>
          <w:shd w:val="clear" w:color="auto" w:fill="FFFFFF"/>
          <w:lang w:val="en-GB"/>
        </w:rPr>
        <w:t xml:space="preserve">monthly </w:t>
      </w:r>
      <w:r w:rsidR="00260783" w:rsidRPr="00E26767">
        <w:rPr>
          <w:shd w:val="clear" w:color="auto" w:fill="FFFFFF"/>
          <w:lang w:val="en-GB"/>
        </w:rPr>
        <w:t>available income</w:t>
      </w:r>
      <w:r w:rsidR="009712BA" w:rsidRPr="00E26767">
        <w:rPr>
          <w:shd w:val="clear" w:color="auto" w:fill="FFFFFF"/>
          <w:lang w:val="en-GB"/>
        </w:rPr>
        <w:t xml:space="preserve"> indicator</w:t>
      </w:r>
      <w:r w:rsidR="0059067C" w:rsidRPr="00E26767">
        <w:rPr>
          <w:rStyle w:val="Odwoanieprzypisudolnego"/>
          <w:shd w:val="clear" w:color="auto" w:fill="FFFFFF"/>
        </w:rPr>
        <w:footnoteReference w:id="3"/>
      </w:r>
      <w:r w:rsidR="00260783" w:rsidRPr="00E26767">
        <w:rPr>
          <w:shd w:val="clear" w:color="auto" w:fill="FFFFFF"/>
          <w:lang w:val="en-GB"/>
        </w:rPr>
        <w:t xml:space="preserve"> </w:t>
      </w:r>
      <w:r>
        <w:rPr>
          <w:shd w:val="clear" w:color="auto" w:fill="FFFFFF"/>
          <w:lang w:val="en-GB"/>
        </w:rPr>
        <w:t xml:space="preserve">was the highest in the households of self-employed – 119.9% of the national average (119.7% in 2024), while the lowest was in the households of pensioners – 72.6% of the national average (77.3% in 2024). On the other hand the </w:t>
      </w:r>
      <w:r w:rsidR="00703FDA" w:rsidRPr="00E26767">
        <w:rPr>
          <w:shd w:val="clear" w:color="auto" w:fill="FFFFFF"/>
          <w:lang w:val="en-GB"/>
        </w:rPr>
        <w:t>average monthly</w:t>
      </w:r>
      <w:r w:rsidR="00260783" w:rsidRPr="00E26767">
        <w:rPr>
          <w:shd w:val="clear" w:color="auto" w:fill="FFFFFF"/>
          <w:lang w:val="en-GB"/>
        </w:rPr>
        <w:t xml:space="preserve"> expenditure </w:t>
      </w:r>
      <w:r w:rsidR="009712BA" w:rsidRPr="00E26767">
        <w:rPr>
          <w:shd w:val="clear" w:color="auto" w:fill="FFFFFF"/>
          <w:lang w:val="en-GB"/>
        </w:rPr>
        <w:t>indicator</w:t>
      </w:r>
      <w:r w:rsidR="00A571DC" w:rsidRPr="00E26767">
        <w:rPr>
          <w:rStyle w:val="Odwoanieprzypisudolnego"/>
          <w:shd w:val="clear" w:color="auto" w:fill="FFFFFF"/>
        </w:rPr>
        <w:footnoteReference w:id="4"/>
      </w:r>
      <w:r w:rsidR="00A571DC" w:rsidRPr="00E26767">
        <w:rPr>
          <w:shd w:val="clear" w:color="auto" w:fill="FFFFFF"/>
          <w:lang w:val="en-GB"/>
        </w:rPr>
        <w:t xml:space="preserve"> </w:t>
      </w:r>
      <w:r>
        <w:rPr>
          <w:shd w:val="clear" w:color="auto" w:fill="FFFFFF"/>
          <w:lang w:val="en-GB"/>
        </w:rPr>
        <w:t>was the highest in the households of self-employed – 112.6% of the national average (114.5% in 2024), and the lowest in the households of farmers – 67.4% of the national average (69.8% in 2024)</w:t>
      </w:r>
      <w:r w:rsidR="00792A2F">
        <w:rPr>
          <w:shd w:val="clear" w:color="auto" w:fill="FFFFFF"/>
          <w:lang w:val="en-GB"/>
        </w:rPr>
        <w:t xml:space="preserve"> – similarly to 2024.</w:t>
      </w:r>
      <w:r>
        <w:rPr>
          <w:shd w:val="clear" w:color="auto" w:fill="FFFFFF"/>
          <w:lang w:val="en-GB"/>
        </w:rPr>
        <w:t xml:space="preserve"> </w:t>
      </w:r>
    </w:p>
    <w:p w14:paraId="79F21A51" w14:textId="5A1E3D78" w:rsidR="00977078" w:rsidRDefault="00182564" w:rsidP="00977078">
      <w:pPr>
        <w:spacing w:before="360" w:after="360" w:line="240" w:lineRule="auto"/>
        <w:rPr>
          <w:rFonts w:cs="Arial"/>
          <w:bCs/>
          <w:spacing w:val="2"/>
          <w:szCs w:val="19"/>
          <w:lang w:val="en-GB"/>
        </w:rPr>
      </w:pPr>
      <w:r>
        <w:rPr>
          <w:noProof/>
          <w:lang w:eastAsia="pl-PL"/>
        </w:rPr>
        <w:lastRenderedPageBreak/>
        <w:drawing>
          <wp:inline distT="0" distB="0" distL="0" distR="0" wp14:anchorId="5529094C" wp14:editId="6F89CB11">
            <wp:extent cx="5122545" cy="2951480"/>
            <wp:effectExtent l="0" t="0" r="1905" b="1270"/>
            <wp:docPr id="4" name="Wykres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7A81E79-6E5C-4A94-8E3F-A82C6CFD5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E94DC7" w14:textId="2E40FCE5" w:rsidR="005135D9" w:rsidRPr="005071C2" w:rsidRDefault="00260783" w:rsidP="00764D9C">
      <w:pPr>
        <w:rPr>
          <w:szCs w:val="19"/>
          <w:shd w:val="clear" w:color="auto" w:fill="FFFFFF"/>
          <w:lang w:val="en-GB"/>
        </w:rPr>
      </w:pPr>
      <w:r w:rsidRPr="005071C2">
        <w:rPr>
          <w:rFonts w:cs="Arial"/>
          <w:bCs/>
          <w:spacing w:val="2"/>
          <w:szCs w:val="19"/>
          <w:lang w:val="en-GB"/>
        </w:rPr>
        <w:t>In 202</w:t>
      </w:r>
      <w:r w:rsidR="009A1E60" w:rsidRPr="005071C2">
        <w:rPr>
          <w:rFonts w:cs="Arial"/>
          <w:bCs/>
          <w:spacing w:val="2"/>
          <w:szCs w:val="19"/>
          <w:lang w:val="en-GB"/>
        </w:rPr>
        <w:t>5</w:t>
      </w:r>
      <w:r w:rsidRPr="005071C2">
        <w:rPr>
          <w:rFonts w:cs="Arial"/>
          <w:bCs/>
          <w:spacing w:val="2"/>
          <w:szCs w:val="19"/>
          <w:lang w:val="en-GB"/>
        </w:rPr>
        <w:t xml:space="preserve">, there was </w:t>
      </w:r>
      <w:r w:rsidR="002E72F5" w:rsidRPr="005071C2">
        <w:rPr>
          <w:rFonts w:cs="Arial"/>
          <w:bCs/>
          <w:spacing w:val="2"/>
          <w:szCs w:val="19"/>
          <w:lang w:val="en-GB"/>
        </w:rPr>
        <w:t>a growth</w:t>
      </w:r>
      <w:r w:rsidRPr="005071C2">
        <w:rPr>
          <w:rFonts w:cs="Arial"/>
          <w:bCs/>
          <w:spacing w:val="2"/>
          <w:szCs w:val="19"/>
          <w:lang w:val="en-GB"/>
        </w:rPr>
        <w:t xml:space="preserve"> in average monthly available income per capita in real terms in total – by </w:t>
      </w:r>
      <w:r w:rsidR="009A1E60" w:rsidRPr="005071C2">
        <w:rPr>
          <w:rFonts w:cs="Arial"/>
          <w:bCs/>
          <w:spacing w:val="2"/>
          <w:szCs w:val="19"/>
          <w:lang w:val="en-GB"/>
        </w:rPr>
        <w:t>6.7</w:t>
      </w:r>
      <w:r w:rsidRPr="005071C2">
        <w:rPr>
          <w:rFonts w:cs="Arial"/>
          <w:bCs/>
          <w:spacing w:val="2"/>
          <w:szCs w:val="19"/>
          <w:lang w:val="en-GB"/>
        </w:rPr>
        <w:t>%.</w:t>
      </w:r>
      <w:r w:rsidRPr="005071C2">
        <w:rPr>
          <w:rFonts w:cs="Arial"/>
          <w:spacing w:val="2"/>
          <w:szCs w:val="19"/>
          <w:lang w:val="en-GB"/>
        </w:rPr>
        <w:t xml:space="preserve"> </w:t>
      </w:r>
      <w:r w:rsidR="002E72F5" w:rsidRPr="005071C2">
        <w:rPr>
          <w:rFonts w:cs="Arial"/>
          <w:bCs/>
          <w:spacing w:val="2"/>
          <w:szCs w:val="19"/>
          <w:lang w:val="en-GB"/>
        </w:rPr>
        <w:t xml:space="preserve">Growth </w:t>
      </w:r>
      <w:r w:rsidR="00703FDA" w:rsidRPr="005071C2">
        <w:rPr>
          <w:rFonts w:cs="Arial"/>
          <w:bCs/>
          <w:spacing w:val="2"/>
          <w:szCs w:val="19"/>
          <w:lang w:val="en-GB"/>
        </w:rPr>
        <w:t>in real terms occurred in</w:t>
      </w:r>
      <w:r w:rsidR="0058057D" w:rsidRPr="005071C2">
        <w:rPr>
          <w:rFonts w:cs="Arial"/>
          <w:bCs/>
          <w:spacing w:val="2"/>
          <w:szCs w:val="19"/>
          <w:lang w:val="en-GB"/>
        </w:rPr>
        <w:t xml:space="preserve"> all</w:t>
      </w:r>
      <w:r w:rsidRPr="005071C2">
        <w:rPr>
          <w:rFonts w:cs="Arial"/>
          <w:bCs/>
          <w:spacing w:val="2"/>
          <w:szCs w:val="19"/>
          <w:lang w:val="en-GB"/>
        </w:rPr>
        <w:t xml:space="preserve"> socio-economic groups of households</w:t>
      </w:r>
      <w:r w:rsidR="00C71091" w:rsidRPr="005071C2">
        <w:rPr>
          <w:rFonts w:cs="Arial"/>
          <w:bCs/>
          <w:spacing w:val="2"/>
          <w:szCs w:val="19"/>
          <w:lang w:val="en-GB"/>
        </w:rPr>
        <w:t xml:space="preserve"> except pensioners</w:t>
      </w:r>
      <w:r w:rsidR="0058057D" w:rsidRPr="005071C2">
        <w:rPr>
          <w:rFonts w:cs="Arial"/>
          <w:bCs/>
          <w:spacing w:val="2"/>
          <w:szCs w:val="19"/>
          <w:lang w:val="en-GB"/>
        </w:rPr>
        <w:t xml:space="preserve"> </w:t>
      </w:r>
      <w:r w:rsidR="00C71091" w:rsidRPr="005071C2">
        <w:rPr>
          <w:rFonts w:cs="Arial"/>
          <w:bCs/>
          <w:spacing w:val="2"/>
          <w:szCs w:val="19"/>
          <w:lang w:val="en-GB"/>
        </w:rPr>
        <w:t xml:space="preserve">- </w:t>
      </w:r>
      <w:r w:rsidR="0058057D" w:rsidRPr="005071C2">
        <w:rPr>
          <w:rFonts w:cs="Arial"/>
          <w:bCs/>
          <w:spacing w:val="2"/>
          <w:szCs w:val="19"/>
          <w:lang w:val="en-GB"/>
        </w:rPr>
        <w:t>the highest was recorded in the households</w:t>
      </w:r>
      <w:r w:rsidRPr="005071C2">
        <w:rPr>
          <w:spacing w:val="-2"/>
          <w:szCs w:val="19"/>
          <w:shd w:val="clear" w:color="auto" w:fill="FFFFFF"/>
          <w:lang w:val="en-GB"/>
        </w:rPr>
        <w:t xml:space="preserve"> of </w:t>
      </w:r>
      <w:r w:rsidR="00A22B02" w:rsidRPr="005071C2">
        <w:rPr>
          <w:spacing w:val="-2"/>
          <w:szCs w:val="19"/>
          <w:shd w:val="clear" w:color="auto" w:fill="FFFFFF"/>
          <w:lang w:val="en-GB"/>
        </w:rPr>
        <w:t>farmers</w:t>
      </w:r>
      <w:r w:rsidR="009D333C">
        <w:rPr>
          <w:spacing w:val="-2"/>
          <w:szCs w:val="19"/>
          <w:shd w:val="clear" w:color="auto" w:fill="FFFFFF"/>
          <w:lang w:val="en-GB"/>
        </w:rPr>
        <w:t xml:space="preserve"> (by 21.4%)</w:t>
      </w:r>
      <w:r w:rsidR="00A22B02" w:rsidRPr="005071C2">
        <w:rPr>
          <w:spacing w:val="-2"/>
          <w:szCs w:val="19"/>
          <w:shd w:val="clear" w:color="auto" w:fill="FFFFFF"/>
          <w:lang w:val="en-GB"/>
        </w:rPr>
        <w:t xml:space="preserve">, and the lowest in the households of </w:t>
      </w:r>
      <w:r w:rsidR="00C71091" w:rsidRPr="005071C2">
        <w:rPr>
          <w:spacing w:val="-2"/>
          <w:szCs w:val="19"/>
          <w:shd w:val="clear" w:color="auto" w:fill="FFFFFF"/>
          <w:lang w:val="en-GB"/>
        </w:rPr>
        <w:t>retirees</w:t>
      </w:r>
      <w:r w:rsidR="009D333C">
        <w:rPr>
          <w:spacing w:val="-2"/>
          <w:szCs w:val="19"/>
          <w:shd w:val="clear" w:color="auto" w:fill="FFFFFF"/>
          <w:lang w:val="en-GB"/>
        </w:rPr>
        <w:t xml:space="preserve"> (by 3.8%)</w:t>
      </w:r>
      <w:r w:rsidR="0058057D" w:rsidRPr="005071C2">
        <w:rPr>
          <w:spacing w:val="-2"/>
          <w:szCs w:val="19"/>
          <w:shd w:val="clear" w:color="auto" w:fill="FFFFFF"/>
          <w:lang w:val="en-GB"/>
        </w:rPr>
        <w:t xml:space="preserve">. </w:t>
      </w:r>
    </w:p>
    <w:p w14:paraId="1195F7B9" w14:textId="036E3827" w:rsidR="00993DDE" w:rsidRPr="00993DDE" w:rsidRDefault="00E75E51" w:rsidP="00764D9C">
      <w:pPr>
        <w:rPr>
          <w:rFonts w:cs="Arial"/>
          <w:b/>
          <w:color w:val="001D77"/>
          <w:szCs w:val="19"/>
          <w:lang w:val="en-GB"/>
        </w:rPr>
      </w:pPr>
      <w:r>
        <w:rPr>
          <w:rFonts w:cs="Arial"/>
          <w:b/>
          <w:color w:val="001D77"/>
          <w:szCs w:val="19"/>
          <w:lang w:val="en-GB"/>
        </w:rPr>
        <w:t>I</w:t>
      </w:r>
      <w:r w:rsidR="00993DDE" w:rsidRPr="00993DDE">
        <w:rPr>
          <w:rFonts w:cs="Arial"/>
          <w:b/>
          <w:color w:val="001D77"/>
          <w:szCs w:val="19"/>
          <w:lang w:val="en-GB"/>
        </w:rPr>
        <w:t>ncome sources</w:t>
      </w:r>
      <w:r>
        <w:rPr>
          <w:rFonts w:cs="Arial"/>
          <w:b/>
          <w:color w:val="001D77"/>
          <w:szCs w:val="19"/>
          <w:lang w:val="en-GB"/>
        </w:rPr>
        <w:t xml:space="preserve"> structure</w:t>
      </w:r>
    </w:p>
    <w:p w14:paraId="7EE94DC8" w14:textId="48853805" w:rsidR="00AB1889" w:rsidRPr="005071C2" w:rsidRDefault="00EA64F9" w:rsidP="00764D9C">
      <w:pPr>
        <w:rPr>
          <w:rFonts w:cs="Arial"/>
          <w:szCs w:val="19"/>
          <w:lang w:val="en-GB"/>
        </w:rPr>
      </w:pPr>
      <w:r w:rsidRPr="005071C2">
        <w:rPr>
          <w:rFonts w:cs="Arial"/>
          <w:szCs w:val="19"/>
          <w:lang w:val="en-GB"/>
        </w:rPr>
        <w:t>T</w:t>
      </w:r>
      <w:r w:rsidR="00AB1889" w:rsidRPr="005071C2">
        <w:rPr>
          <w:rFonts w:cs="Arial"/>
          <w:szCs w:val="19"/>
          <w:lang w:val="en-GB"/>
        </w:rPr>
        <w:t xml:space="preserve">he highest share of income </w:t>
      </w:r>
      <w:r w:rsidR="00DA1982">
        <w:rPr>
          <w:rFonts w:cs="Arial"/>
          <w:szCs w:val="19"/>
          <w:lang w:val="en-GB"/>
        </w:rPr>
        <w:t>from characteristic for given socio-economic group,</w:t>
      </w:r>
      <w:r w:rsidR="00AB1889" w:rsidRPr="005071C2">
        <w:rPr>
          <w:rFonts w:cs="Arial"/>
          <w:szCs w:val="19"/>
          <w:lang w:val="en-GB"/>
        </w:rPr>
        <w:t xml:space="preserve"> main </w:t>
      </w:r>
      <w:r w:rsidR="00690E21" w:rsidRPr="005071C2">
        <w:rPr>
          <w:rFonts w:cs="Arial"/>
          <w:szCs w:val="19"/>
          <w:lang w:val="en-GB"/>
        </w:rPr>
        <w:t>source of income</w:t>
      </w:r>
      <w:r w:rsidR="00AB1889" w:rsidRPr="005071C2">
        <w:rPr>
          <w:rFonts w:cs="Arial"/>
          <w:szCs w:val="19"/>
          <w:lang w:val="en-GB"/>
        </w:rPr>
        <w:t xml:space="preserve"> occurred in the households of</w:t>
      </w:r>
      <w:r w:rsidRPr="005071C2">
        <w:rPr>
          <w:rFonts w:cs="Arial"/>
          <w:szCs w:val="19"/>
          <w:lang w:val="en-GB"/>
        </w:rPr>
        <w:t xml:space="preserve"> r</w:t>
      </w:r>
      <w:r w:rsidR="00AB1889" w:rsidRPr="005071C2">
        <w:rPr>
          <w:rFonts w:cs="Arial"/>
          <w:szCs w:val="19"/>
          <w:lang w:val="en-GB"/>
        </w:rPr>
        <w:t>etire</w:t>
      </w:r>
      <w:r w:rsidR="00C85FC0" w:rsidRPr="005071C2">
        <w:rPr>
          <w:rFonts w:cs="Arial"/>
          <w:szCs w:val="19"/>
          <w:lang w:val="en-GB"/>
        </w:rPr>
        <w:t>e</w:t>
      </w:r>
      <w:r w:rsidR="00AB1889" w:rsidRPr="005071C2">
        <w:rPr>
          <w:rFonts w:cs="Arial"/>
          <w:szCs w:val="19"/>
          <w:lang w:val="en-GB"/>
        </w:rPr>
        <w:t>s (</w:t>
      </w:r>
      <w:r w:rsidR="009A1E60" w:rsidRPr="005071C2">
        <w:rPr>
          <w:rFonts w:cs="Arial"/>
          <w:szCs w:val="19"/>
          <w:lang w:val="en-GB"/>
        </w:rPr>
        <w:t>81.1</w:t>
      </w:r>
      <w:r w:rsidR="00AB1889" w:rsidRPr="005071C2">
        <w:rPr>
          <w:rFonts w:cs="Arial"/>
          <w:szCs w:val="19"/>
          <w:lang w:val="en-GB"/>
        </w:rPr>
        <w:t>%</w:t>
      </w:r>
      <w:r w:rsidR="002651F4" w:rsidRPr="005071C2">
        <w:rPr>
          <w:rFonts w:cs="Arial"/>
          <w:szCs w:val="19"/>
          <w:lang w:val="en-GB"/>
        </w:rPr>
        <w:t xml:space="preserve"> against </w:t>
      </w:r>
      <w:r w:rsidR="009A1E60" w:rsidRPr="005071C2">
        <w:rPr>
          <w:rFonts w:cs="Arial"/>
          <w:szCs w:val="19"/>
          <w:lang w:val="en-GB"/>
        </w:rPr>
        <w:t>81.0</w:t>
      </w:r>
      <w:r w:rsidR="002651F4" w:rsidRPr="005071C2">
        <w:rPr>
          <w:rFonts w:cs="Arial"/>
          <w:szCs w:val="19"/>
          <w:lang w:val="en-GB"/>
        </w:rPr>
        <w:t>% in 202</w:t>
      </w:r>
      <w:r w:rsidR="009A1E60" w:rsidRPr="005071C2">
        <w:rPr>
          <w:rFonts w:cs="Arial"/>
          <w:szCs w:val="19"/>
          <w:lang w:val="en-GB"/>
        </w:rPr>
        <w:t>4</w:t>
      </w:r>
      <w:r w:rsidR="00AB1889" w:rsidRPr="005071C2">
        <w:rPr>
          <w:rFonts w:cs="Arial"/>
          <w:szCs w:val="19"/>
          <w:lang w:val="en-GB"/>
        </w:rPr>
        <w:t>)</w:t>
      </w:r>
      <w:r w:rsidR="009A1E60" w:rsidRPr="005071C2">
        <w:rPr>
          <w:rFonts w:cs="Arial"/>
          <w:szCs w:val="19"/>
          <w:lang w:val="en-GB"/>
        </w:rPr>
        <w:t xml:space="preserve"> and employees (81.0% against 81.1% in 2024)</w:t>
      </w:r>
      <w:r w:rsidRPr="005071C2">
        <w:rPr>
          <w:rFonts w:cs="Arial"/>
          <w:szCs w:val="19"/>
          <w:lang w:val="en-GB"/>
        </w:rPr>
        <w:t xml:space="preserve">, whereas </w:t>
      </w:r>
      <w:r w:rsidR="00AB1889" w:rsidRPr="005071C2">
        <w:rPr>
          <w:rFonts w:cs="Arial"/>
          <w:szCs w:val="19"/>
          <w:lang w:val="en-GB"/>
        </w:rPr>
        <w:t xml:space="preserve">the lowest </w:t>
      </w:r>
      <w:r w:rsidRPr="005071C2">
        <w:rPr>
          <w:rFonts w:cs="Arial"/>
          <w:szCs w:val="19"/>
          <w:lang w:val="en-GB"/>
        </w:rPr>
        <w:t>– in the households of self-employed (</w:t>
      </w:r>
      <w:r w:rsidR="009A1E60" w:rsidRPr="005071C2">
        <w:rPr>
          <w:rFonts w:cs="Arial"/>
          <w:szCs w:val="19"/>
          <w:lang w:val="en-GB"/>
        </w:rPr>
        <w:t>66.8</w:t>
      </w:r>
      <w:r w:rsidRPr="005071C2">
        <w:rPr>
          <w:rFonts w:cs="Arial"/>
          <w:szCs w:val="19"/>
          <w:lang w:val="en-GB"/>
        </w:rPr>
        <w:t xml:space="preserve">% against </w:t>
      </w:r>
      <w:r w:rsidR="009A1E60" w:rsidRPr="005071C2">
        <w:rPr>
          <w:rFonts w:cs="Arial"/>
          <w:szCs w:val="19"/>
          <w:lang w:val="en-GB"/>
        </w:rPr>
        <w:t>66.6</w:t>
      </w:r>
      <w:r w:rsidRPr="005071C2">
        <w:rPr>
          <w:rFonts w:cs="Arial"/>
          <w:szCs w:val="19"/>
          <w:lang w:val="en-GB"/>
        </w:rPr>
        <w:t>% in 202</w:t>
      </w:r>
      <w:r w:rsidR="009A1E60" w:rsidRPr="005071C2">
        <w:rPr>
          <w:rFonts w:cs="Arial"/>
          <w:szCs w:val="19"/>
          <w:lang w:val="en-GB"/>
        </w:rPr>
        <w:t>4</w:t>
      </w:r>
      <w:r w:rsidRPr="005071C2">
        <w:rPr>
          <w:rFonts w:cs="Arial"/>
          <w:szCs w:val="19"/>
          <w:lang w:val="en-GB"/>
        </w:rPr>
        <w:t xml:space="preserve">) and </w:t>
      </w:r>
      <w:r w:rsidR="009A1E60" w:rsidRPr="005071C2">
        <w:rPr>
          <w:rFonts w:cs="Arial"/>
          <w:szCs w:val="19"/>
          <w:lang w:val="en-GB"/>
        </w:rPr>
        <w:t>pensioners (72.6% against 76.4% in 2024)</w:t>
      </w:r>
      <w:r w:rsidR="000F0B1A" w:rsidRPr="005071C2">
        <w:rPr>
          <w:rFonts w:cs="Arial"/>
          <w:szCs w:val="19"/>
          <w:lang w:val="en-GB"/>
        </w:rPr>
        <w:t>.</w:t>
      </w:r>
    </w:p>
    <w:p w14:paraId="6CC881B8" w14:textId="45AE23F5" w:rsidR="00A145FF" w:rsidRPr="005071C2" w:rsidRDefault="00A145FF" w:rsidP="00A145FF">
      <w:pPr>
        <w:rPr>
          <w:rFonts w:cs="Arial"/>
          <w:szCs w:val="19"/>
          <w:lang w:val="en-GB"/>
        </w:rPr>
      </w:pPr>
      <w:r w:rsidRPr="005071C2">
        <w:rPr>
          <w:rFonts w:cs="Arial"/>
          <w:szCs w:val="19"/>
          <w:lang w:val="en-GB"/>
        </w:rPr>
        <w:t>In 202</w:t>
      </w:r>
      <w:r w:rsidR="000F0B1A" w:rsidRPr="005071C2">
        <w:rPr>
          <w:rFonts w:cs="Arial"/>
          <w:szCs w:val="19"/>
          <w:lang w:val="en-GB"/>
        </w:rPr>
        <w:t>5</w:t>
      </w:r>
      <w:r w:rsidRPr="005071C2">
        <w:rPr>
          <w:rFonts w:cs="Arial"/>
          <w:szCs w:val="19"/>
          <w:lang w:val="en-GB"/>
        </w:rPr>
        <w:t xml:space="preserve"> in the structure of the households’ total income, similarly to the previous years, income from hired work (</w:t>
      </w:r>
      <w:r w:rsidR="000F0B1A" w:rsidRPr="005071C2">
        <w:rPr>
          <w:rFonts w:cs="Arial"/>
          <w:szCs w:val="19"/>
          <w:lang w:val="en-GB"/>
        </w:rPr>
        <w:t>53.5</w:t>
      </w:r>
      <w:r w:rsidRPr="005071C2">
        <w:rPr>
          <w:rFonts w:cs="Arial"/>
          <w:szCs w:val="19"/>
          <w:lang w:val="en-GB"/>
        </w:rPr>
        <w:t xml:space="preserve">% against </w:t>
      </w:r>
      <w:r w:rsidR="000F0B1A" w:rsidRPr="005071C2">
        <w:rPr>
          <w:rFonts w:cs="Arial"/>
          <w:szCs w:val="19"/>
          <w:lang w:val="en-GB"/>
        </w:rPr>
        <w:t>54.7</w:t>
      </w:r>
      <w:r w:rsidRPr="005071C2">
        <w:rPr>
          <w:rFonts w:cs="Arial"/>
          <w:szCs w:val="19"/>
          <w:lang w:val="en-GB"/>
        </w:rPr>
        <w:t>% in 202</w:t>
      </w:r>
      <w:r w:rsidR="000F0B1A" w:rsidRPr="005071C2">
        <w:rPr>
          <w:rFonts w:cs="Arial"/>
          <w:szCs w:val="19"/>
          <w:lang w:val="en-GB"/>
        </w:rPr>
        <w:t>4</w:t>
      </w:r>
      <w:r w:rsidRPr="005071C2">
        <w:rPr>
          <w:rFonts w:cs="Arial"/>
          <w:szCs w:val="19"/>
          <w:lang w:val="en-GB"/>
        </w:rPr>
        <w:t>) as well as income from social security benefits (</w:t>
      </w:r>
      <w:r w:rsidR="000F0B1A" w:rsidRPr="005071C2">
        <w:rPr>
          <w:rFonts w:cs="Arial"/>
          <w:szCs w:val="19"/>
          <w:lang w:val="en-GB"/>
        </w:rPr>
        <w:t>24.0</w:t>
      </w:r>
      <w:r w:rsidRPr="005071C2">
        <w:rPr>
          <w:rFonts w:cs="Arial"/>
          <w:szCs w:val="19"/>
          <w:lang w:val="en-GB"/>
        </w:rPr>
        <w:t xml:space="preserve">% against </w:t>
      </w:r>
      <w:r w:rsidR="000F0B1A" w:rsidRPr="005071C2">
        <w:rPr>
          <w:rFonts w:cs="Arial"/>
          <w:szCs w:val="19"/>
          <w:lang w:val="en-GB"/>
        </w:rPr>
        <w:t>23.7</w:t>
      </w:r>
      <w:r w:rsidRPr="005071C2">
        <w:rPr>
          <w:rFonts w:cs="Arial"/>
          <w:szCs w:val="19"/>
          <w:lang w:val="en-GB"/>
        </w:rPr>
        <w:t>% in 202</w:t>
      </w:r>
      <w:r w:rsidR="000F0B1A" w:rsidRPr="005071C2">
        <w:rPr>
          <w:rFonts w:cs="Arial"/>
          <w:szCs w:val="19"/>
          <w:lang w:val="en-GB"/>
        </w:rPr>
        <w:t>4</w:t>
      </w:r>
      <w:r w:rsidRPr="005071C2">
        <w:rPr>
          <w:rFonts w:cs="Arial"/>
          <w:szCs w:val="19"/>
          <w:lang w:val="en-GB"/>
        </w:rPr>
        <w:t>) dominated.</w:t>
      </w:r>
    </w:p>
    <w:p w14:paraId="7EE94DCB" w14:textId="6571EC77" w:rsidR="00764D9C" w:rsidRDefault="00977078" w:rsidP="00977078">
      <w:pPr>
        <w:spacing w:before="360" w:after="360" w:line="240" w:lineRule="auto"/>
        <w:rPr>
          <w:b/>
          <w:i/>
          <w:spacing w:val="-2"/>
          <w:sz w:val="18"/>
          <w:shd w:val="clear" w:color="auto" w:fill="FFFFFF"/>
        </w:rPr>
      </w:pPr>
      <w:r>
        <w:rPr>
          <w:noProof/>
          <w:lang w:eastAsia="pl-PL"/>
        </w:rPr>
        <w:drawing>
          <wp:inline distT="0" distB="0" distL="0" distR="0" wp14:anchorId="5E896BAB" wp14:editId="367AD228">
            <wp:extent cx="5122545" cy="3347720"/>
            <wp:effectExtent l="0" t="0" r="1905" b="5080"/>
            <wp:docPr id="27" name="Wykres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D505F7" w14:textId="237A2975" w:rsidR="00EA64F9" w:rsidRPr="00DE5CEF" w:rsidRDefault="00EA64F9" w:rsidP="00EA64F9">
      <w:pPr>
        <w:spacing w:before="0"/>
        <w:rPr>
          <w:spacing w:val="-2"/>
          <w:szCs w:val="19"/>
          <w:shd w:val="clear" w:color="auto" w:fill="FFFFFF"/>
          <w:lang w:val="en-GB"/>
        </w:rPr>
      </w:pPr>
      <w:r w:rsidRPr="00DE5CEF">
        <w:rPr>
          <w:rFonts w:cs="Arial"/>
          <w:spacing w:val="-2"/>
          <w:szCs w:val="19"/>
          <w:lang w:val="en-GB"/>
        </w:rPr>
        <w:t>In 202</w:t>
      </w:r>
      <w:r w:rsidR="000F0B1A">
        <w:rPr>
          <w:rFonts w:cs="Arial"/>
          <w:spacing w:val="-2"/>
          <w:szCs w:val="19"/>
          <w:lang w:val="en-GB"/>
        </w:rPr>
        <w:t>5</w:t>
      </w:r>
      <w:r w:rsidRPr="00DE5CEF">
        <w:rPr>
          <w:rFonts w:cs="Arial"/>
          <w:spacing w:val="-2"/>
          <w:szCs w:val="19"/>
          <w:lang w:val="en-GB"/>
        </w:rPr>
        <w:t>, in comparison with 202</w:t>
      </w:r>
      <w:r w:rsidR="000F0B1A">
        <w:rPr>
          <w:rFonts w:cs="Arial"/>
          <w:spacing w:val="-2"/>
          <w:szCs w:val="19"/>
          <w:lang w:val="en-GB"/>
        </w:rPr>
        <w:t>4</w:t>
      </w:r>
      <w:r w:rsidRPr="00DE5CEF">
        <w:rPr>
          <w:rFonts w:cs="Arial"/>
          <w:spacing w:val="-2"/>
          <w:szCs w:val="19"/>
          <w:lang w:val="en-GB"/>
        </w:rPr>
        <w:t>, differences in the structure of the average monthly available income per capita in households ranged from -</w:t>
      </w:r>
      <w:r>
        <w:rPr>
          <w:rFonts w:cs="Arial"/>
          <w:spacing w:val="-2"/>
          <w:szCs w:val="19"/>
          <w:lang w:val="en-GB"/>
        </w:rPr>
        <w:t>1.</w:t>
      </w:r>
      <w:r w:rsidR="000F0B1A">
        <w:rPr>
          <w:rFonts w:cs="Arial"/>
          <w:spacing w:val="-2"/>
          <w:szCs w:val="19"/>
          <w:lang w:val="en-GB"/>
        </w:rPr>
        <w:t>2</w:t>
      </w:r>
      <w:r w:rsidRPr="00DE5CEF">
        <w:rPr>
          <w:rFonts w:cs="Arial"/>
          <w:spacing w:val="-2"/>
          <w:szCs w:val="19"/>
          <w:lang w:val="en-GB"/>
        </w:rPr>
        <w:t xml:space="preserve"> percentage points in the case of income from </w:t>
      </w:r>
      <w:r w:rsidR="00991980">
        <w:rPr>
          <w:rFonts w:cs="Arial"/>
          <w:spacing w:val="-2"/>
          <w:szCs w:val="19"/>
          <w:lang w:val="en-GB"/>
        </w:rPr>
        <w:t>hired work</w:t>
      </w:r>
      <w:r w:rsidRPr="00DE5CEF">
        <w:rPr>
          <w:rFonts w:cs="Arial"/>
          <w:spacing w:val="-2"/>
          <w:szCs w:val="19"/>
          <w:lang w:val="en-GB"/>
        </w:rPr>
        <w:t xml:space="preserve"> to +</w:t>
      </w:r>
      <w:r>
        <w:rPr>
          <w:rFonts w:cs="Arial"/>
          <w:spacing w:val="-2"/>
          <w:szCs w:val="19"/>
          <w:lang w:val="en-GB"/>
        </w:rPr>
        <w:t>1.</w:t>
      </w:r>
      <w:r w:rsidR="000F0B1A">
        <w:rPr>
          <w:rFonts w:cs="Arial"/>
          <w:spacing w:val="-2"/>
          <w:szCs w:val="19"/>
          <w:lang w:val="en-GB"/>
        </w:rPr>
        <w:t>1</w:t>
      </w:r>
      <w:r w:rsidRPr="00DE5CEF">
        <w:rPr>
          <w:rFonts w:cs="Arial"/>
          <w:spacing w:val="-2"/>
          <w:szCs w:val="19"/>
          <w:lang w:val="en-GB"/>
        </w:rPr>
        <w:t xml:space="preserve"> percentage points for income </w:t>
      </w:r>
      <w:r w:rsidR="00284D11">
        <w:rPr>
          <w:rFonts w:cs="Arial"/>
          <w:spacing w:val="-2"/>
          <w:szCs w:val="19"/>
          <w:lang w:val="en-GB"/>
        </w:rPr>
        <w:t xml:space="preserve">from private </w:t>
      </w:r>
      <w:r w:rsidR="000F0B1A">
        <w:rPr>
          <w:rFonts w:cs="Arial"/>
          <w:spacing w:val="-2"/>
          <w:szCs w:val="19"/>
          <w:lang w:val="en-GB"/>
        </w:rPr>
        <w:t>farm</w:t>
      </w:r>
      <w:r w:rsidR="00284D11">
        <w:rPr>
          <w:rFonts w:cs="Arial"/>
          <w:spacing w:val="-2"/>
          <w:szCs w:val="19"/>
          <w:lang w:val="en-GB"/>
        </w:rPr>
        <w:t xml:space="preserve"> in agriculture</w:t>
      </w:r>
      <w:r w:rsidR="000F0B1A">
        <w:rPr>
          <w:rFonts w:cs="Arial"/>
          <w:spacing w:val="-2"/>
          <w:szCs w:val="19"/>
          <w:lang w:val="en-GB"/>
        </w:rPr>
        <w:t>.</w:t>
      </w:r>
    </w:p>
    <w:p w14:paraId="2E99B031" w14:textId="77777777" w:rsidR="00B11698" w:rsidRDefault="00B11698" w:rsidP="00762990">
      <w:pPr>
        <w:rPr>
          <w:rFonts w:cs="Arial"/>
          <w:b/>
          <w:color w:val="001D77"/>
          <w:szCs w:val="19"/>
          <w:lang w:val="en-GB"/>
        </w:rPr>
      </w:pPr>
      <w:r>
        <w:rPr>
          <w:rFonts w:cs="Arial"/>
          <w:b/>
          <w:color w:val="001D77"/>
          <w:szCs w:val="19"/>
          <w:lang w:val="en-GB"/>
        </w:rPr>
        <w:br w:type="page"/>
      </w:r>
    </w:p>
    <w:p w14:paraId="115ADDF9" w14:textId="1EE88474" w:rsidR="00993DDE" w:rsidRPr="00E75E51" w:rsidRDefault="00DC537B" w:rsidP="00762990">
      <w:pPr>
        <w:rPr>
          <w:rFonts w:cs="Arial"/>
          <w:b/>
          <w:color w:val="001D77"/>
          <w:szCs w:val="19"/>
          <w:lang w:val="en-GB"/>
        </w:rPr>
      </w:pPr>
      <w:r>
        <w:rPr>
          <w:i/>
          <w:noProof/>
          <w:lang w:eastAsia="pl-PL"/>
        </w:rPr>
        <w:lastRenderedPageBreak/>
        <mc:AlternateContent>
          <mc:Choice Requires="wps">
            <w:drawing>
              <wp:anchor distT="45720" distB="45720" distL="114300" distR="114300" simplePos="0" relativeHeight="251802624" behindDoc="1" locked="0" layoutInCell="1" allowOverlap="1" wp14:anchorId="7EE94FA4" wp14:editId="6B17F577">
                <wp:simplePos x="0" y="0"/>
                <wp:positionH relativeFrom="column">
                  <wp:posOffset>5255260</wp:posOffset>
                </wp:positionH>
                <wp:positionV relativeFrom="paragraph">
                  <wp:posOffset>98425</wp:posOffset>
                </wp:positionV>
                <wp:extent cx="1701165" cy="1828800"/>
                <wp:effectExtent l="0" t="0" r="0" b="0"/>
                <wp:wrapTight wrapText="bothSides">
                  <wp:wrapPolygon edited="0">
                    <wp:start x="726" y="0"/>
                    <wp:lineTo x="726" y="21375"/>
                    <wp:lineTo x="20802" y="21375"/>
                    <wp:lineTo x="20802" y="0"/>
                    <wp:lineTo x="726" y="0"/>
                  </wp:wrapPolygon>
                </wp:wrapTight>
                <wp:docPr id="220" name="Pole tekstow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1828800"/>
                        </a:xfrm>
                        <a:prstGeom prst="rect">
                          <a:avLst/>
                        </a:prstGeom>
                        <a:noFill/>
                        <a:ln w="9525">
                          <a:noFill/>
                          <a:miter lim="800000"/>
                          <a:headEnd/>
                          <a:tailEnd/>
                        </a:ln>
                      </wps:spPr>
                      <wps:txbx>
                        <w:txbxContent>
                          <w:p w14:paraId="7EE95013" w14:textId="13CA4395" w:rsidR="00E127EB" w:rsidRPr="00073D9C" w:rsidRDefault="00E127EB" w:rsidP="008235B1">
                            <w:pPr>
                              <w:pStyle w:val="tekstzboku"/>
                              <w:rPr>
                                <w:lang w:val="en-GB"/>
                              </w:rPr>
                            </w:pPr>
                            <w:r>
                              <w:rPr>
                                <w:lang w:val="en-GB"/>
                              </w:rPr>
                              <w:t>T</w:t>
                            </w:r>
                            <w:r w:rsidRPr="00991980">
                              <w:rPr>
                                <w:lang w:val="en-GB"/>
                              </w:rPr>
                              <w:t xml:space="preserve">he Gini coefficient </w:t>
                            </w:r>
                            <w:r>
                              <w:rPr>
                                <w:lang w:val="en-GB"/>
                              </w:rPr>
                              <w:t xml:space="preserve">for </w:t>
                            </w:r>
                            <w:r w:rsidR="004A3DDA">
                              <w:rPr>
                                <w:lang w:val="en-GB"/>
                              </w:rPr>
                              <w:t xml:space="preserve">residents of </w:t>
                            </w:r>
                            <w:r w:rsidRPr="00991980">
                              <w:rPr>
                                <w:lang w:val="en-GB"/>
                              </w:rPr>
                              <w:t xml:space="preserve">rural areas </w:t>
                            </w:r>
                            <w:r>
                              <w:rPr>
                                <w:lang w:val="en-GB"/>
                              </w:rPr>
                              <w:t>increased</w:t>
                            </w:r>
                            <w:r w:rsidRPr="00991980">
                              <w:rPr>
                                <w:lang w:val="en-GB"/>
                              </w:rPr>
                              <w:t xml:space="preserve"> in 202</w:t>
                            </w:r>
                            <w:r>
                              <w:rPr>
                                <w:lang w:val="en-GB"/>
                              </w:rPr>
                              <w:t>5</w:t>
                            </w:r>
                            <w:r w:rsidRPr="00991980">
                              <w:rPr>
                                <w:lang w:val="en-GB"/>
                              </w:rPr>
                              <w:t xml:space="preserve"> to the level of </w:t>
                            </w:r>
                            <w:r>
                              <w:rPr>
                                <w:lang w:val="en-GB"/>
                              </w:rPr>
                              <w:t>0.307</w:t>
                            </w:r>
                            <w:r w:rsidR="004A3DDA">
                              <w:rPr>
                                <w:lang w:val="en-GB"/>
                              </w:rPr>
                              <w:t xml:space="preserve">, which </w:t>
                            </w:r>
                            <w:r w:rsidRPr="00991980">
                              <w:rPr>
                                <w:lang w:val="en-GB"/>
                              </w:rPr>
                              <w:t xml:space="preserve">was </w:t>
                            </w:r>
                            <w:r>
                              <w:rPr>
                                <w:lang w:val="en-GB"/>
                              </w:rPr>
                              <w:t xml:space="preserve">equal to </w:t>
                            </w:r>
                            <w:r w:rsidR="004A3DDA">
                              <w:rPr>
                                <w:lang w:val="en-GB"/>
                              </w:rPr>
                              <w:t>the country average and higher</w:t>
                            </w:r>
                            <w:r w:rsidRPr="00991980">
                              <w:rPr>
                                <w:lang w:val="en-GB"/>
                              </w:rPr>
                              <w:t xml:space="preserve"> than the Gini coefficient for </w:t>
                            </w:r>
                            <w:r w:rsidR="004A3DDA">
                              <w:rPr>
                                <w:lang w:val="en-GB"/>
                              </w:rPr>
                              <w:t xml:space="preserve">households living in </w:t>
                            </w:r>
                            <w:r>
                              <w:rPr>
                                <w:lang w:val="en-GB"/>
                              </w:rPr>
                              <w:t>urban areas, which was 0.299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4" id="Pole tekstowe 220" o:spid="_x0000_s1030" type="#_x0000_t202" style="position:absolute;margin-left:413.8pt;margin-top:7.75pt;width:133.95pt;height:2in;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" filled="f" stroked="f">
                <v:textbox>
                  <w:txbxContent>
                    <w:p w14:paraId="7EE95013" w14:textId="13CA4395" w:rsidR="00E127EB" w:rsidRPr="00073D9C" w:rsidRDefault="00E127EB" w:rsidP="008235B1">
                      <w:pPr>
                        <w:pStyle w:val="tekstzboku"/>
                        <w:rPr>
                          <w:lang w:val="en-GB"/>
                        </w:rPr>
                      </w:pPr>
                      <w:r>
                        <w:rPr>
                          <w:lang w:val="en-GB"/>
                        </w:rPr>
                        <w:t>T</w:t>
                      </w:r>
                      <w:r w:rsidRPr="00991980">
                        <w:rPr>
                          <w:lang w:val="en-GB"/>
                        </w:rPr>
                        <w:t xml:space="preserve">he Gini coefficient </w:t>
                      </w:r>
                      <w:r>
                        <w:rPr>
                          <w:lang w:val="en-GB"/>
                        </w:rPr>
                        <w:t xml:space="preserve">for </w:t>
                      </w:r>
                      <w:r w:rsidR="004A3DDA">
                        <w:rPr>
                          <w:lang w:val="en-GB"/>
                        </w:rPr>
                        <w:t xml:space="preserve">residents of </w:t>
                      </w:r>
                      <w:r w:rsidRPr="00991980">
                        <w:rPr>
                          <w:lang w:val="en-GB"/>
                        </w:rPr>
                        <w:t xml:space="preserve">rural areas </w:t>
                      </w:r>
                      <w:r>
                        <w:rPr>
                          <w:lang w:val="en-GB"/>
                        </w:rPr>
                        <w:t>increased</w:t>
                      </w:r>
                      <w:r w:rsidRPr="00991980">
                        <w:rPr>
                          <w:lang w:val="en-GB"/>
                        </w:rPr>
                        <w:t xml:space="preserve"> in 202</w:t>
                      </w:r>
                      <w:r>
                        <w:rPr>
                          <w:lang w:val="en-GB"/>
                        </w:rPr>
                        <w:t>5</w:t>
                      </w:r>
                      <w:r w:rsidRPr="00991980">
                        <w:rPr>
                          <w:lang w:val="en-GB"/>
                        </w:rPr>
                        <w:t xml:space="preserve"> to the level of </w:t>
                      </w:r>
                      <w:r>
                        <w:rPr>
                          <w:lang w:val="en-GB"/>
                        </w:rPr>
                        <w:t>0.307</w:t>
                      </w:r>
                      <w:r w:rsidR="004A3DDA">
                        <w:rPr>
                          <w:lang w:val="en-GB"/>
                        </w:rPr>
                        <w:t xml:space="preserve">, which </w:t>
                      </w:r>
                      <w:r w:rsidRPr="00991980">
                        <w:rPr>
                          <w:lang w:val="en-GB"/>
                        </w:rPr>
                        <w:t xml:space="preserve">was </w:t>
                      </w:r>
                      <w:r>
                        <w:rPr>
                          <w:lang w:val="en-GB"/>
                        </w:rPr>
                        <w:t xml:space="preserve">equal to </w:t>
                      </w:r>
                      <w:r w:rsidR="004A3DDA">
                        <w:rPr>
                          <w:lang w:val="en-GB"/>
                        </w:rPr>
                        <w:t>the country average and higher</w:t>
                      </w:r>
                      <w:r w:rsidRPr="00991980">
                        <w:rPr>
                          <w:lang w:val="en-GB"/>
                        </w:rPr>
                        <w:t xml:space="preserve"> than the Gini coefficient for </w:t>
                      </w:r>
                      <w:r w:rsidR="004A3DDA">
                        <w:rPr>
                          <w:lang w:val="en-GB"/>
                        </w:rPr>
                        <w:t xml:space="preserve">households living in </w:t>
                      </w:r>
                      <w:r>
                        <w:rPr>
                          <w:lang w:val="en-GB"/>
                        </w:rPr>
                        <w:t>urban areas, which was 0.299</w:t>
                      </w:r>
                    </w:p>
                  </w:txbxContent>
                </v:textbox>
                <w10:wrap type="tight"/>
              </v:shape>
            </w:pict>
          </mc:Fallback>
        </mc:AlternateContent>
      </w:r>
      <w:r w:rsidR="00993DDE" w:rsidRPr="00E75E51">
        <w:rPr>
          <w:rFonts w:cs="Arial"/>
          <w:b/>
          <w:color w:val="001D77"/>
          <w:szCs w:val="19"/>
          <w:lang w:val="en-GB"/>
        </w:rPr>
        <w:t xml:space="preserve">Income </w:t>
      </w:r>
      <w:r w:rsidR="00E75E51" w:rsidRPr="00E75E51">
        <w:rPr>
          <w:rFonts w:cs="Arial"/>
          <w:b/>
          <w:color w:val="001D77"/>
          <w:szCs w:val="19"/>
          <w:lang w:val="en-GB"/>
        </w:rPr>
        <w:t>diversity</w:t>
      </w:r>
    </w:p>
    <w:p w14:paraId="46A14C1D" w14:textId="7C2444E2" w:rsidR="00991980" w:rsidRDefault="00A57435" w:rsidP="00762990">
      <w:pPr>
        <w:rPr>
          <w:rFonts w:cs="Arial"/>
          <w:szCs w:val="19"/>
          <w:lang w:val="en-GB"/>
        </w:rPr>
      </w:pPr>
      <w:r>
        <w:rPr>
          <w:rFonts w:cs="Arial"/>
          <w:szCs w:val="19"/>
          <w:lang w:val="en-GB"/>
        </w:rPr>
        <w:t xml:space="preserve">The diversity of income per capita in households, </w:t>
      </w:r>
      <w:r w:rsidRPr="00CC5F3B">
        <w:rPr>
          <w:rFonts w:cs="Arial"/>
          <w:szCs w:val="19"/>
          <w:lang w:val="en-GB"/>
        </w:rPr>
        <w:t>measured by the Gini coefficient</w:t>
      </w:r>
      <w:r>
        <w:rPr>
          <w:rFonts w:cs="Arial"/>
          <w:szCs w:val="19"/>
          <w:lang w:val="en-GB"/>
        </w:rPr>
        <w:t>, decline</w:t>
      </w:r>
      <w:r w:rsidR="00284D11">
        <w:rPr>
          <w:rFonts w:cs="Arial"/>
          <w:szCs w:val="19"/>
          <w:lang w:val="en-GB"/>
        </w:rPr>
        <w:t>d</w:t>
      </w:r>
      <w:r w:rsidR="00384D18">
        <w:rPr>
          <w:rFonts w:cs="Arial"/>
          <w:szCs w:val="19"/>
          <w:lang w:val="en-GB"/>
        </w:rPr>
        <w:t xml:space="preserve"> in 201</w:t>
      </w:r>
      <w:r w:rsidR="00284D11">
        <w:rPr>
          <w:rFonts w:cs="Arial"/>
          <w:szCs w:val="19"/>
          <w:lang w:val="en-GB"/>
        </w:rPr>
        <w:t>2</w:t>
      </w:r>
      <w:r w:rsidR="00384D18">
        <w:rPr>
          <w:rFonts w:cs="Arial"/>
          <w:szCs w:val="19"/>
          <w:lang w:val="en-GB"/>
        </w:rPr>
        <w:t>-2017</w:t>
      </w:r>
      <w:r w:rsidR="00B85578">
        <w:rPr>
          <w:rFonts w:cs="Arial"/>
          <w:szCs w:val="19"/>
          <w:lang w:val="en-GB"/>
        </w:rPr>
        <w:t>,</w:t>
      </w:r>
      <w:r w:rsidR="00384D18">
        <w:rPr>
          <w:rFonts w:cs="Arial"/>
          <w:szCs w:val="19"/>
          <w:lang w:val="en-GB"/>
        </w:rPr>
        <w:t xml:space="preserve"> </w:t>
      </w:r>
      <w:r w:rsidR="00B85578">
        <w:rPr>
          <w:rFonts w:cs="Arial"/>
          <w:szCs w:val="19"/>
          <w:lang w:val="en-GB"/>
        </w:rPr>
        <w:t>increase</w:t>
      </w:r>
      <w:r w:rsidR="00142571">
        <w:rPr>
          <w:rFonts w:cs="Arial"/>
          <w:szCs w:val="19"/>
          <w:lang w:val="en-GB"/>
        </w:rPr>
        <w:t>d</w:t>
      </w:r>
      <w:r w:rsidR="008B073D">
        <w:rPr>
          <w:rFonts w:cs="Arial"/>
          <w:szCs w:val="19"/>
          <w:lang w:val="en-GB"/>
        </w:rPr>
        <w:t xml:space="preserve"> i</w:t>
      </w:r>
      <w:r w:rsidR="00142571">
        <w:rPr>
          <w:rFonts w:cs="Arial"/>
          <w:szCs w:val="19"/>
          <w:lang w:val="en-GB"/>
        </w:rPr>
        <w:t xml:space="preserve">n </w:t>
      </w:r>
      <w:r w:rsidR="00284D11">
        <w:rPr>
          <w:rFonts w:cs="Arial"/>
          <w:szCs w:val="19"/>
          <w:lang w:val="en-GB"/>
        </w:rPr>
        <w:t>2018-</w:t>
      </w:r>
      <w:r w:rsidR="008B073D">
        <w:rPr>
          <w:rFonts w:cs="Arial"/>
          <w:szCs w:val="19"/>
          <w:lang w:val="en-GB"/>
        </w:rPr>
        <w:t xml:space="preserve">2021, </w:t>
      </w:r>
      <w:r w:rsidR="00D7474B">
        <w:rPr>
          <w:rFonts w:cs="Arial"/>
          <w:szCs w:val="19"/>
          <w:lang w:val="en-GB"/>
        </w:rPr>
        <w:t xml:space="preserve">and declined again </w:t>
      </w:r>
      <w:r w:rsidR="008B073D">
        <w:rPr>
          <w:rFonts w:cs="Arial"/>
          <w:szCs w:val="19"/>
          <w:lang w:val="en-GB"/>
        </w:rPr>
        <w:t>in 2022</w:t>
      </w:r>
      <w:r w:rsidR="002E72F5">
        <w:rPr>
          <w:rFonts w:cs="Arial"/>
          <w:szCs w:val="19"/>
          <w:lang w:val="en-GB"/>
        </w:rPr>
        <w:t>-202</w:t>
      </w:r>
      <w:r w:rsidR="00D7474B">
        <w:rPr>
          <w:rFonts w:cs="Arial"/>
          <w:szCs w:val="19"/>
          <w:lang w:val="en-GB"/>
        </w:rPr>
        <w:t>4.</w:t>
      </w:r>
      <w:r w:rsidR="000F0B1A">
        <w:rPr>
          <w:rFonts w:cs="Arial"/>
          <w:szCs w:val="19"/>
          <w:lang w:val="en-GB"/>
        </w:rPr>
        <w:t xml:space="preserve"> </w:t>
      </w:r>
      <w:r w:rsidR="00D7474B">
        <w:rPr>
          <w:rFonts w:cs="Arial"/>
          <w:szCs w:val="19"/>
          <w:lang w:val="en-GB"/>
        </w:rPr>
        <w:t>I</w:t>
      </w:r>
      <w:r w:rsidR="000F0B1A">
        <w:rPr>
          <w:rFonts w:cs="Arial"/>
          <w:szCs w:val="19"/>
          <w:lang w:val="en-GB"/>
        </w:rPr>
        <w:t xml:space="preserve">n 2025 </w:t>
      </w:r>
      <w:r w:rsidR="00CF7AD5">
        <w:rPr>
          <w:rFonts w:cs="Arial"/>
          <w:szCs w:val="19"/>
          <w:lang w:val="en-GB"/>
        </w:rPr>
        <w:t xml:space="preserve">there </w:t>
      </w:r>
      <w:r w:rsidR="000F0B1A">
        <w:rPr>
          <w:rFonts w:cs="Arial"/>
          <w:szCs w:val="19"/>
          <w:lang w:val="en-GB"/>
        </w:rPr>
        <w:t xml:space="preserve">was </w:t>
      </w:r>
      <w:r w:rsidR="00CF7AD5">
        <w:rPr>
          <w:rFonts w:cs="Arial"/>
          <w:szCs w:val="19"/>
          <w:lang w:val="en-GB"/>
        </w:rPr>
        <w:t xml:space="preserve">an increase </w:t>
      </w:r>
      <w:r w:rsidR="00D7474B">
        <w:rPr>
          <w:rFonts w:cs="Arial"/>
          <w:szCs w:val="19"/>
          <w:lang w:val="en-GB"/>
        </w:rPr>
        <w:t xml:space="preserve">of the Gini coefficient </w:t>
      </w:r>
      <w:r w:rsidR="00CF7AD5">
        <w:rPr>
          <w:rFonts w:cs="Arial"/>
          <w:szCs w:val="19"/>
          <w:lang w:val="en-GB"/>
        </w:rPr>
        <w:t xml:space="preserve">to the level of 0.307 on a </w:t>
      </w:r>
      <w:r w:rsidR="005F3182">
        <w:rPr>
          <w:rFonts w:cs="Arial"/>
          <w:szCs w:val="19"/>
          <w:lang w:val="en-GB"/>
        </w:rPr>
        <w:t xml:space="preserve">country </w:t>
      </w:r>
      <w:r w:rsidR="00CF7AD5">
        <w:rPr>
          <w:rFonts w:cs="Arial"/>
          <w:szCs w:val="19"/>
          <w:lang w:val="en-GB"/>
        </w:rPr>
        <w:t>scale</w:t>
      </w:r>
      <w:r w:rsidR="008B073D">
        <w:rPr>
          <w:rFonts w:cs="Arial"/>
          <w:szCs w:val="19"/>
          <w:lang w:val="en-GB"/>
        </w:rPr>
        <w:t xml:space="preserve">. </w:t>
      </w:r>
      <w:r w:rsidR="008B073D" w:rsidRPr="008B073D">
        <w:rPr>
          <w:rFonts w:cs="Arial"/>
          <w:szCs w:val="19"/>
          <w:lang w:val="en-GB"/>
        </w:rPr>
        <w:t xml:space="preserve">Gini coefficient </w:t>
      </w:r>
      <w:r w:rsidR="00E75E51">
        <w:rPr>
          <w:rFonts w:cs="Arial"/>
          <w:szCs w:val="19"/>
          <w:lang w:val="en-GB"/>
        </w:rPr>
        <w:t xml:space="preserve">value </w:t>
      </w:r>
      <w:r w:rsidR="008B073D" w:rsidRPr="008B073D">
        <w:rPr>
          <w:rFonts w:cs="Arial"/>
          <w:szCs w:val="19"/>
          <w:lang w:val="en-GB"/>
        </w:rPr>
        <w:t>for</w:t>
      </w:r>
      <w:r w:rsidR="00B86D16">
        <w:rPr>
          <w:rFonts w:cs="Arial"/>
          <w:szCs w:val="19"/>
          <w:lang w:val="en-GB"/>
        </w:rPr>
        <w:t xml:space="preserve"> </w:t>
      </w:r>
      <w:r w:rsidR="004A3DDA">
        <w:rPr>
          <w:rFonts w:cs="Arial"/>
          <w:szCs w:val="19"/>
          <w:lang w:val="en-GB"/>
        </w:rPr>
        <w:t xml:space="preserve">households living in </w:t>
      </w:r>
      <w:r w:rsidR="008B073D">
        <w:rPr>
          <w:rFonts w:cs="Arial"/>
          <w:szCs w:val="19"/>
          <w:lang w:val="en-GB"/>
        </w:rPr>
        <w:t xml:space="preserve">urban </w:t>
      </w:r>
      <w:r w:rsidR="00CF7AD5">
        <w:rPr>
          <w:rFonts w:cs="Arial"/>
          <w:szCs w:val="19"/>
          <w:lang w:val="en-GB"/>
        </w:rPr>
        <w:t xml:space="preserve">areas was noticeably lower than for </w:t>
      </w:r>
      <w:r w:rsidR="004A3DDA">
        <w:rPr>
          <w:rFonts w:cs="Arial"/>
          <w:szCs w:val="19"/>
          <w:lang w:val="en-GB"/>
        </w:rPr>
        <w:t xml:space="preserve">residents of </w:t>
      </w:r>
      <w:r w:rsidR="00B86D16">
        <w:rPr>
          <w:rFonts w:cs="Arial"/>
          <w:szCs w:val="19"/>
          <w:lang w:val="en-GB"/>
        </w:rPr>
        <w:t xml:space="preserve">rural </w:t>
      </w:r>
      <w:r w:rsidR="008B073D">
        <w:rPr>
          <w:rFonts w:cs="Arial"/>
          <w:szCs w:val="19"/>
          <w:lang w:val="en-GB"/>
        </w:rPr>
        <w:t>areas</w:t>
      </w:r>
      <w:r w:rsidR="00D7474B">
        <w:rPr>
          <w:rFonts w:cs="Arial"/>
          <w:szCs w:val="19"/>
          <w:lang w:val="en-GB"/>
        </w:rPr>
        <w:t xml:space="preserve"> in analysed period</w:t>
      </w:r>
      <w:r w:rsidR="00CF7AD5">
        <w:rPr>
          <w:rFonts w:cs="Arial"/>
          <w:szCs w:val="19"/>
          <w:lang w:val="en-GB"/>
        </w:rPr>
        <w:t>.</w:t>
      </w:r>
      <w:r w:rsidR="008B073D" w:rsidRPr="008B073D">
        <w:rPr>
          <w:rFonts w:cs="Arial"/>
          <w:szCs w:val="19"/>
          <w:lang w:val="en-GB"/>
        </w:rPr>
        <w:t xml:space="preserve"> </w:t>
      </w:r>
    </w:p>
    <w:p w14:paraId="61A503CD" w14:textId="53811152" w:rsidR="005071C2" w:rsidRDefault="00DC537B" w:rsidP="005071C2">
      <w:pPr>
        <w:spacing w:before="360" w:after="360" w:line="240" w:lineRule="auto"/>
        <w:rPr>
          <w:rFonts w:cs="Arial"/>
          <w:szCs w:val="19"/>
          <w:lang w:val="en-GB"/>
        </w:rPr>
      </w:pPr>
      <w:r>
        <w:rPr>
          <w:i/>
          <w:noProof/>
          <w:lang w:eastAsia="pl-PL"/>
        </w:rPr>
        <mc:AlternateContent>
          <mc:Choice Requires="wps">
            <w:drawing>
              <wp:anchor distT="45720" distB="45720" distL="114300" distR="114300" simplePos="0" relativeHeight="251838464" behindDoc="1" locked="0" layoutInCell="1" allowOverlap="1" wp14:anchorId="7EE94FA8" wp14:editId="53C6ABBF">
                <wp:simplePos x="0" y="0"/>
                <wp:positionH relativeFrom="column">
                  <wp:posOffset>5257800</wp:posOffset>
                </wp:positionH>
                <wp:positionV relativeFrom="paragraph">
                  <wp:posOffset>3476625</wp:posOffset>
                </wp:positionV>
                <wp:extent cx="1725295" cy="1695450"/>
                <wp:effectExtent l="0" t="0" r="0" b="0"/>
                <wp:wrapTight wrapText="bothSides">
                  <wp:wrapPolygon edited="0">
                    <wp:start x="715" y="0"/>
                    <wp:lineTo x="715" y="21357"/>
                    <wp:lineTo x="20749" y="21357"/>
                    <wp:lineTo x="20749" y="0"/>
                    <wp:lineTo x="715" y="0"/>
                  </wp:wrapPolygon>
                </wp:wrapTight>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95450"/>
                        </a:xfrm>
                        <a:prstGeom prst="rect">
                          <a:avLst/>
                        </a:prstGeom>
                        <a:noFill/>
                        <a:ln w="9525">
                          <a:noFill/>
                          <a:miter lim="800000"/>
                          <a:headEnd/>
                          <a:tailEnd/>
                        </a:ln>
                      </wps:spPr>
                      <wps:txbx>
                        <w:txbxContent>
                          <w:p w14:paraId="7EE95014" w14:textId="14532DAB" w:rsidR="00E127EB" w:rsidRPr="00A13CB9" w:rsidRDefault="00E127EB" w:rsidP="00976CCF">
                            <w:pPr>
                              <w:pStyle w:val="tekstzboku"/>
                              <w:rPr>
                                <w:lang w:val="en-GB"/>
                              </w:rPr>
                            </w:pPr>
                            <w:r w:rsidRPr="000266A3">
                              <w:rPr>
                                <w:lang w:val="en-GB"/>
                              </w:rPr>
                              <w:t xml:space="preserve">The percentage of households with income below PLN 2000 per </w:t>
                            </w:r>
                            <w:r>
                              <w:rPr>
                                <w:lang w:val="en-GB"/>
                              </w:rPr>
                              <w:t>capita</w:t>
                            </w:r>
                            <w:r w:rsidRPr="000266A3">
                              <w:rPr>
                                <w:lang w:val="en-GB"/>
                              </w:rPr>
                              <w:t xml:space="preserve"> decreased to </w:t>
                            </w:r>
                            <w:r>
                              <w:rPr>
                                <w:lang w:val="en-GB"/>
                              </w:rPr>
                              <w:t>15.7</w:t>
                            </w:r>
                            <w:r w:rsidRPr="000266A3">
                              <w:rPr>
                                <w:lang w:val="en-GB"/>
                              </w:rPr>
                              <w:t xml:space="preserve">% </w:t>
                            </w:r>
                            <w:r>
                              <w:rPr>
                                <w:lang w:val="en-GB"/>
                              </w:rPr>
                              <w:t>(by 3.2 percentage points). T</w:t>
                            </w:r>
                            <w:r w:rsidRPr="000266A3">
                              <w:rPr>
                                <w:lang w:val="en-GB"/>
                              </w:rPr>
                              <w:t xml:space="preserve">he percentage of households with income above PLN 6000 per </w:t>
                            </w:r>
                            <w:r>
                              <w:rPr>
                                <w:lang w:val="en-GB"/>
                              </w:rPr>
                              <w:t>capita</w:t>
                            </w:r>
                            <w:r w:rsidRPr="000266A3">
                              <w:rPr>
                                <w:lang w:val="en-GB"/>
                              </w:rPr>
                              <w:t xml:space="preserve"> increased to </w:t>
                            </w:r>
                            <w:r>
                              <w:rPr>
                                <w:lang w:val="en-GB"/>
                              </w:rPr>
                              <w:t>11.8</w:t>
                            </w:r>
                            <w:r w:rsidRPr="000266A3">
                              <w:rPr>
                                <w:lang w:val="en-GB"/>
                              </w:rPr>
                              <w:t>%</w:t>
                            </w:r>
                            <w:r>
                              <w:rPr>
                                <w:lang w:val="en-GB"/>
                              </w:rPr>
                              <w:t xml:space="preserve"> (by 3.2 percentage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8" id="Pole tekstowe 10" o:spid="_x0000_s1031" type="#_x0000_t202" style="position:absolute;margin-left:414pt;margin-top:273.75pt;width:135.85pt;height:133.5pt;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" filled="f" stroked="f">
                <v:textbox>
                  <w:txbxContent>
                    <w:p w14:paraId="7EE95014" w14:textId="14532DAB" w:rsidR="00E127EB" w:rsidRPr="00A13CB9" w:rsidRDefault="00E127EB" w:rsidP="00976CCF">
                      <w:pPr>
                        <w:pStyle w:val="tekstzboku"/>
                        <w:rPr>
                          <w:lang w:val="en-GB"/>
                        </w:rPr>
                      </w:pPr>
                      <w:r w:rsidRPr="000266A3">
                        <w:rPr>
                          <w:lang w:val="en-GB"/>
                        </w:rPr>
                        <w:t xml:space="preserve">The percentage of households with income below PLN 2000 per </w:t>
                      </w:r>
                      <w:r>
                        <w:rPr>
                          <w:lang w:val="en-GB"/>
                        </w:rPr>
                        <w:t>capita</w:t>
                      </w:r>
                      <w:r w:rsidRPr="000266A3">
                        <w:rPr>
                          <w:lang w:val="en-GB"/>
                        </w:rPr>
                        <w:t xml:space="preserve"> decreased to </w:t>
                      </w:r>
                      <w:r>
                        <w:rPr>
                          <w:lang w:val="en-GB"/>
                        </w:rPr>
                        <w:t>15.7</w:t>
                      </w:r>
                      <w:r w:rsidRPr="000266A3">
                        <w:rPr>
                          <w:lang w:val="en-GB"/>
                        </w:rPr>
                        <w:t xml:space="preserve">% </w:t>
                      </w:r>
                      <w:r>
                        <w:rPr>
                          <w:lang w:val="en-GB"/>
                        </w:rPr>
                        <w:t>(by 3.2 percentage points). T</w:t>
                      </w:r>
                      <w:r w:rsidRPr="000266A3">
                        <w:rPr>
                          <w:lang w:val="en-GB"/>
                        </w:rPr>
                        <w:t xml:space="preserve">he percentage of households with income above PLN 6000 per </w:t>
                      </w:r>
                      <w:r>
                        <w:rPr>
                          <w:lang w:val="en-GB"/>
                        </w:rPr>
                        <w:t>capita</w:t>
                      </w:r>
                      <w:r w:rsidRPr="000266A3">
                        <w:rPr>
                          <w:lang w:val="en-GB"/>
                        </w:rPr>
                        <w:t xml:space="preserve"> increased to </w:t>
                      </w:r>
                      <w:r>
                        <w:rPr>
                          <w:lang w:val="en-GB"/>
                        </w:rPr>
                        <w:t>11.8</w:t>
                      </w:r>
                      <w:r w:rsidRPr="000266A3">
                        <w:rPr>
                          <w:lang w:val="en-GB"/>
                        </w:rPr>
                        <w:t>%</w:t>
                      </w:r>
                      <w:r>
                        <w:rPr>
                          <w:lang w:val="en-GB"/>
                        </w:rPr>
                        <w:t xml:space="preserve"> (by 3.2 percentage points)</w:t>
                      </w:r>
                    </w:p>
                  </w:txbxContent>
                </v:textbox>
                <w10:wrap type="tight"/>
              </v:shape>
            </w:pict>
          </mc:Fallback>
        </mc:AlternateContent>
      </w:r>
      <w:r w:rsidR="005071C2">
        <w:rPr>
          <w:noProof/>
          <w:lang w:eastAsia="pl-PL"/>
        </w:rPr>
        <w:drawing>
          <wp:inline distT="0" distB="0" distL="0" distR="0" wp14:anchorId="18449EFA" wp14:editId="20DD26CB">
            <wp:extent cx="5122545" cy="3527425"/>
            <wp:effectExtent l="0" t="0" r="1905" b="0"/>
            <wp:docPr id="28" name="Wykres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E94E58" w14:textId="6C3429B7" w:rsidR="00073D9C" w:rsidRDefault="005209F7" w:rsidP="005071C2">
      <w:pPr>
        <w:rPr>
          <w:szCs w:val="19"/>
          <w:shd w:val="clear" w:color="auto" w:fill="FFFFFF"/>
          <w:lang w:val="en-GB"/>
        </w:rPr>
      </w:pPr>
      <w:r w:rsidRPr="005D1D5A">
        <w:rPr>
          <w:i/>
          <w:noProof/>
          <w:lang w:eastAsia="pl-PL"/>
        </w:rPr>
        <mc:AlternateContent>
          <mc:Choice Requires="wps">
            <w:drawing>
              <wp:anchor distT="45720" distB="45720" distL="114300" distR="114300" simplePos="0" relativeHeight="251812864" behindDoc="1" locked="0" layoutInCell="1" allowOverlap="1" wp14:anchorId="7EE94FAA" wp14:editId="082DDA64">
                <wp:simplePos x="0" y="0"/>
                <wp:positionH relativeFrom="column">
                  <wp:posOffset>5257800</wp:posOffset>
                </wp:positionH>
                <wp:positionV relativeFrom="paragraph">
                  <wp:posOffset>1006475</wp:posOffset>
                </wp:positionV>
                <wp:extent cx="1725295" cy="1238250"/>
                <wp:effectExtent l="0" t="0" r="0" b="0"/>
                <wp:wrapTight wrapText="bothSides">
                  <wp:wrapPolygon edited="0">
                    <wp:start x="715" y="0"/>
                    <wp:lineTo x="715" y="21268"/>
                    <wp:lineTo x="20749" y="21268"/>
                    <wp:lineTo x="20749" y="0"/>
                    <wp:lineTo x="715" y="0"/>
                  </wp:wrapPolygon>
                </wp:wrapTight>
                <wp:docPr id="219" name="Pole tekstow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38250"/>
                        </a:xfrm>
                        <a:prstGeom prst="rect">
                          <a:avLst/>
                        </a:prstGeom>
                        <a:noFill/>
                        <a:ln w="9525">
                          <a:noFill/>
                          <a:miter lim="800000"/>
                          <a:headEnd/>
                          <a:tailEnd/>
                        </a:ln>
                      </wps:spPr>
                      <wps:txbx>
                        <w:txbxContent>
                          <w:p w14:paraId="7EE95015" w14:textId="1CF9CC71" w:rsidR="00E127EB" w:rsidRDefault="00E127EB" w:rsidP="00764D9C">
                            <w:pPr>
                              <w:pStyle w:val="tekstzboku"/>
                              <w:rPr>
                                <w:lang w:val="en-GB"/>
                              </w:rPr>
                            </w:pPr>
                            <w:r w:rsidRPr="00A13CB9">
                              <w:rPr>
                                <w:lang w:val="en-GB"/>
                              </w:rPr>
                              <w:t xml:space="preserve">In real </w:t>
                            </w:r>
                            <w:r>
                              <w:rPr>
                                <w:lang w:val="en-GB"/>
                              </w:rPr>
                              <w:t>terms – the average monthly expenditure</w:t>
                            </w:r>
                            <w:r w:rsidRPr="00A13CB9">
                              <w:rPr>
                                <w:lang w:val="en-GB"/>
                              </w:rPr>
                              <w:t xml:space="preserve"> per capita in </w:t>
                            </w:r>
                            <w:r w:rsidRPr="00073D9C">
                              <w:rPr>
                                <w:lang w:val="en-GB"/>
                              </w:rPr>
                              <w:t>households in</w:t>
                            </w:r>
                            <w:r>
                              <w:rPr>
                                <w:lang w:val="en-GB"/>
                              </w:rPr>
                              <w:t xml:space="preserve"> 2025 increased by 3.6% in comparison</w:t>
                            </w:r>
                            <w:r w:rsidRPr="00A13CB9">
                              <w:rPr>
                                <w:lang w:val="en-GB"/>
                              </w:rPr>
                              <w:t xml:space="preserve"> </w:t>
                            </w:r>
                            <w:r>
                              <w:rPr>
                                <w:lang w:val="en-GB"/>
                              </w:rPr>
                              <w:t>with the previous year</w:t>
                            </w:r>
                          </w:p>
                          <w:p w14:paraId="7EE95016" w14:textId="77777777" w:rsidR="00E127EB" w:rsidRDefault="00E127EB" w:rsidP="00764D9C">
                            <w:pPr>
                              <w:pStyle w:val="tekstzboku"/>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AA" id="Pole tekstowe 219" o:spid="_x0000_s1032" type="#_x0000_t202" style="position:absolute;margin-left:414pt;margin-top:79.25pt;width:135.85pt;height:97.5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" filled="f" stroked="f">
                <v:textbox>
                  <w:txbxContent>
                    <w:p w14:paraId="7EE95015" w14:textId="1CF9CC71" w:rsidR="00E127EB" w:rsidRDefault="00E127EB" w:rsidP="00764D9C">
                      <w:pPr>
                        <w:pStyle w:val="tekstzboku"/>
                        <w:rPr>
                          <w:lang w:val="en-GB"/>
                        </w:rPr>
                      </w:pPr>
                      <w:r w:rsidRPr="00A13CB9">
                        <w:rPr>
                          <w:lang w:val="en-GB"/>
                        </w:rPr>
                        <w:t xml:space="preserve">In real </w:t>
                      </w:r>
                      <w:r>
                        <w:rPr>
                          <w:lang w:val="en-GB"/>
                        </w:rPr>
                        <w:t>terms – the average monthly expenditure</w:t>
                      </w:r>
                      <w:r w:rsidRPr="00A13CB9">
                        <w:rPr>
                          <w:lang w:val="en-GB"/>
                        </w:rPr>
                        <w:t xml:space="preserve"> per capita in </w:t>
                      </w:r>
                      <w:r w:rsidRPr="00073D9C">
                        <w:rPr>
                          <w:lang w:val="en-GB"/>
                        </w:rPr>
                        <w:t>households in</w:t>
                      </w:r>
                      <w:r>
                        <w:rPr>
                          <w:lang w:val="en-GB"/>
                        </w:rPr>
                        <w:t xml:space="preserve"> 2025 increased by 3.6% in comparison</w:t>
                      </w:r>
                      <w:r w:rsidRPr="00A13CB9">
                        <w:rPr>
                          <w:lang w:val="en-GB"/>
                        </w:rPr>
                        <w:t xml:space="preserve"> </w:t>
                      </w:r>
                      <w:r>
                        <w:rPr>
                          <w:lang w:val="en-GB"/>
                        </w:rPr>
                        <w:t>with the previous year</w:t>
                      </w:r>
                    </w:p>
                    <w:p w14:paraId="7EE95016" w14:textId="77777777" w:rsidR="00E127EB" w:rsidRDefault="00E127EB" w:rsidP="00764D9C">
                      <w:pPr>
                        <w:pStyle w:val="tekstzboku"/>
                        <w:rPr>
                          <w:lang w:val="en-GB"/>
                        </w:rPr>
                      </w:pPr>
                    </w:p>
                  </w:txbxContent>
                </v:textbox>
                <w10:wrap type="tight"/>
              </v:shape>
            </w:pict>
          </mc:Fallback>
        </mc:AlternateContent>
      </w:r>
      <w:r w:rsidR="00073D9C" w:rsidRPr="00073D9C">
        <w:rPr>
          <w:szCs w:val="19"/>
          <w:shd w:val="clear" w:color="auto" w:fill="FFFFFF"/>
          <w:lang w:val="en-GB"/>
        </w:rPr>
        <w:t>In 202</w:t>
      </w:r>
      <w:r w:rsidR="00617958">
        <w:rPr>
          <w:szCs w:val="19"/>
          <w:shd w:val="clear" w:color="auto" w:fill="FFFFFF"/>
          <w:lang w:val="en-GB"/>
        </w:rPr>
        <w:t>5</w:t>
      </w:r>
      <w:r w:rsidR="00073D9C" w:rsidRPr="00073D9C">
        <w:rPr>
          <w:szCs w:val="19"/>
          <w:shd w:val="clear" w:color="auto" w:fill="FFFFFF"/>
          <w:lang w:val="en-GB"/>
        </w:rPr>
        <w:t xml:space="preserve">, </w:t>
      </w:r>
      <w:r w:rsidR="001F0337">
        <w:rPr>
          <w:szCs w:val="19"/>
          <w:shd w:val="clear" w:color="auto" w:fill="FFFFFF"/>
          <w:lang w:val="en-GB"/>
        </w:rPr>
        <w:t xml:space="preserve">significantly lower percentage of </w:t>
      </w:r>
      <w:r w:rsidR="00073D9C" w:rsidRPr="00073D9C">
        <w:rPr>
          <w:szCs w:val="19"/>
          <w:shd w:val="clear" w:color="auto" w:fill="FFFFFF"/>
          <w:lang w:val="en-GB"/>
        </w:rPr>
        <w:t xml:space="preserve">households had an average monthly </w:t>
      </w:r>
      <w:r w:rsidR="00073D9C">
        <w:rPr>
          <w:szCs w:val="19"/>
          <w:shd w:val="clear" w:color="auto" w:fill="FFFFFF"/>
          <w:lang w:val="en-GB"/>
        </w:rPr>
        <w:t>available</w:t>
      </w:r>
      <w:r w:rsidR="00073D9C" w:rsidRPr="00073D9C">
        <w:rPr>
          <w:szCs w:val="19"/>
          <w:shd w:val="clear" w:color="auto" w:fill="FFFFFF"/>
          <w:lang w:val="en-GB"/>
        </w:rPr>
        <w:t xml:space="preserve"> income per </w:t>
      </w:r>
      <w:r w:rsidR="00073D9C">
        <w:rPr>
          <w:szCs w:val="19"/>
          <w:shd w:val="clear" w:color="auto" w:fill="FFFFFF"/>
          <w:lang w:val="en-GB"/>
        </w:rPr>
        <w:t>capita</w:t>
      </w:r>
      <w:r w:rsidR="00073D9C" w:rsidRPr="00073D9C">
        <w:rPr>
          <w:szCs w:val="19"/>
          <w:shd w:val="clear" w:color="auto" w:fill="FFFFFF"/>
          <w:lang w:val="en-GB"/>
        </w:rPr>
        <w:t xml:space="preserve"> below PLN</w:t>
      </w:r>
      <w:r w:rsidR="00011A02">
        <w:rPr>
          <w:szCs w:val="19"/>
          <w:shd w:val="clear" w:color="auto" w:fill="FFFFFF"/>
          <w:lang w:val="en-GB"/>
        </w:rPr>
        <w:t> </w:t>
      </w:r>
      <w:r w:rsidR="00073D9C" w:rsidRPr="00073D9C">
        <w:rPr>
          <w:szCs w:val="19"/>
          <w:shd w:val="clear" w:color="auto" w:fill="FFFFFF"/>
          <w:lang w:val="en-GB"/>
        </w:rPr>
        <w:t>2000 (</w:t>
      </w:r>
      <w:r w:rsidR="00617958">
        <w:rPr>
          <w:szCs w:val="19"/>
          <w:shd w:val="clear" w:color="auto" w:fill="FFFFFF"/>
          <w:lang w:val="en-GB"/>
        </w:rPr>
        <w:t>15.7</w:t>
      </w:r>
      <w:r w:rsidR="001F0337">
        <w:rPr>
          <w:szCs w:val="19"/>
          <w:shd w:val="clear" w:color="auto" w:fill="FFFFFF"/>
          <w:lang w:val="en-GB"/>
        </w:rPr>
        <w:t xml:space="preserve">% compared to </w:t>
      </w:r>
      <w:r w:rsidR="00617958">
        <w:rPr>
          <w:szCs w:val="19"/>
          <w:shd w:val="clear" w:color="auto" w:fill="FFFFFF"/>
          <w:lang w:val="en-GB"/>
        </w:rPr>
        <w:t>18.9</w:t>
      </w:r>
      <w:r w:rsidR="00073D9C" w:rsidRPr="00073D9C">
        <w:rPr>
          <w:szCs w:val="19"/>
          <w:shd w:val="clear" w:color="auto" w:fill="FFFFFF"/>
          <w:lang w:val="en-GB"/>
        </w:rPr>
        <w:t>% in 20</w:t>
      </w:r>
      <w:r w:rsidR="00B85578">
        <w:rPr>
          <w:szCs w:val="19"/>
          <w:shd w:val="clear" w:color="auto" w:fill="FFFFFF"/>
          <w:lang w:val="en-GB"/>
        </w:rPr>
        <w:t>2</w:t>
      </w:r>
      <w:r w:rsidR="00617958">
        <w:rPr>
          <w:szCs w:val="19"/>
          <w:shd w:val="clear" w:color="auto" w:fill="FFFFFF"/>
          <w:lang w:val="en-GB"/>
        </w:rPr>
        <w:t>4</w:t>
      </w:r>
      <w:r w:rsidR="00073D9C" w:rsidRPr="00073D9C">
        <w:rPr>
          <w:szCs w:val="19"/>
          <w:shd w:val="clear" w:color="auto" w:fill="FFFFFF"/>
          <w:lang w:val="en-GB"/>
        </w:rPr>
        <w:t>)</w:t>
      </w:r>
      <w:r w:rsidR="00D77BE4">
        <w:rPr>
          <w:szCs w:val="19"/>
          <w:shd w:val="clear" w:color="auto" w:fill="FFFFFF"/>
          <w:lang w:val="en-GB"/>
        </w:rPr>
        <w:t>.</w:t>
      </w:r>
      <w:r w:rsidR="00073D9C" w:rsidRPr="00073D9C">
        <w:rPr>
          <w:szCs w:val="19"/>
          <w:shd w:val="clear" w:color="auto" w:fill="FFFFFF"/>
          <w:lang w:val="en-GB"/>
        </w:rPr>
        <w:t xml:space="preserve"> </w:t>
      </w:r>
      <w:r w:rsidR="00617958">
        <w:rPr>
          <w:szCs w:val="19"/>
          <w:shd w:val="clear" w:color="auto" w:fill="FFFFFF"/>
          <w:lang w:val="en-GB"/>
        </w:rPr>
        <w:t>48.9</w:t>
      </w:r>
      <w:r w:rsidR="00073D9C" w:rsidRPr="00073D9C">
        <w:rPr>
          <w:szCs w:val="19"/>
          <w:shd w:val="clear" w:color="auto" w:fill="FFFFFF"/>
          <w:lang w:val="en-GB"/>
        </w:rPr>
        <w:t>% of households had an income between PLN 2000 and PLN</w:t>
      </w:r>
      <w:r w:rsidR="002E6303">
        <w:rPr>
          <w:szCs w:val="19"/>
          <w:shd w:val="clear" w:color="auto" w:fill="FFFFFF"/>
          <w:lang w:val="en-GB"/>
        </w:rPr>
        <w:t> </w:t>
      </w:r>
      <w:r w:rsidR="00073D9C" w:rsidRPr="00073D9C">
        <w:rPr>
          <w:szCs w:val="19"/>
          <w:shd w:val="clear" w:color="auto" w:fill="FFFFFF"/>
          <w:lang w:val="en-GB"/>
        </w:rPr>
        <w:t xml:space="preserve">4000 per </w:t>
      </w:r>
      <w:r w:rsidR="00073D9C">
        <w:rPr>
          <w:szCs w:val="19"/>
          <w:shd w:val="clear" w:color="auto" w:fill="FFFFFF"/>
          <w:lang w:val="en-GB"/>
        </w:rPr>
        <w:t>capita</w:t>
      </w:r>
      <w:r w:rsidR="00073D9C" w:rsidRPr="00073D9C">
        <w:rPr>
          <w:szCs w:val="19"/>
          <w:shd w:val="clear" w:color="auto" w:fill="FFFFFF"/>
          <w:lang w:val="en-GB"/>
        </w:rPr>
        <w:t xml:space="preserve"> (</w:t>
      </w:r>
      <w:r w:rsidR="00C9090F">
        <w:rPr>
          <w:szCs w:val="19"/>
          <w:shd w:val="clear" w:color="auto" w:fill="FFFFFF"/>
          <w:lang w:val="en-GB"/>
        </w:rPr>
        <w:t>52.6</w:t>
      </w:r>
      <w:r w:rsidR="00073D9C" w:rsidRPr="00073D9C">
        <w:rPr>
          <w:szCs w:val="19"/>
          <w:shd w:val="clear" w:color="auto" w:fill="FFFFFF"/>
          <w:lang w:val="en-GB"/>
        </w:rPr>
        <w:t>% in 20</w:t>
      </w:r>
      <w:r w:rsidR="00B85578">
        <w:rPr>
          <w:szCs w:val="19"/>
          <w:shd w:val="clear" w:color="auto" w:fill="FFFFFF"/>
          <w:lang w:val="en-GB"/>
        </w:rPr>
        <w:t>2</w:t>
      </w:r>
      <w:r w:rsidR="00C9090F">
        <w:rPr>
          <w:szCs w:val="19"/>
          <w:shd w:val="clear" w:color="auto" w:fill="FFFFFF"/>
          <w:lang w:val="en-GB"/>
        </w:rPr>
        <w:t>4</w:t>
      </w:r>
      <w:r w:rsidR="00073D9C" w:rsidRPr="00073D9C">
        <w:rPr>
          <w:szCs w:val="19"/>
          <w:shd w:val="clear" w:color="auto" w:fill="FFFFFF"/>
          <w:lang w:val="en-GB"/>
        </w:rPr>
        <w:t>)</w:t>
      </w:r>
      <w:r w:rsidR="003E54FE">
        <w:rPr>
          <w:szCs w:val="19"/>
          <w:shd w:val="clear" w:color="auto" w:fill="FFFFFF"/>
          <w:lang w:val="en-GB"/>
        </w:rPr>
        <w:t xml:space="preserve"> and</w:t>
      </w:r>
      <w:r w:rsidR="00073D9C" w:rsidRPr="00073D9C">
        <w:rPr>
          <w:szCs w:val="19"/>
          <w:shd w:val="clear" w:color="auto" w:fill="FFFFFF"/>
          <w:lang w:val="en-GB"/>
        </w:rPr>
        <w:t xml:space="preserve"> </w:t>
      </w:r>
      <w:r w:rsidR="00C9090F">
        <w:rPr>
          <w:szCs w:val="19"/>
          <w:shd w:val="clear" w:color="auto" w:fill="FFFFFF"/>
          <w:lang w:val="en-GB"/>
        </w:rPr>
        <w:t>23.6</w:t>
      </w:r>
      <w:r w:rsidR="00073D9C" w:rsidRPr="00073D9C">
        <w:rPr>
          <w:szCs w:val="19"/>
          <w:shd w:val="clear" w:color="auto" w:fill="FFFFFF"/>
          <w:lang w:val="en-GB"/>
        </w:rPr>
        <w:t>% of households had an income from PLN 4000 to PLN</w:t>
      </w:r>
      <w:r w:rsidR="008D7D3B">
        <w:rPr>
          <w:szCs w:val="19"/>
          <w:shd w:val="clear" w:color="auto" w:fill="FFFFFF"/>
          <w:lang w:val="en-GB"/>
        </w:rPr>
        <w:t> </w:t>
      </w:r>
      <w:r w:rsidR="00073D9C" w:rsidRPr="00073D9C">
        <w:rPr>
          <w:szCs w:val="19"/>
          <w:shd w:val="clear" w:color="auto" w:fill="FFFFFF"/>
          <w:lang w:val="en-GB"/>
        </w:rPr>
        <w:t xml:space="preserve">6000 per </w:t>
      </w:r>
      <w:r w:rsidR="00073D9C">
        <w:rPr>
          <w:szCs w:val="19"/>
          <w:shd w:val="clear" w:color="auto" w:fill="FFFFFF"/>
          <w:lang w:val="en-GB"/>
        </w:rPr>
        <w:t>capita</w:t>
      </w:r>
      <w:r w:rsidR="00073D9C" w:rsidRPr="00073D9C">
        <w:rPr>
          <w:szCs w:val="19"/>
          <w:shd w:val="clear" w:color="auto" w:fill="FFFFFF"/>
          <w:lang w:val="en-GB"/>
        </w:rPr>
        <w:t xml:space="preserve"> (</w:t>
      </w:r>
      <w:r w:rsidR="00C9090F">
        <w:rPr>
          <w:szCs w:val="19"/>
          <w:shd w:val="clear" w:color="auto" w:fill="FFFFFF"/>
          <w:lang w:val="en-GB"/>
        </w:rPr>
        <w:t>19.9</w:t>
      </w:r>
      <w:r w:rsidR="00073D9C" w:rsidRPr="00073D9C">
        <w:rPr>
          <w:szCs w:val="19"/>
          <w:shd w:val="clear" w:color="auto" w:fill="FFFFFF"/>
          <w:lang w:val="en-GB"/>
        </w:rPr>
        <w:t>% in 20</w:t>
      </w:r>
      <w:r w:rsidR="00B85578">
        <w:rPr>
          <w:szCs w:val="19"/>
          <w:shd w:val="clear" w:color="auto" w:fill="FFFFFF"/>
          <w:lang w:val="en-GB"/>
        </w:rPr>
        <w:t>2</w:t>
      </w:r>
      <w:r w:rsidR="00C9090F">
        <w:rPr>
          <w:szCs w:val="19"/>
          <w:shd w:val="clear" w:color="auto" w:fill="FFFFFF"/>
          <w:lang w:val="en-GB"/>
        </w:rPr>
        <w:t>4</w:t>
      </w:r>
      <w:r w:rsidR="00073D9C" w:rsidRPr="00073D9C">
        <w:rPr>
          <w:szCs w:val="19"/>
          <w:shd w:val="clear" w:color="auto" w:fill="FFFFFF"/>
          <w:lang w:val="en-GB"/>
        </w:rPr>
        <w:t>)</w:t>
      </w:r>
      <w:r w:rsidR="003E54FE">
        <w:rPr>
          <w:szCs w:val="19"/>
          <w:shd w:val="clear" w:color="auto" w:fill="FFFFFF"/>
          <w:lang w:val="en-GB"/>
        </w:rPr>
        <w:t>.</w:t>
      </w:r>
      <w:r w:rsidR="005D5B8E">
        <w:rPr>
          <w:szCs w:val="19"/>
          <w:shd w:val="clear" w:color="auto" w:fill="FFFFFF"/>
          <w:lang w:val="en-GB"/>
        </w:rPr>
        <w:t xml:space="preserve"> </w:t>
      </w:r>
      <w:r w:rsidR="003E54FE">
        <w:rPr>
          <w:szCs w:val="19"/>
          <w:shd w:val="clear" w:color="auto" w:fill="FFFFFF"/>
          <w:lang w:val="en-GB"/>
        </w:rPr>
        <w:t>More households than in 202</w:t>
      </w:r>
      <w:r w:rsidR="00C9090F">
        <w:rPr>
          <w:szCs w:val="19"/>
          <w:shd w:val="clear" w:color="auto" w:fill="FFFFFF"/>
          <w:lang w:val="en-GB"/>
        </w:rPr>
        <w:t>4</w:t>
      </w:r>
      <w:r w:rsidR="003E54FE">
        <w:rPr>
          <w:szCs w:val="19"/>
          <w:shd w:val="clear" w:color="auto" w:fill="FFFFFF"/>
          <w:lang w:val="en-GB"/>
        </w:rPr>
        <w:t xml:space="preserve"> had income of</w:t>
      </w:r>
      <w:r w:rsidR="00073D9C" w:rsidRPr="00073D9C">
        <w:rPr>
          <w:szCs w:val="19"/>
          <w:shd w:val="clear" w:color="auto" w:fill="FFFFFF"/>
          <w:lang w:val="en-GB"/>
        </w:rPr>
        <w:t xml:space="preserve"> PLN 6000 or more per </w:t>
      </w:r>
      <w:r w:rsidR="00073D9C">
        <w:rPr>
          <w:szCs w:val="19"/>
          <w:shd w:val="clear" w:color="auto" w:fill="FFFFFF"/>
          <w:lang w:val="en-GB"/>
        </w:rPr>
        <w:t>capita</w:t>
      </w:r>
      <w:r w:rsidR="00073D9C" w:rsidRPr="00073D9C">
        <w:rPr>
          <w:szCs w:val="19"/>
          <w:shd w:val="clear" w:color="auto" w:fill="FFFFFF"/>
          <w:lang w:val="en-GB"/>
        </w:rPr>
        <w:t xml:space="preserve"> </w:t>
      </w:r>
      <w:r w:rsidR="003E54FE">
        <w:rPr>
          <w:szCs w:val="19"/>
          <w:shd w:val="clear" w:color="auto" w:fill="FFFFFF"/>
          <w:lang w:val="en-GB"/>
        </w:rPr>
        <w:t>–</w:t>
      </w:r>
      <w:r w:rsidR="00073D9C" w:rsidRPr="00073D9C">
        <w:rPr>
          <w:szCs w:val="19"/>
          <w:shd w:val="clear" w:color="auto" w:fill="FFFFFF"/>
          <w:lang w:val="en-GB"/>
        </w:rPr>
        <w:t xml:space="preserve"> </w:t>
      </w:r>
      <w:r w:rsidR="00C9090F">
        <w:rPr>
          <w:szCs w:val="19"/>
          <w:shd w:val="clear" w:color="auto" w:fill="FFFFFF"/>
          <w:lang w:val="en-GB"/>
        </w:rPr>
        <w:t>11.8</w:t>
      </w:r>
      <w:r w:rsidR="00073D9C" w:rsidRPr="00073D9C">
        <w:rPr>
          <w:szCs w:val="19"/>
          <w:shd w:val="clear" w:color="auto" w:fill="FFFFFF"/>
          <w:lang w:val="en-GB"/>
        </w:rPr>
        <w:t xml:space="preserve">% of </w:t>
      </w:r>
      <w:r w:rsidR="003E54FE">
        <w:rPr>
          <w:szCs w:val="19"/>
          <w:shd w:val="clear" w:color="auto" w:fill="FFFFFF"/>
          <w:lang w:val="en-GB"/>
        </w:rPr>
        <w:t>them</w:t>
      </w:r>
      <w:r w:rsidR="00073D9C" w:rsidRPr="00073D9C">
        <w:rPr>
          <w:szCs w:val="19"/>
          <w:shd w:val="clear" w:color="auto" w:fill="FFFFFF"/>
          <w:lang w:val="en-GB"/>
        </w:rPr>
        <w:t xml:space="preserve"> (</w:t>
      </w:r>
      <w:r w:rsidR="00C9090F">
        <w:rPr>
          <w:szCs w:val="19"/>
          <w:shd w:val="clear" w:color="auto" w:fill="FFFFFF"/>
          <w:lang w:val="en-GB"/>
        </w:rPr>
        <w:t>8.6</w:t>
      </w:r>
      <w:r w:rsidR="00073D9C" w:rsidRPr="00073D9C">
        <w:rPr>
          <w:szCs w:val="19"/>
          <w:shd w:val="clear" w:color="auto" w:fill="FFFFFF"/>
          <w:lang w:val="en-GB"/>
        </w:rPr>
        <w:t>% in 20</w:t>
      </w:r>
      <w:r w:rsidR="00B85578">
        <w:rPr>
          <w:szCs w:val="19"/>
          <w:shd w:val="clear" w:color="auto" w:fill="FFFFFF"/>
          <w:lang w:val="en-GB"/>
        </w:rPr>
        <w:t>2</w:t>
      </w:r>
      <w:r w:rsidR="00C9090F">
        <w:rPr>
          <w:szCs w:val="19"/>
          <w:shd w:val="clear" w:color="auto" w:fill="FFFFFF"/>
          <w:lang w:val="en-GB"/>
        </w:rPr>
        <w:t>4</w:t>
      </w:r>
      <w:r w:rsidR="00B11698">
        <w:rPr>
          <w:szCs w:val="19"/>
          <w:shd w:val="clear" w:color="auto" w:fill="FFFFFF"/>
          <w:lang w:val="en-GB"/>
        </w:rPr>
        <w:t>). In </w:t>
      </w:r>
      <w:r w:rsidR="00073D9C" w:rsidRPr="00073D9C">
        <w:rPr>
          <w:szCs w:val="19"/>
          <w:shd w:val="clear" w:color="auto" w:fill="FFFFFF"/>
          <w:lang w:val="en-GB"/>
        </w:rPr>
        <w:t>202</w:t>
      </w:r>
      <w:r w:rsidR="00C9090F">
        <w:rPr>
          <w:szCs w:val="19"/>
          <w:shd w:val="clear" w:color="auto" w:fill="FFFFFF"/>
          <w:lang w:val="en-GB"/>
        </w:rPr>
        <w:t>5</w:t>
      </w:r>
      <w:r w:rsidR="00073D9C" w:rsidRPr="00073D9C">
        <w:rPr>
          <w:szCs w:val="19"/>
          <w:shd w:val="clear" w:color="auto" w:fill="FFFFFF"/>
          <w:lang w:val="en-GB"/>
        </w:rPr>
        <w:t xml:space="preserve">, the percentage of households with an average monthly income of at least PLN 2000 per </w:t>
      </w:r>
      <w:r w:rsidR="00073D9C">
        <w:rPr>
          <w:szCs w:val="19"/>
          <w:shd w:val="clear" w:color="auto" w:fill="FFFFFF"/>
          <w:lang w:val="en-GB"/>
        </w:rPr>
        <w:t>capita</w:t>
      </w:r>
      <w:r w:rsidR="00073D9C" w:rsidRPr="00073D9C">
        <w:rPr>
          <w:szCs w:val="19"/>
          <w:shd w:val="clear" w:color="auto" w:fill="FFFFFF"/>
          <w:lang w:val="en-GB"/>
        </w:rPr>
        <w:t xml:space="preserve"> </w:t>
      </w:r>
      <w:r w:rsidR="00073D9C">
        <w:rPr>
          <w:szCs w:val="19"/>
          <w:shd w:val="clear" w:color="auto" w:fill="FFFFFF"/>
          <w:lang w:val="en-GB"/>
        </w:rPr>
        <w:t>amounted to</w:t>
      </w:r>
      <w:r w:rsidR="00073D9C" w:rsidRPr="00073D9C">
        <w:rPr>
          <w:szCs w:val="19"/>
          <w:shd w:val="clear" w:color="auto" w:fill="FFFFFF"/>
          <w:lang w:val="en-GB"/>
        </w:rPr>
        <w:t xml:space="preserve"> </w:t>
      </w:r>
      <w:r w:rsidR="00C9090F">
        <w:rPr>
          <w:szCs w:val="19"/>
          <w:shd w:val="clear" w:color="auto" w:fill="FFFFFF"/>
          <w:lang w:val="en-GB"/>
        </w:rPr>
        <w:t>84.3</w:t>
      </w:r>
      <w:r w:rsidR="00073D9C" w:rsidRPr="00073D9C">
        <w:rPr>
          <w:szCs w:val="19"/>
          <w:shd w:val="clear" w:color="auto" w:fill="FFFFFF"/>
          <w:lang w:val="en-GB"/>
        </w:rPr>
        <w:t>% (in 20</w:t>
      </w:r>
      <w:r w:rsidR="00B85578">
        <w:rPr>
          <w:szCs w:val="19"/>
          <w:shd w:val="clear" w:color="auto" w:fill="FFFFFF"/>
          <w:lang w:val="en-GB"/>
        </w:rPr>
        <w:t>2</w:t>
      </w:r>
      <w:r w:rsidR="00C9090F">
        <w:rPr>
          <w:szCs w:val="19"/>
          <w:shd w:val="clear" w:color="auto" w:fill="FFFFFF"/>
          <w:lang w:val="en-GB"/>
        </w:rPr>
        <w:t>4</w:t>
      </w:r>
      <w:r w:rsidR="00073D9C" w:rsidRPr="00073D9C">
        <w:rPr>
          <w:szCs w:val="19"/>
          <w:shd w:val="clear" w:color="auto" w:fill="FFFFFF"/>
          <w:lang w:val="en-GB"/>
        </w:rPr>
        <w:t xml:space="preserve"> </w:t>
      </w:r>
      <w:r w:rsidR="00073D9C">
        <w:rPr>
          <w:szCs w:val="19"/>
          <w:shd w:val="clear" w:color="auto" w:fill="FFFFFF"/>
          <w:lang w:val="en-GB"/>
        </w:rPr>
        <w:t>–</w:t>
      </w:r>
      <w:r w:rsidR="00073D9C" w:rsidRPr="00073D9C">
        <w:rPr>
          <w:szCs w:val="19"/>
          <w:shd w:val="clear" w:color="auto" w:fill="FFFFFF"/>
          <w:lang w:val="en-GB"/>
        </w:rPr>
        <w:t xml:space="preserve"> </w:t>
      </w:r>
      <w:r w:rsidR="00C9090F">
        <w:rPr>
          <w:szCs w:val="19"/>
          <w:shd w:val="clear" w:color="auto" w:fill="FFFFFF"/>
          <w:lang w:val="en-GB"/>
        </w:rPr>
        <w:t>81.1</w:t>
      </w:r>
      <w:r w:rsidR="00073D9C" w:rsidRPr="00073D9C">
        <w:rPr>
          <w:szCs w:val="19"/>
          <w:shd w:val="clear" w:color="auto" w:fill="FFFFFF"/>
          <w:lang w:val="en-GB"/>
        </w:rPr>
        <w:t>%).</w:t>
      </w:r>
    </w:p>
    <w:p w14:paraId="7EE94E59" w14:textId="3708EB35" w:rsidR="0045609E" w:rsidRDefault="0045609E" w:rsidP="005071C2">
      <w:pPr>
        <w:rPr>
          <w:szCs w:val="19"/>
          <w:shd w:val="clear" w:color="auto" w:fill="FFFFFF"/>
          <w:lang w:val="en-GB"/>
        </w:rPr>
      </w:pPr>
      <w:r w:rsidRPr="005D1D5A">
        <w:rPr>
          <w:szCs w:val="19"/>
          <w:shd w:val="clear" w:color="auto" w:fill="FFFFFF"/>
          <w:lang w:val="en-GB"/>
        </w:rPr>
        <w:t>In 20</w:t>
      </w:r>
      <w:r w:rsidR="00073D9C" w:rsidRPr="005D1D5A">
        <w:rPr>
          <w:szCs w:val="19"/>
          <w:shd w:val="clear" w:color="auto" w:fill="FFFFFF"/>
          <w:lang w:val="en-GB"/>
        </w:rPr>
        <w:t>2</w:t>
      </w:r>
      <w:r w:rsidR="00C9090F">
        <w:rPr>
          <w:szCs w:val="19"/>
          <w:shd w:val="clear" w:color="auto" w:fill="FFFFFF"/>
          <w:lang w:val="en-GB"/>
        </w:rPr>
        <w:t>5</w:t>
      </w:r>
      <w:r w:rsidR="00A22217" w:rsidRPr="005D1D5A">
        <w:rPr>
          <w:szCs w:val="19"/>
          <w:shd w:val="clear" w:color="auto" w:fill="FFFFFF"/>
          <w:lang w:val="en-GB"/>
        </w:rPr>
        <w:t>,</w:t>
      </w:r>
      <w:r w:rsidR="00A22217">
        <w:rPr>
          <w:szCs w:val="19"/>
          <w:shd w:val="clear" w:color="auto" w:fill="FFFFFF"/>
          <w:lang w:val="en-GB"/>
        </w:rPr>
        <w:t xml:space="preserve"> the average </w:t>
      </w:r>
      <w:r w:rsidR="002650D9">
        <w:rPr>
          <w:szCs w:val="19"/>
          <w:shd w:val="clear" w:color="auto" w:fill="FFFFFF"/>
          <w:lang w:val="en-GB"/>
        </w:rPr>
        <w:t xml:space="preserve">monthly </w:t>
      </w:r>
      <w:r w:rsidR="00A22217">
        <w:rPr>
          <w:szCs w:val="19"/>
          <w:shd w:val="clear" w:color="auto" w:fill="FFFFFF"/>
          <w:lang w:val="en-GB"/>
        </w:rPr>
        <w:t xml:space="preserve">expenditure per capita </w:t>
      </w:r>
      <w:r w:rsidR="008667F0">
        <w:rPr>
          <w:szCs w:val="19"/>
          <w:shd w:val="clear" w:color="auto" w:fill="FFFFFF"/>
          <w:lang w:val="en-GB"/>
        </w:rPr>
        <w:t>in</w:t>
      </w:r>
      <w:r w:rsidR="00A22217">
        <w:rPr>
          <w:szCs w:val="19"/>
          <w:shd w:val="clear" w:color="auto" w:fill="FFFFFF"/>
          <w:lang w:val="en-GB"/>
        </w:rPr>
        <w:t xml:space="preserve">creased </w:t>
      </w:r>
      <w:r w:rsidR="00527B57">
        <w:rPr>
          <w:szCs w:val="19"/>
          <w:shd w:val="clear" w:color="auto" w:fill="FFFFFF"/>
          <w:lang w:val="en-GB"/>
        </w:rPr>
        <w:t xml:space="preserve">in real terms </w:t>
      </w:r>
      <w:r w:rsidR="00A22217">
        <w:rPr>
          <w:szCs w:val="19"/>
          <w:shd w:val="clear" w:color="auto" w:fill="FFFFFF"/>
          <w:lang w:val="en-GB"/>
        </w:rPr>
        <w:t xml:space="preserve">by </w:t>
      </w:r>
      <w:r w:rsidR="00C9090F">
        <w:rPr>
          <w:szCs w:val="19"/>
          <w:shd w:val="clear" w:color="auto" w:fill="FFFFFF"/>
          <w:lang w:val="en-GB"/>
        </w:rPr>
        <w:t>3.6</w:t>
      </w:r>
      <w:r w:rsidR="00A22217">
        <w:rPr>
          <w:szCs w:val="19"/>
          <w:shd w:val="clear" w:color="auto" w:fill="FFFFFF"/>
          <w:lang w:val="en-GB"/>
        </w:rPr>
        <w:t>%</w:t>
      </w:r>
      <w:r w:rsidR="00527B57">
        <w:rPr>
          <w:szCs w:val="19"/>
          <w:shd w:val="clear" w:color="auto" w:fill="FFFFFF"/>
          <w:lang w:val="en-GB"/>
        </w:rPr>
        <w:t xml:space="preserve"> in comparison with 202</w:t>
      </w:r>
      <w:r w:rsidR="00C9090F">
        <w:rPr>
          <w:szCs w:val="19"/>
          <w:shd w:val="clear" w:color="auto" w:fill="FFFFFF"/>
          <w:lang w:val="en-GB"/>
        </w:rPr>
        <w:t>4</w:t>
      </w:r>
      <w:r w:rsidR="00A22217">
        <w:rPr>
          <w:szCs w:val="19"/>
          <w:shd w:val="clear" w:color="auto" w:fill="FFFFFF"/>
          <w:lang w:val="en-GB"/>
        </w:rPr>
        <w:t xml:space="preserve">. </w:t>
      </w:r>
      <w:r w:rsidR="00B72F4F">
        <w:rPr>
          <w:szCs w:val="19"/>
          <w:shd w:val="clear" w:color="auto" w:fill="FFFFFF"/>
          <w:lang w:val="en-GB"/>
        </w:rPr>
        <w:t>This</w:t>
      </w:r>
      <w:r w:rsidRPr="0045609E">
        <w:rPr>
          <w:szCs w:val="19"/>
          <w:shd w:val="clear" w:color="auto" w:fill="FFFFFF"/>
          <w:lang w:val="en-GB"/>
        </w:rPr>
        <w:t xml:space="preserve"> real </w:t>
      </w:r>
      <w:r w:rsidR="008667F0">
        <w:rPr>
          <w:szCs w:val="19"/>
          <w:shd w:val="clear" w:color="auto" w:fill="FFFFFF"/>
          <w:lang w:val="en-GB"/>
        </w:rPr>
        <w:t>in</w:t>
      </w:r>
      <w:r w:rsidR="00B85578">
        <w:rPr>
          <w:szCs w:val="19"/>
          <w:shd w:val="clear" w:color="auto" w:fill="FFFFFF"/>
          <w:lang w:val="en-GB"/>
        </w:rPr>
        <w:t>crease</w:t>
      </w:r>
      <w:r w:rsidR="00073D9C">
        <w:rPr>
          <w:szCs w:val="19"/>
          <w:shd w:val="clear" w:color="auto" w:fill="FFFFFF"/>
          <w:lang w:val="en-GB"/>
        </w:rPr>
        <w:t xml:space="preserve"> </w:t>
      </w:r>
      <w:r w:rsidR="00B72F4F">
        <w:rPr>
          <w:szCs w:val="19"/>
          <w:shd w:val="clear" w:color="auto" w:fill="FFFFFF"/>
          <w:lang w:val="en-GB"/>
        </w:rPr>
        <w:t xml:space="preserve">occurred </w:t>
      </w:r>
      <w:r w:rsidR="001B69B5">
        <w:rPr>
          <w:szCs w:val="19"/>
          <w:shd w:val="clear" w:color="auto" w:fill="FFFFFF"/>
          <w:lang w:val="en-GB"/>
        </w:rPr>
        <w:t>in</w:t>
      </w:r>
      <w:r w:rsidR="00E75E51">
        <w:rPr>
          <w:szCs w:val="19"/>
          <w:shd w:val="clear" w:color="auto" w:fill="FFFFFF"/>
          <w:lang w:val="en-GB"/>
        </w:rPr>
        <w:t xml:space="preserve"> almost</w:t>
      </w:r>
      <w:r w:rsidR="001B69B5">
        <w:rPr>
          <w:szCs w:val="19"/>
          <w:shd w:val="clear" w:color="auto" w:fill="FFFFFF"/>
          <w:lang w:val="en-GB"/>
        </w:rPr>
        <w:t xml:space="preserve"> </w:t>
      </w:r>
      <w:r w:rsidR="000266A3">
        <w:rPr>
          <w:szCs w:val="19"/>
          <w:shd w:val="clear" w:color="auto" w:fill="FFFFFF"/>
          <w:lang w:val="en-GB"/>
        </w:rPr>
        <w:t xml:space="preserve">all </w:t>
      </w:r>
      <w:r w:rsidR="000266A3" w:rsidRPr="0045609E">
        <w:rPr>
          <w:szCs w:val="19"/>
          <w:shd w:val="clear" w:color="auto" w:fill="FFFFFF"/>
          <w:lang w:val="en-GB"/>
        </w:rPr>
        <w:t>socio-econom</w:t>
      </w:r>
      <w:r w:rsidR="000266A3">
        <w:rPr>
          <w:szCs w:val="19"/>
          <w:shd w:val="clear" w:color="auto" w:fill="FFFFFF"/>
          <w:lang w:val="en-GB"/>
        </w:rPr>
        <w:t>ic groups of households</w:t>
      </w:r>
      <w:r w:rsidR="00C9090F">
        <w:rPr>
          <w:szCs w:val="19"/>
          <w:shd w:val="clear" w:color="auto" w:fill="FFFFFF"/>
          <w:lang w:val="en-GB"/>
        </w:rPr>
        <w:t xml:space="preserve"> (except for pensioners)</w:t>
      </w:r>
      <w:r w:rsidR="000266A3">
        <w:rPr>
          <w:szCs w:val="19"/>
          <w:shd w:val="clear" w:color="auto" w:fill="FFFFFF"/>
          <w:lang w:val="en-GB"/>
        </w:rPr>
        <w:t xml:space="preserve">, the </w:t>
      </w:r>
      <w:r w:rsidR="003E2BEB">
        <w:rPr>
          <w:szCs w:val="19"/>
          <w:shd w:val="clear" w:color="auto" w:fill="FFFFFF"/>
          <w:lang w:val="en-GB"/>
        </w:rPr>
        <w:t>highest</w:t>
      </w:r>
      <w:r w:rsidR="000266A3">
        <w:rPr>
          <w:szCs w:val="19"/>
          <w:shd w:val="clear" w:color="auto" w:fill="FFFFFF"/>
          <w:lang w:val="en-GB"/>
        </w:rPr>
        <w:t xml:space="preserve"> in </w:t>
      </w:r>
      <w:r w:rsidR="001B69B5">
        <w:rPr>
          <w:szCs w:val="19"/>
          <w:shd w:val="clear" w:color="auto" w:fill="FFFFFF"/>
          <w:lang w:val="en-GB"/>
        </w:rPr>
        <w:t xml:space="preserve">the group of </w:t>
      </w:r>
      <w:r w:rsidR="00C32628">
        <w:rPr>
          <w:szCs w:val="19"/>
          <w:shd w:val="clear" w:color="auto" w:fill="FFFFFF"/>
          <w:lang w:val="en-GB"/>
        </w:rPr>
        <w:t>retirees</w:t>
      </w:r>
      <w:r w:rsidR="003E2BEB">
        <w:rPr>
          <w:szCs w:val="19"/>
          <w:shd w:val="clear" w:color="auto" w:fill="FFFFFF"/>
          <w:lang w:val="en-GB"/>
        </w:rPr>
        <w:t xml:space="preserve"> </w:t>
      </w:r>
      <w:r w:rsidR="001B69B5">
        <w:rPr>
          <w:szCs w:val="19"/>
          <w:shd w:val="clear" w:color="auto" w:fill="FFFFFF"/>
          <w:lang w:val="en-GB"/>
        </w:rPr>
        <w:t xml:space="preserve">(by </w:t>
      </w:r>
      <w:r w:rsidR="00450649">
        <w:rPr>
          <w:szCs w:val="19"/>
          <w:shd w:val="clear" w:color="auto" w:fill="FFFFFF"/>
          <w:lang w:val="en-GB"/>
        </w:rPr>
        <w:t>4.</w:t>
      </w:r>
      <w:r w:rsidR="009D333C">
        <w:rPr>
          <w:szCs w:val="19"/>
          <w:shd w:val="clear" w:color="auto" w:fill="FFFFFF"/>
          <w:lang w:val="en-GB"/>
        </w:rPr>
        <w:t>4</w:t>
      </w:r>
      <w:r w:rsidR="001B69B5">
        <w:rPr>
          <w:szCs w:val="19"/>
          <w:shd w:val="clear" w:color="auto" w:fill="FFFFFF"/>
          <w:lang w:val="en-GB"/>
        </w:rPr>
        <w:t>%)</w:t>
      </w:r>
      <w:r w:rsidR="00C32628">
        <w:rPr>
          <w:szCs w:val="19"/>
          <w:shd w:val="clear" w:color="auto" w:fill="FFFFFF"/>
          <w:lang w:val="en-GB"/>
        </w:rPr>
        <w:t xml:space="preserve"> and</w:t>
      </w:r>
      <w:r w:rsidR="001B69B5">
        <w:rPr>
          <w:szCs w:val="19"/>
          <w:shd w:val="clear" w:color="auto" w:fill="FFFFFF"/>
          <w:lang w:val="en-GB"/>
        </w:rPr>
        <w:t xml:space="preserve"> </w:t>
      </w:r>
      <w:r w:rsidR="003E2BEB">
        <w:rPr>
          <w:szCs w:val="19"/>
          <w:shd w:val="clear" w:color="auto" w:fill="FFFFFF"/>
          <w:lang w:val="en-GB"/>
        </w:rPr>
        <w:t xml:space="preserve">employees </w:t>
      </w:r>
      <w:r w:rsidR="00827A72">
        <w:rPr>
          <w:szCs w:val="19"/>
          <w:shd w:val="clear" w:color="auto" w:fill="FFFFFF"/>
          <w:lang w:val="en-GB"/>
        </w:rPr>
        <w:t>(by </w:t>
      </w:r>
      <w:r w:rsidR="00450649">
        <w:rPr>
          <w:szCs w:val="19"/>
          <w:shd w:val="clear" w:color="auto" w:fill="FFFFFF"/>
          <w:lang w:val="en-GB"/>
        </w:rPr>
        <w:t>4.</w:t>
      </w:r>
      <w:r w:rsidR="009D333C">
        <w:rPr>
          <w:szCs w:val="19"/>
          <w:shd w:val="clear" w:color="auto" w:fill="FFFFFF"/>
          <w:lang w:val="en-GB"/>
        </w:rPr>
        <w:t>3</w:t>
      </w:r>
      <w:r w:rsidR="001B69B5">
        <w:rPr>
          <w:szCs w:val="19"/>
          <w:shd w:val="clear" w:color="auto" w:fill="FFFFFF"/>
          <w:lang w:val="en-GB"/>
        </w:rPr>
        <w:t>%)</w:t>
      </w:r>
      <w:r w:rsidR="009D333C">
        <w:rPr>
          <w:szCs w:val="19"/>
          <w:shd w:val="clear" w:color="auto" w:fill="FFFFFF"/>
          <w:lang w:val="en-GB"/>
        </w:rPr>
        <w:t>, while the lowest among farmers (by 0.3%)</w:t>
      </w:r>
      <w:r w:rsidR="00450649">
        <w:rPr>
          <w:szCs w:val="19"/>
          <w:shd w:val="clear" w:color="auto" w:fill="FFFFFF"/>
          <w:lang w:val="en-GB"/>
        </w:rPr>
        <w:t>.</w:t>
      </w:r>
    </w:p>
    <w:p w14:paraId="5F77D7BD" w14:textId="79ECA9CF" w:rsidR="00E75E51" w:rsidRPr="00E75E51" w:rsidRDefault="00E75E51" w:rsidP="005071C2">
      <w:pPr>
        <w:rPr>
          <w:rFonts w:cs="Arial"/>
          <w:b/>
          <w:color w:val="001D77"/>
          <w:szCs w:val="19"/>
          <w:lang w:val="en-GB"/>
        </w:rPr>
      </w:pPr>
      <w:r w:rsidRPr="00E75E51">
        <w:rPr>
          <w:rFonts w:cs="Arial"/>
          <w:b/>
          <w:color w:val="001D77"/>
          <w:szCs w:val="19"/>
          <w:lang w:val="en-GB"/>
        </w:rPr>
        <w:t>Expenditure structure</w:t>
      </w:r>
    </w:p>
    <w:p w14:paraId="346D494C" w14:textId="4125EADA" w:rsidR="00814191" w:rsidRDefault="00312341" w:rsidP="005071C2">
      <w:pPr>
        <w:rPr>
          <w:rFonts w:cs="Arial"/>
          <w:szCs w:val="19"/>
          <w:lang w:val="en-GB"/>
        </w:rPr>
      </w:pPr>
      <w:r w:rsidRPr="00312341">
        <w:rPr>
          <w:rFonts w:cs="Arial"/>
          <w:szCs w:val="19"/>
          <w:lang w:val="en-GB"/>
        </w:rPr>
        <w:t xml:space="preserve">Expenditure on food and non-alcoholic beverages, similarly to the previous years, had the highest share in the structure of expenditure </w:t>
      </w:r>
      <w:r w:rsidR="00BA07C5">
        <w:rPr>
          <w:rFonts w:cs="Arial"/>
          <w:szCs w:val="19"/>
          <w:lang w:val="en-GB"/>
        </w:rPr>
        <w:t>for</w:t>
      </w:r>
      <w:r w:rsidR="00751A59">
        <w:rPr>
          <w:rFonts w:cs="Arial"/>
          <w:szCs w:val="19"/>
          <w:lang w:val="en-GB"/>
        </w:rPr>
        <w:t xml:space="preserve"> </w:t>
      </w:r>
      <w:r w:rsidRPr="00312341">
        <w:rPr>
          <w:rFonts w:cs="Arial"/>
          <w:szCs w:val="19"/>
          <w:lang w:val="en-GB"/>
        </w:rPr>
        <w:t>household</w:t>
      </w:r>
      <w:r>
        <w:rPr>
          <w:rFonts w:cs="Arial"/>
          <w:szCs w:val="19"/>
          <w:lang w:val="en-GB"/>
        </w:rPr>
        <w:t>s</w:t>
      </w:r>
      <w:r w:rsidRPr="00312341">
        <w:rPr>
          <w:rFonts w:cs="Arial"/>
          <w:szCs w:val="19"/>
          <w:lang w:val="en-GB"/>
        </w:rPr>
        <w:t xml:space="preserve"> </w:t>
      </w:r>
      <w:r w:rsidR="00751A59">
        <w:rPr>
          <w:rFonts w:cs="Arial"/>
          <w:szCs w:val="19"/>
          <w:lang w:val="en-GB"/>
        </w:rPr>
        <w:t xml:space="preserve">in </w:t>
      </w:r>
      <w:r w:rsidRPr="00312341">
        <w:rPr>
          <w:rFonts w:cs="Arial"/>
          <w:szCs w:val="19"/>
          <w:lang w:val="en-GB"/>
        </w:rPr>
        <w:t xml:space="preserve">total </w:t>
      </w:r>
      <w:r w:rsidR="00751A59">
        <w:rPr>
          <w:rFonts w:cs="Arial"/>
          <w:szCs w:val="19"/>
          <w:lang w:val="en-GB"/>
        </w:rPr>
        <w:t>–</w:t>
      </w:r>
      <w:r w:rsidRPr="00312341">
        <w:rPr>
          <w:rFonts w:cs="Arial"/>
          <w:szCs w:val="19"/>
          <w:lang w:val="en-GB"/>
        </w:rPr>
        <w:t xml:space="preserve"> </w:t>
      </w:r>
      <w:r w:rsidR="00450649">
        <w:rPr>
          <w:rFonts w:cs="Arial"/>
          <w:szCs w:val="19"/>
          <w:lang w:val="en-GB"/>
        </w:rPr>
        <w:t>25.1</w:t>
      </w:r>
      <w:r w:rsidRPr="00312341">
        <w:rPr>
          <w:rFonts w:cs="Arial"/>
          <w:szCs w:val="19"/>
          <w:lang w:val="en-GB"/>
        </w:rPr>
        <w:t xml:space="preserve">% </w:t>
      </w:r>
      <w:r w:rsidR="004550D9">
        <w:rPr>
          <w:rFonts w:cs="Arial"/>
          <w:szCs w:val="19"/>
          <w:lang w:val="en-GB"/>
        </w:rPr>
        <w:t>(</w:t>
      </w:r>
      <w:r w:rsidR="006D670B">
        <w:rPr>
          <w:rFonts w:cs="Arial"/>
          <w:szCs w:val="19"/>
          <w:lang w:val="en-GB"/>
        </w:rPr>
        <w:t>in 202</w:t>
      </w:r>
      <w:r w:rsidR="00450649">
        <w:rPr>
          <w:rFonts w:cs="Arial"/>
          <w:szCs w:val="19"/>
          <w:lang w:val="en-GB"/>
        </w:rPr>
        <w:t>4</w:t>
      </w:r>
      <w:r w:rsidR="006D670B">
        <w:rPr>
          <w:rFonts w:cs="Arial"/>
          <w:szCs w:val="19"/>
          <w:lang w:val="en-GB"/>
        </w:rPr>
        <w:t xml:space="preserve"> – </w:t>
      </w:r>
      <w:r w:rsidR="00450649">
        <w:rPr>
          <w:rFonts w:cs="Arial"/>
          <w:szCs w:val="19"/>
          <w:lang w:val="en-GB"/>
        </w:rPr>
        <w:t>25.3</w:t>
      </w:r>
      <w:r w:rsidR="004550D9">
        <w:rPr>
          <w:rFonts w:cs="Arial"/>
          <w:szCs w:val="19"/>
          <w:lang w:val="en-GB"/>
        </w:rPr>
        <w:t xml:space="preserve">). In individual socio-economic groups </w:t>
      </w:r>
      <w:r w:rsidR="0053510F">
        <w:rPr>
          <w:rFonts w:cs="Arial"/>
          <w:szCs w:val="19"/>
          <w:lang w:val="en-GB"/>
        </w:rPr>
        <w:t>this share</w:t>
      </w:r>
      <w:r w:rsidR="004550D9">
        <w:rPr>
          <w:rFonts w:cs="Arial"/>
          <w:szCs w:val="19"/>
          <w:lang w:val="en-GB"/>
        </w:rPr>
        <w:t xml:space="preserve"> </w:t>
      </w:r>
      <w:r w:rsidRPr="00312341">
        <w:rPr>
          <w:rFonts w:cs="Arial"/>
          <w:szCs w:val="19"/>
          <w:lang w:val="en-GB"/>
        </w:rPr>
        <w:t xml:space="preserve">ranged from </w:t>
      </w:r>
      <w:r w:rsidR="00450649">
        <w:rPr>
          <w:rFonts w:cs="Arial"/>
          <w:szCs w:val="19"/>
          <w:lang w:val="en-GB"/>
        </w:rPr>
        <w:t>21.8</w:t>
      </w:r>
      <w:r w:rsidRPr="00312341">
        <w:rPr>
          <w:rFonts w:cs="Arial"/>
          <w:szCs w:val="19"/>
          <w:lang w:val="en-GB"/>
        </w:rPr>
        <w:t xml:space="preserve">% in </w:t>
      </w:r>
      <w:r w:rsidR="00751A59" w:rsidRPr="00312341">
        <w:rPr>
          <w:rFonts w:cs="Arial"/>
          <w:szCs w:val="19"/>
          <w:lang w:val="en-GB"/>
        </w:rPr>
        <w:t xml:space="preserve">households </w:t>
      </w:r>
      <w:r w:rsidR="00751A59">
        <w:rPr>
          <w:rFonts w:cs="Arial"/>
          <w:szCs w:val="19"/>
          <w:lang w:val="en-GB"/>
        </w:rPr>
        <w:t xml:space="preserve">of </w:t>
      </w:r>
      <w:r w:rsidRPr="00312341">
        <w:rPr>
          <w:rFonts w:cs="Arial"/>
          <w:szCs w:val="19"/>
          <w:lang w:val="en-GB"/>
        </w:rPr>
        <w:t>self-employed outside farm</w:t>
      </w:r>
      <w:r w:rsidR="00751A59">
        <w:rPr>
          <w:rFonts w:cs="Arial"/>
          <w:szCs w:val="19"/>
          <w:lang w:val="en-GB"/>
        </w:rPr>
        <w:t>ing</w:t>
      </w:r>
      <w:r w:rsidRPr="00312341">
        <w:rPr>
          <w:rFonts w:cs="Arial"/>
          <w:szCs w:val="19"/>
          <w:lang w:val="en-GB"/>
        </w:rPr>
        <w:t xml:space="preserve"> to </w:t>
      </w:r>
      <w:r w:rsidR="00450649">
        <w:rPr>
          <w:rFonts w:cs="Arial"/>
          <w:szCs w:val="19"/>
          <w:lang w:val="en-GB"/>
        </w:rPr>
        <w:t>33.0</w:t>
      </w:r>
      <w:r w:rsidRPr="00312341">
        <w:rPr>
          <w:rFonts w:cs="Arial"/>
          <w:szCs w:val="19"/>
          <w:lang w:val="en-GB"/>
        </w:rPr>
        <w:t xml:space="preserve">% in </w:t>
      </w:r>
      <w:r w:rsidR="00751A59">
        <w:rPr>
          <w:rFonts w:cs="Arial"/>
          <w:szCs w:val="19"/>
          <w:lang w:val="en-GB"/>
        </w:rPr>
        <w:t>households</w:t>
      </w:r>
      <w:r w:rsidRPr="00312341">
        <w:rPr>
          <w:rFonts w:cs="Arial"/>
          <w:szCs w:val="19"/>
          <w:lang w:val="en-GB"/>
        </w:rPr>
        <w:t xml:space="preserve"> of farmers. </w:t>
      </w:r>
    </w:p>
    <w:p w14:paraId="7DE953A0" w14:textId="564E5DDC" w:rsidR="00814191" w:rsidRPr="00056F23" w:rsidRDefault="00814191" w:rsidP="005071C2">
      <w:pPr>
        <w:rPr>
          <w:spacing w:val="-2"/>
          <w:szCs w:val="19"/>
          <w:shd w:val="clear" w:color="auto" w:fill="FFFFFF"/>
          <w:lang w:val="en-GB"/>
        </w:rPr>
      </w:pPr>
      <w:r w:rsidRPr="00504306">
        <w:rPr>
          <w:rFonts w:cs="Arial"/>
          <w:bCs/>
          <w:szCs w:val="19"/>
          <w:lang w:val="en-GB"/>
        </w:rPr>
        <w:t xml:space="preserve">Another important item in households expenditure was </w:t>
      </w:r>
      <w:r w:rsidR="00CC3BB5" w:rsidRPr="00504306">
        <w:rPr>
          <w:rFonts w:cs="Arial"/>
          <w:bCs/>
          <w:szCs w:val="19"/>
          <w:lang w:val="en-GB"/>
        </w:rPr>
        <w:t xml:space="preserve">expenditure </w:t>
      </w:r>
      <w:r w:rsidRPr="00504306">
        <w:rPr>
          <w:rFonts w:cs="Arial"/>
          <w:bCs/>
          <w:szCs w:val="19"/>
          <w:lang w:val="en-GB"/>
        </w:rPr>
        <w:t xml:space="preserve">on </w:t>
      </w:r>
      <w:bookmarkStart w:id="2" w:name="_Hlk72155264"/>
      <w:r w:rsidRPr="00504306">
        <w:rPr>
          <w:rFonts w:cs="Arial"/>
          <w:bCs/>
          <w:szCs w:val="19"/>
          <w:lang w:val="en-GB"/>
        </w:rPr>
        <w:t>housing, water, electricity, gas and other fuels</w:t>
      </w:r>
      <w:bookmarkEnd w:id="2"/>
      <w:r w:rsidRPr="00504306">
        <w:rPr>
          <w:rFonts w:cs="Arial"/>
          <w:bCs/>
          <w:szCs w:val="19"/>
          <w:lang w:val="en-GB"/>
        </w:rPr>
        <w:t xml:space="preserve">. Its share in total expenditure was on average </w:t>
      </w:r>
      <w:r w:rsidR="00450649">
        <w:rPr>
          <w:rFonts w:cs="Arial"/>
          <w:bCs/>
          <w:szCs w:val="19"/>
          <w:lang w:val="en-GB"/>
        </w:rPr>
        <w:t>19.4</w:t>
      </w:r>
      <w:r w:rsidRPr="00504306">
        <w:rPr>
          <w:rFonts w:cs="Arial"/>
          <w:bCs/>
          <w:szCs w:val="19"/>
          <w:lang w:val="en-GB"/>
        </w:rPr>
        <w:t xml:space="preserve">% and </w:t>
      </w:r>
      <w:r w:rsidR="006D3BCA" w:rsidRPr="00504306">
        <w:rPr>
          <w:rFonts w:cs="Arial"/>
          <w:bCs/>
          <w:szCs w:val="19"/>
          <w:lang w:val="en-GB"/>
        </w:rPr>
        <w:t>in 202</w:t>
      </w:r>
      <w:r w:rsidR="00450649">
        <w:rPr>
          <w:rFonts w:cs="Arial"/>
          <w:bCs/>
          <w:szCs w:val="19"/>
          <w:lang w:val="en-GB"/>
        </w:rPr>
        <w:t>5</w:t>
      </w:r>
      <w:r w:rsidR="006D3BCA">
        <w:rPr>
          <w:rFonts w:cs="Arial"/>
          <w:bCs/>
          <w:szCs w:val="19"/>
          <w:lang w:val="en-GB"/>
        </w:rPr>
        <w:t xml:space="preserve"> </w:t>
      </w:r>
      <w:r w:rsidR="00450649">
        <w:rPr>
          <w:rFonts w:cs="Arial"/>
          <w:bCs/>
          <w:szCs w:val="19"/>
          <w:lang w:val="en-GB"/>
        </w:rPr>
        <w:t>increased</w:t>
      </w:r>
      <w:r w:rsidR="00377B56" w:rsidRPr="00504306">
        <w:rPr>
          <w:rFonts w:cs="Arial"/>
          <w:bCs/>
          <w:szCs w:val="19"/>
          <w:lang w:val="en-GB"/>
        </w:rPr>
        <w:t xml:space="preserve"> </w:t>
      </w:r>
      <w:r w:rsidRPr="00504306">
        <w:rPr>
          <w:rFonts w:cs="Arial"/>
          <w:bCs/>
          <w:szCs w:val="19"/>
          <w:lang w:val="en-GB"/>
        </w:rPr>
        <w:t xml:space="preserve">by </w:t>
      </w:r>
      <w:r w:rsidR="00450649">
        <w:rPr>
          <w:rFonts w:cs="Arial"/>
          <w:bCs/>
          <w:szCs w:val="19"/>
          <w:lang w:val="en-GB"/>
        </w:rPr>
        <w:t>0.6</w:t>
      </w:r>
      <w:r w:rsidRPr="00504306">
        <w:rPr>
          <w:rFonts w:cs="Arial"/>
          <w:bCs/>
          <w:szCs w:val="19"/>
          <w:lang w:val="en-GB"/>
        </w:rPr>
        <w:t> percentage points</w:t>
      </w:r>
      <w:r w:rsidR="006D3BCA">
        <w:rPr>
          <w:rFonts w:cs="Arial"/>
          <w:bCs/>
          <w:szCs w:val="19"/>
          <w:lang w:val="en-GB"/>
        </w:rPr>
        <w:t xml:space="preserve"> in comparison with the previous year</w:t>
      </w:r>
      <w:r w:rsidRPr="00504306">
        <w:rPr>
          <w:rFonts w:cs="Arial"/>
          <w:bCs/>
          <w:szCs w:val="19"/>
          <w:lang w:val="en-GB"/>
        </w:rPr>
        <w:t xml:space="preserve">. </w:t>
      </w:r>
      <w:r w:rsidR="006D3BCA">
        <w:rPr>
          <w:rFonts w:cs="Arial"/>
          <w:bCs/>
          <w:szCs w:val="19"/>
          <w:lang w:val="en-GB"/>
        </w:rPr>
        <w:t>Among the socio-economic groups, t</w:t>
      </w:r>
      <w:r w:rsidRPr="00504306">
        <w:rPr>
          <w:rFonts w:cs="Arial"/>
          <w:bCs/>
          <w:szCs w:val="19"/>
          <w:lang w:val="en-GB"/>
        </w:rPr>
        <w:t xml:space="preserve">he lowest share of expenditure </w:t>
      </w:r>
      <w:r w:rsidR="006D3BCA" w:rsidRPr="00504306">
        <w:rPr>
          <w:rFonts w:cs="Arial"/>
          <w:bCs/>
          <w:szCs w:val="19"/>
          <w:lang w:val="en-GB"/>
        </w:rPr>
        <w:t xml:space="preserve">on housing, water, electricity, gas and other fuels </w:t>
      </w:r>
      <w:r w:rsidRPr="00504306">
        <w:rPr>
          <w:rFonts w:cs="Arial"/>
          <w:bCs/>
          <w:szCs w:val="19"/>
          <w:lang w:val="en-GB"/>
        </w:rPr>
        <w:t xml:space="preserve">was </w:t>
      </w:r>
      <w:r w:rsidR="006D3BCA">
        <w:rPr>
          <w:rFonts w:cs="Arial"/>
          <w:bCs/>
          <w:szCs w:val="19"/>
          <w:lang w:val="en-GB"/>
        </w:rPr>
        <w:t xml:space="preserve">recorded </w:t>
      </w:r>
      <w:r w:rsidRPr="00504306">
        <w:rPr>
          <w:rFonts w:cs="Arial"/>
          <w:bCs/>
          <w:szCs w:val="19"/>
          <w:lang w:val="en-GB"/>
        </w:rPr>
        <w:t xml:space="preserve">in the households of </w:t>
      </w:r>
      <w:r w:rsidR="00377B56">
        <w:rPr>
          <w:rFonts w:cs="Arial"/>
          <w:bCs/>
          <w:szCs w:val="19"/>
          <w:lang w:val="en-GB"/>
        </w:rPr>
        <w:t>farmers</w:t>
      </w:r>
      <w:r w:rsidRPr="006416F7">
        <w:rPr>
          <w:rFonts w:cs="Arial"/>
          <w:bCs/>
          <w:szCs w:val="19"/>
          <w:lang w:val="en-GB"/>
        </w:rPr>
        <w:t xml:space="preserve"> (</w:t>
      </w:r>
      <w:r w:rsidR="00450649">
        <w:rPr>
          <w:rFonts w:cs="Arial"/>
          <w:bCs/>
          <w:szCs w:val="19"/>
          <w:lang w:val="en-GB"/>
        </w:rPr>
        <w:t>16.6</w:t>
      </w:r>
      <w:r w:rsidRPr="006416F7">
        <w:rPr>
          <w:rFonts w:cs="Arial"/>
          <w:bCs/>
          <w:szCs w:val="19"/>
          <w:lang w:val="en-GB"/>
        </w:rPr>
        <w:t xml:space="preserve">%) and the highest in the households of pensioners </w:t>
      </w:r>
      <w:r w:rsidR="006D3BCA">
        <w:rPr>
          <w:rFonts w:cs="Arial"/>
          <w:bCs/>
          <w:szCs w:val="19"/>
          <w:lang w:val="en-GB"/>
        </w:rPr>
        <w:t>(</w:t>
      </w:r>
      <w:r w:rsidR="00450649">
        <w:rPr>
          <w:rFonts w:cs="Arial"/>
          <w:bCs/>
          <w:szCs w:val="19"/>
          <w:lang w:val="en-GB"/>
        </w:rPr>
        <w:t>24.9</w:t>
      </w:r>
      <w:r w:rsidRPr="006416F7">
        <w:rPr>
          <w:rFonts w:cs="Arial"/>
          <w:bCs/>
          <w:szCs w:val="19"/>
          <w:lang w:val="en-GB"/>
        </w:rPr>
        <w:t>%</w:t>
      </w:r>
      <w:r w:rsidR="006D3BCA">
        <w:rPr>
          <w:rFonts w:cs="Arial"/>
          <w:bCs/>
          <w:szCs w:val="19"/>
          <w:lang w:val="en-GB"/>
        </w:rPr>
        <w:t>)</w:t>
      </w:r>
      <w:r w:rsidRPr="006416F7">
        <w:rPr>
          <w:rFonts w:cs="Arial"/>
          <w:bCs/>
          <w:szCs w:val="19"/>
          <w:lang w:val="en-GB"/>
        </w:rPr>
        <w:t>.</w:t>
      </w:r>
    </w:p>
    <w:p w14:paraId="7EE94E5D" w14:textId="196F00BE" w:rsidR="00764D9C" w:rsidRDefault="000075A1" w:rsidP="00F64E3E">
      <w:pPr>
        <w:spacing w:before="360" w:after="360" w:line="240" w:lineRule="auto"/>
        <w:rPr>
          <w:spacing w:val="-2"/>
          <w:szCs w:val="19"/>
          <w:shd w:val="clear" w:color="auto" w:fill="FFFFFF"/>
          <w:lang w:val="en-GB"/>
        </w:rPr>
      </w:pPr>
      <w:r>
        <w:rPr>
          <w:noProof/>
          <w:lang w:eastAsia="pl-PL"/>
        </w:rPr>
        <w:lastRenderedPageBreak/>
        <w:drawing>
          <wp:inline distT="0" distB="0" distL="0" distR="0" wp14:anchorId="527C315E" wp14:editId="4FF01403">
            <wp:extent cx="5122545" cy="2915920"/>
            <wp:effectExtent l="0" t="0" r="1905" b="0"/>
            <wp:docPr id="62" name="Wykres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D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E94E5F" w14:textId="532B4222" w:rsidR="007E2F9C" w:rsidRDefault="00EC1615" w:rsidP="005071C2">
      <w:pPr>
        <w:rPr>
          <w:rFonts w:cs="Arial"/>
          <w:i/>
          <w:szCs w:val="19"/>
          <w:lang w:val="en-GB"/>
        </w:rPr>
      </w:pPr>
      <w:r>
        <w:rPr>
          <w:rFonts w:cs="Arial"/>
          <w:szCs w:val="19"/>
          <w:lang w:val="en-GB"/>
        </w:rPr>
        <w:t>B</w:t>
      </w:r>
      <w:r w:rsidR="008C7F4B">
        <w:rPr>
          <w:rFonts w:cs="Arial"/>
          <w:szCs w:val="19"/>
          <w:lang w:val="en-GB"/>
        </w:rPr>
        <w:t>etween 20</w:t>
      </w:r>
      <w:r w:rsidR="00D468FC">
        <w:rPr>
          <w:rFonts w:cs="Arial"/>
          <w:szCs w:val="19"/>
          <w:lang w:val="en-GB"/>
        </w:rPr>
        <w:t>2</w:t>
      </w:r>
      <w:r w:rsidR="0006501E">
        <w:rPr>
          <w:rFonts w:cs="Arial"/>
          <w:szCs w:val="19"/>
          <w:lang w:val="en-GB"/>
        </w:rPr>
        <w:t>4</w:t>
      </w:r>
      <w:r w:rsidR="008C7F4B">
        <w:rPr>
          <w:rFonts w:cs="Arial"/>
          <w:szCs w:val="19"/>
          <w:lang w:val="en-GB"/>
        </w:rPr>
        <w:t xml:space="preserve"> and 20</w:t>
      </w:r>
      <w:r w:rsidR="008D7D3B">
        <w:rPr>
          <w:rFonts w:cs="Arial"/>
          <w:szCs w:val="19"/>
          <w:lang w:val="en-GB"/>
        </w:rPr>
        <w:t>2</w:t>
      </w:r>
      <w:r w:rsidR="0006501E">
        <w:rPr>
          <w:rFonts w:cs="Arial"/>
          <w:szCs w:val="19"/>
          <w:lang w:val="en-GB"/>
        </w:rPr>
        <w:t>5</w:t>
      </w:r>
      <w:r w:rsidR="008C7F4B">
        <w:rPr>
          <w:rFonts w:cs="Arial"/>
          <w:szCs w:val="19"/>
          <w:lang w:val="en-GB"/>
        </w:rPr>
        <w:t>, c</w:t>
      </w:r>
      <w:r w:rsidR="007E2F9C" w:rsidRPr="00F95CD2">
        <w:rPr>
          <w:rFonts w:cs="Arial"/>
          <w:szCs w:val="19"/>
          <w:lang w:val="en-GB"/>
        </w:rPr>
        <w:t xml:space="preserve">hanges in </w:t>
      </w:r>
      <w:r w:rsidR="008D7D3B">
        <w:rPr>
          <w:rFonts w:cs="Arial"/>
          <w:szCs w:val="19"/>
          <w:lang w:val="en-GB"/>
        </w:rPr>
        <w:t xml:space="preserve">the </w:t>
      </w:r>
      <w:r w:rsidR="00BA07C5">
        <w:rPr>
          <w:rFonts w:cs="Arial"/>
          <w:szCs w:val="19"/>
          <w:lang w:val="en-GB"/>
        </w:rPr>
        <w:t xml:space="preserve">share </w:t>
      </w:r>
      <w:r w:rsidR="003E191F">
        <w:rPr>
          <w:rFonts w:cs="Arial"/>
          <w:szCs w:val="19"/>
          <w:lang w:val="en-GB"/>
        </w:rPr>
        <w:t xml:space="preserve">of individual expenditure groups in </w:t>
      </w:r>
      <w:r w:rsidR="00BA07C5">
        <w:rPr>
          <w:rFonts w:cs="Arial"/>
          <w:szCs w:val="19"/>
          <w:lang w:val="en-GB"/>
        </w:rPr>
        <w:t xml:space="preserve">expenditure </w:t>
      </w:r>
      <w:r w:rsidR="007E2F9C" w:rsidRPr="00F95CD2">
        <w:rPr>
          <w:rFonts w:cs="Arial"/>
          <w:szCs w:val="19"/>
          <w:lang w:val="en-GB"/>
        </w:rPr>
        <w:t>structure for households in total ranged from -</w:t>
      </w:r>
      <w:r w:rsidR="0006501E">
        <w:rPr>
          <w:rFonts w:cs="Arial"/>
          <w:szCs w:val="19"/>
          <w:lang w:val="en-GB"/>
        </w:rPr>
        <w:t>0.9</w:t>
      </w:r>
      <w:r w:rsidR="007E2F9C" w:rsidRPr="00F95CD2">
        <w:rPr>
          <w:rFonts w:cs="Arial"/>
          <w:szCs w:val="19"/>
          <w:lang w:val="en-GB"/>
        </w:rPr>
        <w:t xml:space="preserve"> </w:t>
      </w:r>
      <w:r w:rsidR="00F95CD2" w:rsidRPr="00F95CD2">
        <w:rPr>
          <w:rFonts w:cs="Arial"/>
          <w:szCs w:val="19"/>
          <w:lang w:val="en-GB"/>
        </w:rPr>
        <w:t>percentage point</w:t>
      </w:r>
      <w:r w:rsidR="002E6303">
        <w:rPr>
          <w:rFonts w:cs="Arial"/>
          <w:szCs w:val="19"/>
          <w:lang w:val="en-GB"/>
        </w:rPr>
        <w:t>s</w:t>
      </w:r>
      <w:r w:rsidR="000B04B8">
        <w:rPr>
          <w:rFonts w:cs="Arial"/>
          <w:szCs w:val="19"/>
          <w:lang w:val="en-GB"/>
        </w:rPr>
        <w:t xml:space="preserve"> </w:t>
      </w:r>
      <w:r w:rsidR="00A3489A">
        <w:rPr>
          <w:rFonts w:cs="Arial"/>
          <w:szCs w:val="19"/>
          <w:lang w:val="en-GB"/>
        </w:rPr>
        <w:t>(</w:t>
      </w:r>
      <w:r w:rsidR="00C32628">
        <w:rPr>
          <w:rFonts w:cs="Arial"/>
          <w:szCs w:val="19"/>
          <w:lang w:val="en-GB"/>
        </w:rPr>
        <w:t>transport</w:t>
      </w:r>
      <w:r w:rsidR="00A3489A">
        <w:rPr>
          <w:rFonts w:cs="Arial"/>
          <w:szCs w:val="19"/>
          <w:lang w:val="en-GB"/>
        </w:rPr>
        <w:t>)</w:t>
      </w:r>
      <w:r w:rsidR="007E2F9C" w:rsidRPr="00F95CD2">
        <w:rPr>
          <w:rFonts w:cs="Arial"/>
          <w:szCs w:val="19"/>
          <w:lang w:val="en-GB"/>
        </w:rPr>
        <w:t xml:space="preserve"> </w:t>
      </w:r>
      <w:r w:rsidR="00BA07C5">
        <w:rPr>
          <w:rFonts w:cs="Arial"/>
          <w:szCs w:val="19"/>
          <w:lang w:val="en-GB"/>
        </w:rPr>
        <w:t xml:space="preserve">to </w:t>
      </w:r>
      <w:r w:rsidR="007E2F9C" w:rsidRPr="00F95CD2">
        <w:rPr>
          <w:rFonts w:cs="Arial"/>
          <w:szCs w:val="19"/>
          <w:lang w:val="en-GB"/>
        </w:rPr>
        <w:t>+</w:t>
      </w:r>
      <w:r w:rsidR="0006501E">
        <w:rPr>
          <w:rFonts w:cs="Arial"/>
          <w:szCs w:val="19"/>
          <w:lang w:val="en-GB"/>
        </w:rPr>
        <w:t>0.6</w:t>
      </w:r>
      <w:r w:rsidR="00DE01E4">
        <w:rPr>
          <w:rFonts w:cs="Arial"/>
          <w:szCs w:val="19"/>
          <w:lang w:val="en-GB"/>
        </w:rPr>
        <w:t> </w:t>
      </w:r>
      <w:r w:rsidR="007E2F9C" w:rsidRPr="00F95CD2">
        <w:rPr>
          <w:rFonts w:cs="Arial"/>
          <w:szCs w:val="19"/>
          <w:lang w:val="en-GB"/>
        </w:rPr>
        <w:t>pe</w:t>
      </w:r>
      <w:r w:rsidR="000B04B8">
        <w:rPr>
          <w:rFonts w:cs="Arial"/>
          <w:szCs w:val="19"/>
          <w:lang w:val="en-GB"/>
        </w:rPr>
        <w:t xml:space="preserve">rcentage points </w:t>
      </w:r>
      <w:r w:rsidR="00BA07C5">
        <w:rPr>
          <w:rFonts w:cs="Arial"/>
          <w:szCs w:val="19"/>
          <w:lang w:val="en-GB"/>
        </w:rPr>
        <w:t>(</w:t>
      </w:r>
      <w:r w:rsidR="0006501E">
        <w:rPr>
          <w:rFonts w:cs="Arial"/>
          <w:szCs w:val="19"/>
          <w:lang w:val="en-GB"/>
        </w:rPr>
        <w:t xml:space="preserve">housing, water, electricity, gas and other fuels). </w:t>
      </w:r>
    </w:p>
    <w:p w14:paraId="7EE94E61" w14:textId="54FA5D29" w:rsidR="00E75E51" w:rsidRDefault="000075A1" w:rsidP="00F64E3E">
      <w:pPr>
        <w:spacing w:before="360" w:after="360" w:line="240" w:lineRule="auto"/>
        <w:rPr>
          <w:i/>
          <w:spacing w:val="-2"/>
          <w:szCs w:val="19"/>
          <w:shd w:val="clear" w:color="auto" w:fill="FFFFFF"/>
          <w:lang w:val="en-GB"/>
        </w:rPr>
      </w:pPr>
      <w:r>
        <w:rPr>
          <w:noProof/>
          <w:lang w:eastAsia="pl-PL"/>
        </w:rPr>
        <w:drawing>
          <wp:inline distT="0" distB="0" distL="0" distR="0" wp14:anchorId="11A2C877" wp14:editId="58233A07">
            <wp:extent cx="5122545" cy="4787900"/>
            <wp:effectExtent l="0" t="0" r="1905" b="0"/>
            <wp:docPr id="63" name="Wykres 6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D4C0FE" w14:textId="1E5C4C20" w:rsidR="00E75E51" w:rsidRDefault="00E75E51" w:rsidP="00E75E51">
      <w:pPr>
        <w:rPr>
          <w:szCs w:val="19"/>
          <w:lang w:val="en-GB"/>
        </w:rPr>
      </w:pPr>
    </w:p>
    <w:p w14:paraId="55E12836" w14:textId="77777777" w:rsidR="00764D9C" w:rsidRDefault="00764D9C" w:rsidP="00E75E51">
      <w:pPr>
        <w:rPr>
          <w:szCs w:val="19"/>
          <w:lang w:val="en-GB"/>
        </w:rPr>
      </w:pPr>
    </w:p>
    <w:p w14:paraId="39D08F7C" w14:textId="77777777" w:rsidR="00E75E51" w:rsidRDefault="00E75E51" w:rsidP="00E75E51">
      <w:pPr>
        <w:rPr>
          <w:szCs w:val="19"/>
          <w:lang w:val="en-GB"/>
        </w:rPr>
      </w:pPr>
    </w:p>
    <w:p w14:paraId="299C6D6D" w14:textId="77777777" w:rsidR="00DE01E4" w:rsidRDefault="00DE01E4" w:rsidP="00E75E51">
      <w:pPr>
        <w:rPr>
          <w:b/>
          <w:color w:val="001D77"/>
          <w:szCs w:val="19"/>
          <w:lang w:val="en-GB"/>
        </w:rPr>
      </w:pPr>
      <w:r>
        <w:rPr>
          <w:b/>
          <w:color w:val="001D77"/>
          <w:szCs w:val="19"/>
          <w:lang w:val="en-GB"/>
        </w:rPr>
        <w:br w:type="page"/>
      </w:r>
    </w:p>
    <w:p w14:paraId="111D6928" w14:textId="1935376F" w:rsidR="00E75E51" w:rsidRPr="00E75E51" w:rsidRDefault="00E75E51" w:rsidP="00E75E51">
      <w:pPr>
        <w:rPr>
          <w:b/>
          <w:color w:val="001D77"/>
          <w:szCs w:val="19"/>
          <w:lang w:val="en-GB"/>
        </w:rPr>
      </w:pPr>
      <w:r w:rsidRPr="00E75E51">
        <w:rPr>
          <w:b/>
          <w:color w:val="001D77"/>
          <w:szCs w:val="19"/>
          <w:lang w:val="en-GB"/>
        </w:rPr>
        <w:lastRenderedPageBreak/>
        <w:t>Income and expenditure in quintile groups</w:t>
      </w:r>
    </w:p>
    <w:p w14:paraId="7EE94F26" w14:textId="6631A522" w:rsidR="00FE38FD" w:rsidRDefault="00BD5E02" w:rsidP="005071C2">
      <w:pPr>
        <w:rPr>
          <w:rFonts w:cs="Arial"/>
          <w:szCs w:val="19"/>
          <w:lang w:val="en-GB"/>
        </w:rPr>
      </w:pPr>
      <w:r>
        <w:rPr>
          <w:noProof/>
          <w:lang w:eastAsia="pl-PL"/>
        </w:rPr>
        <mc:AlternateContent>
          <mc:Choice Requires="wps">
            <w:drawing>
              <wp:anchor distT="45720" distB="45720" distL="114300" distR="114300" simplePos="0" relativeHeight="251813888" behindDoc="1" locked="0" layoutInCell="1" allowOverlap="1" wp14:anchorId="7EE94FB0" wp14:editId="376C4834">
                <wp:simplePos x="0" y="0"/>
                <wp:positionH relativeFrom="column">
                  <wp:posOffset>5259705</wp:posOffset>
                </wp:positionH>
                <wp:positionV relativeFrom="paragraph">
                  <wp:posOffset>577850</wp:posOffset>
                </wp:positionV>
                <wp:extent cx="1764665" cy="1772920"/>
                <wp:effectExtent l="0" t="0" r="0" b="0"/>
                <wp:wrapTight wrapText="bothSides">
                  <wp:wrapPolygon edited="0">
                    <wp:start x="700" y="0"/>
                    <wp:lineTo x="700" y="21352"/>
                    <wp:lineTo x="20753" y="21352"/>
                    <wp:lineTo x="20753" y="0"/>
                    <wp:lineTo x="700" y="0"/>
                  </wp:wrapPolygon>
                </wp:wrapTight>
                <wp:docPr id="216" name="Pole tekstow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772920"/>
                        </a:xfrm>
                        <a:prstGeom prst="rect">
                          <a:avLst/>
                        </a:prstGeom>
                        <a:noFill/>
                        <a:ln w="9525">
                          <a:noFill/>
                          <a:miter lim="800000"/>
                          <a:headEnd/>
                          <a:tailEnd/>
                        </a:ln>
                      </wps:spPr>
                      <wps:txbx>
                        <w:txbxContent>
                          <w:p w14:paraId="7EE95018" w14:textId="671A9B5C" w:rsidR="00E127EB" w:rsidRPr="00A13CB9" w:rsidRDefault="00E127EB" w:rsidP="00764D9C">
                            <w:pPr>
                              <w:pStyle w:val="tekstzboku"/>
                              <w:rPr>
                                <w:spacing w:val="-2"/>
                                <w:lang w:val="en-GB"/>
                              </w:rPr>
                            </w:pPr>
                            <w:r>
                              <w:rPr>
                                <w:spacing w:val="-2"/>
                                <w:lang w:val="en-GB"/>
                              </w:rPr>
                              <w:t>In the h</w:t>
                            </w:r>
                            <w:r w:rsidRPr="00A13CB9">
                              <w:rPr>
                                <w:spacing w:val="-2"/>
                                <w:lang w:val="en-GB"/>
                              </w:rPr>
                              <w:t>ouseholds of 20% of persons in the most favourable financial s</w:t>
                            </w:r>
                            <w:r>
                              <w:rPr>
                                <w:spacing w:val="-2"/>
                                <w:lang w:val="en-GB"/>
                              </w:rPr>
                              <w:t>i</w:t>
                            </w:r>
                            <w:r w:rsidRPr="00A13CB9">
                              <w:rPr>
                                <w:spacing w:val="-2"/>
                                <w:lang w:val="en-GB"/>
                              </w:rPr>
                              <w:t xml:space="preserve">tuation </w:t>
                            </w:r>
                            <w:r>
                              <w:rPr>
                                <w:spacing w:val="-2"/>
                                <w:lang w:val="en-GB"/>
                              </w:rPr>
                              <w:t>was ac</w:t>
                            </w:r>
                            <w:r w:rsidRPr="00A13CB9">
                              <w:rPr>
                                <w:spacing w:val="-2"/>
                                <w:lang w:val="en-GB"/>
                              </w:rPr>
                              <w:t xml:space="preserve">cumulated </w:t>
                            </w:r>
                            <w:r>
                              <w:rPr>
                                <w:spacing w:val="-2"/>
                                <w:lang w:val="en-GB"/>
                              </w:rPr>
                              <w:t>39.4</w:t>
                            </w:r>
                            <w:r w:rsidRPr="00A13CB9">
                              <w:rPr>
                                <w:spacing w:val="-2"/>
                                <w:lang w:val="en-GB"/>
                              </w:rPr>
                              <w:t xml:space="preserve">% </w:t>
                            </w:r>
                            <w:r>
                              <w:rPr>
                                <w:spacing w:val="-2"/>
                                <w:lang w:val="en-GB"/>
                              </w:rPr>
                              <w:t xml:space="preserve">of </w:t>
                            </w:r>
                            <w:r w:rsidRPr="00A13CB9">
                              <w:rPr>
                                <w:spacing w:val="-2"/>
                                <w:lang w:val="en-GB"/>
                              </w:rPr>
                              <w:t xml:space="preserve">income </w:t>
                            </w:r>
                            <w:r>
                              <w:rPr>
                                <w:spacing w:val="-2"/>
                                <w:lang w:val="en-GB"/>
                              </w:rPr>
                              <w:t>of entire</w:t>
                            </w:r>
                            <w:r w:rsidRPr="00A13CB9">
                              <w:rPr>
                                <w:spacing w:val="-2"/>
                                <w:lang w:val="en-GB"/>
                              </w:rPr>
                              <w:t xml:space="preserve"> sur</w:t>
                            </w:r>
                            <w:r>
                              <w:rPr>
                                <w:spacing w:val="-2"/>
                                <w:lang w:val="en-GB"/>
                              </w:rPr>
                              <w:t>veyed population of households, while in the h</w:t>
                            </w:r>
                            <w:r w:rsidRPr="00A13CB9">
                              <w:rPr>
                                <w:spacing w:val="-2"/>
                                <w:lang w:val="en-GB"/>
                              </w:rPr>
                              <w:t xml:space="preserve">ouseholds of 20% of the persons </w:t>
                            </w:r>
                            <w:r>
                              <w:rPr>
                                <w:spacing w:val="-2"/>
                                <w:lang w:val="en-GB"/>
                              </w:rPr>
                              <w:t xml:space="preserve">in the worst situation </w:t>
                            </w:r>
                            <w:r>
                              <w:rPr>
                                <w:spacing w:val="-2"/>
                                <w:lang w:val="en-GB"/>
                              </w:rPr>
                              <w:br/>
                              <w:t>–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0" id="Pole tekstowe 216" o:spid="_x0000_s1033" type="#_x0000_t202" style="position:absolute;margin-left:414.15pt;margin-top:45.5pt;width:138.95pt;height:139.6pt;z-index:-25150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" filled="f" stroked="f">
                <v:textbox>
                  <w:txbxContent>
                    <w:p w14:paraId="7EE95018" w14:textId="671A9B5C" w:rsidR="00E127EB" w:rsidRPr="00A13CB9" w:rsidRDefault="00E127EB" w:rsidP="00764D9C">
                      <w:pPr>
                        <w:pStyle w:val="tekstzboku"/>
                        <w:rPr>
                          <w:spacing w:val="-2"/>
                          <w:lang w:val="en-GB"/>
                        </w:rPr>
                      </w:pPr>
                      <w:r>
                        <w:rPr>
                          <w:spacing w:val="-2"/>
                          <w:lang w:val="en-GB"/>
                        </w:rPr>
                        <w:t>In the h</w:t>
                      </w:r>
                      <w:r w:rsidRPr="00A13CB9">
                        <w:rPr>
                          <w:spacing w:val="-2"/>
                          <w:lang w:val="en-GB"/>
                        </w:rPr>
                        <w:t>ouseholds of 20% of persons in the most favourable financial s</w:t>
                      </w:r>
                      <w:r>
                        <w:rPr>
                          <w:spacing w:val="-2"/>
                          <w:lang w:val="en-GB"/>
                        </w:rPr>
                        <w:t>i</w:t>
                      </w:r>
                      <w:r w:rsidRPr="00A13CB9">
                        <w:rPr>
                          <w:spacing w:val="-2"/>
                          <w:lang w:val="en-GB"/>
                        </w:rPr>
                        <w:t xml:space="preserve">tuation </w:t>
                      </w:r>
                      <w:r>
                        <w:rPr>
                          <w:spacing w:val="-2"/>
                          <w:lang w:val="en-GB"/>
                        </w:rPr>
                        <w:t>was ac</w:t>
                      </w:r>
                      <w:r w:rsidRPr="00A13CB9">
                        <w:rPr>
                          <w:spacing w:val="-2"/>
                          <w:lang w:val="en-GB"/>
                        </w:rPr>
                        <w:t xml:space="preserve">cumulated </w:t>
                      </w:r>
                      <w:r>
                        <w:rPr>
                          <w:spacing w:val="-2"/>
                          <w:lang w:val="en-GB"/>
                        </w:rPr>
                        <w:t>39.4</w:t>
                      </w:r>
                      <w:r w:rsidRPr="00A13CB9">
                        <w:rPr>
                          <w:spacing w:val="-2"/>
                          <w:lang w:val="en-GB"/>
                        </w:rPr>
                        <w:t xml:space="preserve">% </w:t>
                      </w:r>
                      <w:r>
                        <w:rPr>
                          <w:spacing w:val="-2"/>
                          <w:lang w:val="en-GB"/>
                        </w:rPr>
                        <w:t xml:space="preserve">of </w:t>
                      </w:r>
                      <w:r w:rsidRPr="00A13CB9">
                        <w:rPr>
                          <w:spacing w:val="-2"/>
                          <w:lang w:val="en-GB"/>
                        </w:rPr>
                        <w:t xml:space="preserve">income </w:t>
                      </w:r>
                      <w:r>
                        <w:rPr>
                          <w:spacing w:val="-2"/>
                          <w:lang w:val="en-GB"/>
                        </w:rPr>
                        <w:t>of entire</w:t>
                      </w:r>
                      <w:r w:rsidRPr="00A13CB9">
                        <w:rPr>
                          <w:spacing w:val="-2"/>
                          <w:lang w:val="en-GB"/>
                        </w:rPr>
                        <w:t xml:space="preserve"> sur</w:t>
                      </w:r>
                      <w:r>
                        <w:rPr>
                          <w:spacing w:val="-2"/>
                          <w:lang w:val="en-GB"/>
                        </w:rPr>
                        <w:t>veyed population of households, while in the h</w:t>
                      </w:r>
                      <w:r w:rsidRPr="00A13CB9">
                        <w:rPr>
                          <w:spacing w:val="-2"/>
                          <w:lang w:val="en-GB"/>
                        </w:rPr>
                        <w:t xml:space="preserve">ouseholds of 20% of the persons </w:t>
                      </w:r>
                      <w:r>
                        <w:rPr>
                          <w:spacing w:val="-2"/>
                          <w:lang w:val="en-GB"/>
                        </w:rPr>
                        <w:t xml:space="preserve">in the worst situation </w:t>
                      </w:r>
                      <w:r>
                        <w:rPr>
                          <w:spacing w:val="-2"/>
                          <w:lang w:val="en-GB"/>
                        </w:rPr>
                        <w:br/>
                        <w:t>– 6.8%</w:t>
                      </w:r>
                    </w:p>
                  </w:txbxContent>
                </v:textbox>
                <w10:wrap type="tight"/>
              </v:shape>
            </w:pict>
          </mc:Fallback>
        </mc:AlternateContent>
      </w:r>
      <w:r w:rsidR="00FE38FD" w:rsidRPr="00F42DEC">
        <w:rPr>
          <w:rFonts w:cs="Arial"/>
          <w:szCs w:val="19"/>
          <w:lang w:val="en-GB"/>
        </w:rPr>
        <w:t xml:space="preserve">The average </w:t>
      </w:r>
      <w:r w:rsidR="00E37E07">
        <w:rPr>
          <w:rFonts w:cs="Arial"/>
          <w:szCs w:val="19"/>
          <w:lang w:val="en-GB"/>
        </w:rPr>
        <w:t xml:space="preserve">monthly </w:t>
      </w:r>
      <w:r w:rsidR="00FE38FD" w:rsidRPr="00F42DEC">
        <w:rPr>
          <w:rFonts w:cs="Arial"/>
          <w:szCs w:val="19"/>
          <w:lang w:val="en-GB"/>
        </w:rPr>
        <w:t xml:space="preserve">available income </w:t>
      </w:r>
      <w:r w:rsidR="00F203D8">
        <w:rPr>
          <w:rFonts w:cs="Arial"/>
          <w:szCs w:val="19"/>
          <w:lang w:val="en-GB"/>
        </w:rPr>
        <w:t xml:space="preserve">per capita in the group </w:t>
      </w:r>
      <w:r w:rsidR="00E26767">
        <w:rPr>
          <w:rFonts w:cs="Arial"/>
          <w:szCs w:val="19"/>
          <w:lang w:val="en-GB"/>
        </w:rPr>
        <w:t>of the 20% of persons with the </w:t>
      </w:r>
      <w:r w:rsidR="00FE38FD" w:rsidRPr="00F42DEC">
        <w:rPr>
          <w:rFonts w:cs="Arial"/>
          <w:szCs w:val="19"/>
          <w:lang w:val="en-GB"/>
        </w:rPr>
        <w:t xml:space="preserve">highest income (5th quintile group) amounted to PLN </w:t>
      </w:r>
      <w:r w:rsidR="00601D19">
        <w:rPr>
          <w:rFonts w:cs="Arial"/>
          <w:szCs w:val="19"/>
          <w:lang w:val="en-GB"/>
        </w:rPr>
        <w:t>6910</w:t>
      </w:r>
      <w:r w:rsidR="00FE38FD" w:rsidRPr="00F42DEC">
        <w:rPr>
          <w:rFonts w:cs="Arial"/>
          <w:szCs w:val="19"/>
          <w:lang w:val="en-GB"/>
        </w:rPr>
        <w:t xml:space="preserve">, and </w:t>
      </w:r>
      <w:r w:rsidR="000D384E">
        <w:rPr>
          <w:rFonts w:cs="Arial"/>
          <w:szCs w:val="19"/>
          <w:lang w:val="en-GB"/>
        </w:rPr>
        <w:t xml:space="preserve">it </w:t>
      </w:r>
      <w:r w:rsidR="00FE38FD" w:rsidRPr="00F42DEC">
        <w:rPr>
          <w:rFonts w:cs="Arial"/>
          <w:szCs w:val="19"/>
          <w:lang w:val="en-GB"/>
        </w:rPr>
        <w:t xml:space="preserve">was </w:t>
      </w:r>
      <w:r w:rsidR="00601D19">
        <w:rPr>
          <w:rFonts w:cs="Arial"/>
          <w:szCs w:val="19"/>
          <w:lang w:val="en-GB"/>
        </w:rPr>
        <w:t>5.8</w:t>
      </w:r>
      <w:r w:rsidR="00FE38FD" w:rsidRPr="00F42DEC">
        <w:rPr>
          <w:rFonts w:cs="Arial"/>
          <w:szCs w:val="19"/>
          <w:lang w:val="en-GB"/>
        </w:rPr>
        <w:t xml:space="preserve"> times higher </w:t>
      </w:r>
      <w:r w:rsidR="00E26767">
        <w:rPr>
          <w:rFonts w:cs="Arial"/>
          <w:szCs w:val="19"/>
          <w:lang w:val="en-GB"/>
        </w:rPr>
        <w:t>(in </w:t>
      </w:r>
      <w:r w:rsidR="000D384E">
        <w:rPr>
          <w:rFonts w:cs="Arial"/>
          <w:szCs w:val="19"/>
          <w:lang w:val="en-GB"/>
        </w:rPr>
        <w:t>20</w:t>
      </w:r>
      <w:r w:rsidR="0071615B">
        <w:rPr>
          <w:rFonts w:cs="Arial"/>
          <w:szCs w:val="19"/>
          <w:lang w:val="en-GB"/>
        </w:rPr>
        <w:t>2</w:t>
      </w:r>
      <w:r w:rsidR="00601D19">
        <w:rPr>
          <w:rFonts w:cs="Arial"/>
          <w:szCs w:val="19"/>
          <w:lang w:val="en-GB"/>
        </w:rPr>
        <w:t>4</w:t>
      </w:r>
      <w:r w:rsidR="000D384E">
        <w:rPr>
          <w:rFonts w:cs="Arial"/>
          <w:szCs w:val="19"/>
          <w:lang w:val="en-GB"/>
        </w:rPr>
        <w:t xml:space="preserve"> </w:t>
      </w:r>
      <w:r w:rsidR="008F6139">
        <w:rPr>
          <w:rFonts w:cs="Arial"/>
          <w:szCs w:val="19"/>
          <w:lang w:val="en-GB"/>
        </w:rPr>
        <w:t xml:space="preserve">– </w:t>
      </w:r>
      <w:r w:rsidR="00C32628" w:rsidRPr="00C32628">
        <w:rPr>
          <w:rFonts w:cs="Arial"/>
          <w:szCs w:val="19"/>
          <w:lang w:val="en-GB"/>
        </w:rPr>
        <w:t>PLN 6071</w:t>
      </w:r>
      <w:r w:rsidR="00C32628">
        <w:rPr>
          <w:rFonts w:cs="Arial"/>
          <w:szCs w:val="19"/>
          <w:lang w:val="en-GB"/>
        </w:rPr>
        <w:t xml:space="preserve"> and </w:t>
      </w:r>
      <w:r w:rsidR="00601D19">
        <w:rPr>
          <w:rFonts w:cs="Arial"/>
          <w:szCs w:val="19"/>
          <w:lang w:val="en-GB"/>
        </w:rPr>
        <w:t>5.3</w:t>
      </w:r>
      <w:r w:rsidR="000D384E">
        <w:rPr>
          <w:rFonts w:cs="Arial"/>
          <w:szCs w:val="19"/>
          <w:lang w:val="en-GB"/>
        </w:rPr>
        <w:t xml:space="preserve"> times higher) </w:t>
      </w:r>
      <w:r w:rsidR="00FE38FD" w:rsidRPr="00F42DEC">
        <w:rPr>
          <w:rFonts w:cs="Arial"/>
          <w:szCs w:val="19"/>
          <w:lang w:val="en-GB"/>
        </w:rPr>
        <w:t>than the respective income of the 20% of persons with the lowest income (1st quintile group)</w:t>
      </w:r>
      <w:r w:rsidR="000D384E">
        <w:rPr>
          <w:rFonts w:cs="Arial"/>
          <w:szCs w:val="19"/>
          <w:lang w:val="en-GB"/>
        </w:rPr>
        <w:t xml:space="preserve">. </w:t>
      </w:r>
    </w:p>
    <w:p w14:paraId="7EE94F27" w14:textId="1E639E66" w:rsidR="00A46164" w:rsidRPr="00E26767" w:rsidRDefault="009B10AC" w:rsidP="005071C2">
      <w:pPr>
        <w:rPr>
          <w:rFonts w:cs="Arial"/>
          <w:bCs/>
          <w:i/>
          <w:spacing w:val="-2"/>
          <w:szCs w:val="19"/>
          <w:lang w:val="en-GB"/>
        </w:rPr>
      </w:pPr>
      <w:r w:rsidRPr="00E26767">
        <w:rPr>
          <w:rFonts w:cs="Arial"/>
          <w:spacing w:val="-2"/>
          <w:szCs w:val="19"/>
          <w:lang w:val="en-GB"/>
        </w:rPr>
        <w:t>In the h</w:t>
      </w:r>
      <w:r w:rsidR="00A46164" w:rsidRPr="00E26767">
        <w:rPr>
          <w:rFonts w:cs="Arial"/>
          <w:spacing w:val="-2"/>
          <w:szCs w:val="19"/>
          <w:lang w:val="en-GB"/>
        </w:rPr>
        <w:t xml:space="preserve">ouseholds of 20% </w:t>
      </w:r>
      <w:r w:rsidR="003207FC" w:rsidRPr="00E26767">
        <w:rPr>
          <w:rFonts w:cs="Arial"/>
          <w:spacing w:val="-2"/>
          <w:szCs w:val="19"/>
          <w:lang w:val="en-GB"/>
        </w:rPr>
        <w:t xml:space="preserve">of </w:t>
      </w:r>
      <w:r w:rsidR="00A46164" w:rsidRPr="00E26767">
        <w:rPr>
          <w:rFonts w:cs="Arial"/>
          <w:spacing w:val="-2"/>
          <w:szCs w:val="19"/>
          <w:lang w:val="en-GB"/>
        </w:rPr>
        <w:t xml:space="preserve">persons </w:t>
      </w:r>
      <w:r w:rsidR="00353959" w:rsidRPr="00E26767">
        <w:rPr>
          <w:rFonts w:cs="Arial"/>
          <w:spacing w:val="-2"/>
          <w:szCs w:val="19"/>
          <w:lang w:val="en-GB"/>
        </w:rPr>
        <w:t>in</w:t>
      </w:r>
      <w:r w:rsidR="00A46164" w:rsidRPr="00E26767">
        <w:rPr>
          <w:rFonts w:cs="Arial"/>
          <w:spacing w:val="-2"/>
          <w:szCs w:val="19"/>
          <w:lang w:val="en-GB"/>
        </w:rPr>
        <w:t xml:space="preserve"> the </w:t>
      </w:r>
      <w:r w:rsidR="00976CCF" w:rsidRPr="00E26767">
        <w:rPr>
          <w:rFonts w:cs="Arial"/>
          <w:spacing w:val="-2"/>
          <w:szCs w:val="19"/>
          <w:lang w:val="en-GB"/>
        </w:rPr>
        <w:t>most favourable</w:t>
      </w:r>
      <w:r w:rsidR="00A46164" w:rsidRPr="00E26767">
        <w:rPr>
          <w:rFonts w:cs="Arial"/>
          <w:spacing w:val="-2"/>
          <w:szCs w:val="19"/>
          <w:lang w:val="en-GB"/>
        </w:rPr>
        <w:t xml:space="preserve"> income </w:t>
      </w:r>
      <w:r w:rsidR="00353959" w:rsidRPr="00E26767">
        <w:rPr>
          <w:rFonts w:cs="Arial"/>
          <w:spacing w:val="-2"/>
          <w:szCs w:val="19"/>
          <w:lang w:val="en-GB"/>
        </w:rPr>
        <w:t>situation</w:t>
      </w:r>
      <w:r w:rsidR="003207FC" w:rsidRPr="00E26767">
        <w:rPr>
          <w:rFonts w:cs="Arial"/>
          <w:spacing w:val="-2"/>
          <w:szCs w:val="19"/>
          <w:lang w:val="en-GB"/>
        </w:rPr>
        <w:t>,</w:t>
      </w:r>
      <w:r w:rsidR="00353959" w:rsidRPr="00E26767">
        <w:rPr>
          <w:rFonts w:cs="Arial"/>
          <w:spacing w:val="-2"/>
          <w:szCs w:val="19"/>
          <w:lang w:val="en-GB"/>
        </w:rPr>
        <w:t xml:space="preserve"> there was </w:t>
      </w:r>
      <w:r w:rsidR="00A13CB9" w:rsidRPr="00E26767">
        <w:rPr>
          <w:rFonts w:cs="Arial"/>
          <w:spacing w:val="-2"/>
          <w:szCs w:val="19"/>
          <w:lang w:val="en-GB"/>
        </w:rPr>
        <w:t>ac</w:t>
      </w:r>
      <w:r w:rsidR="00A46164" w:rsidRPr="00E26767">
        <w:rPr>
          <w:rFonts w:cs="Arial"/>
          <w:spacing w:val="-2"/>
          <w:szCs w:val="19"/>
          <w:lang w:val="en-GB"/>
        </w:rPr>
        <w:t xml:space="preserve">cumulated </w:t>
      </w:r>
      <w:r w:rsidR="00601D19">
        <w:rPr>
          <w:rFonts w:cs="Arial"/>
          <w:spacing w:val="-2"/>
          <w:szCs w:val="19"/>
          <w:lang w:val="en-GB"/>
        </w:rPr>
        <w:t>39.4</w:t>
      </w:r>
      <w:r w:rsidR="00A46164" w:rsidRPr="00E26767">
        <w:rPr>
          <w:rFonts w:cs="Arial"/>
          <w:spacing w:val="-2"/>
          <w:szCs w:val="19"/>
          <w:lang w:val="en-GB"/>
        </w:rPr>
        <w:t xml:space="preserve">% </w:t>
      </w:r>
      <w:r w:rsidR="00353959" w:rsidRPr="00E26767">
        <w:rPr>
          <w:rFonts w:cs="Arial"/>
          <w:spacing w:val="-2"/>
          <w:szCs w:val="19"/>
          <w:lang w:val="en-GB"/>
        </w:rPr>
        <w:t xml:space="preserve">of </w:t>
      </w:r>
      <w:r w:rsidR="00A46164" w:rsidRPr="00E26767">
        <w:rPr>
          <w:rFonts w:cs="Arial"/>
          <w:spacing w:val="-2"/>
          <w:szCs w:val="19"/>
          <w:lang w:val="en-GB"/>
        </w:rPr>
        <w:t xml:space="preserve">income </w:t>
      </w:r>
      <w:r w:rsidR="00353959" w:rsidRPr="00E26767">
        <w:rPr>
          <w:rFonts w:cs="Arial"/>
          <w:spacing w:val="-2"/>
          <w:szCs w:val="19"/>
          <w:lang w:val="en-GB"/>
        </w:rPr>
        <w:t>of entire</w:t>
      </w:r>
      <w:r w:rsidR="00A46164" w:rsidRPr="00E26767">
        <w:rPr>
          <w:rFonts w:cs="Arial"/>
          <w:spacing w:val="-2"/>
          <w:szCs w:val="19"/>
          <w:lang w:val="en-GB"/>
        </w:rPr>
        <w:t xml:space="preserve"> </w:t>
      </w:r>
      <w:r w:rsidR="00353959" w:rsidRPr="00E26767">
        <w:rPr>
          <w:rFonts w:cs="Arial"/>
          <w:spacing w:val="-2"/>
          <w:szCs w:val="19"/>
          <w:lang w:val="en-GB"/>
        </w:rPr>
        <w:t xml:space="preserve">surveyed </w:t>
      </w:r>
      <w:r w:rsidR="00A46164" w:rsidRPr="00E26767">
        <w:rPr>
          <w:rFonts w:cs="Arial"/>
          <w:spacing w:val="-2"/>
          <w:szCs w:val="19"/>
          <w:lang w:val="en-GB"/>
        </w:rPr>
        <w:t>population of households (in 20</w:t>
      </w:r>
      <w:r w:rsidR="0071615B" w:rsidRPr="00E26767">
        <w:rPr>
          <w:rFonts w:cs="Arial"/>
          <w:spacing w:val="-2"/>
          <w:szCs w:val="19"/>
          <w:lang w:val="en-GB"/>
        </w:rPr>
        <w:t>2</w:t>
      </w:r>
      <w:r w:rsidR="00601D19">
        <w:rPr>
          <w:rFonts w:cs="Arial"/>
          <w:spacing w:val="-2"/>
          <w:szCs w:val="19"/>
          <w:lang w:val="en-GB"/>
        </w:rPr>
        <w:t>4</w:t>
      </w:r>
      <w:r w:rsidR="00A46164" w:rsidRPr="00E26767">
        <w:rPr>
          <w:rFonts w:cs="Arial"/>
          <w:spacing w:val="-2"/>
          <w:szCs w:val="19"/>
          <w:lang w:val="en-GB"/>
        </w:rPr>
        <w:t xml:space="preserve"> – </w:t>
      </w:r>
      <w:r w:rsidR="00601D19">
        <w:rPr>
          <w:rFonts w:cs="Arial"/>
          <w:spacing w:val="-2"/>
          <w:szCs w:val="19"/>
          <w:lang w:val="en-GB"/>
        </w:rPr>
        <w:t>38.2</w:t>
      </w:r>
      <w:r w:rsidR="00A46164" w:rsidRPr="00E26767">
        <w:rPr>
          <w:rFonts w:cs="Arial"/>
          <w:spacing w:val="-2"/>
          <w:szCs w:val="19"/>
          <w:lang w:val="en-GB"/>
        </w:rPr>
        <w:t xml:space="preserve">%), while </w:t>
      </w:r>
      <w:r w:rsidR="0026206E" w:rsidRPr="00E26767">
        <w:rPr>
          <w:rFonts w:cs="Arial"/>
          <w:spacing w:val="-2"/>
          <w:szCs w:val="19"/>
          <w:lang w:val="en-GB"/>
        </w:rPr>
        <w:t xml:space="preserve">in the households of </w:t>
      </w:r>
      <w:r w:rsidR="00A46164" w:rsidRPr="00E26767">
        <w:rPr>
          <w:rFonts w:cs="Arial"/>
          <w:spacing w:val="-2"/>
          <w:szCs w:val="19"/>
          <w:lang w:val="en-GB"/>
        </w:rPr>
        <w:t xml:space="preserve">20% </w:t>
      </w:r>
      <w:r w:rsidR="003207FC" w:rsidRPr="00E26767">
        <w:rPr>
          <w:rFonts w:cs="Arial"/>
          <w:spacing w:val="-2"/>
          <w:szCs w:val="19"/>
          <w:lang w:val="en-GB"/>
        </w:rPr>
        <w:t xml:space="preserve">of </w:t>
      </w:r>
      <w:r w:rsidR="00A46164" w:rsidRPr="00E26767">
        <w:rPr>
          <w:rFonts w:cs="Arial"/>
          <w:spacing w:val="-2"/>
          <w:szCs w:val="19"/>
          <w:lang w:val="en-GB"/>
        </w:rPr>
        <w:t xml:space="preserve">persons </w:t>
      </w:r>
      <w:r w:rsidR="00353959" w:rsidRPr="00E26767">
        <w:rPr>
          <w:rFonts w:cs="Arial"/>
          <w:spacing w:val="-2"/>
          <w:szCs w:val="19"/>
          <w:lang w:val="en-GB"/>
        </w:rPr>
        <w:t>in the worst</w:t>
      </w:r>
      <w:r w:rsidR="003207FC" w:rsidRPr="00E26767">
        <w:rPr>
          <w:rFonts w:cs="Arial"/>
          <w:spacing w:val="-2"/>
          <w:szCs w:val="19"/>
          <w:lang w:val="en-GB"/>
        </w:rPr>
        <w:t xml:space="preserve"> income</w:t>
      </w:r>
      <w:r w:rsidR="00353959" w:rsidRPr="00E26767">
        <w:rPr>
          <w:rFonts w:cs="Arial"/>
          <w:spacing w:val="-2"/>
          <w:szCs w:val="19"/>
          <w:lang w:val="en-GB"/>
        </w:rPr>
        <w:t xml:space="preserve"> situation</w:t>
      </w:r>
      <w:r w:rsidR="00A46164" w:rsidRPr="00E26767">
        <w:rPr>
          <w:rFonts w:cs="Arial"/>
          <w:spacing w:val="-2"/>
          <w:szCs w:val="19"/>
          <w:lang w:val="en-GB"/>
        </w:rPr>
        <w:t xml:space="preserve"> – </w:t>
      </w:r>
      <w:r w:rsidR="00601D19">
        <w:rPr>
          <w:rFonts w:cs="Arial"/>
          <w:spacing w:val="-2"/>
          <w:szCs w:val="19"/>
          <w:lang w:val="en-GB"/>
        </w:rPr>
        <w:t>6.8</w:t>
      </w:r>
      <w:r w:rsidR="00A46164" w:rsidRPr="00E26767">
        <w:rPr>
          <w:rFonts w:cs="Arial"/>
          <w:spacing w:val="-2"/>
          <w:szCs w:val="19"/>
          <w:lang w:val="en-GB"/>
        </w:rPr>
        <w:t>% (in 20</w:t>
      </w:r>
      <w:r w:rsidR="0071615B" w:rsidRPr="00E26767">
        <w:rPr>
          <w:rFonts w:cs="Arial"/>
          <w:spacing w:val="-2"/>
          <w:szCs w:val="19"/>
          <w:lang w:val="en-GB"/>
        </w:rPr>
        <w:t>2</w:t>
      </w:r>
      <w:r w:rsidR="00601D19">
        <w:rPr>
          <w:rFonts w:cs="Arial"/>
          <w:spacing w:val="-2"/>
          <w:szCs w:val="19"/>
          <w:lang w:val="en-GB"/>
        </w:rPr>
        <w:t>4</w:t>
      </w:r>
      <w:r w:rsidR="00A46164" w:rsidRPr="00E26767">
        <w:rPr>
          <w:rFonts w:cs="Arial"/>
          <w:spacing w:val="-2"/>
          <w:szCs w:val="19"/>
          <w:lang w:val="en-GB"/>
        </w:rPr>
        <w:t xml:space="preserve"> – </w:t>
      </w:r>
      <w:r w:rsidR="00601D19">
        <w:rPr>
          <w:rFonts w:cs="Arial"/>
          <w:spacing w:val="-2"/>
          <w:szCs w:val="19"/>
          <w:lang w:val="en-GB"/>
        </w:rPr>
        <w:t>7.2</w:t>
      </w:r>
      <w:r w:rsidR="00A46164" w:rsidRPr="00E26767">
        <w:rPr>
          <w:rFonts w:cs="Arial"/>
          <w:spacing w:val="-2"/>
          <w:szCs w:val="19"/>
          <w:lang w:val="en-GB"/>
        </w:rPr>
        <w:t>%).</w:t>
      </w:r>
    </w:p>
    <w:p w14:paraId="7EE94F2A" w14:textId="7C57A23A" w:rsidR="00764D9C" w:rsidRPr="00977078" w:rsidRDefault="000075A1" w:rsidP="00F64E3E">
      <w:pPr>
        <w:spacing w:before="360" w:after="360" w:line="240" w:lineRule="auto"/>
        <w:rPr>
          <w:i/>
          <w:spacing w:val="-2"/>
          <w:szCs w:val="19"/>
          <w:shd w:val="clear" w:color="auto" w:fill="FFFFFF"/>
          <w:lang w:val="en-GB"/>
        </w:rPr>
      </w:pPr>
      <w:r>
        <w:rPr>
          <w:noProof/>
          <w:lang w:eastAsia="pl-PL"/>
        </w:rPr>
        <w:drawing>
          <wp:inline distT="0" distB="0" distL="0" distR="0" wp14:anchorId="48F7777E" wp14:editId="7A7BDCA2">
            <wp:extent cx="5122545" cy="2879725"/>
            <wp:effectExtent l="0" t="0" r="1905" b="0"/>
            <wp:docPr id="192" name="Wykres 1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AD1A33" w14:textId="40818779" w:rsidR="005B4411" w:rsidRDefault="005B4411" w:rsidP="005071C2">
      <w:pPr>
        <w:rPr>
          <w:rFonts w:cs="Arial"/>
          <w:bCs/>
          <w:szCs w:val="19"/>
          <w:lang w:val="en-GB"/>
        </w:rPr>
      </w:pPr>
      <w:r w:rsidRPr="005D7DB0">
        <w:rPr>
          <w:rFonts w:cs="Arial"/>
          <w:szCs w:val="19"/>
          <w:lang w:val="en-GB"/>
        </w:rPr>
        <w:t xml:space="preserve">The average </w:t>
      </w:r>
      <w:r>
        <w:rPr>
          <w:rFonts w:cs="Arial"/>
          <w:szCs w:val="19"/>
          <w:lang w:val="en-GB"/>
        </w:rPr>
        <w:t>monthly expenditure</w:t>
      </w:r>
      <w:r w:rsidRPr="006416F7">
        <w:rPr>
          <w:rFonts w:cs="Arial"/>
          <w:szCs w:val="19"/>
          <w:lang w:val="en-GB"/>
        </w:rPr>
        <w:t xml:space="preserve"> </w:t>
      </w:r>
      <w:r>
        <w:rPr>
          <w:rFonts w:cs="Arial"/>
          <w:szCs w:val="19"/>
          <w:lang w:val="en-GB"/>
        </w:rPr>
        <w:t>per capita in the 5th quintile group</w:t>
      </w:r>
      <w:r w:rsidRPr="006416F7">
        <w:rPr>
          <w:rFonts w:cs="Arial"/>
          <w:szCs w:val="19"/>
          <w:lang w:val="en-GB"/>
        </w:rPr>
        <w:t xml:space="preserve"> </w:t>
      </w:r>
      <w:r>
        <w:rPr>
          <w:rFonts w:cs="Arial"/>
          <w:szCs w:val="19"/>
          <w:lang w:val="en-GB"/>
        </w:rPr>
        <w:t>were 2.</w:t>
      </w:r>
      <w:r w:rsidR="00EC1615">
        <w:rPr>
          <w:rFonts w:cs="Arial"/>
          <w:szCs w:val="19"/>
          <w:lang w:val="en-GB"/>
        </w:rPr>
        <w:t>3</w:t>
      </w:r>
      <w:r w:rsidRPr="006416F7">
        <w:rPr>
          <w:rFonts w:cs="Arial"/>
          <w:szCs w:val="19"/>
          <w:lang w:val="en-GB"/>
        </w:rPr>
        <w:t xml:space="preserve"> times higher </w:t>
      </w:r>
      <w:r>
        <w:rPr>
          <w:rFonts w:cs="Arial"/>
          <w:szCs w:val="19"/>
          <w:lang w:val="en-GB"/>
        </w:rPr>
        <w:t>than in the 1st quintile group (</w:t>
      </w:r>
      <w:r w:rsidR="00A31A60">
        <w:rPr>
          <w:rFonts w:cs="Arial"/>
          <w:szCs w:val="19"/>
          <w:lang w:val="en-GB"/>
        </w:rPr>
        <w:t>similar to</w:t>
      </w:r>
      <w:r>
        <w:rPr>
          <w:rFonts w:cs="Arial"/>
          <w:szCs w:val="19"/>
          <w:lang w:val="en-GB"/>
        </w:rPr>
        <w:t xml:space="preserve"> 202</w:t>
      </w:r>
      <w:r w:rsidR="00601D19">
        <w:rPr>
          <w:rFonts w:cs="Arial"/>
          <w:szCs w:val="19"/>
          <w:lang w:val="en-GB"/>
        </w:rPr>
        <w:t>4</w:t>
      </w:r>
      <w:r>
        <w:rPr>
          <w:rFonts w:cs="Arial"/>
          <w:szCs w:val="19"/>
          <w:lang w:val="en-GB"/>
        </w:rPr>
        <w:t>)</w:t>
      </w:r>
      <w:r w:rsidRPr="006416F7">
        <w:rPr>
          <w:rFonts w:cs="Arial"/>
          <w:szCs w:val="19"/>
          <w:lang w:val="en-GB"/>
        </w:rPr>
        <w:t xml:space="preserve">. </w:t>
      </w:r>
      <w:r w:rsidRPr="006416F7">
        <w:rPr>
          <w:rFonts w:cs="Arial"/>
          <w:bCs/>
          <w:szCs w:val="19"/>
          <w:lang w:val="en-GB"/>
        </w:rPr>
        <w:t>The share of expenditure in available income in the highest quintile group amounted to </w:t>
      </w:r>
      <w:r w:rsidR="00601D19">
        <w:rPr>
          <w:rFonts w:cs="Arial"/>
          <w:bCs/>
          <w:szCs w:val="19"/>
          <w:lang w:val="en-GB"/>
        </w:rPr>
        <w:t>46.5</w:t>
      </w:r>
      <w:r w:rsidRPr="006416F7">
        <w:rPr>
          <w:rFonts w:cs="Arial"/>
          <w:bCs/>
          <w:szCs w:val="19"/>
          <w:lang w:val="en-GB"/>
        </w:rPr>
        <w:t>%</w:t>
      </w:r>
      <w:r w:rsidR="00E71BA1">
        <w:rPr>
          <w:rFonts w:cs="Arial"/>
          <w:bCs/>
          <w:szCs w:val="19"/>
          <w:lang w:val="en-GB"/>
        </w:rPr>
        <w:t xml:space="preserve"> (in 202</w:t>
      </w:r>
      <w:r w:rsidR="00601D19">
        <w:rPr>
          <w:rFonts w:cs="Arial"/>
          <w:bCs/>
          <w:szCs w:val="19"/>
          <w:lang w:val="en-GB"/>
        </w:rPr>
        <w:t>4</w:t>
      </w:r>
      <w:r w:rsidR="00E71BA1">
        <w:rPr>
          <w:rFonts w:cs="Arial"/>
          <w:bCs/>
          <w:szCs w:val="19"/>
          <w:lang w:val="en-GB"/>
        </w:rPr>
        <w:t xml:space="preserve"> – </w:t>
      </w:r>
      <w:r w:rsidR="00EC1615">
        <w:rPr>
          <w:rFonts w:cs="Arial"/>
          <w:bCs/>
          <w:szCs w:val="19"/>
          <w:lang w:val="en-GB"/>
        </w:rPr>
        <w:t>4</w:t>
      </w:r>
      <w:r w:rsidR="00601D19">
        <w:rPr>
          <w:rFonts w:cs="Arial"/>
          <w:bCs/>
          <w:szCs w:val="19"/>
          <w:lang w:val="en-GB"/>
        </w:rPr>
        <w:t>9.6</w:t>
      </w:r>
      <w:r w:rsidR="00E71BA1">
        <w:rPr>
          <w:rFonts w:cs="Arial"/>
          <w:bCs/>
          <w:szCs w:val="19"/>
          <w:lang w:val="en-GB"/>
        </w:rPr>
        <w:t>%)</w:t>
      </w:r>
      <w:r w:rsidRPr="006416F7">
        <w:rPr>
          <w:rFonts w:cs="Arial"/>
          <w:bCs/>
          <w:szCs w:val="19"/>
          <w:lang w:val="en-GB"/>
        </w:rPr>
        <w:t xml:space="preserve">, and in the lowest </w:t>
      </w:r>
      <w:r>
        <w:rPr>
          <w:rFonts w:cs="Arial"/>
          <w:bCs/>
          <w:szCs w:val="19"/>
          <w:lang w:val="en-GB"/>
        </w:rPr>
        <w:t>–</w:t>
      </w:r>
      <w:r w:rsidRPr="006416F7">
        <w:rPr>
          <w:rFonts w:cs="Arial"/>
          <w:bCs/>
          <w:szCs w:val="19"/>
          <w:lang w:val="en-GB"/>
        </w:rPr>
        <w:t xml:space="preserve"> </w:t>
      </w:r>
      <w:r w:rsidR="00601D19">
        <w:rPr>
          <w:rFonts w:cs="Arial"/>
          <w:bCs/>
          <w:szCs w:val="19"/>
          <w:lang w:val="en-GB"/>
        </w:rPr>
        <w:t>117.9</w:t>
      </w:r>
      <w:r w:rsidRPr="006416F7">
        <w:rPr>
          <w:rFonts w:cs="Arial"/>
          <w:bCs/>
          <w:szCs w:val="19"/>
          <w:lang w:val="en-GB"/>
        </w:rPr>
        <w:t>%</w:t>
      </w:r>
      <w:r w:rsidR="00E71BA1">
        <w:rPr>
          <w:rFonts w:cs="Arial"/>
          <w:bCs/>
          <w:szCs w:val="19"/>
          <w:lang w:val="en-GB"/>
        </w:rPr>
        <w:t xml:space="preserve"> (in 202</w:t>
      </w:r>
      <w:r w:rsidR="00601D19">
        <w:rPr>
          <w:rFonts w:cs="Arial"/>
          <w:bCs/>
          <w:szCs w:val="19"/>
          <w:lang w:val="en-GB"/>
        </w:rPr>
        <w:t>4</w:t>
      </w:r>
      <w:r w:rsidR="00E71BA1">
        <w:rPr>
          <w:rFonts w:cs="Arial"/>
          <w:bCs/>
          <w:szCs w:val="19"/>
          <w:lang w:val="en-GB"/>
        </w:rPr>
        <w:t xml:space="preserve"> – </w:t>
      </w:r>
      <w:r w:rsidR="00EC1615">
        <w:rPr>
          <w:rFonts w:cs="Arial"/>
          <w:bCs/>
          <w:szCs w:val="19"/>
          <w:lang w:val="en-GB"/>
        </w:rPr>
        <w:t>1</w:t>
      </w:r>
      <w:r w:rsidR="00601D19">
        <w:rPr>
          <w:rFonts w:cs="Arial"/>
          <w:bCs/>
          <w:szCs w:val="19"/>
          <w:lang w:val="en-GB"/>
        </w:rPr>
        <w:t>113.2</w:t>
      </w:r>
      <w:r w:rsidR="00E71BA1">
        <w:rPr>
          <w:rFonts w:cs="Arial"/>
          <w:bCs/>
          <w:szCs w:val="19"/>
          <w:lang w:val="en-GB"/>
        </w:rPr>
        <w:t>%)</w:t>
      </w:r>
      <w:r w:rsidR="006A0698">
        <w:rPr>
          <w:rFonts w:cs="Arial"/>
          <w:bCs/>
          <w:szCs w:val="19"/>
          <w:lang w:val="en-GB"/>
        </w:rPr>
        <w:t>, which means</w:t>
      </w:r>
      <w:r w:rsidR="0070624D">
        <w:rPr>
          <w:rFonts w:cs="Arial"/>
          <w:bCs/>
          <w:szCs w:val="19"/>
          <w:lang w:val="en-GB"/>
        </w:rPr>
        <w:t xml:space="preserve"> that</w:t>
      </w:r>
      <w:r w:rsidR="00E71BA1" w:rsidRPr="00E71BA1">
        <w:rPr>
          <w:rFonts w:cs="Arial"/>
          <w:bCs/>
          <w:szCs w:val="19"/>
          <w:lang w:val="en-GB"/>
        </w:rPr>
        <w:t xml:space="preserve"> the poorest households to </w:t>
      </w:r>
      <w:r w:rsidR="00EC1615">
        <w:rPr>
          <w:rFonts w:cs="Arial"/>
          <w:bCs/>
          <w:szCs w:val="19"/>
          <w:lang w:val="en-GB"/>
        </w:rPr>
        <w:t>some</w:t>
      </w:r>
      <w:r w:rsidR="00E71BA1" w:rsidRPr="00E71BA1">
        <w:rPr>
          <w:rFonts w:cs="Arial"/>
          <w:bCs/>
          <w:szCs w:val="19"/>
          <w:lang w:val="en-GB"/>
        </w:rPr>
        <w:t xml:space="preserve"> extent</w:t>
      </w:r>
      <w:r w:rsidR="00E71BA1">
        <w:rPr>
          <w:rFonts w:cs="Arial"/>
          <w:bCs/>
          <w:szCs w:val="19"/>
          <w:lang w:val="en-GB"/>
        </w:rPr>
        <w:t xml:space="preserve"> were</w:t>
      </w:r>
      <w:r w:rsidR="00E71BA1" w:rsidRPr="00E71BA1">
        <w:rPr>
          <w:rFonts w:cs="Arial"/>
          <w:bCs/>
          <w:szCs w:val="19"/>
          <w:lang w:val="en-GB"/>
        </w:rPr>
        <w:t xml:space="preserve"> forced to use their savings, </w:t>
      </w:r>
      <w:r w:rsidR="00E71BA1">
        <w:rPr>
          <w:rFonts w:cs="Arial"/>
          <w:bCs/>
          <w:szCs w:val="19"/>
          <w:lang w:val="en-GB"/>
        </w:rPr>
        <w:t xml:space="preserve">or </w:t>
      </w:r>
      <w:r w:rsidR="00E71BA1" w:rsidRPr="00E71BA1">
        <w:rPr>
          <w:rFonts w:cs="Arial"/>
          <w:bCs/>
          <w:szCs w:val="19"/>
          <w:lang w:val="en-GB"/>
        </w:rPr>
        <w:t>loans</w:t>
      </w:r>
      <w:r w:rsidR="00E71BA1">
        <w:rPr>
          <w:rFonts w:cs="Arial"/>
          <w:bCs/>
          <w:szCs w:val="19"/>
          <w:lang w:val="en-GB"/>
        </w:rPr>
        <w:t>,</w:t>
      </w:r>
      <w:r w:rsidR="00E71BA1" w:rsidRPr="00E71BA1">
        <w:rPr>
          <w:rFonts w:cs="Arial"/>
          <w:bCs/>
          <w:szCs w:val="19"/>
          <w:lang w:val="en-GB"/>
        </w:rPr>
        <w:t xml:space="preserve"> or credits</w:t>
      </w:r>
      <w:r w:rsidR="00601D19">
        <w:rPr>
          <w:rFonts w:cs="Arial"/>
          <w:bCs/>
          <w:szCs w:val="19"/>
          <w:lang w:val="en-GB"/>
        </w:rPr>
        <w:t>.</w:t>
      </w:r>
    </w:p>
    <w:p w14:paraId="7EE94F2F" w14:textId="0D58756F" w:rsidR="00D04BE9" w:rsidRPr="00977078" w:rsidRDefault="000075A1" w:rsidP="00F64E3E">
      <w:pPr>
        <w:spacing w:before="360" w:after="360" w:line="240" w:lineRule="auto"/>
        <w:rPr>
          <w:spacing w:val="-2"/>
          <w:szCs w:val="19"/>
          <w:shd w:val="clear" w:color="auto" w:fill="FFFFFF"/>
          <w:lang w:val="en-GB"/>
        </w:rPr>
      </w:pPr>
      <w:r>
        <w:rPr>
          <w:noProof/>
          <w:lang w:eastAsia="pl-PL"/>
        </w:rPr>
        <w:drawing>
          <wp:inline distT="0" distB="0" distL="0" distR="0" wp14:anchorId="43018C50" wp14:editId="7CCC2AA9">
            <wp:extent cx="5122545" cy="3239770"/>
            <wp:effectExtent l="0" t="0" r="1905" b="0"/>
            <wp:docPr id="1" name="Wykres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5293419" w14:textId="77777777" w:rsidR="00E71BA1" w:rsidRDefault="00E71BA1" w:rsidP="005B4411">
      <w:pPr>
        <w:rPr>
          <w:rFonts w:cs="Arial"/>
          <w:bCs/>
          <w:szCs w:val="19"/>
          <w:lang w:val="en-GB"/>
        </w:rPr>
      </w:pPr>
    </w:p>
    <w:p w14:paraId="212CFD1A" w14:textId="3DE0DE34" w:rsidR="00FC6ED0" w:rsidRDefault="00FC6ED0" w:rsidP="005B4411">
      <w:pPr>
        <w:rPr>
          <w:rFonts w:cs="Arial"/>
          <w:bCs/>
          <w:szCs w:val="19"/>
          <w:lang w:val="en-GB"/>
        </w:rPr>
      </w:pPr>
      <w:r>
        <w:rPr>
          <w:rFonts w:cs="Arial"/>
          <w:bCs/>
          <w:szCs w:val="19"/>
          <w:lang w:val="en-GB"/>
        </w:rPr>
        <w:br w:type="page"/>
      </w:r>
    </w:p>
    <w:p w14:paraId="3F2F3D3C" w14:textId="79CACE76" w:rsidR="00E75E51" w:rsidRPr="005209F7" w:rsidRDefault="00E75E51" w:rsidP="005071C2">
      <w:pPr>
        <w:rPr>
          <w:rFonts w:cs="Arial"/>
          <w:b/>
          <w:bCs/>
          <w:color w:val="001D77"/>
          <w:szCs w:val="19"/>
          <w:lang w:val="en-GB"/>
        </w:rPr>
      </w:pPr>
      <w:r w:rsidRPr="005209F7">
        <w:rPr>
          <w:rFonts w:cs="Arial"/>
          <w:b/>
          <w:bCs/>
          <w:color w:val="001D77"/>
          <w:szCs w:val="19"/>
          <w:lang w:val="en-GB"/>
        </w:rPr>
        <w:lastRenderedPageBreak/>
        <w:t>Territorial approach</w:t>
      </w:r>
    </w:p>
    <w:p w14:paraId="398078FA" w14:textId="266FB616" w:rsidR="005B4411" w:rsidRPr="00211F7F" w:rsidRDefault="00286AEA" w:rsidP="005071C2">
      <w:pPr>
        <w:rPr>
          <w:spacing w:val="-2"/>
          <w:szCs w:val="19"/>
          <w:shd w:val="clear" w:color="auto" w:fill="FFFFFF"/>
          <w:lang w:val="en-GB"/>
        </w:rPr>
      </w:pPr>
      <w:r>
        <w:rPr>
          <w:noProof/>
          <w:lang w:eastAsia="pl-PL"/>
        </w:rPr>
        <mc:AlternateContent>
          <mc:Choice Requires="wps">
            <w:drawing>
              <wp:anchor distT="45720" distB="45720" distL="114300" distR="114300" simplePos="0" relativeHeight="251805696" behindDoc="1" locked="0" layoutInCell="1" allowOverlap="1" wp14:anchorId="7EE94FB4" wp14:editId="3E6A78E7">
                <wp:simplePos x="0" y="0"/>
                <wp:positionH relativeFrom="column">
                  <wp:posOffset>5259705</wp:posOffset>
                </wp:positionH>
                <wp:positionV relativeFrom="paragraph">
                  <wp:posOffset>276225</wp:posOffset>
                </wp:positionV>
                <wp:extent cx="1724025" cy="2163445"/>
                <wp:effectExtent l="0" t="0" r="0" b="0"/>
                <wp:wrapTight wrapText="bothSides">
                  <wp:wrapPolygon edited="0">
                    <wp:start x="716" y="0"/>
                    <wp:lineTo x="716" y="21302"/>
                    <wp:lineTo x="20765" y="21302"/>
                    <wp:lineTo x="20765" y="0"/>
                    <wp:lineTo x="716" y="0"/>
                  </wp:wrapPolygon>
                </wp:wrapTight>
                <wp:docPr id="215" name="Pole tekstow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163445"/>
                        </a:xfrm>
                        <a:prstGeom prst="rect">
                          <a:avLst/>
                        </a:prstGeom>
                        <a:noFill/>
                        <a:ln w="9525">
                          <a:noFill/>
                          <a:miter lim="800000"/>
                          <a:headEnd/>
                          <a:tailEnd/>
                        </a:ln>
                      </wps:spPr>
                      <wps:txbx>
                        <w:txbxContent>
                          <w:p w14:paraId="7EE95019" w14:textId="1B64929C" w:rsidR="00E127EB" w:rsidRPr="00A13CB9" w:rsidRDefault="00E127EB"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available income per capita in urban households was by </w:t>
                            </w:r>
                            <w:r>
                              <w:rPr>
                                <w:rFonts w:eastAsia="Times New Roman"/>
                                <w:bCs/>
                                <w:color w:val="001D77"/>
                                <w:sz w:val="18"/>
                                <w:szCs w:val="18"/>
                                <w:lang w:val="en-GB" w:eastAsia="pl-PL"/>
                              </w:rPr>
                              <w:t>18.7</w:t>
                            </w:r>
                            <w:r w:rsidRPr="00A13CB9">
                              <w:rPr>
                                <w:rFonts w:eastAsia="Times New Roman"/>
                                <w:bCs/>
                                <w:color w:val="001D77"/>
                                <w:sz w:val="18"/>
                                <w:szCs w:val="18"/>
                                <w:lang w:val="en-GB" w:eastAsia="pl-PL"/>
                              </w:rPr>
                              <w:t>% higher than in rural households</w:t>
                            </w:r>
                          </w:p>
                          <w:p w14:paraId="7EE9501A" w14:textId="7C593539" w:rsidR="00E127EB" w:rsidRPr="00A13CB9" w:rsidRDefault="00E127EB"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expenditure per capita in urban households was by </w:t>
                            </w:r>
                            <w:r>
                              <w:rPr>
                                <w:rFonts w:eastAsia="Times New Roman"/>
                                <w:bCs/>
                                <w:color w:val="001D77"/>
                                <w:sz w:val="18"/>
                                <w:szCs w:val="18"/>
                                <w:lang w:val="en-GB" w:eastAsia="pl-PL"/>
                              </w:rPr>
                              <w:t>33.4</w:t>
                            </w:r>
                            <w:r w:rsidRPr="00A13CB9">
                              <w:rPr>
                                <w:rFonts w:eastAsia="Times New Roman"/>
                                <w:bCs/>
                                <w:color w:val="001D77"/>
                                <w:sz w:val="18"/>
                                <w:szCs w:val="18"/>
                                <w:lang w:val="en-GB" w:eastAsia="pl-PL"/>
                              </w:rPr>
                              <w:t>% higher than in rural households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4" id="Pole tekstowe 215" o:spid="_x0000_s1034" type="#_x0000_t202" style="position:absolute;margin-left:414.15pt;margin-top:21.75pt;width:135.75pt;height:170.35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" filled="f" stroked="f">
                <v:textbox>
                  <w:txbxContent>
                    <w:p w14:paraId="7EE95019" w14:textId="1B64929C" w:rsidR="00E127EB" w:rsidRPr="00A13CB9" w:rsidRDefault="00E127EB"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available income per capita in urban households was by </w:t>
                      </w:r>
                      <w:r>
                        <w:rPr>
                          <w:rFonts w:eastAsia="Times New Roman"/>
                          <w:bCs/>
                          <w:color w:val="001D77"/>
                          <w:sz w:val="18"/>
                          <w:szCs w:val="18"/>
                          <w:lang w:val="en-GB" w:eastAsia="pl-PL"/>
                        </w:rPr>
                        <w:t>18.7</w:t>
                      </w:r>
                      <w:r w:rsidRPr="00A13CB9">
                        <w:rPr>
                          <w:rFonts w:eastAsia="Times New Roman"/>
                          <w:bCs/>
                          <w:color w:val="001D77"/>
                          <w:sz w:val="18"/>
                          <w:szCs w:val="18"/>
                          <w:lang w:val="en-GB" w:eastAsia="pl-PL"/>
                        </w:rPr>
                        <w:t>% higher than in rural households</w:t>
                      </w:r>
                    </w:p>
                    <w:p w14:paraId="7EE9501A" w14:textId="7C593539" w:rsidR="00E127EB" w:rsidRPr="00A13CB9" w:rsidRDefault="00E127EB" w:rsidP="00764D9C">
                      <w:pPr>
                        <w:spacing w:after="0"/>
                        <w:rPr>
                          <w:rFonts w:eastAsia="Times New Roman"/>
                          <w:bCs/>
                          <w:color w:val="001D77"/>
                          <w:sz w:val="18"/>
                          <w:szCs w:val="18"/>
                          <w:lang w:val="en-GB" w:eastAsia="pl-PL"/>
                        </w:rPr>
                      </w:pPr>
                      <w:r w:rsidRPr="00A13CB9">
                        <w:rPr>
                          <w:rFonts w:eastAsia="Times New Roman"/>
                          <w:bCs/>
                          <w:color w:val="001D77"/>
                          <w:sz w:val="18"/>
                          <w:szCs w:val="18"/>
                          <w:lang w:val="en-GB" w:eastAsia="pl-PL"/>
                        </w:rPr>
                        <w:t xml:space="preserve">The average monthly expenditure per capita in urban households was by </w:t>
                      </w:r>
                      <w:r>
                        <w:rPr>
                          <w:rFonts w:eastAsia="Times New Roman"/>
                          <w:bCs/>
                          <w:color w:val="001D77"/>
                          <w:sz w:val="18"/>
                          <w:szCs w:val="18"/>
                          <w:lang w:val="en-GB" w:eastAsia="pl-PL"/>
                        </w:rPr>
                        <w:t>33.4</w:t>
                      </w:r>
                      <w:r w:rsidRPr="00A13CB9">
                        <w:rPr>
                          <w:rFonts w:eastAsia="Times New Roman"/>
                          <w:bCs/>
                          <w:color w:val="001D77"/>
                          <w:sz w:val="18"/>
                          <w:szCs w:val="18"/>
                          <w:lang w:val="en-GB" w:eastAsia="pl-PL"/>
                        </w:rPr>
                        <w:t>% higher than in rural households</w:t>
                      </w:r>
                    </w:p>
                  </w:txbxContent>
                </v:textbox>
                <w10:wrap type="tight"/>
              </v:shape>
            </w:pict>
          </mc:Fallback>
        </mc:AlternateContent>
      </w:r>
      <w:r w:rsidR="005B4411" w:rsidRPr="005F6A4E">
        <w:rPr>
          <w:rFonts w:cs="Arial"/>
          <w:bCs/>
          <w:szCs w:val="19"/>
          <w:lang w:val="en-GB"/>
        </w:rPr>
        <w:t xml:space="preserve">The place of residence is another factor that substantially diversified dynamics and structure of income and expenditure </w:t>
      </w:r>
      <w:r w:rsidR="005B4411" w:rsidRPr="000C6457">
        <w:rPr>
          <w:rFonts w:cs="Arial"/>
          <w:bCs/>
          <w:szCs w:val="19"/>
          <w:lang w:val="en-GB"/>
        </w:rPr>
        <w:t>of households.</w:t>
      </w:r>
    </w:p>
    <w:p w14:paraId="10ADDB1A" w14:textId="05CD0CC6" w:rsidR="005B4411" w:rsidRDefault="005B4411" w:rsidP="005071C2">
      <w:pPr>
        <w:rPr>
          <w:rFonts w:cs="Arial"/>
          <w:szCs w:val="19"/>
          <w:lang w:val="en-GB"/>
        </w:rPr>
      </w:pPr>
      <w:r w:rsidRPr="006416F7">
        <w:rPr>
          <w:rFonts w:cs="Arial"/>
          <w:szCs w:val="19"/>
          <w:lang w:val="en-GB"/>
        </w:rPr>
        <w:t xml:space="preserve">The average </w:t>
      </w:r>
      <w:r>
        <w:rPr>
          <w:rFonts w:cs="Arial"/>
          <w:szCs w:val="19"/>
          <w:lang w:val="en-GB"/>
        </w:rPr>
        <w:t xml:space="preserve">monthly </w:t>
      </w:r>
      <w:r w:rsidRPr="006416F7">
        <w:rPr>
          <w:rFonts w:cs="Arial"/>
          <w:szCs w:val="19"/>
          <w:lang w:val="en-GB"/>
        </w:rPr>
        <w:t xml:space="preserve">available income per capita in urban households was by </w:t>
      </w:r>
      <w:r w:rsidR="00C0602E">
        <w:rPr>
          <w:rFonts w:cs="Arial"/>
          <w:szCs w:val="19"/>
          <w:lang w:val="en-GB"/>
        </w:rPr>
        <w:t>18.7</w:t>
      </w:r>
      <w:r w:rsidRPr="006416F7">
        <w:rPr>
          <w:rFonts w:cs="Arial"/>
          <w:szCs w:val="19"/>
          <w:lang w:val="en-GB"/>
        </w:rPr>
        <w:t>% higher than in households</w:t>
      </w:r>
      <w:r>
        <w:rPr>
          <w:rFonts w:cs="Arial"/>
          <w:szCs w:val="19"/>
          <w:lang w:val="en-GB"/>
        </w:rPr>
        <w:t xml:space="preserve"> </w:t>
      </w:r>
      <w:r w:rsidR="0053510F">
        <w:rPr>
          <w:rFonts w:cs="Arial"/>
          <w:szCs w:val="19"/>
          <w:lang w:val="en-GB"/>
        </w:rPr>
        <w:t xml:space="preserve">in rural areas </w:t>
      </w:r>
      <w:r w:rsidRPr="006416F7">
        <w:rPr>
          <w:rFonts w:cs="Arial"/>
          <w:szCs w:val="19"/>
          <w:lang w:val="en-GB"/>
        </w:rPr>
        <w:t xml:space="preserve">(in </w:t>
      </w:r>
      <w:r>
        <w:rPr>
          <w:rFonts w:cs="Arial"/>
          <w:szCs w:val="19"/>
          <w:lang w:val="en-GB"/>
        </w:rPr>
        <w:t>202</w:t>
      </w:r>
      <w:r w:rsidR="002B44D2">
        <w:rPr>
          <w:rFonts w:cs="Arial"/>
          <w:szCs w:val="19"/>
          <w:lang w:val="en-GB"/>
        </w:rPr>
        <w:t>4</w:t>
      </w:r>
      <w:r w:rsidRPr="006416F7">
        <w:rPr>
          <w:rFonts w:cs="Arial"/>
          <w:szCs w:val="19"/>
          <w:lang w:val="en-GB"/>
        </w:rPr>
        <w:t xml:space="preserve"> </w:t>
      </w:r>
      <w:r>
        <w:rPr>
          <w:rFonts w:cs="Arial"/>
          <w:szCs w:val="19"/>
          <w:lang w:val="en-GB"/>
        </w:rPr>
        <w:t>by</w:t>
      </w:r>
      <w:r w:rsidRPr="006416F7">
        <w:rPr>
          <w:rFonts w:cs="Arial"/>
          <w:szCs w:val="19"/>
          <w:lang w:val="en-GB"/>
        </w:rPr>
        <w:t xml:space="preserve"> </w:t>
      </w:r>
      <w:r w:rsidR="0095308B">
        <w:rPr>
          <w:rFonts w:cs="Arial"/>
          <w:szCs w:val="19"/>
          <w:lang w:val="en-GB"/>
        </w:rPr>
        <w:t>25.0</w:t>
      </w:r>
      <w:r w:rsidRPr="006416F7">
        <w:rPr>
          <w:rFonts w:cs="Arial"/>
          <w:szCs w:val="19"/>
          <w:lang w:val="en-GB"/>
        </w:rPr>
        <w:t>%)</w:t>
      </w:r>
      <w:r w:rsidR="00C625EC">
        <w:rPr>
          <w:rFonts w:cs="Arial"/>
          <w:szCs w:val="19"/>
          <w:lang w:val="en-GB"/>
        </w:rPr>
        <w:t>, which</w:t>
      </w:r>
      <w:r w:rsidRPr="006416F7">
        <w:rPr>
          <w:rFonts w:cs="Arial"/>
          <w:szCs w:val="19"/>
          <w:lang w:val="en-GB"/>
        </w:rPr>
        <w:t xml:space="preserve"> </w:t>
      </w:r>
      <w:r>
        <w:rPr>
          <w:rFonts w:cs="Arial"/>
          <w:szCs w:val="19"/>
          <w:lang w:val="en-GB"/>
        </w:rPr>
        <w:t>resulted from</w:t>
      </w:r>
      <w:r w:rsidRPr="006416F7">
        <w:rPr>
          <w:rFonts w:cs="Arial"/>
          <w:szCs w:val="19"/>
          <w:lang w:val="en-GB"/>
        </w:rPr>
        <w:t xml:space="preserve"> the amount of income obtained by households, but were also connected with the larger number of </w:t>
      </w:r>
      <w:r>
        <w:rPr>
          <w:rFonts w:cs="Arial"/>
          <w:szCs w:val="19"/>
          <w:lang w:val="en-GB"/>
        </w:rPr>
        <w:t xml:space="preserve">persons </w:t>
      </w:r>
      <w:r w:rsidRPr="006416F7">
        <w:rPr>
          <w:rFonts w:cs="Arial"/>
          <w:szCs w:val="19"/>
          <w:lang w:val="en-GB"/>
        </w:rPr>
        <w:t xml:space="preserve">living </w:t>
      </w:r>
      <w:r>
        <w:rPr>
          <w:rFonts w:cs="Arial"/>
          <w:szCs w:val="19"/>
          <w:lang w:val="en-GB"/>
        </w:rPr>
        <w:t>in</w:t>
      </w:r>
      <w:r w:rsidRPr="006416F7">
        <w:rPr>
          <w:rFonts w:cs="Arial"/>
          <w:szCs w:val="19"/>
          <w:lang w:val="en-GB"/>
        </w:rPr>
        <w:t xml:space="preserve"> rural household</w:t>
      </w:r>
      <w:r>
        <w:rPr>
          <w:rFonts w:cs="Arial"/>
          <w:szCs w:val="19"/>
          <w:lang w:val="en-GB"/>
        </w:rPr>
        <w:t>s</w:t>
      </w:r>
      <w:r>
        <w:rPr>
          <w:rStyle w:val="Odwoanieprzypisudolnego"/>
          <w:rFonts w:cs="Arial"/>
          <w:szCs w:val="19"/>
          <w:lang w:val="en-GB"/>
        </w:rPr>
        <w:footnoteReference w:id="5"/>
      </w:r>
      <w:r w:rsidRPr="006416F7">
        <w:rPr>
          <w:rFonts w:cs="Arial"/>
          <w:szCs w:val="19"/>
          <w:lang w:val="en-GB"/>
        </w:rPr>
        <w:t>. Similar</w:t>
      </w:r>
      <w:r>
        <w:rPr>
          <w:rFonts w:cs="Arial"/>
          <w:szCs w:val="19"/>
          <w:lang w:val="en-GB"/>
        </w:rPr>
        <w:t xml:space="preserve"> situation was observed</w:t>
      </w:r>
      <w:r w:rsidRPr="006416F7">
        <w:rPr>
          <w:rFonts w:cs="Arial"/>
          <w:szCs w:val="19"/>
          <w:lang w:val="en-GB"/>
        </w:rPr>
        <w:t xml:space="preserve"> </w:t>
      </w:r>
      <w:r>
        <w:rPr>
          <w:rFonts w:cs="Arial"/>
          <w:szCs w:val="19"/>
          <w:lang w:val="en-GB"/>
        </w:rPr>
        <w:t xml:space="preserve">in the case of </w:t>
      </w:r>
      <w:r w:rsidRPr="006416F7">
        <w:rPr>
          <w:rFonts w:cs="Arial"/>
          <w:szCs w:val="19"/>
          <w:lang w:val="en-GB"/>
        </w:rPr>
        <w:t xml:space="preserve">expenditure of households. </w:t>
      </w:r>
      <w:r>
        <w:rPr>
          <w:rFonts w:cs="Arial"/>
          <w:szCs w:val="19"/>
          <w:lang w:val="en-GB"/>
        </w:rPr>
        <w:t>Average monthly e</w:t>
      </w:r>
      <w:r w:rsidRPr="006416F7">
        <w:rPr>
          <w:rFonts w:cs="Arial"/>
          <w:szCs w:val="19"/>
          <w:lang w:val="en-GB"/>
        </w:rPr>
        <w:t>xpenditure per capita in households</w:t>
      </w:r>
      <w:r w:rsidR="0053510F">
        <w:rPr>
          <w:rFonts w:cs="Arial"/>
          <w:szCs w:val="19"/>
          <w:lang w:val="en-GB"/>
        </w:rPr>
        <w:t xml:space="preserve"> in urban areas</w:t>
      </w:r>
      <w:r w:rsidRPr="006416F7">
        <w:rPr>
          <w:rFonts w:cs="Arial"/>
          <w:szCs w:val="19"/>
          <w:lang w:val="en-GB"/>
        </w:rPr>
        <w:t xml:space="preserve"> was by </w:t>
      </w:r>
      <w:r w:rsidR="0095308B">
        <w:rPr>
          <w:rFonts w:cs="Arial"/>
          <w:szCs w:val="19"/>
          <w:lang w:val="en-GB"/>
        </w:rPr>
        <w:t>33.4</w:t>
      </w:r>
      <w:r w:rsidRPr="006416F7">
        <w:rPr>
          <w:rFonts w:cs="Arial"/>
          <w:szCs w:val="19"/>
          <w:lang w:val="en-GB"/>
        </w:rPr>
        <w:t xml:space="preserve">% higher than in households </w:t>
      </w:r>
      <w:r w:rsidR="0053510F">
        <w:rPr>
          <w:rFonts w:cs="Arial"/>
          <w:szCs w:val="19"/>
          <w:lang w:val="en-GB"/>
        </w:rPr>
        <w:t xml:space="preserve">in rural areas </w:t>
      </w:r>
      <w:r w:rsidRPr="006416F7">
        <w:rPr>
          <w:rFonts w:cs="Arial"/>
          <w:szCs w:val="19"/>
          <w:lang w:val="en-GB"/>
        </w:rPr>
        <w:t xml:space="preserve">(in </w:t>
      </w:r>
      <w:r>
        <w:rPr>
          <w:rFonts w:cs="Arial"/>
          <w:szCs w:val="19"/>
          <w:lang w:val="en-GB"/>
        </w:rPr>
        <w:t>202</w:t>
      </w:r>
      <w:r w:rsidR="0095308B">
        <w:rPr>
          <w:rFonts w:cs="Arial"/>
          <w:szCs w:val="19"/>
          <w:lang w:val="en-GB"/>
        </w:rPr>
        <w:t>4</w:t>
      </w:r>
      <w:r w:rsidR="00494717">
        <w:rPr>
          <w:rFonts w:cs="Arial"/>
          <w:szCs w:val="19"/>
          <w:lang w:val="en-GB"/>
        </w:rPr>
        <w:t xml:space="preserve"> </w:t>
      </w:r>
      <w:r w:rsidR="00C625EC">
        <w:rPr>
          <w:rFonts w:cs="Arial"/>
          <w:szCs w:val="19"/>
          <w:lang w:val="en-GB"/>
        </w:rPr>
        <w:t>by</w:t>
      </w:r>
      <w:r w:rsidRPr="006416F7">
        <w:rPr>
          <w:rFonts w:cs="Arial"/>
          <w:szCs w:val="19"/>
          <w:lang w:val="en-GB"/>
        </w:rPr>
        <w:t xml:space="preserve"> </w:t>
      </w:r>
      <w:r w:rsidR="0095308B">
        <w:rPr>
          <w:rFonts w:cs="Arial"/>
          <w:szCs w:val="19"/>
          <w:lang w:val="en-GB"/>
        </w:rPr>
        <w:t>36.6</w:t>
      </w:r>
      <w:r w:rsidRPr="006416F7">
        <w:rPr>
          <w:rFonts w:cs="Arial"/>
          <w:szCs w:val="19"/>
          <w:lang w:val="en-GB"/>
        </w:rPr>
        <w:t>%).</w:t>
      </w:r>
      <w:r>
        <w:rPr>
          <w:rFonts w:cs="Arial"/>
          <w:szCs w:val="19"/>
          <w:lang w:val="en-GB"/>
        </w:rPr>
        <w:t xml:space="preserve"> </w:t>
      </w:r>
    </w:p>
    <w:p w14:paraId="7EE94F31" w14:textId="42BB78EB" w:rsidR="00B92CB2" w:rsidRPr="00B92CB2" w:rsidRDefault="00392586" w:rsidP="005071C2">
      <w:pPr>
        <w:rPr>
          <w:szCs w:val="19"/>
          <w:shd w:val="clear" w:color="auto" w:fill="FFFFFF"/>
          <w:lang w:val="en-GB"/>
        </w:rPr>
      </w:pPr>
      <w:r w:rsidRPr="003638B4">
        <w:rPr>
          <w:rFonts w:cs="Arial"/>
          <w:bCs/>
          <w:szCs w:val="19"/>
          <w:lang w:val="en-GB"/>
        </w:rPr>
        <w:t>In</w:t>
      </w:r>
      <w:r w:rsidR="00134A30" w:rsidRPr="003638B4">
        <w:rPr>
          <w:rFonts w:cs="Arial"/>
          <w:bCs/>
          <w:szCs w:val="19"/>
          <w:lang w:val="en-GB"/>
        </w:rPr>
        <w:t xml:space="preserve"> territorial </w:t>
      </w:r>
      <w:r w:rsidRPr="003638B4">
        <w:rPr>
          <w:rFonts w:cs="Arial"/>
          <w:bCs/>
          <w:szCs w:val="19"/>
          <w:lang w:val="en-GB"/>
        </w:rPr>
        <w:t>terms</w:t>
      </w:r>
      <w:r w:rsidR="00134A30" w:rsidRPr="003638B4">
        <w:rPr>
          <w:rFonts w:cs="Arial"/>
          <w:bCs/>
          <w:szCs w:val="19"/>
          <w:lang w:val="en-GB"/>
        </w:rPr>
        <w:t xml:space="preserve"> </w:t>
      </w:r>
      <w:r w:rsidR="007527D6">
        <w:rPr>
          <w:rFonts w:cs="Arial"/>
          <w:bCs/>
          <w:szCs w:val="19"/>
          <w:lang w:val="en-GB"/>
        </w:rPr>
        <w:t>average monthly</w:t>
      </w:r>
      <w:r w:rsidR="00134A30" w:rsidRPr="003638B4">
        <w:rPr>
          <w:rFonts w:cs="Arial"/>
          <w:bCs/>
          <w:szCs w:val="19"/>
          <w:lang w:val="en-GB"/>
        </w:rPr>
        <w:t xml:space="preserve"> </w:t>
      </w:r>
      <w:r w:rsidR="007527D6">
        <w:rPr>
          <w:rFonts w:cs="Arial"/>
          <w:bCs/>
          <w:szCs w:val="19"/>
          <w:lang w:val="en-GB"/>
        </w:rPr>
        <w:t xml:space="preserve">available </w:t>
      </w:r>
      <w:r w:rsidR="00134A30" w:rsidRPr="003638B4">
        <w:rPr>
          <w:rFonts w:cs="Arial"/>
          <w:bCs/>
          <w:szCs w:val="19"/>
          <w:lang w:val="en-GB"/>
        </w:rPr>
        <w:t xml:space="preserve">income </w:t>
      </w:r>
      <w:r w:rsidR="007527D6">
        <w:rPr>
          <w:rFonts w:cs="Arial"/>
          <w:bCs/>
          <w:szCs w:val="19"/>
          <w:lang w:val="en-GB"/>
        </w:rPr>
        <w:t xml:space="preserve">per capita </w:t>
      </w:r>
      <w:r w:rsidR="00134A30" w:rsidRPr="003638B4">
        <w:rPr>
          <w:rFonts w:cs="Arial"/>
          <w:bCs/>
          <w:szCs w:val="19"/>
          <w:lang w:val="en-GB"/>
        </w:rPr>
        <w:t xml:space="preserve">higher than the national average appeared in </w:t>
      </w:r>
      <w:r w:rsidR="008F7E05" w:rsidRPr="003638B4">
        <w:rPr>
          <w:rFonts w:cs="Arial"/>
          <w:bCs/>
          <w:szCs w:val="19"/>
          <w:lang w:val="en-GB"/>
        </w:rPr>
        <w:t>voivodships</w:t>
      </w:r>
      <w:r w:rsidR="00134A30" w:rsidRPr="003638B4">
        <w:rPr>
          <w:rFonts w:cs="Arial"/>
          <w:bCs/>
          <w:szCs w:val="19"/>
          <w:lang w:val="en-GB"/>
        </w:rPr>
        <w:t>:</w:t>
      </w:r>
      <w:r w:rsidR="00134A30" w:rsidRPr="00134A30">
        <w:rPr>
          <w:rFonts w:cs="Arial"/>
          <w:bCs/>
          <w:szCs w:val="19"/>
          <w:lang w:val="en-GB"/>
        </w:rPr>
        <w:t xml:space="preserve"> Mazowiecki</w:t>
      </w:r>
      <w:r w:rsidR="008F7E05">
        <w:rPr>
          <w:rFonts w:cs="Arial"/>
          <w:bCs/>
          <w:szCs w:val="19"/>
          <w:lang w:val="en-GB"/>
        </w:rPr>
        <w:t>e</w:t>
      </w:r>
      <w:r w:rsidR="00134A30" w:rsidRPr="00134A30">
        <w:rPr>
          <w:rFonts w:cs="Arial"/>
          <w:bCs/>
          <w:szCs w:val="19"/>
          <w:lang w:val="en-GB"/>
        </w:rPr>
        <w:t xml:space="preserve">, </w:t>
      </w:r>
      <w:r w:rsidR="00882B10">
        <w:rPr>
          <w:rFonts w:cs="Arial"/>
          <w:bCs/>
          <w:szCs w:val="19"/>
          <w:lang w:val="en-GB"/>
        </w:rPr>
        <w:t xml:space="preserve">Podlaskie, </w:t>
      </w:r>
      <w:r w:rsidR="0095308B">
        <w:rPr>
          <w:rFonts w:cs="Arial"/>
          <w:bCs/>
          <w:szCs w:val="19"/>
          <w:lang w:val="en-GB"/>
        </w:rPr>
        <w:t xml:space="preserve">Wielkopolskie, </w:t>
      </w:r>
      <w:r w:rsidR="00882B10" w:rsidRPr="00134A30">
        <w:rPr>
          <w:rFonts w:cs="Arial"/>
          <w:bCs/>
          <w:szCs w:val="19"/>
          <w:lang w:val="en-GB"/>
        </w:rPr>
        <w:t>Lubus</w:t>
      </w:r>
      <w:r w:rsidR="00882B10">
        <w:rPr>
          <w:rFonts w:cs="Arial"/>
          <w:bCs/>
          <w:szCs w:val="19"/>
          <w:lang w:val="en-GB"/>
        </w:rPr>
        <w:t>kie</w:t>
      </w:r>
      <w:r w:rsidR="0095308B">
        <w:rPr>
          <w:rFonts w:cs="Arial"/>
          <w:bCs/>
          <w:szCs w:val="19"/>
          <w:lang w:val="en-GB"/>
        </w:rPr>
        <w:t xml:space="preserve"> and </w:t>
      </w:r>
      <w:r w:rsidR="00C625EC" w:rsidRPr="00134A30">
        <w:rPr>
          <w:rFonts w:cs="Arial"/>
          <w:bCs/>
          <w:szCs w:val="19"/>
          <w:lang w:val="en-GB"/>
        </w:rPr>
        <w:t>Śląskie</w:t>
      </w:r>
      <w:r w:rsidR="0095308B">
        <w:rPr>
          <w:rFonts w:cs="Arial"/>
          <w:bCs/>
          <w:szCs w:val="19"/>
          <w:lang w:val="en-GB"/>
        </w:rPr>
        <w:t>.</w:t>
      </w:r>
      <w:r w:rsidR="00D8494E">
        <w:rPr>
          <w:rFonts w:cs="Arial"/>
          <w:bCs/>
          <w:szCs w:val="19"/>
          <w:lang w:val="en-GB"/>
        </w:rPr>
        <w:t xml:space="preserve"> As in the previous year,</w:t>
      </w:r>
      <w:r w:rsidR="00134A30" w:rsidRPr="00134A30">
        <w:rPr>
          <w:rFonts w:cs="Arial"/>
          <w:bCs/>
          <w:szCs w:val="19"/>
          <w:lang w:val="en-GB"/>
        </w:rPr>
        <w:t xml:space="preserve"> the highest average</w:t>
      </w:r>
      <w:r w:rsidR="002650D9">
        <w:rPr>
          <w:rFonts w:cs="Arial"/>
          <w:bCs/>
          <w:szCs w:val="19"/>
          <w:lang w:val="en-GB"/>
        </w:rPr>
        <w:t xml:space="preserve"> monthly</w:t>
      </w:r>
      <w:r w:rsidR="00134A30" w:rsidRPr="00134A30">
        <w:rPr>
          <w:rFonts w:cs="Arial"/>
          <w:bCs/>
          <w:szCs w:val="19"/>
          <w:lang w:val="en-GB"/>
        </w:rPr>
        <w:t xml:space="preserve"> income </w:t>
      </w:r>
      <w:r w:rsidR="008F7E05">
        <w:rPr>
          <w:rFonts w:cs="Arial"/>
          <w:bCs/>
          <w:szCs w:val="19"/>
          <w:lang w:val="en-GB"/>
        </w:rPr>
        <w:t>per capita</w:t>
      </w:r>
      <w:r w:rsidR="00134A30" w:rsidRPr="00134A30">
        <w:rPr>
          <w:rFonts w:cs="Arial"/>
          <w:bCs/>
          <w:szCs w:val="19"/>
          <w:lang w:val="en-GB"/>
        </w:rPr>
        <w:t xml:space="preserve"> </w:t>
      </w:r>
      <w:r w:rsidR="008F7E05">
        <w:rPr>
          <w:rFonts w:cs="Arial"/>
          <w:bCs/>
          <w:szCs w:val="19"/>
          <w:lang w:val="en-GB"/>
        </w:rPr>
        <w:t>was in</w:t>
      </w:r>
      <w:r w:rsidR="00134A30" w:rsidRPr="00134A30">
        <w:rPr>
          <w:rFonts w:cs="Arial"/>
          <w:bCs/>
          <w:szCs w:val="19"/>
          <w:lang w:val="en-GB"/>
        </w:rPr>
        <w:t xml:space="preserve"> households </w:t>
      </w:r>
      <w:r w:rsidR="008F7E05">
        <w:rPr>
          <w:rFonts w:cs="Arial"/>
          <w:bCs/>
          <w:szCs w:val="19"/>
          <w:lang w:val="en-GB"/>
        </w:rPr>
        <w:t>in</w:t>
      </w:r>
      <w:r w:rsidR="00134A30" w:rsidRPr="00134A30">
        <w:rPr>
          <w:rFonts w:cs="Arial"/>
          <w:bCs/>
          <w:szCs w:val="19"/>
          <w:lang w:val="en-GB"/>
        </w:rPr>
        <w:t xml:space="preserve"> </w:t>
      </w:r>
      <w:r w:rsidR="008F7E05">
        <w:rPr>
          <w:rFonts w:cs="Arial"/>
          <w:bCs/>
          <w:szCs w:val="19"/>
          <w:lang w:val="en-GB"/>
        </w:rPr>
        <w:t>Mazowieckie</w:t>
      </w:r>
      <w:r w:rsidR="00134A30" w:rsidRPr="00134A30">
        <w:rPr>
          <w:rFonts w:cs="Arial"/>
          <w:bCs/>
          <w:szCs w:val="19"/>
          <w:lang w:val="en-GB"/>
        </w:rPr>
        <w:t xml:space="preserve"> </w:t>
      </w:r>
      <w:r w:rsidR="008D2B2D">
        <w:rPr>
          <w:rFonts w:cs="Arial"/>
          <w:bCs/>
          <w:szCs w:val="19"/>
          <w:lang w:val="en-GB"/>
        </w:rPr>
        <w:t>V</w:t>
      </w:r>
      <w:r w:rsidR="00134A30" w:rsidRPr="00134A30">
        <w:rPr>
          <w:rFonts w:cs="Arial"/>
          <w:bCs/>
          <w:szCs w:val="19"/>
          <w:lang w:val="en-GB"/>
        </w:rPr>
        <w:t xml:space="preserve">oivodship </w:t>
      </w:r>
      <w:r w:rsidR="00F203D8">
        <w:rPr>
          <w:rFonts w:cs="Arial"/>
          <w:bCs/>
          <w:szCs w:val="19"/>
          <w:lang w:val="en-GB"/>
        </w:rPr>
        <w:t xml:space="preserve">– </w:t>
      </w:r>
      <w:r w:rsidR="00134A30" w:rsidRPr="00134A30">
        <w:rPr>
          <w:rFonts w:cs="Arial"/>
          <w:bCs/>
          <w:szCs w:val="19"/>
          <w:lang w:val="en-GB"/>
        </w:rPr>
        <w:t xml:space="preserve">PLN </w:t>
      </w:r>
      <w:r w:rsidR="0095308B">
        <w:rPr>
          <w:rFonts w:cs="Arial"/>
          <w:bCs/>
          <w:szCs w:val="19"/>
          <w:lang w:val="en-GB"/>
        </w:rPr>
        <w:t>4034</w:t>
      </w:r>
      <w:r w:rsidR="00F36205">
        <w:rPr>
          <w:rFonts w:cs="Arial"/>
          <w:bCs/>
          <w:szCs w:val="19"/>
          <w:lang w:val="en-GB"/>
        </w:rPr>
        <w:t xml:space="preserve"> (in 202</w:t>
      </w:r>
      <w:r w:rsidR="0095308B">
        <w:rPr>
          <w:rFonts w:cs="Arial"/>
          <w:bCs/>
          <w:szCs w:val="19"/>
          <w:lang w:val="en-GB"/>
        </w:rPr>
        <w:t>4</w:t>
      </w:r>
      <w:r w:rsidR="00F36205">
        <w:rPr>
          <w:rFonts w:cs="Arial"/>
          <w:bCs/>
          <w:szCs w:val="19"/>
          <w:lang w:val="en-GB"/>
        </w:rPr>
        <w:t xml:space="preserve"> – PLN </w:t>
      </w:r>
      <w:r w:rsidR="0095308B">
        <w:rPr>
          <w:rFonts w:cs="Arial"/>
          <w:bCs/>
          <w:szCs w:val="19"/>
          <w:lang w:val="en-GB"/>
        </w:rPr>
        <w:t>3632</w:t>
      </w:r>
      <w:r w:rsidR="00F36205">
        <w:rPr>
          <w:rFonts w:cs="Arial"/>
          <w:bCs/>
          <w:szCs w:val="19"/>
          <w:lang w:val="en-GB"/>
        </w:rPr>
        <w:t>)</w:t>
      </w:r>
      <w:r w:rsidR="007527D6">
        <w:rPr>
          <w:rFonts w:cs="Arial"/>
          <w:bCs/>
          <w:szCs w:val="19"/>
          <w:lang w:val="en-GB"/>
        </w:rPr>
        <w:t xml:space="preserve">. </w:t>
      </w:r>
      <w:r w:rsidR="00134A30" w:rsidRPr="00CB2BBC">
        <w:rPr>
          <w:rFonts w:cs="Arial"/>
          <w:bCs/>
          <w:szCs w:val="19"/>
          <w:lang w:val="en-GB"/>
        </w:rPr>
        <w:t>Th</w:t>
      </w:r>
      <w:r w:rsidR="00F36205">
        <w:rPr>
          <w:rFonts w:cs="Arial"/>
          <w:bCs/>
          <w:szCs w:val="19"/>
          <w:lang w:val="en-GB"/>
        </w:rPr>
        <w:t>e</w:t>
      </w:r>
      <w:r w:rsidR="00134A30" w:rsidRPr="00CB2BBC">
        <w:rPr>
          <w:rFonts w:cs="Arial"/>
          <w:bCs/>
          <w:szCs w:val="19"/>
          <w:lang w:val="en-GB"/>
        </w:rPr>
        <w:t xml:space="preserve"> income </w:t>
      </w:r>
      <w:r w:rsidR="00F36205">
        <w:rPr>
          <w:rFonts w:cs="Arial"/>
          <w:bCs/>
          <w:szCs w:val="19"/>
          <w:lang w:val="en-GB"/>
        </w:rPr>
        <w:t xml:space="preserve">in Mazowieckie Voivodship </w:t>
      </w:r>
      <w:r w:rsidR="00134A30" w:rsidRPr="00CB2BBC">
        <w:rPr>
          <w:rFonts w:cs="Arial"/>
          <w:bCs/>
          <w:szCs w:val="19"/>
          <w:lang w:val="en-GB"/>
        </w:rPr>
        <w:t>w</w:t>
      </w:r>
      <w:r w:rsidR="008F7E05" w:rsidRPr="00CB2BBC">
        <w:rPr>
          <w:rFonts w:cs="Arial"/>
          <w:bCs/>
          <w:szCs w:val="19"/>
          <w:lang w:val="en-GB"/>
        </w:rPr>
        <w:t>as</w:t>
      </w:r>
      <w:r w:rsidR="00134A30" w:rsidRPr="00CB2BBC">
        <w:rPr>
          <w:rFonts w:cs="Arial"/>
          <w:bCs/>
          <w:szCs w:val="19"/>
          <w:lang w:val="en-GB"/>
        </w:rPr>
        <w:t xml:space="preserve"> higher than the average </w:t>
      </w:r>
      <w:r w:rsidR="002650D9">
        <w:rPr>
          <w:rFonts w:cs="Arial"/>
          <w:bCs/>
          <w:szCs w:val="19"/>
          <w:lang w:val="en-GB"/>
        </w:rPr>
        <w:t>monthly</w:t>
      </w:r>
      <w:r w:rsidR="00134A30" w:rsidRPr="00CB2BBC">
        <w:rPr>
          <w:rFonts w:cs="Arial"/>
          <w:bCs/>
          <w:szCs w:val="19"/>
          <w:lang w:val="en-GB"/>
        </w:rPr>
        <w:t xml:space="preserve"> income per </w:t>
      </w:r>
      <w:r w:rsidR="008F7E05" w:rsidRPr="00CB2BBC">
        <w:rPr>
          <w:rFonts w:cs="Arial"/>
          <w:bCs/>
          <w:szCs w:val="19"/>
          <w:lang w:val="en-GB"/>
        </w:rPr>
        <w:t>capita</w:t>
      </w:r>
      <w:r w:rsidR="00134A30" w:rsidRPr="00CB2BBC">
        <w:rPr>
          <w:rFonts w:cs="Arial"/>
          <w:bCs/>
          <w:szCs w:val="19"/>
          <w:lang w:val="en-GB"/>
        </w:rPr>
        <w:t xml:space="preserve"> </w:t>
      </w:r>
      <w:r w:rsidR="002650D9">
        <w:rPr>
          <w:rFonts w:cs="Arial"/>
          <w:bCs/>
          <w:szCs w:val="19"/>
          <w:lang w:val="en-GB"/>
        </w:rPr>
        <w:t xml:space="preserve">for the country </w:t>
      </w:r>
      <w:r w:rsidR="00134A30" w:rsidRPr="00CB2BBC">
        <w:rPr>
          <w:rFonts w:cs="Arial"/>
          <w:bCs/>
          <w:szCs w:val="19"/>
          <w:lang w:val="en-GB"/>
        </w:rPr>
        <w:t xml:space="preserve">by </w:t>
      </w:r>
      <w:r w:rsidR="00BC2360">
        <w:rPr>
          <w:rFonts w:cs="Arial"/>
          <w:bCs/>
          <w:szCs w:val="19"/>
          <w:lang w:val="en-GB"/>
        </w:rPr>
        <w:t>15.2</w:t>
      </w:r>
      <w:r w:rsidR="00134A30" w:rsidRPr="00CB2BBC">
        <w:rPr>
          <w:rFonts w:cs="Arial"/>
          <w:bCs/>
          <w:szCs w:val="19"/>
          <w:lang w:val="en-GB"/>
        </w:rPr>
        <w:t>% (</w:t>
      </w:r>
      <w:r w:rsidR="00134A30" w:rsidRPr="00134A30">
        <w:rPr>
          <w:rFonts w:cs="Arial"/>
          <w:bCs/>
          <w:szCs w:val="19"/>
          <w:lang w:val="en-GB"/>
        </w:rPr>
        <w:t xml:space="preserve">higher </w:t>
      </w:r>
      <w:r>
        <w:rPr>
          <w:rFonts w:cs="Arial"/>
          <w:bCs/>
          <w:szCs w:val="19"/>
          <w:lang w:val="en-GB"/>
        </w:rPr>
        <w:t xml:space="preserve">than national average </w:t>
      </w:r>
      <w:r w:rsidR="00134A30" w:rsidRPr="00134A30">
        <w:rPr>
          <w:rFonts w:cs="Arial"/>
          <w:bCs/>
          <w:szCs w:val="19"/>
          <w:lang w:val="en-GB"/>
        </w:rPr>
        <w:t xml:space="preserve">by </w:t>
      </w:r>
      <w:r w:rsidR="00D06F69">
        <w:rPr>
          <w:rFonts w:cs="Arial"/>
          <w:bCs/>
          <w:szCs w:val="19"/>
          <w:lang w:val="en-GB"/>
        </w:rPr>
        <w:t>28.8</w:t>
      </w:r>
      <w:r w:rsidR="00134A30" w:rsidRPr="00134A30">
        <w:rPr>
          <w:rFonts w:cs="Arial"/>
          <w:bCs/>
          <w:szCs w:val="19"/>
          <w:lang w:val="en-GB"/>
        </w:rPr>
        <w:t xml:space="preserve">% in </w:t>
      </w:r>
      <w:r w:rsidR="00AB1D39">
        <w:rPr>
          <w:rFonts w:cs="Arial"/>
          <w:bCs/>
          <w:szCs w:val="19"/>
          <w:lang w:val="en-GB"/>
        </w:rPr>
        <w:t>Warsaw Capital</w:t>
      </w:r>
      <w:r w:rsidR="00134A30" w:rsidRPr="00134A30">
        <w:rPr>
          <w:rFonts w:cs="Arial"/>
          <w:bCs/>
          <w:szCs w:val="19"/>
          <w:lang w:val="en-GB"/>
        </w:rPr>
        <w:t xml:space="preserve"> Region and lower by </w:t>
      </w:r>
      <w:r w:rsidR="00D06F69">
        <w:rPr>
          <w:rFonts w:cs="Arial"/>
          <w:bCs/>
          <w:szCs w:val="19"/>
          <w:lang w:val="en-GB"/>
        </w:rPr>
        <w:t>5.5</w:t>
      </w:r>
      <w:r w:rsidR="00134A30" w:rsidRPr="00134A30">
        <w:rPr>
          <w:rFonts w:cs="Arial"/>
          <w:bCs/>
          <w:szCs w:val="19"/>
          <w:lang w:val="en-GB"/>
        </w:rPr>
        <w:t xml:space="preserve">% in the </w:t>
      </w:r>
      <w:r w:rsidR="008F7E05">
        <w:rPr>
          <w:rFonts w:cs="Arial"/>
          <w:bCs/>
          <w:szCs w:val="19"/>
          <w:lang w:val="en-GB"/>
        </w:rPr>
        <w:t>remaining part</w:t>
      </w:r>
      <w:r w:rsidR="00134A30" w:rsidRPr="00134A30">
        <w:rPr>
          <w:rFonts w:cs="Arial"/>
          <w:bCs/>
          <w:szCs w:val="19"/>
          <w:lang w:val="en-GB"/>
        </w:rPr>
        <w:t xml:space="preserve"> of Mazowieckie Voivodship). </w:t>
      </w:r>
      <w:r w:rsidR="003B74E4">
        <w:rPr>
          <w:rFonts w:cs="Arial"/>
          <w:bCs/>
          <w:szCs w:val="19"/>
          <w:lang w:val="en-GB"/>
        </w:rPr>
        <w:t>T</w:t>
      </w:r>
      <w:r w:rsidR="00134A30" w:rsidRPr="00134A30">
        <w:rPr>
          <w:rFonts w:cs="Arial"/>
          <w:bCs/>
          <w:szCs w:val="19"/>
          <w:lang w:val="en-GB"/>
        </w:rPr>
        <w:t xml:space="preserve">he lowest </w:t>
      </w:r>
      <w:r w:rsidR="007527D6">
        <w:rPr>
          <w:rFonts w:cs="Arial"/>
          <w:bCs/>
          <w:szCs w:val="19"/>
          <w:lang w:val="en-GB"/>
        </w:rPr>
        <w:t xml:space="preserve">average monthly available </w:t>
      </w:r>
      <w:r w:rsidR="00134A30" w:rsidRPr="00134A30">
        <w:rPr>
          <w:rFonts w:cs="Arial"/>
          <w:bCs/>
          <w:szCs w:val="19"/>
          <w:lang w:val="en-GB"/>
        </w:rPr>
        <w:t xml:space="preserve">income </w:t>
      </w:r>
      <w:r w:rsidR="007527D6">
        <w:rPr>
          <w:rFonts w:cs="Arial"/>
          <w:bCs/>
          <w:szCs w:val="19"/>
          <w:lang w:val="en-GB"/>
        </w:rPr>
        <w:t xml:space="preserve">per capita </w:t>
      </w:r>
      <w:r w:rsidR="00134A30" w:rsidRPr="00134A30">
        <w:rPr>
          <w:rFonts w:cs="Arial"/>
          <w:bCs/>
          <w:szCs w:val="19"/>
          <w:lang w:val="en-GB"/>
        </w:rPr>
        <w:t xml:space="preserve">obtained </w:t>
      </w:r>
      <w:r w:rsidR="008F7E05">
        <w:rPr>
          <w:rFonts w:cs="Arial"/>
          <w:bCs/>
          <w:szCs w:val="19"/>
          <w:lang w:val="en-GB"/>
        </w:rPr>
        <w:t>households</w:t>
      </w:r>
      <w:r w:rsidR="00134A30" w:rsidRPr="00134A30">
        <w:rPr>
          <w:rFonts w:cs="Arial"/>
          <w:bCs/>
          <w:szCs w:val="19"/>
          <w:lang w:val="en-GB"/>
        </w:rPr>
        <w:t xml:space="preserve"> </w:t>
      </w:r>
      <w:r w:rsidR="008F7E05">
        <w:rPr>
          <w:rFonts w:cs="Arial"/>
          <w:bCs/>
          <w:szCs w:val="19"/>
          <w:lang w:val="en-GB"/>
        </w:rPr>
        <w:t>in</w:t>
      </w:r>
      <w:r w:rsidR="00134A30" w:rsidRPr="00134A30">
        <w:rPr>
          <w:rFonts w:cs="Arial"/>
          <w:bCs/>
          <w:szCs w:val="19"/>
          <w:lang w:val="en-GB"/>
        </w:rPr>
        <w:t xml:space="preserve"> </w:t>
      </w:r>
      <w:r w:rsidR="00687791">
        <w:rPr>
          <w:rFonts w:cs="Arial"/>
          <w:bCs/>
          <w:szCs w:val="19"/>
          <w:lang w:val="en-GB"/>
        </w:rPr>
        <w:t>Opolskie</w:t>
      </w:r>
      <w:r w:rsidR="003B74E4">
        <w:rPr>
          <w:rFonts w:cs="Arial"/>
          <w:bCs/>
          <w:szCs w:val="19"/>
          <w:lang w:val="en-GB"/>
        </w:rPr>
        <w:t xml:space="preserve"> </w:t>
      </w:r>
      <w:r w:rsidR="00134A30" w:rsidRPr="00134A30">
        <w:rPr>
          <w:rFonts w:cs="Arial"/>
          <w:bCs/>
          <w:szCs w:val="19"/>
          <w:lang w:val="en-GB"/>
        </w:rPr>
        <w:t xml:space="preserve">Voivodship (PLN </w:t>
      </w:r>
      <w:r w:rsidR="00D06F69">
        <w:rPr>
          <w:rFonts w:cs="Arial"/>
          <w:bCs/>
          <w:szCs w:val="19"/>
          <w:lang w:val="en-GB"/>
        </w:rPr>
        <w:t>2890</w:t>
      </w:r>
      <w:r w:rsidR="00F36205">
        <w:rPr>
          <w:rFonts w:cs="Arial"/>
          <w:bCs/>
          <w:szCs w:val="19"/>
          <w:lang w:val="en-GB"/>
        </w:rPr>
        <w:t>)</w:t>
      </w:r>
      <w:r w:rsidR="00134A30" w:rsidRPr="00134A30">
        <w:rPr>
          <w:rFonts w:cs="Arial"/>
          <w:bCs/>
          <w:szCs w:val="19"/>
          <w:lang w:val="en-GB"/>
        </w:rPr>
        <w:t xml:space="preserve"> </w:t>
      </w:r>
      <w:r w:rsidR="008F7E05">
        <w:rPr>
          <w:rFonts w:cs="Arial"/>
          <w:bCs/>
          <w:szCs w:val="19"/>
          <w:lang w:val="en-GB"/>
        </w:rPr>
        <w:t>– by</w:t>
      </w:r>
      <w:r w:rsidR="00134A30" w:rsidRPr="00134A30">
        <w:rPr>
          <w:rFonts w:cs="Arial"/>
          <w:bCs/>
          <w:szCs w:val="19"/>
          <w:lang w:val="en-GB"/>
        </w:rPr>
        <w:t xml:space="preserve"> </w:t>
      </w:r>
      <w:r w:rsidR="00D06F69">
        <w:rPr>
          <w:rFonts w:cs="Arial"/>
          <w:bCs/>
          <w:szCs w:val="19"/>
          <w:lang w:val="en-GB"/>
        </w:rPr>
        <w:t>17.4</w:t>
      </w:r>
      <w:r w:rsidR="00134A30" w:rsidRPr="00134A30">
        <w:rPr>
          <w:rFonts w:cs="Arial"/>
          <w:bCs/>
          <w:szCs w:val="19"/>
          <w:lang w:val="en-GB"/>
        </w:rPr>
        <w:t>% below the national average</w:t>
      </w:r>
      <w:r w:rsidR="001A602C">
        <w:rPr>
          <w:rFonts w:cs="Arial"/>
          <w:bCs/>
          <w:szCs w:val="19"/>
          <w:lang w:val="en-GB"/>
        </w:rPr>
        <w:t xml:space="preserve">. </w:t>
      </w:r>
      <w:r w:rsidR="00757E3A" w:rsidRPr="00757E3A">
        <w:rPr>
          <w:rFonts w:cs="Arial"/>
          <w:bCs/>
          <w:szCs w:val="19"/>
          <w:lang w:val="en-GB"/>
        </w:rPr>
        <w:t xml:space="preserve">The next voivodships with the lowest level of </w:t>
      </w:r>
      <w:r w:rsidR="001E4BE5">
        <w:rPr>
          <w:rFonts w:cs="Arial"/>
          <w:bCs/>
          <w:szCs w:val="19"/>
          <w:lang w:val="en-GB"/>
        </w:rPr>
        <w:t xml:space="preserve">average monthly </w:t>
      </w:r>
      <w:r w:rsidR="00757E3A" w:rsidRPr="00757E3A">
        <w:rPr>
          <w:rFonts w:cs="Arial"/>
          <w:bCs/>
          <w:szCs w:val="19"/>
          <w:lang w:val="en-GB"/>
        </w:rPr>
        <w:t xml:space="preserve">income </w:t>
      </w:r>
      <w:r w:rsidR="001E4BE5">
        <w:rPr>
          <w:rFonts w:cs="Arial"/>
          <w:bCs/>
          <w:szCs w:val="19"/>
          <w:lang w:val="en-GB"/>
        </w:rPr>
        <w:t xml:space="preserve">per capita </w:t>
      </w:r>
      <w:r w:rsidR="00757E3A" w:rsidRPr="00757E3A">
        <w:rPr>
          <w:rFonts w:cs="Arial"/>
          <w:bCs/>
          <w:szCs w:val="19"/>
          <w:lang w:val="en-GB"/>
        </w:rPr>
        <w:t xml:space="preserve">were </w:t>
      </w:r>
      <w:r w:rsidR="00F203D8">
        <w:rPr>
          <w:rFonts w:cs="Arial"/>
          <w:bCs/>
          <w:szCs w:val="19"/>
          <w:lang w:val="en-GB"/>
        </w:rPr>
        <w:t>voivodships</w:t>
      </w:r>
      <w:r w:rsidR="00F36205">
        <w:rPr>
          <w:rFonts w:cs="Arial"/>
          <w:bCs/>
          <w:szCs w:val="19"/>
          <w:lang w:val="en-GB"/>
        </w:rPr>
        <w:t xml:space="preserve">: </w:t>
      </w:r>
      <w:r w:rsidR="006B533F">
        <w:rPr>
          <w:rFonts w:cs="Arial"/>
          <w:bCs/>
          <w:szCs w:val="19"/>
          <w:lang w:val="en-GB"/>
        </w:rPr>
        <w:t xml:space="preserve">Podkarpackie (lower by </w:t>
      </w:r>
      <w:r w:rsidR="00D06F69">
        <w:rPr>
          <w:rFonts w:cs="Arial"/>
          <w:bCs/>
          <w:szCs w:val="19"/>
          <w:lang w:val="en-GB"/>
        </w:rPr>
        <w:t>12.9</w:t>
      </w:r>
      <w:r w:rsidR="006B533F">
        <w:rPr>
          <w:rFonts w:cs="Arial"/>
          <w:bCs/>
          <w:szCs w:val="19"/>
          <w:lang w:val="en-GB"/>
        </w:rPr>
        <w:t>%</w:t>
      </w:r>
      <w:r w:rsidR="006D670B">
        <w:rPr>
          <w:rFonts w:cs="Arial"/>
          <w:bCs/>
          <w:szCs w:val="19"/>
          <w:lang w:val="en-GB"/>
        </w:rPr>
        <w:t xml:space="preserve"> than national average</w:t>
      </w:r>
      <w:r w:rsidR="006B533F">
        <w:rPr>
          <w:rFonts w:cs="Arial"/>
          <w:bCs/>
          <w:szCs w:val="19"/>
          <w:lang w:val="en-GB"/>
        </w:rPr>
        <w:t xml:space="preserve">), </w:t>
      </w:r>
      <w:r w:rsidR="00225ED3">
        <w:rPr>
          <w:rFonts w:cs="Arial"/>
          <w:bCs/>
          <w:szCs w:val="19"/>
          <w:lang w:val="en-GB"/>
        </w:rPr>
        <w:t xml:space="preserve">Łódzkie (lower by 11.2%) and </w:t>
      </w:r>
      <w:r w:rsidR="00882B10">
        <w:rPr>
          <w:rFonts w:cs="Arial"/>
          <w:bCs/>
          <w:szCs w:val="19"/>
          <w:lang w:val="en-GB"/>
        </w:rPr>
        <w:t xml:space="preserve">Świętokrzyskie (lower by </w:t>
      </w:r>
      <w:r w:rsidR="00225ED3">
        <w:rPr>
          <w:rFonts w:cs="Arial"/>
          <w:bCs/>
          <w:szCs w:val="19"/>
          <w:lang w:val="en-GB"/>
        </w:rPr>
        <w:t>10.8</w:t>
      </w:r>
      <w:r w:rsidR="00882B10">
        <w:rPr>
          <w:rFonts w:cs="Arial"/>
          <w:bCs/>
          <w:szCs w:val="19"/>
          <w:lang w:val="en-GB"/>
        </w:rPr>
        <w:t>%)</w:t>
      </w:r>
      <w:r w:rsidR="00225ED3">
        <w:rPr>
          <w:rFonts w:cs="Arial"/>
          <w:bCs/>
          <w:szCs w:val="19"/>
          <w:lang w:val="en-GB"/>
        </w:rPr>
        <w:t xml:space="preserve">. </w:t>
      </w:r>
    </w:p>
    <w:p w14:paraId="7EE94F33" w14:textId="58AF2CF2" w:rsidR="009A352C" w:rsidRDefault="004573DF" w:rsidP="005071C2">
      <w:pPr>
        <w:rPr>
          <w:rFonts w:cs="Arial"/>
          <w:szCs w:val="19"/>
          <w:lang w:val="en-GB"/>
        </w:rPr>
      </w:pPr>
      <w:r w:rsidRPr="006416F7">
        <w:rPr>
          <w:rFonts w:cs="Arial"/>
          <w:szCs w:val="19"/>
          <w:lang w:val="en-GB"/>
        </w:rPr>
        <w:t xml:space="preserve">The difference between the highest and the lowest average </w:t>
      </w:r>
      <w:r w:rsidR="001E4BE5">
        <w:rPr>
          <w:rFonts w:cs="Arial"/>
          <w:szCs w:val="19"/>
          <w:lang w:val="en-GB"/>
        </w:rPr>
        <w:t xml:space="preserve">monthly </w:t>
      </w:r>
      <w:r w:rsidRPr="006416F7">
        <w:rPr>
          <w:rFonts w:cs="Arial"/>
          <w:szCs w:val="19"/>
          <w:lang w:val="en-GB"/>
        </w:rPr>
        <w:t xml:space="preserve">income per capita </w:t>
      </w:r>
      <w:r w:rsidR="008F7E05">
        <w:rPr>
          <w:rFonts w:cs="Arial"/>
          <w:szCs w:val="19"/>
          <w:lang w:val="en-GB"/>
        </w:rPr>
        <w:t xml:space="preserve">in voivodships in </w:t>
      </w:r>
      <w:r w:rsidR="00EE4132">
        <w:rPr>
          <w:rFonts w:cs="Arial"/>
          <w:szCs w:val="19"/>
          <w:lang w:val="en-GB"/>
        </w:rPr>
        <w:t>relation to</w:t>
      </w:r>
      <w:r w:rsidRPr="006416F7">
        <w:rPr>
          <w:rFonts w:cs="Arial"/>
          <w:szCs w:val="19"/>
          <w:lang w:val="en-GB"/>
        </w:rPr>
        <w:t xml:space="preserve"> the national average amount</w:t>
      </w:r>
      <w:r>
        <w:rPr>
          <w:rFonts w:cs="Arial"/>
          <w:szCs w:val="19"/>
          <w:lang w:val="en-GB"/>
        </w:rPr>
        <w:t xml:space="preserve">ed to </w:t>
      </w:r>
      <w:r w:rsidR="00225ED3">
        <w:rPr>
          <w:rFonts w:cs="Arial"/>
          <w:szCs w:val="19"/>
          <w:lang w:val="en-GB"/>
        </w:rPr>
        <w:t>32.6</w:t>
      </w:r>
      <w:r w:rsidRPr="006416F7">
        <w:rPr>
          <w:rFonts w:cs="Arial"/>
          <w:szCs w:val="19"/>
          <w:lang w:val="en-GB"/>
        </w:rPr>
        <w:t xml:space="preserve"> percentage points</w:t>
      </w:r>
      <w:r w:rsidR="00225ED3">
        <w:rPr>
          <w:rFonts w:cs="Arial"/>
          <w:szCs w:val="19"/>
          <w:lang w:val="en-GB"/>
        </w:rPr>
        <w:t xml:space="preserve"> (decrease by 2.0 percentage points compared to 2024) </w:t>
      </w:r>
      <w:r w:rsidR="00E873C4">
        <w:rPr>
          <w:rFonts w:cs="Arial"/>
          <w:szCs w:val="19"/>
          <w:lang w:val="en-GB"/>
        </w:rPr>
        <w:t>.</w:t>
      </w:r>
    </w:p>
    <w:p w14:paraId="7EE94F34" w14:textId="2A2E0EF4" w:rsidR="00764D9C" w:rsidRPr="000075A1" w:rsidRDefault="003F5092" w:rsidP="00DC28C6">
      <w:pPr>
        <w:spacing w:before="360" w:after="360" w:line="240" w:lineRule="auto"/>
        <w:rPr>
          <w:spacing w:val="-2"/>
          <w:szCs w:val="19"/>
          <w:shd w:val="clear" w:color="auto" w:fill="FFFFFF"/>
        </w:rPr>
      </w:pPr>
      <w:r>
        <w:rPr>
          <w:i/>
          <w:noProof/>
          <w:lang w:eastAsia="pl-PL"/>
        </w:rPr>
        <mc:AlternateContent>
          <mc:Choice Requires="wps">
            <w:drawing>
              <wp:anchor distT="45720" distB="45720" distL="114300" distR="114300" simplePos="0" relativeHeight="251814912" behindDoc="1" locked="0" layoutInCell="1" allowOverlap="1" wp14:anchorId="7EE94FB8" wp14:editId="7BB79611">
                <wp:simplePos x="0" y="0"/>
                <wp:positionH relativeFrom="column">
                  <wp:posOffset>5259705</wp:posOffset>
                </wp:positionH>
                <wp:positionV relativeFrom="paragraph">
                  <wp:posOffset>1269365</wp:posOffset>
                </wp:positionV>
                <wp:extent cx="1725295" cy="1764665"/>
                <wp:effectExtent l="0" t="0" r="0" b="0"/>
                <wp:wrapTight wrapText="bothSides">
                  <wp:wrapPolygon edited="0">
                    <wp:start x="715" y="0"/>
                    <wp:lineTo x="715" y="21219"/>
                    <wp:lineTo x="20749" y="21219"/>
                    <wp:lineTo x="20749" y="0"/>
                    <wp:lineTo x="715" y="0"/>
                  </wp:wrapPolygon>
                </wp:wrapTight>
                <wp:docPr id="213" name="Pole tekstow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64665"/>
                        </a:xfrm>
                        <a:prstGeom prst="rect">
                          <a:avLst/>
                        </a:prstGeom>
                        <a:noFill/>
                        <a:ln w="9525">
                          <a:noFill/>
                          <a:miter lim="800000"/>
                          <a:headEnd/>
                          <a:tailEnd/>
                        </a:ln>
                      </wps:spPr>
                      <wps:txbx>
                        <w:txbxContent>
                          <w:p w14:paraId="7EE9501B" w14:textId="724A94C1" w:rsidR="00E127EB" w:rsidRPr="00A13CB9" w:rsidRDefault="00E127EB" w:rsidP="008235B1">
                            <w:pPr>
                              <w:pStyle w:val="tekstzboku"/>
                              <w:rPr>
                                <w:lang w:val="en-GB"/>
                              </w:rPr>
                            </w:pPr>
                            <w:r w:rsidRPr="00A13CB9">
                              <w:rPr>
                                <w:bCs w:val="0"/>
                                <w:lang w:val="en-GB"/>
                              </w:rPr>
                              <w:t xml:space="preserve">The highest average monthly available income per capita </w:t>
                            </w:r>
                            <w:r>
                              <w:rPr>
                                <w:bCs w:val="0"/>
                                <w:lang w:val="en-GB"/>
                              </w:rPr>
                              <w:t xml:space="preserve">had </w:t>
                            </w:r>
                            <w:r w:rsidRPr="00A13CB9">
                              <w:rPr>
                                <w:bCs w:val="0"/>
                                <w:lang w:val="en-GB"/>
                              </w:rPr>
                              <w:t>hous</w:t>
                            </w:r>
                            <w:r>
                              <w:rPr>
                                <w:bCs w:val="0"/>
                                <w:lang w:val="en-GB"/>
                              </w:rPr>
                              <w:t>e</w:t>
                            </w:r>
                            <w:r w:rsidRPr="00A13CB9">
                              <w:rPr>
                                <w:bCs w:val="0"/>
                                <w:lang w:val="en-GB"/>
                              </w:rPr>
                              <w:t xml:space="preserve">holds </w:t>
                            </w:r>
                            <w:r>
                              <w:rPr>
                                <w:bCs w:val="0"/>
                                <w:lang w:val="en-GB"/>
                              </w:rPr>
                              <w:t xml:space="preserve">in </w:t>
                            </w:r>
                            <w:r>
                              <w:rPr>
                                <w:bCs w:val="0"/>
                                <w:lang w:val="en-GB"/>
                              </w:rPr>
                              <w:br/>
                              <w:t>Mazowieckie Voivodship – PLN 4034</w:t>
                            </w:r>
                            <w:r w:rsidRPr="00A13CB9">
                              <w:rPr>
                                <w:bCs w:val="0"/>
                                <w:lang w:val="en-GB"/>
                              </w:rPr>
                              <w:t xml:space="preserve"> and the lowest </w:t>
                            </w:r>
                            <w:r>
                              <w:rPr>
                                <w:bCs w:val="0"/>
                                <w:lang w:val="en-GB"/>
                              </w:rPr>
                              <w:br/>
                              <w:t xml:space="preserve">– households living </w:t>
                            </w:r>
                            <w:r w:rsidRPr="00A13CB9">
                              <w:rPr>
                                <w:bCs w:val="0"/>
                                <w:lang w:val="en-GB"/>
                              </w:rPr>
                              <w:t xml:space="preserve">in </w:t>
                            </w:r>
                            <w:r>
                              <w:rPr>
                                <w:bCs w:val="0"/>
                                <w:lang w:val="en-GB"/>
                              </w:rPr>
                              <w:br/>
                              <w:t>Opolskie</w:t>
                            </w:r>
                            <w:r w:rsidRPr="00A13CB9">
                              <w:rPr>
                                <w:bCs w:val="0"/>
                                <w:lang w:val="en-GB"/>
                              </w:rPr>
                              <w:t xml:space="preserve"> Voivod</w:t>
                            </w:r>
                            <w:r>
                              <w:rPr>
                                <w:bCs w:val="0"/>
                                <w:lang w:val="en-GB"/>
                              </w:rPr>
                              <w:t>s</w:t>
                            </w:r>
                            <w:r w:rsidRPr="00A13CB9">
                              <w:rPr>
                                <w:bCs w:val="0"/>
                                <w:lang w:val="en-GB"/>
                              </w:rPr>
                              <w:t xml:space="preserve">hip </w:t>
                            </w:r>
                            <w:r>
                              <w:rPr>
                                <w:bCs w:val="0"/>
                                <w:lang w:val="en-GB"/>
                              </w:rPr>
                              <w:t>–</w:t>
                            </w:r>
                            <w:r w:rsidRPr="00A13CB9">
                              <w:rPr>
                                <w:bCs w:val="0"/>
                                <w:lang w:val="en-GB"/>
                              </w:rPr>
                              <w:t>PLN</w:t>
                            </w:r>
                            <w:r>
                              <w:rPr>
                                <w:bCs w:val="0"/>
                                <w:lang w:val="en-GB"/>
                              </w:rPr>
                              <w:t> 2890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8" id="Pole tekstowe 213" o:spid="_x0000_s1035" type="#_x0000_t202" style="position:absolute;margin-left:414.15pt;margin-top:99.95pt;width:135.85pt;height:138.9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" filled="f" stroked="f">
                <v:textbox>
                  <w:txbxContent>
                    <w:p w14:paraId="7EE9501B" w14:textId="724A94C1" w:rsidR="00E127EB" w:rsidRPr="00A13CB9" w:rsidRDefault="00E127EB" w:rsidP="008235B1">
                      <w:pPr>
                        <w:pStyle w:val="tekstzboku"/>
                        <w:rPr>
                          <w:lang w:val="en-GB"/>
                        </w:rPr>
                      </w:pPr>
                      <w:r w:rsidRPr="00A13CB9">
                        <w:rPr>
                          <w:bCs w:val="0"/>
                          <w:lang w:val="en-GB"/>
                        </w:rPr>
                        <w:t xml:space="preserve">The highest average monthly available income per capita </w:t>
                      </w:r>
                      <w:r>
                        <w:rPr>
                          <w:bCs w:val="0"/>
                          <w:lang w:val="en-GB"/>
                        </w:rPr>
                        <w:t xml:space="preserve">had </w:t>
                      </w:r>
                      <w:r w:rsidRPr="00A13CB9">
                        <w:rPr>
                          <w:bCs w:val="0"/>
                          <w:lang w:val="en-GB"/>
                        </w:rPr>
                        <w:t>hous</w:t>
                      </w:r>
                      <w:r>
                        <w:rPr>
                          <w:bCs w:val="0"/>
                          <w:lang w:val="en-GB"/>
                        </w:rPr>
                        <w:t>e</w:t>
                      </w:r>
                      <w:r w:rsidRPr="00A13CB9">
                        <w:rPr>
                          <w:bCs w:val="0"/>
                          <w:lang w:val="en-GB"/>
                        </w:rPr>
                        <w:t xml:space="preserve">holds </w:t>
                      </w:r>
                      <w:r>
                        <w:rPr>
                          <w:bCs w:val="0"/>
                          <w:lang w:val="en-GB"/>
                        </w:rPr>
                        <w:t xml:space="preserve">in </w:t>
                      </w:r>
                      <w:r>
                        <w:rPr>
                          <w:bCs w:val="0"/>
                          <w:lang w:val="en-GB"/>
                        </w:rPr>
                        <w:br/>
                        <w:t>Mazowieckie Voivodship – PLN 4034</w:t>
                      </w:r>
                      <w:r w:rsidRPr="00A13CB9">
                        <w:rPr>
                          <w:bCs w:val="0"/>
                          <w:lang w:val="en-GB"/>
                        </w:rPr>
                        <w:t xml:space="preserve"> and the lowest </w:t>
                      </w:r>
                      <w:r>
                        <w:rPr>
                          <w:bCs w:val="0"/>
                          <w:lang w:val="en-GB"/>
                        </w:rPr>
                        <w:br/>
                        <w:t xml:space="preserve">– households living </w:t>
                      </w:r>
                      <w:r w:rsidRPr="00A13CB9">
                        <w:rPr>
                          <w:bCs w:val="0"/>
                          <w:lang w:val="en-GB"/>
                        </w:rPr>
                        <w:t xml:space="preserve">in </w:t>
                      </w:r>
                      <w:r>
                        <w:rPr>
                          <w:bCs w:val="0"/>
                          <w:lang w:val="en-GB"/>
                        </w:rPr>
                        <w:br/>
                        <w:t>Opolskie</w:t>
                      </w:r>
                      <w:r w:rsidRPr="00A13CB9">
                        <w:rPr>
                          <w:bCs w:val="0"/>
                          <w:lang w:val="en-GB"/>
                        </w:rPr>
                        <w:t xml:space="preserve"> Voivod</w:t>
                      </w:r>
                      <w:r>
                        <w:rPr>
                          <w:bCs w:val="0"/>
                          <w:lang w:val="en-GB"/>
                        </w:rPr>
                        <w:t>s</w:t>
                      </w:r>
                      <w:r w:rsidRPr="00A13CB9">
                        <w:rPr>
                          <w:bCs w:val="0"/>
                          <w:lang w:val="en-GB"/>
                        </w:rPr>
                        <w:t xml:space="preserve">hip </w:t>
                      </w:r>
                      <w:r>
                        <w:rPr>
                          <w:bCs w:val="0"/>
                          <w:lang w:val="en-GB"/>
                        </w:rPr>
                        <w:t>–</w:t>
                      </w:r>
                      <w:r w:rsidRPr="00A13CB9">
                        <w:rPr>
                          <w:bCs w:val="0"/>
                          <w:lang w:val="en-GB"/>
                        </w:rPr>
                        <w:t>PLN</w:t>
                      </w:r>
                      <w:r>
                        <w:rPr>
                          <w:bCs w:val="0"/>
                          <w:lang w:val="en-GB"/>
                        </w:rPr>
                        <w:t> 2890</w:t>
                      </w:r>
                    </w:p>
                  </w:txbxContent>
                </v:textbox>
                <w10:wrap type="tight"/>
              </v:shape>
            </w:pict>
          </mc:Fallback>
        </mc:AlternateContent>
      </w:r>
      <w:r w:rsidR="00D945DB">
        <w:rPr>
          <w:noProof/>
          <w:lang w:eastAsia="pl-PL"/>
        </w:rPr>
        <w:pict w14:anchorId="21EC75AB">
          <v:shape id="_x0000_i1027" type="#_x0000_t75" style="width:403.5pt;height:5in">
            <v:imagedata r:id="rId19" o:title="mapa 1 2026 granat ANG"/>
          </v:shape>
        </w:pict>
      </w:r>
    </w:p>
    <w:p w14:paraId="52DB63B9" w14:textId="77777777" w:rsidR="00DC28C6" w:rsidRDefault="00DC28C6" w:rsidP="00EE4132">
      <w:pPr>
        <w:rPr>
          <w:rFonts w:cs="Arial"/>
          <w:bCs/>
          <w:szCs w:val="19"/>
          <w:lang w:val="en-GB"/>
        </w:rPr>
      </w:pPr>
      <w:r>
        <w:rPr>
          <w:rFonts w:cs="Arial"/>
          <w:bCs/>
          <w:szCs w:val="19"/>
          <w:lang w:val="en-GB"/>
        </w:rPr>
        <w:br w:type="page"/>
      </w:r>
    </w:p>
    <w:p w14:paraId="7EE94F38" w14:textId="39348474" w:rsidR="00EE4132" w:rsidRDefault="00EE4132" w:rsidP="00EE4132">
      <w:pPr>
        <w:rPr>
          <w:rFonts w:cs="Arial"/>
          <w:bCs/>
          <w:szCs w:val="19"/>
          <w:lang w:val="en-GB"/>
        </w:rPr>
      </w:pPr>
      <w:r w:rsidRPr="00EE4132">
        <w:rPr>
          <w:rFonts w:cs="Arial"/>
          <w:bCs/>
          <w:szCs w:val="19"/>
          <w:lang w:val="en-GB"/>
        </w:rPr>
        <w:lastRenderedPageBreak/>
        <w:t>In the case of expen</w:t>
      </w:r>
      <w:r w:rsidR="00D1288C">
        <w:rPr>
          <w:rFonts w:cs="Arial"/>
          <w:bCs/>
          <w:szCs w:val="19"/>
          <w:lang w:val="en-GB"/>
        </w:rPr>
        <w:t>diture</w:t>
      </w:r>
      <w:r w:rsidRPr="00EE4132">
        <w:rPr>
          <w:rFonts w:cs="Arial"/>
          <w:bCs/>
          <w:szCs w:val="19"/>
          <w:lang w:val="en-GB"/>
        </w:rPr>
        <w:t>, average monthly values above average for Poland in 202</w:t>
      </w:r>
      <w:r w:rsidR="00225ED3">
        <w:rPr>
          <w:rFonts w:cs="Arial"/>
          <w:bCs/>
          <w:szCs w:val="19"/>
          <w:lang w:val="en-GB"/>
        </w:rPr>
        <w:t>5</w:t>
      </w:r>
      <w:r w:rsidRPr="00EE4132">
        <w:rPr>
          <w:rFonts w:cs="Arial"/>
          <w:bCs/>
          <w:szCs w:val="19"/>
          <w:lang w:val="en-GB"/>
        </w:rPr>
        <w:t xml:space="preserve"> were recorded in </w:t>
      </w:r>
      <w:r>
        <w:rPr>
          <w:rFonts w:cs="Arial"/>
          <w:bCs/>
          <w:szCs w:val="19"/>
          <w:lang w:val="en-GB"/>
        </w:rPr>
        <w:t>voivodships</w:t>
      </w:r>
      <w:r w:rsidR="00D8494E">
        <w:rPr>
          <w:rFonts w:cs="Arial"/>
          <w:bCs/>
          <w:szCs w:val="19"/>
          <w:lang w:val="en-GB"/>
        </w:rPr>
        <w:t>:</w:t>
      </w:r>
      <w:r w:rsidR="001E4BE5" w:rsidRPr="00EE4132">
        <w:rPr>
          <w:rFonts w:cs="Arial"/>
          <w:bCs/>
          <w:szCs w:val="19"/>
          <w:lang w:val="en-GB"/>
        </w:rPr>
        <w:t xml:space="preserve"> </w:t>
      </w:r>
      <w:r w:rsidR="003B74E4" w:rsidRPr="00EE4132">
        <w:rPr>
          <w:rFonts w:cs="Arial"/>
          <w:bCs/>
          <w:szCs w:val="19"/>
          <w:lang w:val="en-GB"/>
        </w:rPr>
        <w:t>Dolnośląskie</w:t>
      </w:r>
      <w:r w:rsidR="00EF609F">
        <w:rPr>
          <w:rFonts w:cs="Arial"/>
          <w:bCs/>
          <w:szCs w:val="19"/>
          <w:lang w:val="en-GB"/>
        </w:rPr>
        <w:t>,</w:t>
      </w:r>
      <w:r w:rsidR="00EF609F" w:rsidRPr="00EF609F">
        <w:rPr>
          <w:rFonts w:cs="Arial"/>
          <w:bCs/>
          <w:szCs w:val="19"/>
          <w:lang w:val="en-GB"/>
        </w:rPr>
        <w:t xml:space="preserve"> </w:t>
      </w:r>
      <w:r w:rsidR="0041638F">
        <w:rPr>
          <w:rFonts w:cs="Arial"/>
          <w:bCs/>
          <w:szCs w:val="19"/>
          <w:lang w:val="en-GB"/>
        </w:rPr>
        <w:t>Ma</w:t>
      </w:r>
      <w:r w:rsidR="00D8494E">
        <w:rPr>
          <w:rFonts w:cs="Arial"/>
          <w:bCs/>
          <w:szCs w:val="19"/>
          <w:lang w:val="en-GB"/>
        </w:rPr>
        <w:t>z</w:t>
      </w:r>
      <w:r w:rsidR="0041638F">
        <w:rPr>
          <w:rFonts w:cs="Arial"/>
          <w:bCs/>
          <w:szCs w:val="19"/>
          <w:lang w:val="en-GB"/>
        </w:rPr>
        <w:t xml:space="preserve">owieckie, </w:t>
      </w:r>
      <w:r w:rsidR="007103FC">
        <w:rPr>
          <w:rFonts w:cs="Arial"/>
          <w:bCs/>
          <w:szCs w:val="19"/>
          <w:lang w:val="en-GB"/>
        </w:rPr>
        <w:t xml:space="preserve">Śląskie, </w:t>
      </w:r>
      <w:r w:rsidR="0041638F">
        <w:rPr>
          <w:rFonts w:cs="Arial"/>
          <w:bCs/>
          <w:szCs w:val="19"/>
          <w:lang w:val="en-GB"/>
        </w:rPr>
        <w:t xml:space="preserve">Pomorskie, </w:t>
      </w:r>
      <w:r w:rsidR="007103FC">
        <w:rPr>
          <w:rFonts w:cs="Arial"/>
          <w:bCs/>
          <w:szCs w:val="19"/>
          <w:lang w:val="en-GB"/>
        </w:rPr>
        <w:t xml:space="preserve">Kujawsko-Pomorskie, </w:t>
      </w:r>
      <w:r w:rsidR="0041638F">
        <w:rPr>
          <w:rFonts w:cs="Arial"/>
          <w:bCs/>
          <w:szCs w:val="19"/>
          <w:lang w:val="en-GB"/>
        </w:rPr>
        <w:t xml:space="preserve">Łódzkie, Lubelskie and </w:t>
      </w:r>
      <w:r w:rsidR="007103FC">
        <w:rPr>
          <w:rFonts w:cs="Arial"/>
          <w:bCs/>
          <w:szCs w:val="19"/>
          <w:lang w:val="en-GB"/>
        </w:rPr>
        <w:t>Zachodniopomorskie</w:t>
      </w:r>
      <w:r w:rsidR="00D8494E">
        <w:rPr>
          <w:rFonts w:cs="Arial"/>
          <w:bCs/>
          <w:szCs w:val="19"/>
          <w:lang w:val="en-GB"/>
        </w:rPr>
        <w:t>.</w:t>
      </w:r>
      <w:r w:rsidRPr="00EE4132">
        <w:rPr>
          <w:rFonts w:cs="Arial"/>
          <w:bCs/>
          <w:szCs w:val="19"/>
          <w:lang w:val="en-GB"/>
        </w:rPr>
        <w:t xml:space="preserve"> </w:t>
      </w:r>
      <w:r w:rsidR="003B74E4">
        <w:rPr>
          <w:rFonts w:cs="Arial"/>
          <w:bCs/>
          <w:szCs w:val="19"/>
          <w:lang w:val="en-GB"/>
        </w:rPr>
        <w:t>T</w:t>
      </w:r>
      <w:r w:rsidRPr="00EE4132">
        <w:rPr>
          <w:rFonts w:cs="Arial"/>
          <w:bCs/>
          <w:szCs w:val="19"/>
          <w:lang w:val="en-GB"/>
        </w:rPr>
        <w:t xml:space="preserve">he highest average monthly </w:t>
      </w:r>
      <w:r>
        <w:rPr>
          <w:rFonts w:cs="Arial"/>
          <w:bCs/>
          <w:szCs w:val="19"/>
          <w:lang w:val="en-GB"/>
        </w:rPr>
        <w:t>expenditure</w:t>
      </w:r>
      <w:r w:rsidRPr="00EE4132">
        <w:rPr>
          <w:rFonts w:cs="Arial"/>
          <w:bCs/>
          <w:szCs w:val="19"/>
          <w:lang w:val="en-GB"/>
        </w:rPr>
        <w:t xml:space="preserve"> per </w:t>
      </w:r>
      <w:r>
        <w:rPr>
          <w:rFonts w:cs="Arial"/>
          <w:bCs/>
          <w:szCs w:val="19"/>
          <w:lang w:val="en-GB"/>
        </w:rPr>
        <w:t>capita</w:t>
      </w:r>
      <w:r w:rsidRPr="00EE4132">
        <w:rPr>
          <w:rFonts w:cs="Arial"/>
          <w:bCs/>
          <w:szCs w:val="19"/>
          <w:lang w:val="en-GB"/>
        </w:rPr>
        <w:t xml:space="preserve"> </w:t>
      </w:r>
      <w:r w:rsidR="008321D9">
        <w:rPr>
          <w:rFonts w:cs="Arial"/>
          <w:bCs/>
          <w:szCs w:val="19"/>
          <w:lang w:val="en-GB"/>
        </w:rPr>
        <w:t>was</w:t>
      </w:r>
      <w:r w:rsidRPr="00EE4132">
        <w:rPr>
          <w:rFonts w:cs="Arial"/>
          <w:bCs/>
          <w:szCs w:val="19"/>
          <w:lang w:val="en-GB"/>
        </w:rPr>
        <w:t xml:space="preserve"> </w:t>
      </w:r>
      <w:r>
        <w:rPr>
          <w:rFonts w:cs="Arial"/>
          <w:bCs/>
          <w:szCs w:val="19"/>
          <w:lang w:val="en-GB"/>
        </w:rPr>
        <w:t>noted</w:t>
      </w:r>
      <w:r w:rsidRPr="00EE4132">
        <w:rPr>
          <w:rFonts w:cs="Arial"/>
          <w:bCs/>
          <w:szCs w:val="19"/>
          <w:lang w:val="en-GB"/>
        </w:rPr>
        <w:t xml:space="preserve"> in </w:t>
      </w:r>
      <w:r w:rsidR="0041638F">
        <w:rPr>
          <w:rFonts w:cs="Arial"/>
          <w:bCs/>
          <w:szCs w:val="19"/>
          <w:lang w:val="en-GB"/>
        </w:rPr>
        <w:t>Dolnośląskie</w:t>
      </w:r>
      <w:r w:rsidR="003B74E4" w:rsidRPr="00EE4132">
        <w:rPr>
          <w:rFonts w:cs="Arial"/>
          <w:bCs/>
          <w:szCs w:val="19"/>
          <w:lang w:val="en-GB"/>
        </w:rPr>
        <w:t xml:space="preserve"> </w:t>
      </w:r>
      <w:r w:rsidR="00300A62">
        <w:rPr>
          <w:rFonts w:cs="Arial"/>
          <w:bCs/>
          <w:szCs w:val="19"/>
          <w:lang w:val="en-GB"/>
        </w:rPr>
        <w:t>V</w:t>
      </w:r>
      <w:r w:rsidRPr="00EE4132">
        <w:rPr>
          <w:rFonts w:cs="Arial"/>
          <w:bCs/>
          <w:szCs w:val="19"/>
          <w:lang w:val="en-GB"/>
        </w:rPr>
        <w:t xml:space="preserve">oivodship </w:t>
      </w:r>
      <w:r w:rsidR="00446DA6">
        <w:rPr>
          <w:rFonts w:cs="Arial"/>
          <w:bCs/>
          <w:szCs w:val="19"/>
          <w:lang w:val="en-GB"/>
        </w:rPr>
        <w:t xml:space="preserve">– </w:t>
      </w:r>
      <w:r w:rsidR="00446DA6" w:rsidRPr="00EE4132">
        <w:rPr>
          <w:rFonts w:cs="Arial"/>
          <w:bCs/>
          <w:szCs w:val="19"/>
          <w:lang w:val="en-GB"/>
        </w:rPr>
        <w:t xml:space="preserve">PLN </w:t>
      </w:r>
      <w:r w:rsidR="0041638F">
        <w:rPr>
          <w:rFonts w:cs="Arial"/>
          <w:bCs/>
          <w:szCs w:val="19"/>
          <w:lang w:val="en-GB"/>
        </w:rPr>
        <w:t>2303</w:t>
      </w:r>
      <w:r w:rsidR="00D8494E">
        <w:rPr>
          <w:rFonts w:cs="Arial"/>
          <w:bCs/>
          <w:szCs w:val="19"/>
          <w:lang w:val="en-GB"/>
        </w:rPr>
        <w:t xml:space="preserve"> </w:t>
      </w:r>
      <w:r w:rsidR="00300A62">
        <w:rPr>
          <w:rFonts w:cs="Arial"/>
          <w:bCs/>
          <w:szCs w:val="19"/>
          <w:lang w:val="en-GB"/>
        </w:rPr>
        <w:t>(in 202</w:t>
      </w:r>
      <w:r w:rsidR="0041638F">
        <w:rPr>
          <w:rFonts w:cs="Arial"/>
          <w:bCs/>
          <w:szCs w:val="19"/>
          <w:lang w:val="en-GB"/>
        </w:rPr>
        <w:t>4</w:t>
      </w:r>
      <w:r w:rsidR="00300A62">
        <w:rPr>
          <w:rFonts w:cs="Arial"/>
          <w:bCs/>
          <w:szCs w:val="19"/>
          <w:lang w:val="en-GB"/>
        </w:rPr>
        <w:t xml:space="preserve"> – </w:t>
      </w:r>
      <w:r w:rsidR="002650D9">
        <w:rPr>
          <w:rFonts w:cs="Arial"/>
          <w:bCs/>
          <w:szCs w:val="19"/>
          <w:lang w:val="en-GB"/>
        </w:rPr>
        <w:t xml:space="preserve">PLN </w:t>
      </w:r>
      <w:r w:rsidR="0041638F">
        <w:rPr>
          <w:rFonts w:cs="Arial"/>
          <w:bCs/>
          <w:szCs w:val="19"/>
          <w:lang w:val="en-GB"/>
        </w:rPr>
        <w:t>2150</w:t>
      </w:r>
      <w:r w:rsidR="00300A62">
        <w:rPr>
          <w:rFonts w:cs="Arial"/>
          <w:bCs/>
          <w:szCs w:val="19"/>
          <w:lang w:val="en-GB"/>
        </w:rPr>
        <w:t xml:space="preserve">), </w:t>
      </w:r>
      <w:r w:rsidRPr="00EE4132">
        <w:rPr>
          <w:rFonts w:cs="Arial"/>
          <w:bCs/>
          <w:szCs w:val="19"/>
          <w:lang w:val="en-GB"/>
        </w:rPr>
        <w:t xml:space="preserve">and they were higher than the </w:t>
      </w:r>
      <w:r>
        <w:rPr>
          <w:rFonts w:cs="Arial"/>
          <w:bCs/>
          <w:szCs w:val="19"/>
          <w:lang w:val="en-GB"/>
        </w:rPr>
        <w:t xml:space="preserve">national </w:t>
      </w:r>
      <w:r w:rsidRPr="00EE4132">
        <w:rPr>
          <w:rFonts w:cs="Arial"/>
          <w:bCs/>
          <w:szCs w:val="19"/>
          <w:lang w:val="en-GB"/>
        </w:rPr>
        <w:t xml:space="preserve">average by </w:t>
      </w:r>
      <w:r w:rsidR="002B5B81">
        <w:rPr>
          <w:rFonts w:cs="Arial"/>
          <w:bCs/>
          <w:szCs w:val="19"/>
          <w:lang w:val="en-GB"/>
        </w:rPr>
        <w:t>14.3</w:t>
      </w:r>
      <w:r w:rsidRPr="00EE4132">
        <w:rPr>
          <w:rFonts w:cs="Arial"/>
          <w:bCs/>
          <w:szCs w:val="19"/>
          <w:lang w:val="en-GB"/>
        </w:rPr>
        <w:t>%</w:t>
      </w:r>
      <w:r w:rsidR="003B74E4">
        <w:rPr>
          <w:rFonts w:cs="Arial"/>
          <w:bCs/>
          <w:szCs w:val="19"/>
          <w:lang w:val="en-GB"/>
        </w:rPr>
        <w:t xml:space="preserve">. </w:t>
      </w:r>
      <w:r w:rsidRPr="00CB2BBC">
        <w:rPr>
          <w:rFonts w:cs="Arial"/>
          <w:bCs/>
          <w:szCs w:val="19"/>
          <w:lang w:val="en-GB"/>
        </w:rPr>
        <w:t xml:space="preserve">The </w:t>
      </w:r>
      <w:r w:rsidRPr="00EE4132">
        <w:rPr>
          <w:rFonts w:cs="Arial"/>
          <w:bCs/>
          <w:szCs w:val="19"/>
          <w:lang w:val="en-GB"/>
        </w:rPr>
        <w:t xml:space="preserve">lowest average </w:t>
      </w:r>
      <w:r w:rsidR="003E2E1C">
        <w:rPr>
          <w:rFonts w:cs="Arial"/>
          <w:bCs/>
          <w:szCs w:val="19"/>
          <w:lang w:val="en-GB"/>
        </w:rPr>
        <w:t xml:space="preserve">monthly </w:t>
      </w:r>
      <w:r w:rsidRPr="00EE4132">
        <w:rPr>
          <w:rFonts w:cs="Arial"/>
          <w:bCs/>
          <w:szCs w:val="19"/>
          <w:lang w:val="en-GB"/>
        </w:rPr>
        <w:t>expe</w:t>
      </w:r>
      <w:r>
        <w:rPr>
          <w:rFonts w:cs="Arial"/>
          <w:bCs/>
          <w:szCs w:val="19"/>
          <w:lang w:val="en-GB"/>
        </w:rPr>
        <w:t>nditure</w:t>
      </w:r>
      <w:r w:rsidRPr="00EE4132">
        <w:rPr>
          <w:rFonts w:cs="Arial"/>
          <w:bCs/>
          <w:szCs w:val="19"/>
          <w:lang w:val="en-GB"/>
        </w:rPr>
        <w:t xml:space="preserve"> </w:t>
      </w:r>
      <w:r>
        <w:rPr>
          <w:rFonts w:cs="Arial"/>
          <w:bCs/>
          <w:szCs w:val="19"/>
          <w:lang w:val="en-GB"/>
        </w:rPr>
        <w:t>per capita</w:t>
      </w:r>
      <w:r w:rsidRPr="00EE4132">
        <w:rPr>
          <w:rFonts w:cs="Arial"/>
          <w:bCs/>
          <w:szCs w:val="19"/>
          <w:lang w:val="en-GB"/>
        </w:rPr>
        <w:t xml:space="preserve"> </w:t>
      </w:r>
      <w:r w:rsidR="001D1AB1">
        <w:rPr>
          <w:rFonts w:cs="Arial"/>
          <w:bCs/>
          <w:szCs w:val="19"/>
          <w:lang w:val="en-GB"/>
        </w:rPr>
        <w:t>occurred</w:t>
      </w:r>
      <w:r w:rsidR="003639E6">
        <w:rPr>
          <w:rFonts w:cs="Arial"/>
          <w:bCs/>
          <w:szCs w:val="19"/>
          <w:lang w:val="en-GB"/>
        </w:rPr>
        <w:t xml:space="preserve"> </w:t>
      </w:r>
      <w:r w:rsidRPr="00EE4132">
        <w:rPr>
          <w:rFonts w:cs="Arial"/>
          <w:bCs/>
          <w:szCs w:val="19"/>
          <w:lang w:val="en-GB"/>
        </w:rPr>
        <w:t xml:space="preserve">in </w:t>
      </w:r>
      <w:r w:rsidR="00D8494E">
        <w:rPr>
          <w:rFonts w:cs="Arial"/>
          <w:bCs/>
          <w:szCs w:val="19"/>
          <w:lang w:val="en-GB"/>
        </w:rPr>
        <w:t>Świętokrzyskie</w:t>
      </w:r>
      <w:r w:rsidRPr="00EE4132">
        <w:rPr>
          <w:rFonts w:cs="Arial"/>
          <w:bCs/>
          <w:szCs w:val="19"/>
          <w:lang w:val="en-GB"/>
        </w:rPr>
        <w:t xml:space="preserve"> Voivodship (PLN </w:t>
      </w:r>
      <w:r w:rsidR="007103FC">
        <w:rPr>
          <w:rFonts w:cs="Arial"/>
          <w:bCs/>
          <w:szCs w:val="19"/>
          <w:lang w:val="en-GB"/>
        </w:rPr>
        <w:t>1549</w:t>
      </w:r>
      <w:r w:rsidR="00300A62">
        <w:rPr>
          <w:rFonts w:cs="Arial"/>
          <w:bCs/>
          <w:szCs w:val="19"/>
          <w:lang w:val="en-GB"/>
        </w:rPr>
        <w:t xml:space="preserve"> in comparison with </w:t>
      </w:r>
      <w:r w:rsidR="0094108F">
        <w:rPr>
          <w:rFonts w:cs="Arial"/>
          <w:bCs/>
          <w:szCs w:val="19"/>
          <w:lang w:val="en-GB"/>
        </w:rPr>
        <w:t>PLN </w:t>
      </w:r>
      <w:r w:rsidR="002B5B81">
        <w:rPr>
          <w:rFonts w:cs="Arial"/>
          <w:bCs/>
          <w:szCs w:val="19"/>
          <w:lang w:val="en-GB"/>
        </w:rPr>
        <w:t>1596</w:t>
      </w:r>
      <w:r w:rsidR="00300A62">
        <w:rPr>
          <w:rFonts w:cs="Arial"/>
          <w:bCs/>
          <w:szCs w:val="19"/>
          <w:lang w:val="en-GB"/>
        </w:rPr>
        <w:t xml:space="preserve"> in 202</w:t>
      </w:r>
      <w:r w:rsidR="002B5B81">
        <w:rPr>
          <w:rFonts w:cs="Arial"/>
          <w:bCs/>
          <w:szCs w:val="19"/>
          <w:lang w:val="en-GB"/>
        </w:rPr>
        <w:t>4</w:t>
      </w:r>
      <w:r w:rsidR="00300A62">
        <w:rPr>
          <w:rFonts w:cs="Arial"/>
          <w:bCs/>
          <w:szCs w:val="19"/>
          <w:lang w:val="en-GB"/>
        </w:rPr>
        <w:t>)</w:t>
      </w:r>
      <w:r w:rsidRPr="00EE4132">
        <w:rPr>
          <w:rFonts w:cs="Arial"/>
          <w:bCs/>
          <w:szCs w:val="19"/>
          <w:lang w:val="en-GB"/>
        </w:rPr>
        <w:t xml:space="preserve"> and </w:t>
      </w:r>
      <w:r w:rsidR="0094108F">
        <w:rPr>
          <w:rFonts w:cs="Arial"/>
          <w:bCs/>
          <w:szCs w:val="19"/>
          <w:lang w:val="en-GB"/>
        </w:rPr>
        <w:t>with respect to</w:t>
      </w:r>
      <w:r w:rsidRPr="00EE4132">
        <w:rPr>
          <w:rFonts w:cs="Arial"/>
          <w:bCs/>
          <w:szCs w:val="19"/>
          <w:lang w:val="en-GB"/>
        </w:rPr>
        <w:t xml:space="preserve"> the average </w:t>
      </w:r>
      <w:r w:rsidRPr="005F3182">
        <w:rPr>
          <w:rFonts w:cs="Arial"/>
          <w:bCs/>
          <w:szCs w:val="19"/>
          <w:lang w:val="en-GB"/>
        </w:rPr>
        <w:t xml:space="preserve">for the whole country </w:t>
      </w:r>
      <w:r w:rsidR="001D1AB1" w:rsidRPr="005F3182">
        <w:rPr>
          <w:rFonts w:cs="Arial"/>
          <w:bCs/>
          <w:szCs w:val="19"/>
          <w:lang w:val="en-GB"/>
        </w:rPr>
        <w:t>was</w:t>
      </w:r>
      <w:r w:rsidRPr="005F3182">
        <w:rPr>
          <w:rFonts w:cs="Arial"/>
          <w:bCs/>
          <w:szCs w:val="19"/>
          <w:lang w:val="en-GB"/>
        </w:rPr>
        <w:t xml:space="preserve"> lower</w:t>
      </w:r>
      <w:r w:rsidRPr="00EE4132">
        <w:rPr>
          <w:rFonts w:cs="Arial"/>
          <w:bCs/>
          <w:szCs w:val="19"/>
          <w:lang w:val="en-GB"/>
        </w:rPr>
        <w:t xml:space="preserve"> by </w:t>
      </w:r>
      <w:r w:rsidR="002B5B81">
        <w:rPr>
          <w:rFonts w:cs="Arial"/>
          <w:bCs/>
          <w:szCs w:val="19"/>
          <w:lang w:val="en-GB"/>
        </w:rPr>
        <w:t>23.1</w:t>
      </w:r>
      <w:r w:rsidRPr="00EE4132">
        <w:rPr>
          <w:rFonts w:cs="Arial"/>
          <w:bCs/>
          <w:szCs w:val="19"/>
          <w:lang w:val="en-GB"/>
        </w:rPr>
        <w:t>%</w:t>
      </w:r>
      <w:r w:rsidR="008321D9">
        <w:rPr>
          <w:rFonts w:cs="Arial"/>
          <w:bCs/>
          <w:szCs w:val="19"/>
          <w:lang w:val="en-GB"/>
        </w:rPr>
        <w:t>,</w:t>
      </w:r>
      <w:r w:rsidR="0061727D">
        <w:rPr>
          <w:rFonts w:cs="Arial"/>
          <w:bCs/>
          <w:szCs w:val="19"/>
          <w:lang w:val="en-GB"/>
        </w:rPr>
        <w:t xml:space="preserve"> </w:t>
      </w:r>
      <w:r w:rsidR="00F91B66">
        <w:rPr>
          <w:rFonts w:cs="Arial"/>
          <w:bCs/>
          <w:szCs w:val="19"/>
          <w:lang w:val="en-GB"/>
        </w:rPr>
        <w:t xml:space="preserve">subsequently </w:t>
      </w:r>
      <w:r w:rsidR="0038601E">
        <w:rPr>
          <w:rFonts w:cs="Arial"/>
          <w:bCs/>
          <w:szCs w:val="19"/>
          <w:lang w:val="en-GB"/>
        </w:rPr>
        <w:t xml:space="preserve">in </w:t>
      </w:r>
      <w:r w:rsidR="002B5B81">
        <w:rPr>
          <w:rFonts w:cs="Arial"/>
          <w:bCs/>
          <w:szCs w:val="19"/>
          <w:lang w:val="en-GB"/>
        </w:rPr>
        <w:t>Podkarpackie Voivo</w:t>
      </w:r>
      <w:r w:rsidR="00D8494E">
        <w:rPr>
          <w:rFonts w:cs="Arial"/>
          <w:bCs/>
          <w:szCs w:val="19"/>
          <w:lang w:val="en-GB"/>
        </w:rPr>
        <w:t>d</w:t>
      </w:r>
      <w:r w:rsidR="002B5B81">
        <w:rPr>
          <w:rFonts w:cs="Arial"/>
          <w:bCs/>
          <w:szCs w:val="19"/>
          <w:lang w:val="en-GB"/>
        </w:rPr>
        <w:t xml:space="preserve">ship (lower by 16.7%), </w:t>
      </w:r>
      <w:r w:rsidR="007103FC">
        <w:rPr>
          <w:rFonts w:cs="Arial"/>
          <w:bCs/>
          <w:szCs w:val="19"/>
          <w:lang w:val="en-GB"/>
        </w:rPr>
        <w:t xml:space="preserve">Warmińsko-Mazurskie </w:t>
      </w:r>
      <w:r w:rsidR="003B2361">
        <w:rPr>
          <w:rFonts w:cs="Arial"/>
          <w:bCs/>
          <w:szCs w:val="19"/>
          <w:lang w:val="en-GB"/>
        </w:rPr>
        <w:t xml:space="preserve">Voivodship </w:t>
      </w:r>
      <w:r w:rsidR="007103FC">
        <w:rPr>
          <w:rFonts w:cs="Arial"/>
          <w:bCs/>
          <w:szCs w:val="19"/>
          <w:lang w:val="en-GB"/>
        </w:rPr>
        <w:t xml:space="preserve">(lower by </w:t>
      </w:r>
      <w:r w:rsidR="002B5B81">
        <w:rPr>
          <w:rFonts w:cs="Arial"/>
          <w:bCs/>
          <w:szCs w:val="19"/>
          <w:lang w:val="en-GB"/>
        </w:rPr>
        <w:t>15.5</w:t>
      </w:r>
      <w:r w:rsidR="007103FC">
        <w:rPr>
          <w:rFonts w:cs="Arial"/>
          <w:bCs/>
          <w:szCs w:val="19"/>
          <w:lang w:val="en-GB"/>
        </w:rPr>
        <w:t xml:space="preserve">%), </w:t>
      </w:r>
      <w:r w:rsidR="00FE07F0">
        <w:rPr>
          <w:rFonts w:cs="Arial"/>
          <w:bCs/>
          <w:szCs w:val="19"/>
          <w:lang w:val="en-GB"/>
        </w:rPr>
        <w:t>and</w:t>
      </w:r>
      <w:r w:rsidR="0094108F" w:rsidRPr="0038601E">
        <w:rPr>
          <w:rFonts w:cs="Arial"/>
          <w:bCs/>
          <w:szCs w:val="19"/>
          <w:lang w:val="en-GB"/>
        </w:rPr>
        <w:t xml:space="preserve"> </w:t>
      </w:r>
      <w:r w:rsidR="0022263B">
        <w:rPr>
          <w:rFonts w:cs="Arial"/>
          <w:bCs/>
          <w:szCs w:val="19"/>
          <w:lang w:val="en-GB"/>
        </w:rPr>
        <w:t xml:space="preserve">Podlaskie Voivodship (lower by </w:t>
      </w:r>
      <w:r w:rsidR="00FE07F0">
        <w:rPr>
          <w:rFonts w:cs="Arial"/>
          <w:bCs/>
          <w:szCs w:val="19"/>
          <w:lang w:val="en-GB"/>
        </w:rPr>
        <w:t>14.0</w:t>
      </w:r>
      <w:r w:rsidR="0022263B" w:rsidRPr="0022263B">
        <w:rPr>
          <w:rFonts w:cs="Arial"/>
          <w:bCs/>
          <w:szCs w:val="19"/>
          <w:lang w:val="en-GB"/>
        </w:rPr>
        <w:t>%)</w:t>
      </w:r>
      <w:r w:rsidR="00FE07F0">
        <w:rPr>
          <w:rFonts w:cs="Arial"/>
          <w:bCs/>
          <w:szCs w:val="19"/>
          <w:lang w:val="en-GB"/>
        </w:rPr>
        <w:t>.</w:t>
      </w:r>
    </w:p>
    <w:p w14:paraId="38EE74B6" w14:textId="0AD0B708" w:rsidR="00D8494E" w:rsidRDefault="000D71AB" w:rsidP="009A352C">
      <w:pPr>
        <w:rPr>
          <w:rFonts w:cs="Arial"/>
          <w:szCs w:val="19"/>
          <w:lang w:val="en-GB"/>
        </w:rPr>
      </w:pPr>
      <w:r w:rsidRPr="00994420">
        <w:rPr>
          <w:rFonts w:cs="Arial"/>
          <w:szCs w:val="19"/>
          <w:lang w:val="en-GB"/>
        </w:rPr>
        <w:t>The difference between the highest and the lowest average</w:t>
      </w:r>
      <w:r w:rsidR="003E2E1C">
        <w:rPr>
          <w:rFonts w:cs="Arial"/>
          <w:szCs w:val="19"/>
          <w:lang w:val="en-GB"/>
        </w:rPr>
        <w:t xml:space="preserve"> monthly</w:t>
      </w:r>
      <w:r w:rsidRPr="00994420">
        <w:rPr>
          <w:rFonts w:cs="Arial"/>
          <w:szCs w:val="19"/>
          <w:lang w:val="en-GB"/>
        </w:rPr>
        <w:t xml:space="preserve"> expenditure per capita in voivodships </w:t>
      </w:r>
      <w:r w:rsidR="009B6015">
        <w:rPr>
          <w:rFonts w:cs="Arial"/>
          <w:szCs w:val="19"/>
          <w:lang w:val="en-GB"/>
        </w:rPr>
        <w:t>in</w:t>
      </w:r>
      <w:r w:rsidRPr="00994420">
        <w:rPr>
          <w:rFonts w:cs="Arial"/>
          <w:szCs w:val="19"/>
          <w:lang w:val="en-GB"/>
        </w:rPr>
        <w:t xml:space="preserve">creased </w:t>
      </w:r>
      <w:r w:rsidRPr="00504306">
        <w:rPr>
          <w:rFonts w:cs="Arial"/>
          <w:szCs w:val="19"/>
          <w:lang w:val="en-GB"/>
        </w:rPr>
        <w:t xml:space="preserve">by </w:t>
      </w:r>
      <w:r w:rsidR="00FE07F0">
        <w:rPr>
          <w:rFonts w:cs="Arial"/>
          <w:szCs w:val="19"/>
          <w:lang w:val="en-GB"/>
        </w:rPr>
        <w:t>5.2</w:t>
      </w:r>
      <w:r w:rsidRPr="00504306">
        <w:rPr>
          <w:rFonts w:cs="Arial"/>
          <w:szCs w:val="19"/>
          <w:lang w:val="en-GB"/>
        </w:rPr>
        <w:t xml:space="preserve"> percentage </w:t>
      </w:r>
      <w:r w:rsidRPr="00994420">
        <w:rPr>
          <w:rFonts w:cs="Arial"/>
          <w:szCs w:val="19"/>
          <w:lang w:val="en-GB"/>
        </w:rPr>
        <w:t xml:space="preserve">points in comparison </w:t>
      </w:r>
      <w:r w:rsidR="00EE4132">
        <w:rPr>
          <w:rFonts w:cs="Arial"/>
          <w:szCs w:val="19"/>
          <w:lang w:val="en-GB"/>
        </w:rPr>
        <w:t>with</w:t>
      </w:r>
      <w:r w:rsidRPr="00994420">
        <w:rPr>
          <w:rFonts w:cs="Arial"/>
          <w:szCs w:val="19"/>
          <w:lang w:val="en-GB"/>
        </w:rPr>
        <w:t xml:space="preserve"> 20</w:t>
      </w:r>
      <w:r w:rsidR="008321D9">
        <w:rPr>
          <w:rFonts w:cs="Arial"/>
          <w:szCs w:val="19"/>
          <w:lang w:val="en-GB"/>
        </w:rPr>
        <w:t>2</w:t>
      </w:r>
      <w:r w:rsidR="00FE07F0">
        <w:rPr>
          <w:rFonts w:cs="Arial"/>
          <w:szCs w:val="19"/>
          <w:lang w:val="en-GB"/>
        </w:rPr>
        <w:t>4</w:t>
      </w:r>
      <w:r w:rsidRPr="00994420">
        <w:rPr>
          <w:rFonts w:cs="Arial"/>
          <w:szCs w:val="19"/>
          <w:lang w:val="en-GB"/>
        </w:rPr>
        <w:t xml:space="preserve"> and amounted to </w:t>
      </w:r>
      <w:r w:rsidR="00FE07F0">
        <w:rPr>
          <w:rFonts w:cs="Arial"/>
          <w:szCs w:val="19"/>
          <w:lang w:val="en-GB"/>
        </w:rPr>
        <w:t>37.4</w:t>
      </w:r>
      <w:r w:rsidR="001D1AB1">
        <w:rPr>
          <w:rFonts w:cs="Arial"/>
          <w:szCs w:val="19"/>
          <w:lang w:val="en-GB"/>
        </w:rPr>
        <w:t> </w:t>
      </w:r>
      <w:r w:rsidRPr="00994420">
        <w:rPr>
          <w:rFonts w:cs="Arial"/>
          <w:szCs w:val="19"/>
          <w:lang w:val="en-GB"/>
        </w:rPr>
        <w:t>percentage points.</w:t>
      </w:r>
    </w:p>
    <w:p w14:paraId="7EE94F3B" w14:textId="2F423586" w:rsidR="00764D9C" w:rsidRPr="000075A1" w:rsidRDefault="0080273B" w:rsidP="00DC28C6">
      <w:pPr>
        <w:spacing w:before="360" w:after="360" w:line="240" w:lineRule="auto"/>
        <w:rPr>
          <w:spacing w:val="-2"/>
          <w:szCs w:val="19"/>
          <w:shd w:val="clear" w:color="auto" w:fill="FFFFFF"/>
        </w:rPr>
      </w:pPr>
      <w:r>
        <w:rPr>
          <w:i/>
          <w:noProof/>
          <w:lang w:eastAsia="pl-PL"/>
        </w:rPr>
        <mc:AlternateContent>
          <mc:Choice Requires="wps">
            <w:drawing>
              <wp:anchor distT="45720" distB="45720" distL="114300" distR="114300" simplePos="0" relativeHeight="251815936" behindDoc="1" locked="0" layoutInCell="1" allowOverlap="1" wp14:anchorId="7EE94FBC" wp14:editId="5CC8D341">
                <wp:simplePos x="0" y="0"/>
                <wp:positionH relativeFrom="column">
                  <wp:posOffset>5278755</wp:posOffset>
                </wp:positionH>
                <wp:positionV relativeFrom="paragraph">
                  <wp:posOffset>1287780</wp:posOffset>
                </wp:positionV>
                <wp:extent cx="1725295" cy="1802130"/>
                <wp:effectExtent l="0" t="0" r="0" b="0"/>
                <wp:wrapTight wrapText="bothSides">
                  <wp:wrapPolygon edited="0">
                    <wp:start x="715" y="0"/>
                    <wp:lineTo x="715" y="21235"/>
                    <wp:lineTo x="20749" y="21235"/>
                    <wp:lineTo x="20749" y="0"/>
                    <wp:lineTo x="715" y="0"/>
                  </wp:wrapPolygon>
                </wp:wrapTight>
                <wp:docPr id="212" name="Pole tekstow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2130"/>
                        </a:xfrm>
                        <a:prstGeom prst="rect">
                          <a:avLst/>
                        </a:prstGeom>
                        <a:noFill/>
                        <a:ln w="9525">
                          <a:noFill/>
                          <a:miter lim="800000"/>
                          <a:headEnd/>
                          <a:tailEnd/>
                        </a:ln>
                      </wps:spPr>
                      <wps:txbx>
                        <w:txbxContent>
                          <w:p w14:paraId="7EE9501C" w14:textId="5F8AA4F9" w:rsidR="00E127EB" w:rsidRPr="00A13CB9" w:rsidRDefault="00E127EB" w:rsidP="00650698">
                            <w:pPr>
                              <w:pStyle w:val="tekstzboku"/>
                              <w:rPr>
                                <w:bCs w:val="0"/>
                                <w:i/>
                                <w:lang w:val="en-GB"/>
                              </w:rPr>
                            </w:pPr>
                            <w:r w:rsidRPr="00A13CB9">
                              <w:rPr>
                                <w:spacing w:val="-2"/>
                                <w:lang w:val="en-GB"/>
                              </w:rPr>
                              <w:t>The highest average monthly expenditure per capita in ho</w:t>
                            </w:r>
                            <w:r>
                              <w:rPr>
                                <w:spacing w:val="-2"/>
                                <w:lang w:val="en-GB"/>
                              </w:rPr>
                              <w:t>u</w:t>
                            </w:r>
                            <w:r w:rsidRPr="00A13CB9">
                              <w:rPr>
                                <w:spacing w:val="-2"/>
                                <w:lang w:val="en-GB"/>
                              </w:rPr>
                              <w:t xml:space="preserve">seholds occurred in </w:t>
                            </w:r>
                            <w:r>
                              <w:rPr>
                                <w:spacing w:val="-2"/>
                                <w:lang w:val="en-GB"/>
                              </w:rPr>
                              <w:t>Dolnośląskie Voivodship</w:t>
                            </w:r>
                            <w:r w:rsidR="00DE01E4">
                              <w:rPr>
                                <w:spacing w:val="-2"/>
                                <w:lang w:val="en-GB"/>
                              </w:rPr>
                              <w:t xml:space="preserve"> - PLN 2303 and the lowest – in </w:t>
                            </w:r>
                            <w:r>
                              <w:rPr>
                                <w:spacing w:val="-2"/>
                                <w:lang w:val="en-GB"/>
                              </w:rPr>
                              <w:t>Świętokrzyskie</w:t>
                            </w:r>
                            <w:r w:rsidRPr="00A13CB9">
                              <w:rPr>
                                <w:spacing w:val="-2"/>
                                <w:lang w:val="en-GB"/>
                              </w:rPr>
                              <w:t xml:space="preserve"> Voivodship </w:t>
                            </w:r>
                            <w:r>
                              <w:rPr>
                                <w:spacing w:val="-2"/>
                                <w:lang w:val="en-GB"/>
                              </w:rPr>
                              <w:t xml:space="preserve">– </w:t>
                            </w:r>
                            <w:r w:rsidRPr="00A13CB9">
                              <w:rPr>
                                <w:spacing w:val="-2"/>
                                <w:lang w:val="en-GB"/>
                              </w:rPr>
                              <w:t xml:space="preserve">PLN </w:t>
                            </w:r>
                            <w:r>
                              <w:rPr>
                                <w:spacing w:val="-2"/>
                                <w:lang w:val="en-GB"/>
                              </w:rPr>
                              <w:t>1549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BC" id="Pole tekstowe 212" o:spid="_x0000_s1036" type="#_x0000_t202" style="position:absolute;margin-left:415.65pt;margin-top:101.4pt;width:135.85pt;height:141.9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" filled="f" stroked="f">
                <v:textbox>
                  <w:txbxContent>
                    <w:p w14:paraId="7EE9501C" w14:textId="5F8AA4F9" w:rsidR="00E127EB" w:rsidRPr="00A13CB9" w:rsidRDefault="00E127EB" w:rsidP="00650698">
                      <w:pPr>
                        <w:pStyle w:val="tekstzboku"/>
                        <w:rPr>
                          <w:bCs w:val="0"/>
                          <w:i/>
                          <w:lang w:val="en-GB"/>
                        </w:rPr>
                      </w:pPr>
                      <w:r w:rsidRPr="00A13CB9">
                        <w:rPr>
                          <w:spacing w:val="-2"/>
                          <w:lang w:val="en-GB"/>
                        </w:rPr>
                        <w:t>The highest average monthly expenditure per capita in ho</w:t>
                      </w:r>
                      <w:r>
                        <w:rPr>
                          <w:spacing w:val="-2"/>
                          <w:lang w:val="en-GB"/>
                        </w:rPr>
                        <w:t>u</w:t>
                      </w:r>
                      <w:r w:rsidRPr="00A13CB9">
                        <w:rPr>
                          <w:spacing w:val="-2"/>
                          <w:lang w:val="en-GB"/>
                        </w:rPr>
                        <w:t xml:space="preserve">seholds occurred in </w:t>
                      </w:r>
                      <w:r>
                        <w:rPr>
                          <w:spacing w:val="-2"/>
                          <w:lang w:val="en-GB"/>
                        </w:rPr>
                        <w:t>Dolnośląskie Voivodship</w:t>
                      </w:r>
                      <w:r w:rsidR="00DE01E4">
                        <w:rPr>
                          <w:spacing w:val="-2"/>
                          <w:lang w:val="en-GB"/>
                        </w:rPr>
                        <w:t xml:space="preserve"> - PLN 2303 and the lowest – in </w:t>
                      </w:r>
                      <w:r>
                        <w:rPr>
                          <w:spacing w:val="-2"/>
                          <w:lang w:val="en-GB"/>
                        </w:rPr>
                        <w:t>Świętokrzyskie</w:t>
                      </w:r>
                      <w:r w:rsidRPr="00A13CB9">
                        <w:rPr>
                          <w:spacing w:val="-2"/>
                          <w:lang w:val="en-GB"/>
                        </w:rPr>
                        <w:t xml:space="preserve"> Voivodship </w:t>
                      </w:r>
                      <w:r>
                        <w:rPr>
                          <w:spacing w:val="-2"/>
                          <w:lang w:val="en-GB"/>
                        </w:rPr>
                        <w:t xml:space="preserve">– </w:t>
                      </w:r>
                      <w:r w:rsidRPr="00A13CB9">
                        <w:rPr>
                          <w:spacing w:val="-2"/>
                          <w:lang w:val="en-GB"/>
                        </w:rPr>
                        <w:t xml:space="preserve">PLN </w:t>
                      </w:r>
                      <w:r>
                        <w:rPr>
                          <w:spacing w:val="-2"/>
                          <w:lang w:val="en-GB"/>
                        </w:rPr>
                        <w:t>1549</w:t>
                      </w:r>
                    </w:p>
                  </w:txbxContent>
                </v:textbox>
                <w10:wrap type="tight"/>
              </v:shape>
            </w:pict>
          </mc:Fallback>
        </mc:AlternateContent>
      </w:r>
      <w:r w:rsidR="00D945DB">
        <w:rPr>
          <w:noProof/>
          <w:lang w:eastAsia="pl-PL"/>
        </w:rPr>
        <w:pict w14:anchorId="76AA53B1">
          <v:shape id="_x0000_i1028" type="#_x0000_t75" style="width:403.5pt;height:5in">
            <v:imagedata r:id="rId20" o:title="mapa 2 2026 zielony ANG"/>
          </v:shape>
        </w:pict>
      </w:r>
    </w:p>
    <w:p w14:paraId="3EA91121" w14:textId="77777777" w:rsidR="00DC28C6" w:rsidRDefault="00DC28C6" w:rsidP="00EE4132">
      <w:pPr>
        <w:spacing w:before="240" w:line="240" w:lineRule="auto"/>
        <w:rPr>
          <w:rFonts w:ascii="Fira Sans SemiBold" w:hAnsi="Fira Sans SemiBold"/>
          <w:color w:val="001D77"/>
          <w:szCs w:val="19"/>
          <w:shd w:val="clear" w:color="auto" w:fill="FFFFFF"/>
          <w:lang w:val="en-GB"/>
        </w:rPr>
      </w:pPr>
      <w:r>
        <w:rPr>
          <w:rFonts w:ascii="Fira Sans SemiBold" w:hAnsi="Fira Sans SemiBold"/>
          <w:color w:val="001D77"/>
          <w:szCs w:val="19"/>
          <w:shd w:val="clear" w:color="auto" w:fill="FFFFFF"/>
          <w:lang w:val="en-GB"/>
        </w:rPr>
        <w:br w:type="page"/>
      </w:r>
    </w:p>
    <w:p w14:paraId="7EE94F3D" w14:textId="255EBDEE" w:rsidR="00BB40E7" w:rsidRPr="004E23CC" w:rsidRDefault="00FD0CA4" w:rsidP="005071C2">
      <w:pPr>
        <w:rPr>
          <w:rFonts w:ascii="Fira Sans SemiBold" w:hAnsi="Fira Sans SemiBold"/>
          <w:color w:val="001D77"/>
          <w:szCs w:val="19"/>
          <w:shd w:val="clear" w:color="auto" w:fill="FFFFFF"/>
          <w:lang w:val="en-GB"/>
        </w:rPr>
      </w:pPr>
      <w:r w:rsidRPr="004E23CC">
        <w:rPr>
          <w:noProof/>
          <w:lang w:eastAsia="pl-PL"/>
        </w:rPr>
        <w:lastRenderedPageBreak/>
        <mc:AlternateContent>
          <mc:Choice Requires="wps">
            <w:drawing>
              <wp:anchor distT="45720" distB="45720" distL="114300" distR="114300" simplePos="0" relativeHeight="251829248" behindDoc="1" locked="0" layoutInCell="1" allowOverlap="1" wp14:anchorId="7EE94FC0" wp14:editId="383A54EE">
                <wp:simplePos x="0" y="0"/>
                <wp:positionH relativeFrom="column">
                  <wp:posOffset>5276850</wp:posOffset>
                </wp:positionH>
                <wp:positionV relativeFrom="paragraph">
                  <wp:posOffset>95250</wp:posOffset>
                </wp:positionV>
                <wp:extent cx="1715770" cy="1571625"/>
                <wp:effectExtent l="0" t="0" r="0" b="0"/>
                <wp:wrapTight wrapText="bothSides">
                  <wp:wrapPolygon edited="0">
                    <wp:start x="719" y="0"/>
                    <wp:lineTo x="719" y="21207"/>
                    <wp:lineTo x="20865" y="21207"/>
                    <wp:lineTo x="20865" y="0"/>
                    <wp:lineTo x="719" y="0"/>
                  </wp:wrapPolygon>
                </wp:wrapTight>
                <wp:docPr id="55"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571625"/>
                        </a:xfrm>
                        <a:prstGeom prst="rect">
                          <a:avLst/>
                        </a:prstGeom>
                        <a:noFill/>
                        <a:ln w="9525">
                          <a:noFill/>
                          <a:miter lim="800000"/>
                          <a:headEnd/>
                          <a:tailEnd/>
                        </a:ln>
                      </wps:spPr>
                      <wps:txbx>
                        <w:txbxContent>
                          <w:p w14:paraId="7EE9501D" w14:textId="2183BD5F" w:rsidR="00E127EB" w:rsidRPr="00BB40E7" w:rsidRDefault="00E127EB" w:rsidP="00BB40E7">
                            <w:pPr>
                              <w:pStyle w:val="tekstzboku"/>
                              <w:rPr>
                                <w:bCs w:val="0"/>
                                <w:lang w:val="en-GB"/>
                              </w:rPr>
                            </w:pPr>
                            <w:r w:rsidRPr="00BB40E7">
                              <w:rPr>
                                <w:lang w:val="en-GB"/>
                              </w:rPr>
                              <w:t>In 20</w:t>
                            </w:r>
                            <w:r>
                              <w:rPr>
                                <w:lang w:val="en-GB"/>
                              </w:rPr>
                              <w:t>25,</w:t>
                            </w:r>
                            <w:r w:rsidRPr="00BB40E7">
                              <w:rPr>
                                <w:lang w:val="en-GB"/>
                              </w:rPr>
                              <w:t xml:space="preserve"> the</w:t>
                            </w:r>
                            <w:r>
                              <w:rPr>
                                <w:lang w:val="en-GB"/>
                              </w:rPr>
                              <w:t>re was an in</w:t>
                            </w:r>
                            <w:r w:rsidRPr="00BB40E7">
                              <w:rPr>
                                <w:lang w:val="en-GB"/>
                              </w:rPr>
                              <w:t>creas</w:t>
                            </w:r>
                            <w:r>
                              <w:rPr>
                                <w:lang w:val="en-GB"/>
                              </w:rPr>
                              <w:t>e</w:t>
                            </w:r>
                            <w:r w:rsidRPr="00BB40E7">
                              <w:rPr>
                                <w:lang w:val="en-GB"/>
                              </w:rPr>
                              <w:t xml:space="preserve"> in consumption of </w:t>
                            </w:r>
                            <w:r>
                              <w:rPr>
                                <w:lang w:val="en-GB"/>
                              </w:rPr>
                              <w:t>some</w:t>
                            </w:r>
                            <w:r w:rsidRPr="00BB40E7">
                              <w:rPr>
                                <w:lang w:val="en-GB"/>
                              </w:rPr>
                              <w:t xml:space="preserve"> basic foodstuffs, </w:t>
                            </w:r>
                            <w:r>
                              <w:rPr>
                                <w:lang w:val="en-GB"/>
                              </w:rPr>
                              <w:t>and particularly cheese and curd, animal fats (of which butter), pasta and pasta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0" id="Pole tekstowe 31" o:spid="_x0000_s1037" type="#_x0000_t202" style="position:absolute;margin-left:415.5pt;margin-top:7.5pt;width:135.1pt;height:123.75pt;z-index:-25148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" filled="f" stroked="f">
                <v:textbox>
                  <w:txbxContent>
                    <w:p w14:paraId="7EE9501D" w14:textId="2183BD5F" w:rsidR="00E127EB" w:rsidRPr="00BB40E7" w:rsidRDefault="00E127EB" w:rsidP="00BB40E7">
                      <w:pPr>
                        <w:pStyle w:val="tekstzboku"/>
                        <w:rPr>
                          <w:bCs w:val="0"/>
                          <w:lang w:val="en-GB"/>
                        </w:rPr>
                      </w:pPr>
                      <w:r w:rsidRPr="00BB40E7">
                        <w:rPr>
                          <w:lang w:val="en-GB"/>
                        </w:rPr>
                        <w:t>In 20</w:t>
                      </w:r>
                      <w:r>
                        <w:rPr>
                          <w:lang w:val="en-GB"/>
                        </w:rPr>
                        <w:t>25,</w:t>
                      </w:r>
                      <w:r w:rsidRPr="00BB40E7">
                        <w:rPr>
                          <w:lang w:val="en-GB"/>
                        </w:rPr>
                        <w:t xml:space="preserve"> the</w:t>
                      </w:r>
                      <w:r>
                        <w:rPr>
                          <w:lang w:val="en-GB"/>
                        </w:rPr>
                        <w:t>re was an in</w:t>
                      </w:r>
                      <w:r w:rsidRPr="00BB40E7">
                        <w:rPr>
                          <w:lang w:val="en-GB"/>
                        </w:rPr>
                        <w:t>creas</w:t>
                      </w:r>
                      <w:r>
                        <w:rPr>
                          <w:lang w:val="en-GB"/>
                        </w:rPr>
                        <w:t>e</w:t>
                      </w:r>
                      <w:r w:rsidRPr="00BB40E7">
                        <w:rPr>
                          <w:lang w:val="en-GB"/>
                        </w:rPr>
                        <w:t xml:space="preserve"> in consumption of </w:t>
                      </w:r>
                      <w:r>
                        <w:rPr>
                          <w:lang w:val="en-GB"/>
                        </w:rPr>
                        <w:t>some</w:t>
                      </w:r>
                      <w:r w:rsidRPr="00BB40E7">
                        <w:rPr>
                          <w:lang w:val="en-GB"/>
                        </w:rPr>
                        <w:t xml:space="preserve"> basic foodstuffs, </w:t>
                      </w:r>
                      <w:r>
                        <w:rPr>
                          <w:lang w:val="en-GB"/>
                        </w:rPr>
                        <w:t>and particularly cheese and curd, animal fats (of which butter), pasta and pasta products</w:t>
                      </w:r>
                    </w:p>
                  </w:txbxContent>
                </v:textbox>
                <w10:wrap type="tight"/>
              </v:shape>
            </w:pict>
          </mc:Fallback>
        </mc:AlternateContent>
      </w:r>
      <w:r w:rsidR="00BB40E7" w:rsidRPr="004E23CC">
        <w:rPr>
          <w:rFonts w:ascii="Fira Sans SemiBold" w:hAnsi="Fira Sans SemiBold"/>
          <w:color w:val="001D77"/>
          <w:szCs w:val="19"/>
          <w:shd w:val="clear" w:color="auto" w:fill="FFFFFF"/>
          <w:lang w:val="en-GB"/>
        </w:rPr>
        <w:t>Quantitative food consumption</w:t>
      </w:r>
    </w:p>
    <w:p w14:paraId="0731DBA3" w14:textId="498A1C26" w:rsidR="005D230C" w:rsidRDefault="006C5D1A" w:rsidP="005071C2">
      <w:pPr>
        <w:rPr>
          <w:rFonts w:cs="Arial"/>
          <w:bCs/>
          <w:szCs w:val="19"/>
          <w:lang w:val="en-GB"/>
        </w:rPr>
      </w:pPr>
      <w:r w:rsidRPr="0002534B">
        <w:rPr>
          <w:rFonts w:cs="Arial"/>
          <w:bCs/>
          <w:szCs w:val="19"/>
          <w:lang w:val="en-GB"/>
        </w:rPr>
        <w:t>In 20</w:t>
      </w:r>
      <w:r w:rsidR="00AD6802" w:rsidRPr="0002534B">
        <w:rPr>
          <w:rFonts w:cs="Arial"/>
          <w:bCs/>
          <w:szCs w:val="19"/>
          <w:lang w:val="en-GB"/>
        </w:rPr>
        <w:t>2</w:t>
      </w:r>
      <w:r w:rsidR="00FE07F0">
        <w:rPr>
          <w:rFonts w:cs="Arial"/>
          <w:bCs/>
          <w:szCs w:val="19"/>
          <w:lang w:val="en-GB"/>
        </w:rPr>
        <w:t>5</w:t>
      </w:r>
      <w:r w:rsidR="00D1288C" w:rsidRPr="0002534B">
        <w:rPr>
          <w:rFonts w:cs="Arial"/>
          <w:bCs/>
          <w:szCs w:val="19"/>
          <w:lang w:val="en-GB"/>
        </w:rPr>
        <w:t>,</w:t>
      </w:r>
      <w:r w:rsidRPr="0002534B">
        <w:rPr>
          <w:rFonts w:cs="Arial"/>
          <w:bCs/>
          <w:szCs w:val="19"/>
          <w:lang w:val="en-GB"/>
        </w:rPr>
        <w:t xml:space="preserve"> </w:t>
      </w:r>
      <w:r w:rsidR="00BB40E7" w:rsidRPr="0002534B">
        <w:rPr>
          <w:rFonts w:cs="Arial"/>
          <w:bCs/>
          <w:szCs w:val="19"/>
          <w:lang w:val="en-GB"/>
        </w:rPr>
        <w:t>the</w:t>
      </w:r>
      <w:r w:rsidR="00AD6802" w:rsidRPr="0002534B">
        <w:rPr>
          <w:rFonts w:cs="Arial"/>
          <w:bCs/>
          <w:szCs w:val="19"/>
          <w:lang w:val="en-GB"/>
        </w:rPr>
        <w:t>re was a</w:t>
      </w:r>
      <w:r w:rsidR="00CB7456">
        <w:rPr>
          <w:rFonts w:cs="Arial"/>
          <w:bCs/>
          <w:szCs w:val="19"/>
          <w:lang w:val="en-GB"/>
        </w:rPr>
        <w:t>n</w:t>
      </w:r>
      <w:r w:rsidR="00AD6802" w:rsidRPr="0002534B">
        <w:rPr>
          <w:rFonts w:cs="Arial"/>
          <w:bCs/>
          <w:szCs w:val="19"/>
          <w:lang w:val="en-GB"/>
        </w:rPr>
        <w:t xml:space="preserve"> </w:t>
      </w:r>
      <w:r w:rsidR="00CB7456">
        <w:rPr>
          <w:rFonts w:cs="Arial"/>
          <w:bCs/>
          <w:szCs w:val="19"/>
          <w:lang w:val="en-GB"/>
        </w:rPr>
        <w:t>in</w:t>
      </w:r>
      <w:r w:rsidR="00BB40E7" w:rsidRPr="0002534B">
        <w:rPr>
          <w:rFonts w:cs="Arial"/>
          <w:bCs/>
          <w:szCs w:val="19"/>
          <w:lang w:val="en-GB"/>
        </w:rPr>
        <w:t>creas</w:t>
      </w:r>
      <w:r w:rsidR="00AD6802" w:rsidRPr="0002534B">
        <w:rPr>
          <w:rFonts w:cs="Arial"/>
          <w:bCs/>
          <w:szCs w:val="19"/>
          <w:lang w:val="en-GB"/>
        </w:rPr>
        <w:t>e</w:t>
      </w:r>
      <w:r w:rsidR="00BB40E7" w:rsidRPr="0002534B">
        <w:rPr>
          <w:rFonts w:cs="Arial"/>
          <w:bCs/>
          <w:szCs w:val="19"/>
          <w:lang w:val="en-GB"/>
        </w:rPr>
        <w:t xml:space="preserve"> in consumption of </w:t>
      </w:r>
      <w:r w:rsidR="00284F7F">
        <w:rPr>
          <w:rFonts w:cs="Arial"/>
          <w:bCs/>
          <w:szCs w:val="19"/>
          <w:lang w:val="en-GB"/>
        </w:rPr>
        <w:t>some</w:t>
      </w:r>
      <w:r w:rsidR="00AD6802" w:rsidRPr="0002534B">
        <w:rPr>
          <w:rFonts w:cs="Arial"/>
          <w:bCs/>
          <w:szCs w:val="19"/>
          <w:lang w:val="en-GB"/>
        </w:rPr>
        <w:t xml:space="preserve"> of </w:t>
      </w:r>
      <w:r w:rsidR="00BB40E7" w:rsidRPr="0002534B">
        <w:rPr>
          <w:rFonts w:cs="Arial"/>
          <w:bCs/>
          <w:szCs w:val="19"/>
          <w:lang w:val="en-GB"/>
        </w:rPr>
        <w:t>basic foodstuffs.</w:t>
      </w:r>
      <w:r w:rsidR="007F25A3" w:rsidRPr="0002534B">
        <w:rPr>
          <w:rFonts w:cs="Arial"/>
          <w:bCs/>
          <w:szCs w:val="19"/>
          <w:lang w:val="en-GB"/>
        </w:rPr>
        <w:t xml:space="preserve"> Th</w:t>
      </w:r>
      <w:r w:rsidR="00AD6802" w:rsidRPr="0002534B">
        <w:rPr>
          <w:rFonts w:cs="Arial"/>
          <w:bCs/>
          <w:szCs w:val="19"/>
          <w:lang w:val="en-GB"/>
        </w:rPr>
        <w:t xml:space="preserve">e </w:t>
      </w:r>
      <w:r w:rsidR="00781653" w:rsidRPr="0002534B">
        <w:rPr>
          <w:rFonts w:cs="Arial"/>
          <w:bCs/>
          <w:szCs w:val="19"/>
          <w:lang w:val="en-GB"/>
        </w:rPr>
        <w:t xml:space="preserve">highest </w:t>
      </w:r>
      <w:r w:rsidR="00CB7456">
        <w:rPr>
          <w:rFonts w:cs="Arial"/>
          <w:bCs/>
          <w:szCs w:val="19"/>
          <w:lang w:val="en-GB"/>
        </w:rPr>
        <w:t>growth</w:t>
      </w:r>
      <w:r w:rsidR="00AD6802" w:rsidRPr="0002534B">
        <w:rPr>
          <w:rFonts w:cs="Arial"/>
          <w:bCs/>
          <w:szCs w:val="19"/>
          <w:lang w:val="en-GB"/>
        </w:rPr>
        <w:t xml:space="preserve"> </w:t>
      </w:r>
      <w:r w:rsidR="00933A75" w:rsidRPr="0002534B">
        <w:rPr>
          <w:rFonts w:cs="Arial"/>
          <w:bCs/>
          <w:szCs w:val="19"/>
          <w:lang w:val="en-GB"/>
        </w:rPr>
        <w:t>was recorded</w:t>
      </w:r>
      <w:r w:rsidR="00DE01E4">
        <w:rPr>
          <w:rFonts w:cs="Arial"/>
          <w:bCs/>
          <w:szCs w:val="19"/>
          <w:lang w:val="en-GB"/>
        </w:rPr>
        <w:t xml:space="preserve"> </w:t>
      </w:r>
      <w:r w:rsidR="009024FA">
        <w:rPr>
          <w:rFonts w:cs="Arial"/>
          <w:bCs/>
          <w:szCs w:val="19"/>
          <w:lang w:val="en-GB"/>
        </w:rPr>
        <w:t>for</w:t>
      </w:r>
      <w:r w:rsidR="00933A75" w:rsidRPr="0002534B">
        <w:rPr>
          <w:rFonts w:cs="Arial"/>
          <w:bCs/>
          <w:szCs w:val="19"/>
          <w:lang w:val="en-GB"/>
        </w:rPr>
        <w:t xml:space="preserve">: </w:t>
      </w:r>
      <w:r w:rsidR="00F86E0E">
        <w:rPr>
          <w:rFonts w:cs="Arial"/>
          <w:bCs/>
          <w:szCs w:val="19"/>
          <w:lang w:val="en-GB"/>
        </w:rPr>
        <w:t xml:space="preserve">cheese and curd (by 3.8%), </w:t>
      </w:r>
      <w:r w:rsidR="00284F7F">
        <w:rPr>
          <w:rFonts w:cs="Arial"/>
          <w:bCs/>
          <w:szCs w:val="19"/>
          <w:lang w:val="en-GB"/>
        </w:rPr>
        <w:t xml:space="preserve">animal fats (by 2.5%, of which </w:t>
      </w:r>
      <w:r w:rsidR="003C763F">
        <w:rPr>
          <w:rFonts w:cs="Arial"/>
          <w:bCs/>
          <w:szCs w:val="19"/>
          <w:lang w:val="en-GB"/>
        </w:rPr>
        <w:t xml:space="preserve">butter by 3.0%), </w:t>
      </w:r>
      <w:r w:rsidR="00F86E0E">
        <w:rPr>
          <w:rFonts w:cs="Arial"/>
          <w:bCs/>
          <w:szCs w:val="19"/>
          <w:lang w:val="en-GB"/>
        </w:rPr>
        <w:t>pasta and pasta products (by 2.4%)</w:t>
      </w:r>
      <w:r w:rsidR="00BC4006">
        <w:rPr>
          <w:rFonts w:cs="Arial"/>
          <w:bCs/>
          <w:szCs w:val="19"/>
          <w:lang w:val="en-GB"/>
        </w:rPr>
        <w:t xml:space="preserve">. </w:t>
      </w:r>
      <w:r w:rsidR="0038601E">
        <w:rPr>
          <w:rFonts w:cs="Arial"/>
          <w:bCs/>
          <w:szCs w:val="19"/>
          <w:lang w:val="en-GB"/>
        </w:rPr>
        <w:t xml:space="preserve">The highest </w:t>
      </w:r>
      <w:r w:rsidR="005D230C">
        <w:rPr>
          <w:rFonts w:cs="Arial"/>
          <w:bCs/>
          <w:szCs w:val="19"/>
          <w:lang w:val="en-GB"/>
        </w:rPr>
        <w:t>de</w:t>
      </w:r>
      <w:r w:rsidR="003B4D10">
        <w:rPr>
          <w:rFonts w:cs="Arial"/>
          <w:bCs/>
          <w:szCs w:val="19"/>
          <w:lang w:val="en-GB"/>
        </w:rPr>
        <w:t>crease</w:t>
      </w:r>
      <w:r w:rsidR="0038601E">
        <w:rPr>
          <w:rFonts w:cs="Arial"/>
          <w:bCs/>
          <w:szCs w:val="19"/>
          <w:lang w:val="en-GB"/>
        </w:rPr>
        <w:t xml:space="preserve"> was noted </w:t>
      </w:r>
      <w:r w:rsidR="009024FA">
        <w:rPr>
          <w:rFonts w:cs="Arial"/>
          <w:bCs/>
          <w:szCs w:val="19"/>
          <w:lang w:val="en-GB"/>
        </w:rPr>
        <w:t xml:space="preserve">for </w:t>
      </w:r>
      <w:r w:rsidR="0038601E">
        <w:rPr>
          <w:rFonts w:cs="Arial"/>
          <w:bCs/>
          <w:szCs w:val="19"/>
          <w:lang w:val="en-GB"/>
        </w:rPr>
        <w:t xml:space="preserve"> </w:t>
      </w:r>
      <w:r w:rsidR="00BC4006">
        <w:rPr>
          <w:rFonts w:cs="Arial"/>
          <w:bCs/>
          <w:szCs w:val="19"/>
          <w:lang w:val="en-GB"/>
        </w:rPr>
        <w:t xml:space="preserve">sugar (by 14.5%), </w:t>
      </w:r>
      <w:r w:rsidR="005D230C">
        <w:rPr>
          <w:rFonts w:cs="Arial"/>
          <w:bCs/>
          <w:szCs w:val="19"/>
          <w:lang w:val="en-GB"/>
        </w:rPr>
        <w:t>vegetable fats</w:t>
      </w:r>
      <w:r w:rsidR="005D230C" w:rsidRPr="0002534B">
        <w:rPr>
          <w:rFonts w:cs="Arial"/>
          <w:bCs/>
          <w:szCs w:val="19"/>
          <w:lang w:val="en-GB"/>
        </w:rPr>
        <w:t xml:space="preserve"> (</w:t>
      </w:r>
      <w:r w:rsidR="00284F7F">
        <w:rPr>
          <w:rFonts w:cs="Arial"/>
          <w:bCs/>
          <w:szCs w:val="19"/>
          <w:lang w:val="en-GB"/>
        </w:rPr>
        <w:t xml:space="preserve">by 4.8%, of which margarine and other solid fats </w:t>
      </w:r>
      <w:r w:rsidR="005D230C" w:rsidRPr="0002534B">
        <w:rPr>
          <w:rFonts w:cs="Arial"/>
          <w:bCs/>
          <w:szCs w:val="19"/>
          <w:lang w:val="en-GB"/>
        </w:rPr>
        <w:t xml:space="preserve">by </w:t>
      </w:r>
      <w:r w:rsidR="00BC4006">
        <w:rPr>
          <w:rFonts w:cs="Arial"/>
          <w:bCs/>
          <w:szCs w:val="19"/>
          <w:lang w:val="en-GB"/>
        </w:rPr>
        <w:t>9.5%</w:t>
      </w:r>
      <w:r w:rsidR="005D230C" w:rsidRPr="0002534B">
        <w:rPr>
          <w:rFonts w:cs="Arial"/>
          <w:bCs/>
          <w:szCs w:val="19"/>
          <w:lang w:val="en-GB"/>
        </w:rPr>
        <w:t>)</w:t>
      </w:r>
      <w:r w:rsidR="005D230C">
        <w:rPr>
          <w:rFonts w:cs="Arial"/>
          <w:bCs/>
          <w:szCs w:val="19"/>
          <w:lang w:val="en-GB"/>
        </w:rPr>
        <w:t xml:space="preserve">, </w:t>
      </w:r>
      <w:r w:rsidR="00DD008A">
        <w:rPr>
          <w:rFonts w:cs="Arial"/>
          <w:bCs/>
          <w:szCs w:val="19"/>
          <w:lang w:val="en-GB"/>
        </w:rPr>
        <w:t>poultry</w:t>
      </w:r>
      <w:r w:rsidR="00BC4006">
        <w:rPr>
          <w:rFonts w:cs="Arial"/>
          <w:bCs/>
          <w:szCs w:val="19"/>
          <w:lang w:val="en-GB"/>
        </w:rPr>
        <w:t xml:space="preserve"> </w:t>
      </w:r>
      <w:r w:rsidR="00DD008A">
        <w:rPr>
          <w:rFonts w:cs="Arial"/>
          <w:bCs/>
          <w:szCs w:val="19"/>
          <w:lang w:val="en-GB"/>
        </w:rPr>
        <w:t xml:space="preserve">meat </w:t>
      </w:r>
      <w:r w:rsidR="00BC4006">
        <w:rPr>
          <w:rFonts w:cs="Arial"/>
          <w:bCs/>
          <w:szCs w:val="19"/>
          <w:lang w:val="en-GB"/>
        </w:rPr>
        <w:t xml:space="preserve">(by 4.5%), </w:t>
      </w:r>
      <w:r w:rsidR="00674571">
        <w:rPr>
          <w:rFonts w:cs="Arial"/>
          <w:bCs/>
          <w:szCs w:val="19"/>
          <w:lang w:val="en-GB"/>
        </w:rPr>
        <w:t>bread (by 2.3%).</w:t>
      </w:r>
      <w:r w:rsidR="00DD008A" w:rsidRPr="00DE01E4">
        <w:rPr>
          <w:lang w:val="en-GB"/>
        </w:rPr>
        <w:t xml:space="preserve"> </w:t>
      </w:r>
      <w:r w:rsidR="00DD008A" w:rsidRPr="00DD008A">
        <w:rPr>
          <w:rFonts w:cs="Arial"/>
          <w:bCs/>
          <w:szCs w:val="19"/>
          <w:lang w:val="en-GB"/>
        </w:rPr>
        <w:t xml:space="preserve">The level of consumption of </w:t>
      </w:r>
      <w:r w:rsidR="00674571">
        <w:rPr>
          <w:rFonts w:cs="Arial"/>
          <w:bCs/>
          <w:szCs w:val="19"/>
          <w:lang w:val="en-GB"/>
        </w:rPr>
        <w:t>eggs, fruit, vegetables, cold cuts and other meat products</w:t>
      </w:r>
      <w:r w:rsidR="00C7566A">
        <w:rPr>
          <w:rFonts w:cs="Arial"/>
          <w:bCs/>
          <w:szCs w:val="19"/>
          <w:lang w:val="en-GB"/>
        </w:rPr>
        <w:t xml:space="preserve"> has changed to a lesser extent, while level of consumption of </w:t>
      </w:r>
      <w:r w:rsidR="00DD008A" w:rsidRPr="00DD008A">
        <w:rPr>
          <w:rFonts w:cs="Arial"/>
          <w:bCs/>
          <w:szCs w:val="19"/>
          <w:lang w:val="en-GB"/>
        </w:rPr>
        <w:t>flour, meat, fish and seafood, milk and cream has not changed compared to 2024</w:t>
      </w:r>
      <w:r w:rsidR="005D230C">
        <w:rPr>
          <w:rFonts w:cs="Arial"/>
          <w:bCs/>
          <w:szCs w:val="19"/>
          <w:lang w:val="en-GB"/>
        </w:rPr>
        <w:t xml:space="preserve">. </w:t>
      </w:r>
    </w:p>
    <w:p w14:paraId="7EE94F3F" w14:textId="5266CB6D" w:rsidR="00BB40E7" w:rsidRPr="006C77BB" w:rsidRDefault="00BB40E7" w:rsidP="005071C2">
      <w:pPr>
        <w:rPr>
          <w:szCs w:val="19"/>
          <w:shd w:val="clear" w:color="auto" w:fill="FFFFFF"/>
          <w:lang w:val="en-GB"/>
        </w:rPr>
      </w:pPr>
      <w:r w:rsidRPr="006C77BB">
        <w:rPr>
          <w:rFonts w:cs="Arial"/>
          <w:szCs w:val="19"/>
          <w:lang w:val="en-GB"/>
        </w:rPr>
        <w:t xml:space="preserve">The level of consumption of foodstuffs </w:t>
      </w:r>
      <w:r w:rsidR="00C7566A">
        <w:rPr>
          <w:rFonts w:cs="Arial"/>
          <w:szCs w:val="19"/>
          <w:lang w:val="en-GB"/>
        </w:rPr>
        <w:t>is related to</w:t>
      </w:r>
      <w:r w:rsidRPr="006C77BB">
        <w:rPr>
          <w:rFonts w:cs="Arial"/>
          <w:szCs w:val="19"/>
          <w:lang w:val="en-GB"/>
        </w:rPr>
        <w:t xml:space="preserve"> household income. As the wealth of households increases, so does the level of consumption of certain foodstuffs, </w:t>
      </w:r>
      <w:r w:rsidR="003B4D10" w:rsidRPr="006C77BB">
        <w:rPr>
          <w:rFonts w:cs="Arial"/>
          <w:szCs w:val="19"/>
          <w:lang w:val="en-GB"/>
        </w:rPr>
        <w:t xml:space="preserve">such </w:t>
      </w:r>
      <w:r w:rsidRPr="006C77BB">
        <w:rPr>
          <w:rFonts w:cs="Arial"/>
          <w:szCs w:val="19"/>
          <w:lang w:val="en-GB"/>
        </w:rPr>
        <w:t xml:space="preserve">as </w:t>
      </w:r>
      <w:r w:rsidRPr="006C77BB">
        <w:rPr>
          <w:rFonts w:cs="Arial"/>
          <w:bCs/>
          <w:szCs w:val="19"/>
          <w:lang w:val="en-GB"/>
        </w:rPr>
        <w:t>bread and cereals</w:t>
      </w:r>
      <w:r w:rsidRPr="006C77BB">
        <w:rPr>
          <w:szCs w:val="19"/>
          <w:shd w:val="clear" w:color="auto" w:fill="FFFFFF"/>
          <w:lang w:val="en-GB"/>
        </w:rPr>
        <w:t xml:space="preserve">, </w:t>
      </w:r>
      <w:r w:rsidRPr="006C77BB">
        <w:rPr>
          <w:rFonts w:cs="Arial"/>
          <w:bCs/>
          <w:szCs w:val="19"/>
          <w:lang w:val="en-GB"/>
        </w:rPr>
        <w:t>meat</w:t>
      </w:r>
      <w:r w:rsidRPr="006C77BB">
        <w:rPr>
          <w:szCs w:val="19"/>
          <w:shd w:val="clear" w:color="auto" w:fill="FFFFFF"/>
          <w:lang w:val="en-GB"/>
        </w:rPr>
        <w:t xml:space="preserve">, </w:t>
      </w:r>
      <w:r w:rsidRPr="006C77BB">
        <w:rPr>
          <w:rFonts w:cs="Arial"/>
          <w:bCs/>
          <w:szCs w:val="19"/>
          <w:lang w:val="en-GB"/>
        </w:rPr>
        <w:t>vegetables</w:t>
      </w:r>
      <w:r w:rsidR="00284F7F">
        <w:rPr>
          <w:rFonts w:cs="Arial"/>
          <w:bCs/>
          <w:szCs w:val="19"/>
          <w:lang w:val="en-GB"/>
        </w:rPr>
        <w:t xml:space="preserve"> (except potatoes)</w:t>
      </w:r>
      <w:r w:rsidRPr="006C77BB">
        <w:rPr>
          <w:szCs w:val="19"/>
          <w:shd w:val="clear" w:color="auto" w:fill="FFFFFF"/>
          <w:lang w:val="en-GB"/>
        </w:rPr>
        <w:t xml:space="preserve">, </w:t>
      </w:r>
      <w:r w:rsidRPr="006C77BB">
        <w:rPr>
          <w:rFonts w:cs="Arial"/>
          <w:bCs/>
          <w:szCs w:val="19"/>
          <w:lang w:val="en-GB"/>
        </w:rPr>
        <w:t>fruit</w:t>
      </w:r>
      <w:r w:rsidRPr="006C77BB">
        <w:rPr>
          <w:szCs w:val="19"/>
          <w:shd w:val="clear" w:color="auto" w:fill="FFFFFF"/>
          <w:lang w:val="en-GB"/>
        </w:rPr>
        <w:t xml:space="preserve">, </w:t>
      </w:r>
      <w:r w:rsidRPr="006C77BB">
        <w:rPr>
          <w:rFonts w:cs="Arial"/>
          <w:bCs/>
          <w:szCs w:val="19"/>
          <w:lang w:val="en-GB"/>
        </w:rPr>
        <w:t>cheese and curd</w:t>
      </w:r>
      <w:r w:rsidR="003B4D10" w:rsidRPr="006C77BB">
        <w:rPr>
          <w:rFonts w:cs="Arial"/>
          <w:bCs/>
          <w:szCs w:val="19"/>
          <w:lang w:val="en-GB"/>
        </w:rPr>
        <w:t>,</w:t>
      </w:r>
      <w:r w:rsidRPr="006C77BB">
        <w:rPr>
          <w:rFonts w:cs="Arial"/>
          <w:bCs/>
          <w:szCs w:val="19"/>
          <w:lang w:val="en-GB"/>
        </w:rPr>
        <w:t xml:space="preserve"> </w:t>
      </w:r>
      <w:r w:rsidR="003876E9" w:rsidRPr="006C77BB">
        <w:rPr>
          <w:szCs w:val="19"/>
          <w:shd w:val="clear" w:color="auto" w:fill="FFFFFF"/>
          <w:lang w:val="en-GB"/>
        </w:rPr>
        <w:t>as well as</w:t>
      </w:r>
      <w:r w:rsidRPr="006C77BB">
        <w:rPr>
          <w:szCs w:val="19"/>
          <w:shd w:val="clear" w:color="auto" w:fill="FFFFFF"/>
          <w:lang w:val="en-GB"/>
        </w:rPr>
        <w:t xml:space="preserve"> </w:t>
      </w:r>
      <w:r w:rsidRPr="006C77BB">
        <w:rPr>
          <w:rFonts w:cs="Arial"/>
          <w:szCs w:val="19"/>
          <w:lang w:val="en-GB"/>
        </w:rPr>
        <w:t>mineral and spring water</w:t>
      </w:r>
      <w:r w:rsidR="00363016" w:rsidRPr="006C77BB">
        <w:rPr>
          <w:rFonts w:cs="Arial"/>
          <w:szCs w:val="19"/>
          <w:lang w:val="en-GB"/>
        </w:rPr>
        <w:t>s</w:t>
      </w:r>
      <w:r w:rsidRPr="006C77BB">
        <w:rPr>
          <w:szCs w:val="19"/>
          <w:shd w:val="clear" w:color="auto" w:fill="FFFFFF"/>
          <w:lang w:val="en-GB"/>
        </w:rPr>
        <w:t>.</w:t>
      </w:r>
    </w:p>
    <w:p w14:paraId="7EE94F41" w14:textId="1A83247A" w:rsidR="00BB40E7" w:rsidRPr="00CE3E9B" w:rsidRDefault="000075A1" w:rsidP="00DC28C6">
      <w:pPr>
        <w:spacing w:before="360" w:after="360" w:line="240" w:lineRule="auto"/>
        <w:rPr>
          <w:spacing w:val="-2"/>
          <w:szCs w:val="19"/>
          <w:shd w:val="clear" w:color="auto" w:fill="FFFFFF"/>
          <w:lang w:val="en-GB"/>
        </w:rPr>
      </w:pPr>
      <w:r>
        <w:rPr>
          <w:noProof/>
          <w:lang w:eastAsia="pl-PL"/>
        </w:rPr>
        <w:drawing>
          <wp:inline distT="0" distB="0" distL="0" distR="0" wp14:anchorId="341B1A49" wp14:editId="0A3A9DFE">
            <wp:extent cx="5122545" cy="2664000"/>
            <wp:effectExtent l="0" t="0" r="1905" b="3175"/>
            <wp:docPr id="60" name="Wykres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2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E94F43" w14:textId="3CD11886" w:rsidR="00BB40E7" w:rsidRPr="003E191F" w:rsidRDefault="00BB40E7" w:rsidP="00BB40E7">
      <w:pPr>
        <w:rPr>
          <w:rFonts w:cs="Arial"/>
          <w:spacing w:val="-3"/>
          <w:szCs w:val="19"/>
          <w:lang w:val="en-GB"/>
        </w:rPr>
      </w:pPr>
      <w:r w:rsidRPr="003E191F">
        <w:rPr>
          <w:rFonts w:cs="Arial"/>
          <w:bCs/>
          <w:spacing w:val="-3"/>
          <w:szCs w:val="19"/>
          <w:lang w:val="en-GB"/>
        </w:rPr>
        <w:t xml:space="preserve">The level of </w:t>
      </w:r>
      <w:r w:rsidR="003876E9" w:rsidRPr="003E191F">
        <w:rPr>
          <w:rFonts w:cs="Arial"/>
          <w:bCs/>
          <w:spacing w:val="-3"/>
          <w:szCs w:val="19"/>
          <w:lang w:val="en-GB"/>
        </w:rPr>
        <w:t xml:space="preserve">food </w:t>
      </w:r>
      <w:r w:rsidRPr="003E191F">
        <w:rPr>
          <w:rFonts w:cs="Arial"/>
          <w:bCs/>
          <w:spacing w:val="-3"/>
          <w:szCs w:val="19"/>
          <w:lang w:val="en-GB"/>
        </w:rPr>
        <w:t xml:space="preserve">consumption is also affected by </w:t>
      </w:r>
      <w:r w:rsidR="003876E9" w:rsidRPr="003E191F">
        <w:rPr>
          <w:rFonts w:cs="Arial"/>
          <w:bCs/>
          <w:spacing w:val="-3"/>
          <w:szCs w:val="19"/>
          <w:lang w:val="en-GB"/>
        </w:rPr>
        <w:t>dietary</w:t>
      </w:r>
      <w:r w:rsidRPr="003E191F">
        <w:rPr>
          <w:rFonts w:cs="Arial"/>
          <w:bCs/>
          <w:spacing w:val="-3"/>
          <w:szCs w:val="19"/>
          <w:lang w:val="en-GB"/>
        </w:rPr>
        <w:t xml:space="preserve"> habits, prices of foodstuff</w:t>
      </w:r>
      <w:r w:rsidR="003876E9" w:rsidRPr="003E191F">
        <w:rPr>
          <w:rFonts w:cs="Arial"/>
          <w:bCs/>
          <w:spacing w:val="-3"/>
          <w:szCs w:val="19"/>
          <w:lang w:val="en-GB"/>
        </w:rPr>
        <w:t>s</w:t>
      </w:r>
      <w:r w:rsidRPr="003E191F">
        <w:rPr>
          <w:rFonts w:cs="Arial"/>
          <w:bCs/>
          <w:spacing w:val="-3"/>
          <w:szCs w:val="19"/>
          <w:lang w:val="en-GB"/>
        </w:rPr>
        <w:t xml:space="preserve"> </w:t>
      </w:r>
      <w:r w:rsidR="003876E9" w:rsidRPr="003E191F">
        <w:rPr>
          <w:rFonts w:cs="Arial"/>
          <w:bCs/>
          <w:spacing w:val="-3"/>
          <w:szCs w:val="19"/>
          <w:lang w:val="en-GB"/>
        </w:rPr>
        <w:t>and</w:t>
      </w:r>
      <w:r w:rsidRPr="003E191F">
        <w:rPr>
          <w:rFonts w:cs="Arial"/>
          <w:bCs/>
          <w:spacing w:val="-3"/>
          <w:szCs w:val="19"/>
          <w:lang w:val="en-GB"/>
        </w:rPr>
        <w:t xml:space="preserve"> a</w:t>
      </w:r>
      <w:r w:rsidR="001D1AB1" w:rsidRPr="003E191F">
        <w:rPr>
          <w:rFonts w:cs="Arial"/>
          <w:bCs/>
          <w:spacing w:val="-3"/>
          <w:szCs w:val="19"/>
          <w:lang w:val="en-GB"/>
        </w:rPr>
        <w:t> </w:t>
      </w:r>
      <w:r w:rsidRPr="003E191F">
        <w:rPr>
          <w:rFonts w:cs="Arial"/>
          <w:bCs/>
          <w:spacing w:val="-3"/>
          <w:szCs w:val="19"/>
          <w:lang w:val="en-GB"/>
        </w:rPr>
        <w:t>place of residence.</w:t>
      </w:r>
      <w:r w:rsidRPr="003E191F">
        <w:rPr>
          <w:rFonts w:cs="Arial"/>
          <w:spacing w:val="-3"/>
          <w:szCs w:val="19"/>
          <w:lang w:val="en-GB"/>
        </w:rPr>
        <w:t xml:space="preserve"> Households in rural areas compared with households in urban areas are characterised by a slightly different model of nutrition.</w:t>
      </w:r>
      <w:r w:rsidR="007600E0" w:rsidRPr="003E191F">
        <w:rPr>
          <w:rFonts w:cs="Arial"/>
          <w:spacing w:val="-3"/>
          <w:szCs w:val="19"/>
          <w:lang w:val="en-GB"/>
        </w:rPr>
        <w:t xml:space="preserve"> In the rural areas there was</w:t>
      </w:r>
      <w:r w:rsidR="00BB5D82" w:rsidRPr="003E191F">
        <w:rPr>
          <w:rFonts w:cs="Arial"/>
          <w:spacing w:val="-3"/>
          <w:szCs w:val="19"/>
          <w:lang w:val="en-GB"/>
        </w:rPr>
        <w:t>, among others,</w:t>
      </w:r>
      <w:r w:rsidR="003E191F">
        <w:rPr>
          <w:rFonts w:cs="Arial"/>
          <w:spacing w:val="-3"/>
          <w:szCs w:val="19"/>
          <w:lang w:val="en-GB"/>
        </w:rPr>
        <w:t xml:space="preserve"> a </w:t>
      </w:r>
      <w:r w:rsidR="007600E0" w:rsidRPr="003E191F">
        <w:rPr>
          <w:rFonts w:cs="Arial"/>
          <w:spacing w:val="-3"/>
          <w:szCs w:val="19"/>
          <w:lang w:val="en-GB"/>
        </w:rPr>
        <w:t>higher consumption of bread and cereals, meat</w:t>
      </w:r>
      <w:r w:rsidR="00E23987" w:rsidRPr="003E191F">
        <w:rPr>
          <w:rFonts w:cs="Arial"/>
          <w:spacing w:val="-3"/>
          <w:szCs w:val="19"/>
          <w:lang w:val="en-GB"/>
        </w:rPr>
        <w:t>, potatoes</w:t>
      </w:r>
      <w:r w:rsidR="00D37C49" w:rsidRPr="003E191F">
        <w:rPr>
          <w:rFonts w:cs="Arial"/>
          <w:spacing w:val="-3"/>
          <w:szCs w:val="19"/>
          <w:lang w:val="en-GB"/>
        </w:rPr>
        <w:t>, s</w:t>
      </w:r>
      <w:r w:rsidR="007600E0" w:rsidRPr="003E191F">
        <w:rPr>
          <w:rFonts w:cs="Arial"/>
          <w:spacing w:val="-3"/>
          <w:szCs w:val="19"/>
          <w:lang w:val="en-GB"/>
        </w:rPr>
        <w:t>ugar</w:t>
      </w:r>
      <w:r w:rsidR="00D37C49" w:rsidRPr="003E191F">
        <w:rPr>
          <w:rFonts w:cs="Arial"/>
          <w:spacing w:val="-3"/>
          <w:szCs w:val="19"/>
          <w:lang w:val="en-GB"/>
        </w:rPr>
        <w:t xml:space="preserve"> as well as mineral and spring waters</w:t>
      </w:r>
      <w:r w:rsidR="007600E0" w:rsidRPr="003E191F">
        <w:rPr>
          <w:rFonts w:cs="Arial"/>
          <w:spacing w:val="-3"/>
          <w:szCs w:val="19"/>
          <w:lang w:val="en-GB"/>
        </w:rPr>
        <w:t xml:space="preserve">, </w:t>
      </w:r>
      <w:r w:rsidR="00E23987" w:rsidRPr="003E191F">
        <w:rPr>
          <w:rFonts w:cs="Arial"/>
          <w:spacing w:val="-3"/>
          <w:szCs w:val="19"/>
          <w:lang w:val="en-GB"/>
        </w:rPr>
        <w:t>while</w:t>
      </w:r>
      <w:r w:rsidR="007600E0" w:rsidRPr="003E191F">
        <w:rPr>
          <w:rFonts w:cs="Arial"/>
          <w:spacing w:val="-3"/>
          <w:szCs w:val="19"/>
          <w:lang w:val="en-GB"/>
        </w:rPr>
        <w:t xml:space="preserve"> in urban areas – </w:t>
      </w:r>
      <w:r w:rsidR="00E23987" w:rsidRPr="003E191F">
        <w:rPr>
          <w:rFonts w:cs="Arial"/>
          <w:spacing w:val="-3"/>
          <w:szCs w:val="19"/>
          <w:lang w:val="en-GB"/>
        </w:rPr>
        <w:t xml:space="preserve">vegetables (except potatoes), </w:t>
      </w:r>
      <w:r w:rsidR="00BB5D82" w:rsidRPr="003E191F">
        <w:rPr>
          <w:rFonts w:cs="Arial"/>
          <w:spacing w:val="-3"/>
          <w:szCs w:val="19"/>
          <w:lang w:val="en-GB"/>
        </w:rPr>
        <w:t xml:space="preserve">fruit, </w:t>
      </w:r>
      <w:r w:rsidR="00D37C49" w:rsidRPr="003E191F">
        <w:rPr>
          <w:rFonts w:cs="Arial"/>
          <w:spacing w:val="-3"/>
          <w:szCs w:val="19"/>
          <w:lang w:val="en-GB"/>
        </w:rPr>
        <w:t xml:space="preserve">and </w:t>
      </w:r>
      <w:r w:rsidR="00E23987" w:rsidRPr="003E191F">
        <w:rPr>
          <w:rFonts w:cs="Arial"/>
          <w:spacing w:val="-3"/>
          <w:szCs w:val="19"/>
          <w:lang w:val="en-GB"/>
        </w:rPr>
        <w:t>cheese and curd</w:t>
      </w:r>
      <w:r w:rsidR="007600E0" w:rsidRPr="003E191F">
        <w:rPr>
          <w:rFonts w:cs="Arial"/>
          <w:spacing w:val="-3"/>
          <w:szCs w:val="19"/>
          <w:lang w:val="en-GB"/>
        </w:rPr>
        <w:t>.</w:t>
      </w:r>
    </w:p>
    <w:p w14:paraId="7EE94F44" w14:textId="47E5BA6B" w:rsidR="003B1A4C" w:rsidRDefault="00D37C49" w:rsidP="00BB40E7">
      <w:pPr>
        <w:rPr>
          <w:rFonts w:cs="Arial"/>
          <w:spacing w:val="2"/>
          <w:szCs w:val="19"/>
          <w:lang w:val="en-GB"/>
        </w:rPr>
      </w:pPr>
      <w:r>
        <w:rPr>
          <w:rFonts w:cs="Arial"/>
          <w:spacing w:val="2"/>
          <w:szCs w:val="19"/>
          <w:lang w:val="en-GB"/>
        </w:rPr>
        <w:t>P</w:t>
      </w:r>
      <w:r w:rsidR="006E70FA" w:rsidRPr="003B1A4C">
        <w:rPr>
          <w:rFonts w:cs="Arial"/>
          <w:spacing w:val="2"/>
          <w:szCs w:val="19"/>
          <w:lang w:val="en-GB"/>
        </w:rPr>
        <w:t>henomenon</w:t>
      </w:r>
      <w:r w:rsidR="00C7566A">
        <w:rPr>
          <w:rFonts w:cs="Arial"/>
          <w:spacing w:val="2"/>
          <w:szCs w:val="19"/>
          <w:lang w:val="en-GB"/>
        </w:rPr>
        <w:t xml:space="preserve"> observed</w:t>
      </w:r>
      <w:r w:rsidR="00826EF3">
        <w:rPr>
          <w:rFonts w:cs="Arial"/>
          <w:spacing w:val="2"/>
          <w:szCs w:val="19"/>
          <w:lang w:val="en-GB"/>
        </w:rPr>
        <w:t>,</w:t>
      </w:r>
      <w:r w:rsidR="006E70FA">
        <w:rPr>
          <w:rFonts w:cs="Arial"/>
          <w:spacing w:val="2"/>
          <w:szCs w:val="19"/>
          <w:lang w:val="en-GB"/>
        </w:rPr>
        <w:t xml:space="preserve"> </w:t>
      </w:r>
      <w:r w:rsidR="007B7481" w:rsidRPr="00E042BC">
        <w:rPr>
          <w:rFonts w:cs="Arial"/>
          <w:spacing w:val="2"/>
          <w:szCs w:val="19"/>
          <w:lang w:val="en-GB"/>
        </w:rPr>
        <w:t>both in urban and rural areas</w:t>
      </w:r>
      <w:r w:rsidR="00826EF3">
        <w:rPr>
          <w:rFonts w:cs="Arial"/>
          <w:spacing w:val="2"/>
          <w:szCs w:val="19"/>
          <w:lang w:val="en-GB"/>
        </w:rPr>
        <w:t>,</w:t>
      </w:r>
      <w:r w:rsidR="007B7481">
        <w:rPr>
          <w:rFonts w:cs="Arial"/>
          <w:spacing w:val="2"/>
          <w:szCs w:val="19"/>
          <w:lang w:val="en-GB"/>
        </w:rPr>
        <w:t xml:space="preserve"> </w:t>
      </w:r>
      <w:r w:rsidR="006E70FA">
        <w:rPr>
          <w:rFonts w:cs="Arial"/>
          <w:spacing w:val="2"/>
          <w:szCs w:val="19"/>
          <w:lang w:val="en-GB"/>
        </w:rPr>
        <w:t>is a</w:t>
      </w:r>
      <w:r w:rsidR="003B1A4C" w:rsidRPr="003B1A4C">
        <w:rPr>
          <w:rFonts w:cs="Arial"/>
          <w:spacing w:val="2"/>
          <w:szCs w:val="19"/>
          <w:lang w:val="en-GB"/>
        </w:rPr>
        <w:t xml:space="preserve"> </w:t>
      </w:r>
      <w:r w:rsidR="00E912E3">
        <w:rPr>
          <w:rFonts w:cs="Arial"/>
          <w:spacing w:val="2"/>
          <w:szCs w:val="19"/>
          <w:lang w:val="en-GB"/>
        </w:rPr>
        <w:t>de</w:t>
      </w:r>
      <w:r w:rsidR="003B1A4C" w:rsidRPr="003B1A4C">
        <w:rPr>
          <w:rFonts w:cs="Arial"/>
          <w:spacing w:val="2"/>
          <w:szCs w:val="19"/>
          <w:lang w:val="en-GB"/>
        </w:rPr>
        <w:t xml:space="preserve">crease in the </w:t>
      </w:r>
      <w:r w:rsidR="00F12BCA" w:rsidRPr="00F12BCA">
        <w:rPr>
          <w:rFonts w:cs="Arial"/>
          <w:spacing w:val="2"/>
          <w:szCs w:val="19"/>
          <w:lang w:val="en-GB"/>
        </w:rPr>
        <w:t xml:space="preserve">value of monthly </w:t>
      </w:r>
      <w:r w:rsidR="003B1A4C" w:rsidRPr="003B1A4C">
        <w:rPr>
          <w:rFonts w:cs="Arial"/>
          <w:spacing w:val="2"/>
          <w:szCs w:val="19"/>
          <w:lang w:val="en-GB"/>
        </w:rPr>
        <w:t xml:space="preserve">consumption </w:t>
      </w:r>
      <w:r w:rsidR="00757E3A" w:rsidRPr="003B1A4C">
        <w:rPr>
          <w:rFonts w:cs="Arial"/>
          <w:spacing w:val="2"/>
          <w:szCs w:val="19"/>
          <w:lang w:val="en-GB"/>
        </w:rPr>
        <w:t xml:space="preserve">per </w:t>
      </w:r>
      <w:r w:rsidR="00757E3A">
        <w:rPr>
          <w:rFonts w:cs="Arial"/>
          <w:spacing w:val="2"/>
          <w:szCs w:val="19"/>
          <w:lang w:val="en-GB"/>
        </w:rPr>
        <w:t>capita</w:t>
      </w:r>
      <w:r w:rsidR="00757E3A" w:rsidRPr="003B1A4C">
        <w:rPr>
          <w:rFonts w:cs="Arial"/>
          <w:spacing w:val="2"/>
          <w:szCs w:val="19"/>
          <w:lang w:val="en-GB"/>
        </w:rPr>
        <w:t xml:space="preserve"> </w:t>
      </w:r>
      <w:r w:rsidR="003B1A4C" w:rsidRPr="003B1A4C">
        <w:rPr>
          <w:rFonts w:cs="Arial"/>
          <w:spacing w:val="2"/>
          <w:szCs w:val="19"/>
          <w:lang w:val="en-GB"/>
        </w:rPr>
        <w:t xml:space="preserve">of </w:t>
      </w:r>
      <w:r w:rsidR="00E912E3">
        <w:rPr>
          <w:rFonts w:cs="Arial"/>
          <w:spacing w:val="2"/>
          <w:szCs w:val="19"/>
          <w:lang w:val="en-GB"/>
        </w:rPr>
        <w:t>sugar</w:t>
      </w:r>
      <w:r w:rsidR="00D52D11">
        <w:rPr>
          <w:rFonts w:cs="Arial"/>
          <w:spacing w:val="2"/>
          <w:szCs w:val="19"/>
          <w:lang w:val="en-GB"/>
        </w:rPr>
        <w:t xml:space="preserve"> (by 0.2 kg and 0.1 kg respectively)</w:t>
      </w:r>
      <w:r w:rsidR="003B1A4C" w:rsidRPr="003B1A4C">
        <w:rPr>
          <w:rFonts w:cs="Arial"/>
          <w:spacing w:val="2"/>
          <w:szCs w:val="19"/>
          <w:lang w:val="en-GB"/>
        </w:rPr>
        <w:t>.</w:t>
      </w:r>
    </w:p>
    <w:p w14:paraId="7EE94F46" w14:textId="641DEA71" w:rsidR="00BB40E7" w:rsidRPr="00D37C49" w:rsidRDefault="000075A1" w:rsidP="00DC28C6">
      <w:pPr>
        <w:spacing w:before="360" w:after="360" w:line="240" w:lineRule="auto"/>
        <w:rPr>
          <w:spacing w:val="-2"/>
          <w:szCs w:val="19"/>
          <w:shd w:val="clear" w:color="auto" w:fill="FFFFFF"/>
          <w:lang w:val="en-GB"/>
        </w:rPr>
      </w:pPr>
      <w:r>
        <w:rPr>
          <w:noProof/>
          <w:lang w:eastAsia="pl-PL"/>
        </w:rPr>
        <w:drawing>
          <wp:inline distT="0" distB="0" distL="0" distR="0" wp14:anchorId="6AB7E184" wp14:editId="7F489648">
            <wp:extent cx="5122545" cy="2628000"/>
            <wp:effectExtent l="0" t="0" r="1905" b="1270"/>
            <wp:docPr id="61" name="Wykres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2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E94F47" w14:textId="59F7FAA5" w:rsidR="00BB40E7" w:rsidRPr="00C0187E" w:rsidRDefault="0080273B" w:rsidP="00DC28C6">
      <w:pPr>
        <w:spacing w:before="360" w:line="240" w:lineRule="auto"/>
        <w:rPr>
          <w:rFonts w:ascii="Fira Sans SemiBold" w:hAnsi="Fira Sans SemiBold"/>
          <w:color w:val="001D77"/>
          <w:szCs w:val="19"/>
          <w:shd w:val="clear" w:color="auto" w:fill="FFFFFF"/>
          <w:lang w:val="en-GB"/>
        </w:rPr>
      </w:pPr>
      <w:r w:rsidRPr="00C0187E">
        <w:rPr>
          <w:noProof/>
          <w:lang w:eastAsia="pl-PL"/>
        </w:rPr>
        <w:lastRenderedPageBreak/>
        <mc:AlternateContent>
          <mc:Choice Requires="wps">
            <w:drawing>
              <wp:anchor distT="45720" distB="45720" distL="114300" distR="114300" simplePos="0" relativeHeight="251830272" behindDoc="1" locked="0" layoutInCell="1" allowOverlap="1" wp14:anchorId="7EE94FC6" wp14:editId="6EB02B28">
                <wp:simplePos x="0" y="0"/>
                <wp:positionH relativeFrom="column">
                  <wp:posOffset>5280025</wp:posOffset>
                </wp:positionH>
                <wp:positionV relativeFrom="paragraph">
                  <wp:posOffset>92075</wp:posOffset>
                </wp:positionV>
                <wp:extent cx="1725295" cy="2438400"/>
                <wp:effectExtent l="0" t="0" r="0" b="5715"/>
                <wp:wrapTight wrapText="bothSides">
                  <wp:wrapPolygon edited="0">
                    <wp:start x="715" y="0"/>
                    <wp:lineTo x="715" y="21383"/>
                    <wp:lineTo x="20749" y="21383"/>
                    <wp:lineTo x="20749" y="0"/>
                    <wp:lineTo x="715" y="0"/>
                  </wp:wrapPolygon>
                </wp:wrapTight>
                <wp:docPr id="54"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438400"/>
                        </a:xfrm>
                        <a:prstGeom prst="rect">
                          <a:avLst/>
                        </a:prstGeom>
                        <a:noFill/>
                        <a:ln w="9525">
                          <a:noFill/>
                          <a:miter lim="800000"/>
                          <a:headEnd/>
                          <a:tailEnd/>
                        </a:ln>
                      </wps:spPr>
                      <wps:txbx>
                        <w:txbxContent>
                          <w:p w14:paraId="7EE9501E" w14:textId="47AB20CA" w:rsidR="00E127EB" w:rsidRPr="00986550" w:rsidRDefault="00E127EB" w:rsidP="00BB40E7">
                            <w:pPr>
                              <w:spacing w:after="0"/>
                              <w:rPr>
                                <w:rFonts w:eastAsia="Times New Roman" w:cs="Arial"/>
                                <w:color w:val="001D77"/>
                                <w:sz w:val="18"/>
                                <w:szCs w:val="19"/>
                                <w:lang w:val="en-GB" w:eastAsia="pl-PL"/>
                              </w:rPr>
                            </w:pPr>
                            <w:r w:rsidRPr="00FE5689">
                              <w:rPr>
                                <w:rFonts w:eastAsia="Times New Roman" w:cs="Arial"/>
                                <w:color w:val="001D77"/>
                                <w:sz w:val="18"/>
                                <w:szCs w:val="19"/>
                                <w:lang w:val="en-GB" w:eastAsia="pl-PL"/>
                              </w:rPr>
                              <w:t>In 202</w:t>
                            </w:r>
                            <w:r>
                              <w:rPr>
                                <w:rFonts w:eastAsia="Times New Roman" w:cs="Arial"/>
                                <w:color w:val="001D77"/>
                                <w:sz w:val="18"/>
                                <w:szCs w:val="19"/>
                                <w:lang w:val="en-GB" w:eastAsia="pl-PL"/>
                              </w:rPr>
                              <w:t>5</w:t>
                            </w:r>
                            <w:r w:rsidRPr="00FE5689">
                              <w:rPr>
                                <w:rFonts w:eastAsia="Times New Roman" w:cs="Arial"/>
                                <w:color w:val="001D77"/>
                                <w:sz w:val="18"/>
                                <w:szCs w:val="19"/>
                                <w:lang w:val="en-GB" w:eastAsia="pl-PL"/>
                              </w:rPr>
                              <w:t xml:space="preserve">, there was an increase in the </w:t>
                            </w:r>
                            <w:r>
                              <w:rPr>
                                <w:rFonts w:eastAsia="Times New Roman" w:cs="Arial"/>
                                <w:color w:val="001D77"/>
                                <w:sz w:val="18"/>
                                <w:szCs w:val="19"/>
                                <w:lang w:val="en-GB" w:eastAsia="pl-PL"/>
                              </w:rPr>
                              <w:t>number</w:t>
                            </w:r>
                            <w:r w:rsidRPr="00FE5689">
                              <w:rPr>
                                <w:rFonts w:eastAsia="Times New Roman" w:cs="Arial"/>
                                <w:color w:val="001D77"/>
                                <w:sz w:val="18"/>
                                <w:szCs w:val="19"/>
                                <w:lang w:val="en-GB" w:eastAsia="pl-PL"/>
                              </w:rPr>
                              <w:t xml:space="preserve"> of household</w:t>
                            </w:r>
                            <w:r>
                              <w:rPr>
                                <w:rFonts w:eastAsia="Times New Roman" w:cs="Arial"/>
                                <w:color w:val="001D77"/>
                                <w:sz w:val="18"/>
                                <w:szCs w:val="19"/>
                                <w:lang w:val="en-GB" w:eastAsia="pl-PL"/>
                              </w:rPr>
                              <w:t>s</w:t>
                            </w:r>
                            <w:r w:rsidRPr="00FE5689">
                              <w:rPr>
                                <w:rFonts w:eastAsia="Times New Roman" w:cs="Arial"/>
                                <w:color w:val="001D77"/>
                                <w:sz w:val="18"/>
                                <w:szCs w:val="19"/>
                                <w:lang w:val="en-GB" w:eastAsia="pl-PL"/>
                              </w:rPr>
                              <w:t xml:space="preserve"> equip</w:t>
                            </w:r>
                            <w:r>
                              <w:rPr>
                                <w:rFonts w:eastAsia="Times New Roman" w:cs="Arial"/>
                                <w:color w:val="001D77"/>
                                <w:sz w:val="18"/>
                                <w:szCs w:val="19"/>
                                <w:lang w:val="en-GB" w:eastAsia="pl-PL"/>
                              </w:rPr>
                              <w:t xml:space="preserve">ped </w:t>
                            </w:r>
                            <w:r w:rsidRPr="00E826E4">
                              <w:rPr>
                                <w:rFonts w:eastAsia="Times New Roman" w:cs="Arial"/>
                                <w:color w:val="001D77"/>
                                <w:sz w:val="18"/>
                                <w:szCs w:val="19"/>
                                <w:lang w:val="en-GB" w:eastAsia="pl-PL"/>
                              </w:rPr>
                              <w:t>with durable goods</w:t>
                            </w:r>
                            <w:r>
                              <w:rPr>
                                <w:rFonts w:eastAsia="Times New Roman" w:cs="Arial"/>
                                <w:color w:val="001D77"/>
                                <w:sz w:val="18"/>
                                <w:szCs w:val="19"/>
                                <w:lang w:val="en-GB" w:eastAsia="pl-PL"/>
                              </w:rPr>
                              <w:t xml:space="preserve">, and the highest in the case of game console, cable or satellite television, dishwasher, access </w:t>
                            </w:r>
                            <w:r w:rsidR="005209F7">
                              <w:rPr>
                                <w:rFonts w:eastAsia="Times New Roman" w:cs="Arial"/>
                                <w:color w:val="001D77"/>
                                <w:sz w:val="18"/>
                                <w:szCs w:val="19"/>
                                <w:lang w:val="en-GB" w:eastAsia="pl-PL"/>
                              </w:rPr>
                              <w:t>to the Internet and smartphone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6" id="Pole tekstowe 30" o:spid="_x0000_s1038" type="#_x0000_t202" style="position:absolute;margin-left:415.75pt;margin-top:7.25pt;width:135.85pt;height:192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" filled="f" stroked="f">
                <v:textbox>
                  <w:txbxContent>
                    <w:p w14:paraId="7EE9501E" w14:textId="47AB20CA" w:rsidR="00E127EB" w:rsidRPr="00986550" w:rsidRDefault="00E127EB" w:rsidP="00BB40E7">
                      <w:pPr>
                        <w:spacing w:after="0"/>
                        <w:rPr>
                          <w:rFonts w:eastAsia="Times New Roman" w:cs="Arial"/>
                          <w:color w:val="001D77"/>
                          <w:sz w:val="18"/>
                          <w:szCs w:val="19"/>
                          <w:lang w:val="en-GB" w:eastAsia="pl-PL"/>
                        </w:rPr>
                      </w:pPr>
                      <w:r w:rsidRPr="00FE5689">
                        <w:rPr>
                          <w:rFonts w:eastAsia="Times New Roman" w:cs="Arial"/>
                          <w:color w:val="001D77"/>
                          <w:sz w:val="18"/>
                          <w:szCs w:val="19"/>
                          <w:lang w:val="en-GB" w:eastAsia="pl-PL"/>
                        </w:rPr>
                        <w:t>In 202</w:t>
                      </w:r>
                      <w:r>
                        <w:rPr>
                          <w:rFonts w:eastAsia="Times New Roman" w:cs="Arial"/>
                          <w:color w:val="001D77"/>
                          <w:sz w:val="18"/>
                          <w:szCs w:val="19"/>
                          <w:lang w:val="en-GB" w:eastAsia="pl-PL"/>
                        </w:rPr>
                        <w:t>5</w:t>
                      </w:r>
                      <w:r w:rsidRPr="00FE5689">
                        <w:rPr>
                          <w:rFonts w:eastAsia="Times New Roman" w:cs="Arial"/>
                          <w:color w:val="001D77"/>
                          <w:sz w:val="18"/>
                          <w:szCs w:val="19"/>
                          <w:lang w:val="en-GB" w:eastAsia="pl-PL"/>
                        </w:rPr>
                        <w:t xml:space="preserve">, there was an increase in the </w:t>
                      </w:r>
                      <w:r>
                        <w:rPr>
                          <w:rFonts w:eastAsia="Times New Roman" w:cs="Arial"/>
                          <w:color w:val="001D77"/>
                          <w:sz w:val="18"/>
                          <w:szCs w:val="19"/>
                          <w:lang w:val="en-GB" w:eastAsia="pl-PL"/>
                        </w:rPr>
                        <w:t>number</w:t>
                      </w:r>
                      <w:r w:rsidRPr="00FE5689">
                        <w:rPr>
                          <w:rFonts w:eastAsia="Times New Roman" w:cs="Arial"/>
                          <w:color w:val="001D77"/>
                          <w:sz w:val="18"/>
                          <w:szCs w:val="19"/>
                          <w:lang w:val="en-GB" w:eastAsia="pl-PL"/>
                        </w:rPr>
                        <w:t xml:space="preserve"> of household</w:t>
                      </w:r>
                      <w:r>
                        <w:rPr>
                          <w:rFonts w:eastAsia="Times New Roman" w:cs="Arial"/>
                          <w:color w:val="001D77"/>
                          <w:sz w:val="18"/>
                          <w:szCs w:val="19"/>
                          <w:lang w:val="en-GB" w:eastAsia="pl-PL"/>
                        </w:rPr>
                        <w:t>s</w:t>
                      </w:r>
                      <w:r w:rsidRPr="00FE5689">
                        <w:rPr>
                          <w:rFonts w:eastAsia="Times New Roman" w:cs="Arial"/>
                          <w:color w:val="001D77"/>
                          <w:sz w:val="18"/>
                          <w:szCs w:val="19"/>
                          <w:lang w:val="en-GB" w:eastAsia="pl-PL"/>
                        </w:rPr>
                        <w:t xml:space="preserve"> equip</w:t>
                      </w:r>
                      <w:r>
                        <w:rPr>
                          <w:rFonts w:eastAsia="Times New Roman" w:cs="Arial"/>
                          <w:color w:val="001D77"/>
                          <w:sz w:val="18"/>
                          <w:szCs w:val="19"/>
                          <w:lang w:val="en-GB" w:eastAsia="pl-PL"/>
                        </w:rPr>
                        <w:t xml:space="preserve">ped </w:t>
                      </w:r>
                      <w:r w:rsidRPr="00E826E4">
                        <w:rPr>
                          <w:rFonts w:eastAsia="Times New Roman" w:cs="Arial"/>
                          <w:color w:val="001D77"/>
                          <w:sz w:val="18"/>
                          <w:szCs w:val="19"/>
                          <w:lang w:val="en-GB" w:eastAsia="pl-PL"/>
                        </w:rPr>
                        <w:t>with durable goods</w:t>
                      </w:r>
                      <w:r>
                        <w:rPr>
                          <w:rFonts w:eastAsia="Times New Roman" w:cs="Arial"/>
                          <w:color w:val="001D77"/>
                          <w:sz w:val="18"/>
                          <w:szCs w:val="19"/>
                          <w:lang w:val="en-GB" w:eastAsia="pl-PL"/>
                        </w:rPr>
                        <w:t xml:space="preserve">, and the highest in the case of game console, cable or satellite television, dishwasher, access </w:t>
                      </w:r>
                      <w:r w:rsidR="005209F7">
                        <w:rPr>
                          <w:rFonts w:eastAsia="Times New Roman" w:cs="Arial"/>
                          <w:color w:val="001D77"/>
                          <w:sz w:val="18"/>
                          <w:szCs w:val="19"/>
                          <w:lang w:val="en-GB" w:eastAsia="pl-PL"/>
                        </w:rPr>
                        <w:t>to the Internet and smartphone</w:t>
                      </w:r>
                    </w:p>
                  </w:txbxContent>
                </v:textbox>
                <w10:wrap type="tight"/>
              </v:shape>
            </w:pict>
          </mc:Fallback>
        </mc:AlternateContent>
      </w:r>
      <w:r w:rsidR="00BB40E7" w:rsidRPr="00C0187E">
        <w:rPr>
          <w:rFonts w:ascii="Fira Sans SemiBold" w:hAnsi="Fira Sans SemiBold"/>
          <w:color w:val="001D77"/>
          <w:szCs w:val="19"/>
          <w:shd w:val="clear" w:color="auto" w:fill="FFFFFF"/>
          <w:lang w:val="en-GB"/>
        </w:rPr>
        <w:t>The equipment of household</w:t>
      </w:r>
      <w:r w:rsidR="007F25A3" w:rsidRPr="00C0187E">
        <w:rPr>
          <w:rFonts w:ascii="Fira Sans SemiBold" w:hAnsi="Fira Sans SemiBold"/>
          <w:color w:val="001D77"/>
          <w:szCs w:val="19"/>
          <w:shd w:val="clear" w:color="auto" w:fill="FFFFFF"/>
          <w:lang w:val="en-GB"/>
        </w:rPr>
        <w:t>s</w:t>
      </w:r>
      <w:r w:rsidR="00BB40E7" w:rsidRPr="00C0187E">
        <w:rPr>
          <w:rFonts w:ascii="Fira Sans SemiBold" w:hAnsi="Fira Sans SemiBold"/>
          <w:color w:val="001D77"/>
          <w:szCs w:val="19"/>
          <w:shd w:val="clear" w:color="auto" w:fill="FFFFFF"/>
          <w:lang w:val="en-GB"/>
        </w:rPr>
        <w:t xml:space="preserve"> with durable goods</w:t>
      </w:r>
      <w:r w:rsidR="009C099F">
        <w:rPr>
          <w:rFonts w:ascii="Fira Sans SemiBold" w:hAnsi="Fira Sans SemiBold"/>
          <w:color w:val="001D77"/>
          <w:szCs w:val="19"/>
          <w:shd w:val="clear" w:color="auto" w:fill="FFFFFF"/>
          <w:lang w:val="en-GB"/>
        </w:rPr>
        <w:t xml:space="preserve"> </w:t>
      </w:r>
    </w:p>
    <w:p w14:paraId="35D4FD42" w14:textId="666885D2" w:rsidR="009E51A3" w:rsidRDefault="000D3623" w:rsidP="00BB40E7">
      <w:pPr>
        <w:rPr>
          <w:rFonts w:cs="Arial"/>
          <w:bCs/>
          <w:szCs w:val="19"/>
          <w:lang w:val="en-GB"/>
        </w:rPr>
      </w:pPr>
      <w:r w:rsidRPr="000D3623">
        <w:rPr>
          <w:rFonts w:cs="Arial"/>
          <w:bCs/>
          <w:szCs w:val="19"/>
          <w:lang w:val="en-GB"/>
        </w:rPr>
        <w:t>In 202</w:t>
      </w:r>
      <w:r w:rsidR="00D64D40">
        <w:rPr>
          <w:rFonts w:cs="Arial"/>
          <w:bCs/>
          <w:szCs w:val="19"/>
          <w:lang w:val="en-GB"/>
        </w:rPr>
        <w:t>5</w:t>
      </w:r>
      <w:r w:rsidRPr="000D3623">
        <w:rPr>
          <w:rFonts w:cs="Arial"/>
          <w:bCs/>
          <w:szCs w:val="19"/>
          <w:lang w:val="en-GB"/>
        </w:rPr>
        <w:t xml:space="preserve">, </w:t>
      </w:r>
      <w:r w:rsidR="0016712C">
        <w:rPr>
          <w:rFonts w:cs="Arial"/>
          <w:bCs/>
          <w:szCs w:val="19"/>
          <w:lang w:val="en-GB"/>
        </w:rPr>
        <w:t xml:space="preserve">an </w:t>
      </w:r>
      <w:r w:rsidRPr="000D3623">
        <w:rPr>
          <w:rFonts w:cs="Arial"/>
          <w:bCs/>
          <w:szCs w:val="19"/>
          <w:lang w:val="en-GB"/>
        </w:rPr>
        <w:t xml:space="preserve">increase in the </w:t>
      </w:r>
      <w:r w:rsidR="007600E0">
        <w:rPr>
          <w:rFonts w:cs="Arial"/>
          <w:bCs/>
          <w:szCs w:val="19"/>
          <w:lang w:val="en-GB"/>
        </w:rPr>
        <w:t>number</w:t>
      </w:r>
      <w:r w:rsidRPr="000D3623">
        <w:rPr>
          <w:rFonts w:cs="Arial"/>
          <w:bCs/>
          <w:szCs w:val="19"/>
          <w:lang w:val="en-GB"/>
        </w:rPr>
        <w:t xml:space="preserve"> of household</w:t>
      </w:r>
      <w:r w:rsidR="007600E0">
        <w:rPr>
          <w:rFonts w:cs="Arial"/>
          <w:bCs/>
          <w:szCs w:val="19"/>
          <w:lang w:val="en-GB"/>
        </w:rPr>
        <w:t>s</w:t>
      </w:r>
      <w:r w:rsidRPr="000D3623">
        <w:rPr>
          <w:rFonts w:cs="Arial"/>
          <w:bCs/>
          <w:szCs w:val="19"/>
          <w:lang w:val="en-GB"/>
        </w:rPr>
        <w:t xml:space="preserve"> </w:t>
      </w:r>
      <w:r w:rsidR="003C7300" w:rsidRPr="000D3623">
        <w:rPr>
          <w:rFonts w:cs="Arial"/>
          <w:bCs/>
          <w:szCs w:val="19"/>
          <w:lang w:val="en-GB"/>
        </w:rPr>
        <w:t>equip</w:t>
      </w:r>
      <w:r w:rsidR="007600E0">
        <w:rPr>
          <w:rFonts w:cs="Arial"/>
          <w:bCs/>
          <w:szCs w:val="19"/>
          <w:lang w:val="en-GB"/>
        </w:rPr>
        <w:t>ped</w:t>
      </w:r>
      <w:r w:rsidR="003C7300" w:rsidRPr="000D3623">
        <w:rPr>
          <w:rFonts w:cs="Arial"/>
          <w:bCs/>
          <w:szCs w:val="19"/>
          <w:lang w:val="en-GB"/>
        </w:rPr>
        <w:t xml:space="preserve"> </w:t>
      </w:r>
      <w:r w:rsidRPr="000D3623">
        <w:rPr>
          <w:rFonts w:cs="Arial"/>
          <w:bCs/>
          <w:szCs w:val="19"/>
          <w:lang w:val="en-GB"/>
        </w:rPr>
        <w:t xml:space="preserve">with </w:t>
      </w:r>
      <w:r w:rsidR="009E51A3">
        <w:rPr>
          <w:rFonts w:cs="Arial"/>
          <w:bCs/>
          <w:szCs w:val="19"/>
          <w:lang w:val="en-GB"/>
        </w:rPr>
        <w:t>durable goods</w:t>
      </w:r>
      <w:r w:rsidR="0016712C">
        <w:rPr>
          <w:rFonts w:cs="Arial"/>
          <w:bCs/>
          <w:szCs w:val="19"/>
          <w:lang w:val="en-GB"/>
        </w:rPr>
        <w:t xml:space="preserve"> was noted.</w:t>
      </w:r>
      <w:r w:rsidR="009E51A3">
        <w:rPr>
          <w:rFonts w:cs="Arial"/>
          <w:bCs/>
          <w:szCs w:val="19"/>
          <w:lang w:val="en-GB"/>
        </w:rPr>
        <w:t xml:space="preserve"> </w:t>
      </w:r>
      <w:r w:rsidR="0016712C">
        <w:rPr>
          <w:rFonts w:cs="Arial"/>
          <w:bCs/>
          <w:szCs w:val="19"/>
          <w:lang w:val="en-GB"/>
        </w:rPr>
        <w:t>T</w:t>
      </w:r>
      <w:r w:rsidR="0016712C" w:rsidRPr="000D3623">
        <w:rPr>
          <w:rFonts w:cs="Arial"/>
          <w:bCs/>
          <w:szCs w:val="19"/>
          <w:lang w:val="en-GB"/>
        </w:rPr>
        <w:t>he</w:t>
      </w:r>
      <w:r w:rsidR="0016712C">
        <w:rPr>
          <w:rFonts w:cs="Arial"/>
          <w:bCs/>
          <w:szCs w:val="19"/>
          <w:lang w:val="en-GB"/>
        </w:rPr>
        <w:t xml:space="preserve"> highest</w:t>
      </w:r>
      <w:r w:rsidR="0016712C" w:rsidRPr="000D3623">
        <w:rPr>
          <w:rFonts w:cs="Arial"/>
          <w:bCs/>
          <w:szCs w:val="19"/>
          <w:lang w:val="en-GB"/>
        </w:rPr>
        <w:t xml:space="preserve"> </w:t>
      </w:r>
      <w:r w:rsidR="0016712C">
        <w:rPr>
          <w:rFonts w:cs="Arial"/>
          <w:bCs/>
          <w:szCs w:val="19"/>
          <w:lang w:val="en-GB"/>
        </w:rPr>
        <w:t xml:space="preserve">growth </w:t>
      </w:r>
      <w:r w:rsidR="009E51A3">
        <w:rPr>
          <w:rFonts w:cs="Arial"/>
          <w:bCs/>
          <w:szCs w:val="19"/>
          <w:lang w:val="en-GB"/>
        </w:rPr>
        <w:t xml:space="preserve">occurred in the case of </w:t>
      </w:r>
      <w:r w:rsidR="00D37C49" w:rsidRPr="000D3623">
        <w:rPr>
          <w:rFonts w:cs="Arial"/>
          <w:bCs/>
          <w:szCs w:val="19"/>
          <w:lang w:val="en-GB"/>
        </w:rPr>
        <w:t xml:space="preserve"> </w:t>
      </w:r>
      <w:r w:rsidR="00AA1166">
        <w:rPr>
          <w:rFonts w:cs="Arial"/>
          <w:bCs/>
          <w:szCs w:val="19"/>
          <w:lang w:val="en-GB"/>
        </w:rPr>
        <w:t xml:space="preserve">game console </w:t>
      </w:r>
      <w:r w:rsidR="00D37C49" w:rsidRPr="000D3623">
        <w:rPr>
          <w:rFonts w:cs="Arial"/>
          <w:bCs/>
          <w:szCs w:val="19"/>
          <w:lang w:val="en-GB"/>
        </w:rPr>
        <w:t xml:space="preserve">(by </w:t>
      </w:r>
      <w:r w:rsidR="00AA1166">
        <w:rPr>
          <w:rFonts w:cs="Arial"/>
          <w:bCs/>
          <w:szCs w:val="19"/>
          <w:lang w:val="en-GB"/>
        </w:rPr>
        <w:t>3.0</w:t>
      </w:r>
      <w:r w:rsidR="00D37C49" w:rsidRPr="000D3623">
        <w:rPr>
          <w:rFonts w:cs="Arial"/>
          <w:bCs/>
          <w:szCs w:val="19"/>
          <w:lang w:val="en-GB"/>
        </w:rPr>
        <w:t>%)</w:t>
      </w:r>
      <w:r w:rsidR="00D37C49">
        <w:rPr>
          <w:rFonts w:cs="Arial"/>
          <w:bCs/>
          <w:szCs w:val="19"/>
          <w:lang w:val="en-GB"/>
        </w:rPr>
        <w:t xml:space="preserve">, </w:t>
      </w:r>
      <w:r w:rsidR="0065702D">
        <w:rPr>
          <w:rFonts w:cs="Arial"/>
          <w:bCs/>
          <w:szCs w:val="19"/>
          <w:lang w:val="en-GB"/>
        </w:rPr>
        <w:t xml:space="preserve">cable or satellite television (by 2.0%), </w:t>
      </w:r>
      <w:r w:rsidR="009E0E5B">
        <w:rPr>
          <w:rFonts w:cs="Arial"/>
          <w:bCs/>
          <w:szCs w:val="19"/>
          <w:lang w:val="en-GB"/>
        </w:rPr>
        <w:t xml:space="preserve">dishwasher and </w:t>
      </w:r>
      <w:r w:rsidR="0065702D">
        <w:rPr>
          <w:rFonts w:cs="Arial"/>
          <w:bCs/>
          <w:szCs w:val="19"/>
          <w:lang w:val="en-GB"/>
        </w:rPr>
        <w:t>access to the Internet (by 1.7%)</w:t>
      </w:r>
      <w:r w:rsidR="00EF6A9C">
        <w:rPr>
          <w:rFonts w:cs="Arial"/>
          <w:bCs/>
          <w:szCs w:val="19"/>
          <w:lang w:val="en-GB"/>
        </w:rPr>
        <w:t xml:space="preserve">, </w:t>
      </w:r>
      <w:r w:rsidR="00DE01E4">
        <w:rPr>
          <w:rFonts w:cs="Arial"/>
          <w:bCs/>
          <w:szCs w:val="19"/>
          <w:lang w:val="en-GB"/>
        </w:rPr>
        <w:t>as well as smartphone (by </w:t>
      </w:r>
      <w:r w:rsidR="009E0E5B">
        <w:rPr>
          <w:rFonts w:cs="Arial"/>
          <w:bCs/>
          <w:szCs w:val="19"/>
          <w:lang w:val="en-GB"/>
        </w:rPr>
        <w:t>1.1%). T</w:t>
      </w:r>
      <w:r w:rsidR="00D37C49">
        <w:rPr>
          <w:rFonts w:cs="Arial"/>
          <w:bCs/>
          <w:szCs w:val="19"/>
          <w:lang w:val="en-GB"/>
        </w:rPr>
        <w:t xml:space="preserve">he </w:t>
      </w:r>
      <w:r w:rsidR="009E0E5B">
        <w:rPr>
          <w:rFonts w:cs="Arial"/>
          <w:bCs/>
          <w:szCs w:val="19"/>
          <w:lang w:val="en-GB"/>
        </w:rPr>
        <w:t xml:space="preserve">largest </w:t>
      </w:r>
      <w:r w:rsidR="00D37C49">
        <w:rPr>
          <w:rFonts w:cs="Arial"/>
          <w:bCs/>
          <w:szCs w:val="19"/>
          <w:lang w:val="en-GB"/>
        </w:rPr>
        <w:t xml:space="preserve">decrease occurred in the case of </w:t>
      </w:r>
      <w:r w:rsidR="009E0E5B">
        <w:rPr>
          <w:rFonts w:cs="Arial"/>
          <w:bCs/>
          <w:szCs w:val="19"/>
          <w:lang w:val="en-GB"/>
        </w:rPr>
        <w:t xml:space="preserve">equipment for reception, </w:t>
      </w:r>
      <w:r w:rsidR="002A2C41" w:rsidRPr="00625B77">
        <w:rPr>
          <w:rFonts w:cs="Arial"/>
          <w:bCs/>
          <w:szCs w:val="19"/>
          <w:lang w:val="en-GB"/>
        </w:rPr>
        <w:t>recording and reproduction of sound</w:t>
      </w:r>
      <w:r w:rsidR="002A2C41">
        <w:rPr>
          <w:rFonts w:cs="Arial"/>
          <w:bCs/>
          <w:szCs w:val="19"/>
          <w:lang w:val="en-GB"/>
        </w:rPr>
        <w:t xml:space="preserve"> </w:t>
      </w:r>
      <w:r w:rsidR="00FB44CD">
        <w:rPr>
          <w:rFonts w:cs="Arial"/>
          <w:bCs/>
          <w:szCs w:val="19"/>
          <w:lang w:val="en-GB"/>
        </w:rPr>
        <w:t>(by 7.4%)</w:t>
      </w:r>
      <w:r w:rsidR="009E0E5B">
        <w:rPr>
          <w:rFonts w:cs="Arial"/>
          <w:bCs/>
          <w:szCs w:val="19"/>
          <w:lang w:val="en-GB"/>
        </w:rPr>
        <w:t>,</w:t>
      </w:r>
      <w:r w:rsidR="00EF6A9C">
        <w:rPr>
          <w:rFonts w:cs="Arial"/>
          <w:bCs/>
          <w:szCs w:val="19"/>
          <w:lang w:val="en-GB"/>
        </w:rPr>
        <w:t xml:space="preserve"> </w:t>
      </w:r>
      <w:r w:rsidR="00FB44CD">
        <w:rPr>
          <w:rFonts w:cs="Arial"/>
          <w:bCs/>
          <w:szCs w:val="19"/>
          <w:lang w:val="en-GB"/>
        </w:rPr>
        <w:t>printer</w:t>
      </w:r>
      <w:r w:rsidR="009E0E5B">
        <w:rPr>
          <w:rFonts w:cs="Arial"/>
          <w:bCs/>
          <w:szCs w:val="19"/>
          <w:lang w:val="en-GB"/>
        </w:rPr>
        <w:t>, multifunction printer</w:t>
      </w:r>
      <w:r w:rsidR="00FB44CD">
        <w:rPr>
          <w:rFonts w:cs="Arial"/>
          <w:bCs/>
          <w:szCs w:val="19"/>
          <w:lang w:val="en-GB"/>
        </w:rPr>
        <w:t xml:space="preserve"> (by 3.4%)</w:t>
      </w:r>
      <w:r w:rsidR="009E0E5B">
        <w:rPr>
          <w:rFonts w:cs="Arial"/>
          <w:bCs/>
          <w:szCs w:val="19"/>
          <w:lang w:val="en-GB"/>
        </w:rPr>
        <w:t>, passenger car (by 1.2%) and bicycle (by 0.8%)</w:t>
      </w:r>
      <w:r w:rsidR="00EF6A9C">
        <w:rPr>
          <w:rFonts w:cs="Arial"/>
          <w:bCs/>
          <w:szCs w:val="19"/>
          <w:lang w:val="en-GB"/>
        </w:rPr>
        <w:t xml:space="preserve">. </w:t>
      </w:r>
      <w:r w:rsidR="00D37C49">
        <w:rPr>
          <w:rFonts w:cs="Arial"/>
          <w:bCs/>
          <w:szCs w:val="19"/>
          <w:lang w:val="en-GB"/>
        </w:rPr>
        <w:t xml:space="preserve">In the case of </w:t>
      </w:r>
      <w:r w:rsidR="009E0E5B">
        <w:rPr>
          <w:rFonts w:cs="Arial"/>
          <w:bCs/>
          <w:szCs w:val="19"/>
          <w:lang w:val="en-GB"/>
        </w:rPr>
        <w:t>other</w:t>
      </w:r>
      <w:r w:rsidR="00D37C49">
        <w:rPr>
          <w:rFonts w:cs="Arial"/>
          <w:bCs/>
          <w:szCs w:val="19"/>
          <w:lang w:val="en-GB"/>
        </w:rPr>
        <w:t xml:space="preserve"> goods </w:t>
      </w:r>
      <w:r w:rsidR="000D07D5">
        <w:rPr>
          <w:rFonts w:cs="Arial"/>
          <w:bCs/>
          <w:szCs w:val="19"/>
          <w:lang w:val="en-GB"/>
        </w:rPr>
        <w:t xml:space="preserve">the </w:t>
      </w:r>
      <w:r w:rsidR="0053510F">
        <w:rPr>
          <w:rFonts w:cs="Arial"/>
          <w:bCs/>
          <w:szCs w:val="19"/>
          <w:lang w:val="en-GB"/>
        </w:rPr>
        <w:t>differences</w:t>
      </w:r>
      <w:r w:rsidR="00B72F4F">
        <w:rPr>
          <w:rFonts w:cs="Arial"/>
          <w:bCs/>
          <w:szCs w:val="19"/>
          <w:lang w:val="en-GB"/>
        </w:rPr>
        <w:t xml:space="preserve"> </w:t>
      </w:r>
      <w:r w:rsidR="003B2361">
        <w:rPr>
          <w:rFonts w:cs="Arial"/>
          <w:bCs/>
          <w:szCs w:val="19"/>
          <w:lang w:val="en-GB"/>
        </w:rPr>
        <w:t xml:space="preserve">in the </w:t>
      </w:r>
      <w:r w:rsidR="000D07D5">
        <w:rPr>
          <w:rFonts w:cs="Arial"/>
          <w:bCs/>
          <w:szCs w:val="19"/>
          <w:lang w:val="en-GB"/>
        </w:rPr>
        <w:t>degree of the households equipment between 202</w:t>
      </w:r>
      <w:r w:rsidR="00CD1236">
        <w:rPr>
          <w:rFonts w:cs="Arial"/>
          <w:bCs/>
          <w:szCs w:val="19"/>
          <w:lang w:val="en-GB"/>
        </w:rPr>
        <w:t>4</w:t>
      </w:r>
      <w:r w:rsidR="000D07D5">
        <w:rPr>
          <w:rFonts w:cs="Arial"/>
          <w:bCs/>
          <w:szCs w:val="19"/>
          <w:lang w:val="en-GB"/>
        </w:rPr>
        <w:t xml:space="preserve"> and 202</w:t>
      </w:r>
      <w:r w:rsidR="00CD1236">
        <w:rPr>
          <w:rFonts w:cs="Arial"/>
          <w:bCs/>
          <w:szCs w:val="19"/>
          <w:lang w:val="en-GB"/>
        </w:rPr>
        <w:t>5</w:t>
      </w:r>
      <w:r w:rsidR="000D07D5">
        <w:rPr>
          <w:rFonts w:cs="Arial"/>
          <w:bCs/>
          <w:szCs w:val="19"/>
          <w:lang w:val="en-GB"/>
        </w:rPr>
        <w:t xml:space="preserve"> </w:t>
      </w:r>
      <w:r w:rsidR="0053510F">
        <w:rPr>
          <w:rFonts w:cs="Arial"/>
          <w:bCs/>
          <w:szCs w:val="19"/>
          <w:lang w:val="en-GB"/>
        </w:rPr>
        <w:t>were</w:t>
      </w:r>
      <w:r w:rsidR="000D07D5">
        <w:rPr>
          <w:rFonts w:cs="Arial"/>
          <w:bCs/>
          <w:szCs w:val="19"/>
          <w:lang w:val="en-GB"/>
        </w:rPr>
        <w:t xml:space="preserve"> less significant and </w:t>
      </w:r>
      <w:r w:rsidR="00C7566A">
        <w:rPr>
          <w:rFonts w:cs="Arial"/>
          <w:bCs/>
          <w:szCs w:val="19"/>
          <w:lang w:val="en-GB"/>
        </w:rPr>
        <w:t>did not exceed</w:t>
      </w:r>
      <w:r w:rsidR="000D07D5">
        <w:rPr>
          <w:rFonts w:cs="Arial"/>
          <w:bCs/>
          <w:szCs w:val="19"/>
          <w:lang w:val="en-GB"/>
        </w:rPr>
        <w:t xml:space="preserve"> </w:t>
      </w:r>
      <w:r w:rsidR="00F0397F">
        <w:rPr>
          <w:rFonts w:cs="Arial"/>
          <w:bCs/>
          <w:szCs w:val="19"/>
          <w:lang w:val="en-GB"/>
        </w:rPr>
        <w:t>0.4</w:t>
      </w:r>
      <w:r w:rsidR="000D07D5">
        <w:rPr>
          <w:rFonts w:cs="Arial"/>
          <w:bCs/>
          <w:szCs w:val="19"/>
          <w:lang w:val="en-GB"/>
        </w:rPr>
        <w:t xml:space="preserve"> percentage points.</w:t>
      </w:r>
    </w:p>
    <w:p w14:paraId="6E0A3593" w14:textId="34F75E95" w:rsidR="00986550" w:rsidRPr="001E3394" w:rsidRDefault="00BA3B45" w:rsidP="00BB40E7">
      <w:pPr>
        <w:rPr>
          <w:rFonts w:cs="Arial"/>
          <w:szCs w:val="19"/>
          <w:lang w:val="en-GB"/>
        </w:rPr>
      </w:pPr>
      <w:r w:rsidRPr="006E1C16">
        <w:rPr>
          <w:rFonts w:cs="Arial"/>
          <w:bCs/>
          <w:szCs w:val="19"/>
          <w:lang w:val="en-GB"/>
        </w:rPr>
        <w:t>The</w:t>
      </w:r>
      <w:r w:rsidR="00B730D5">
        <w:rPr>
          <w:rFonts w:cs="Arial"/>
          <w:bCs/>
          <w:szCs w:val="19"/>
          <w:lang w:val="en-GB"/>
        </w:rPr>
        <w:t xml:space="preserve"> level of</w:t>
      </w:r>
      <w:r w:rsidRPr="006E1C16">
        <w:rPr>
          <w:rFonts w:cs="Arial"/>
          <w:bCs/>
          <w:szCs w:val="19"/>
          <w:lang w:val="en-GB"/>
        </w:rPr>
        <w:t xml:space="preserve"> </w:t>
      </w:r>
      <w:r w:rsidR="00B730D5" w:rsidRPr="006E1C16">
        <w:rPr>
          <w:rFonts w:cs="Arial"/>
          <w:bCs/>
          <w:szCs w:val="19"/>
          <w:lang w:val="en-GB"/>
        </w:rPr>
        <w:t xml:space="preserve">household </w:t>
      </w:r>
      <w:r w:rsidRPr="006E1C16">
        <w:rPr>
          <w:rFonts w:cs="Arial"/>
          <w:bCs/>
          <w:szCs w:val="19"/>
          <w:lang w:val="en-GB"/>
        </w:rPr>
        <w:t>equipment</w:t>
      </w:r>
      <w:r w:rsidR="00BB40E7" w:rsidRPr="006E1C16">
        <w:rPr>
          <w:rFonts w:cs="Arial"/>
          <w:bCs/>
          <w:szCs w:val="19"/>
          <w:lang w:val="en-GB"/>
        </w:rPr>
        <w:t xml:space="preserve"> with durable goods </w:t>
      </w:r>
      <w:r w:rsidR="001E3394">
        <w:rPr>
          <w:rFonts w:cs="Arial"/>
          <w:bCs/>
          <w:szCs w:val="19"/>
          <w:lang w:val="en-GB"/>
        </w:rPr>
        <w:t>is related to</w:t>
      </w:r>
      <w:r w:rsidR="00BB40E7" w:rsidRPr="006E1C16">
        <w:rPr>
          <w:rFonts w:cs="Arial"/>
          <w:bCs/>
          <w:szCs w:val="19"/>
          <w:lang w:val="en-GB"/>
        </w:rPr>
        <w:t xml:space="preserve"> </w:t>
      </w:r>
      <w:r w:rsidR="00B730D5">
        <w:rPr>
          <w:rFonts w:cs="Arial"/>
          <w:bCs/>
          <w:szCs w:val="19"/>
          <w:lang w:val="en-GB"/>
        </w:rPr>
        <w:t>their</w:t>
      </w:r>
      <w:r w:rsidR="00BB40E7" w:rsidRPr="006E1C16">
        <w:rPr>
          <w:rFonts w:cs="Arial"/>
          <w:bCs/>
          <w:szCs w:val="19"/>
          <w:lang w:val="en-GB"/>
        </w:rPr>
        <w:t xml:space="preserve"> financial situation.</w:t>
      </w:r>
      <w:r w:rsidR="001E3394">
        <w:rPr>
          <w:rFonts w:cs="Arial"/>
          <w:szCs w:val="19"/>
          <w:lang w:val="en-GB"/>
        </w:rPr>
        <w:t xml:space="preserve"> </w:t>
      </w:r>
      <w:r w:rsidR="005B630A" w:rsidRPr="005C7565">
        <w:rPr>
          <w:rFonts w:cs="Arial"/>
          <w:bCs/>
          <w:szCs w:val="19"/>
          <w:lang w:val="en-GB"/>
        </w:rPr>
        <w:t>The richest households (5th quintile group) were better equipped</w:t>
      </w:r>
      <w:r w:rsidR="000D07D5">
        <w:rPr>
          <w:rFonts w:cs="Arial"/>
          <w:bCs/>
          <w:szCs w:val="19"/>
          <w:lang w:val="en-GB"/>
        </w:rPr>
        <w:t xml:space="preserve"> with durable goods</w:t>
      </w:r>
      <w:r w:rsidR="005B630A" w:rsidRPr="005C7565">
        <w:rPr>
          <w:rFonts w:cs="Arial"/>
          <w:bCs/>
          <w:szCs w:val="19"/>
          <w:lang w:val="en-GB"/>
        </w:rPr>
        <w:t xml:space="preserve"> than the poorest households (1st quintile group)</w:t>
      </w:r>
      <w:r w:rsidR="0093250E">
        <w:rPr>
          <w:rFonts w:cs="Arial"/>
          <w:bCs/>
          <w:szCs w:val="19"/>
          <w:lang w:val="en-GB"/>
        </w:rPr>
        <w:t xml:space="preserve">. Compared to 2024, there was an increase of percentage of the poorest households equipped with </w:t>
      </w:r>
      <w:r w:rsidR="00D26F88">
        <w:rPr>
          <w:rFonts w:cs="Arial"/>
          <w:bCs/>
          <w:szCs w:val="19"/>
          <w:lang w:val="en-GB"/>
        </w:rPr>
        <w:t xml:space="preserve">the </w:t>
      </w:r>
      <w:r w:rsidR="0093250E">
        <w:rPr>
          <w:rFonts w:cs="Arial"/>
          <w:bCs/>
          <w:szCs w:val="19"/>
          <w:lang w:val="en-GB"/>
        </w:rPr>
        <w:t xml:space="preserve">Internet (by 1.4 percentage points) and smartphone (by 0.2 percentage points), while decreased percentage of </w:t>
      </w:r>
      <w:r w:rsidR="00D26F88">
        <w:rPr>
          <w:rFonts w:cs="Arial"/>
          <w:bCs/>
          <w:szCs w:val="19"/>
          <w:lang w:val="en-GB"/>
        </w:rPr>
        <w:t xml:space="preserve">those </w:t>
      </w:r>
      <w:r w:rsidR="0093250E">
        <w:rPr>
          <w:rFonts w:cs="Arial"/>
          <w:bCs/>
          <w:szCs w:val="19"/>
          <w:lang w:val="en-GB"/>
        </w:rPr>
        <w:t xml:space="preserve">households equipped with passenger car, </w:t>
      </w:r>
      <w:r w:rsidR="00AA62EC">
        <w:rPr>
          <w:rFonts w:cs="Arial"/>
          <w:bCs/>
          <w:szCs w:val="19"/>
          <w:lang w:val="en-GB"/>
        </w:rPr>
        <w:t>dishwasher</w:t>
      </w:r>
      <w:r w:rsidR="0093250E">
        <w:rPr>
          <w:rFonts w:cs="Arial"/>
          <w:bCs/>
          <w:szCs w:val="19"/>
          <w:lang w:val="en-GB"/>
        </w:rPr>
        <w:t xml:space="preserve"> and TV set (by 4.2</w:t>
      </w:r>
      <w:r w:rsidR="00D26F88">
        <w:rPr>
          <w:rFonts w:cs="Arial"/>
          <w:bCs/>
          <w:szCs w:val="19"/>
          <w:lang w:val="en-GB"/>
        </w:rPr>
        <w:t xml:space="preserve"> percentage points</w:t>
      </w:r>
      <w:r w:rsidR="0093250E">
        <w:rPr>
          <w:rFonts w:cs="Arial"/>
          <w:bCs/>
          <w:szCs w:val="19"/>
          <w:lang w:val="en-GB"/>
        </w:rPr>
        <w:t>, 1</w:t>
      </w:r>
      <w:r w:rsidR="00D26F88">
        <w:rPr>
          <w:rFonts w:cs="Arial"/>
          <w:bCs/>
          <w:szCs w:val="19"/>
          <w:lang w:val="en-GB"/>
        </w:rPr>
        <w:t>.6 percentage points and 1.3 percentage points respectively).</w:t>
      </w:r>
      <w:r w:rsidR="0093250E">
        <w:rPr>
          <w:rFonts w:cs="Arial"/>
          <w:bCs/>
          <w:szCs w:val="19"/>
          <w:lang w:val="en-GB"/>
        </w:rPr>
        <w:t xml:space="preserve"> </w:t>
      </w:r>
      <w:r w:rsidR="00D26F88">
        <w:rPr>
          <w:rFonts w:cs="Arial"/>
          <w:bCs/>
          <w:szCs w:val="19"/>
          <w:lang w:val="en-GB"/>
        </w:rPr>
        <w:t>At the same time, there was an increase of percentage of the richest households equipped with dishwasher, passenger car and the Internet (by 4.1 percentage points, 2.6 percentage points and 1.2 percentage points respectively) and percentage of those households equipped with smartphone and TV set maintained at the level of 2024.</w:t>
      </w:r>
    </w:p>
    <w:p w14:paraId="7EE94F4C" w14:textId="15551A38" w:rsidR="00BB40E7" w:rsidRPr="005C7565" w:rsidRDefault="000075A1" w:rsidP="00DC28C6">
      <w:pPr>
        <w:spacing w:before="360" w:after="360" w:line="240" w:lineRule="auto"/>
        <w:rPr>
          <w:szCs w:val="19"/>
          <w:shd w:val="clear" w:color="auto" w:fill="FFFFFF"/>
        </w:rPr>
      </w:pPr>
      <w:r>
        <w:rPr>
          <w:noProof/>
          <w:lang w:eastAsia="pl-PL"/>
        </w:rPr>
        <w:drawing>
          <wp:inline distT="0" distB="0" distL="0" distR="0" wp14:anchorId="7CDBA2B1" wp14:editId="7A996303">
            <wp:extent cx="5122545" cy="2771775"/>
            <wp:effectExtent l="0" t="0" r="1905" b="0"/>
            <wp:docPr id="193" name="Wykres 1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27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AA2A6D" w14:textId="73DC35EE" w:rsidR="00D641BC" w:rsidRPr="00990DAA" w:rsidRDefault="00BA5071" w:rsidP="00BB40E7">
      <w:pPr>
        <w:rPr>
          <w:rFonts w:cs="Arial"/>
          <w:bCs/>
          <w:spacing w:val="-1"/>
          <w:szCs w:val="19"/>
          <w:lang w:val="en-GB"/>
        </w:rPr>
      </w:pPr>
      <w:r w:rsidRPr="00990DAA">
        <w:rPr>
          <w:rFonts w:cs="Arial"/>
          <w:bCs/>
          <w:spacing w:val="-1"/>
          <w:szCs w:val="19"/>
          <w:lang w:val="en-GB"/>
        </w:rPr>
        <w:t xml:space="preserve">In terms of equipping with </w:t>
      </w:r>
      <w:r w:rsidR="00892D89" w:rsidRPr="00990DAA">
        <w:rPr>
          <w:rFonts w:cs="Arial"/>
          <w:bCs/>
          <w:spacing w:val="-1"/>
          <w:szCs w:val="19"/>
          <w:lang w:val="en-GB"/>
        </w:rPr>
        <w:t>new generation</w:t>
      </w:r>
      <w:r w:rsidR="00BB40E7" w:rsidRPr="00990DAA">
        <w:rPr>
          <w:rFonts w:cs="Arial"/>
          <w:bCs/>
          <w:spacing w:val="-1"/>
          <w:szCs w:val="19"/>
          <w:lang w:val="en-GB"/>
        </w:rPr>
        <w:t xml:space="preserve"> </w:t>
      </w:r>
      <w:r w:rsidR="00BB0F8E" w:rsidRPr="00990DAA">
        <w:rPr>
          <w:rFonts w:cs="Arial"/>
          <w:bCs/>
          <w:spacing w:val="-1"/>
          <w:szCs w:val="19"/>
          <w:lang w:val="en-GB"/>
        </w:rPr>
        <w:t>goods</w:t>
      </w:r>
      <w:r w:rsidR="00BB0F8E" w:rsidRPr="00990DAA">
        <w:rPr>
          <w:rStyle w:val="Odwoanieprzypisudolnego"/>
          <w:rFonts w:cs="Arial"/>
          <w:spacing w:val="-1"/>
          <w:szCs w:val="19"/>
          <w:lang w:val="en-GB"/>
        </w:rPr>
        <w:footnoteReference w:id="6"/>
      </w:r>
      <w:r w:rsidRPr="00990DAA">
        <w:rPr>
          <w:rFonts w:cs="Arial"/>
          <w:bCs/>
          <w:spacing w:val="-1"/>
          <w:szCs w:val="19"/>
          <w:lang w:val="en-GB"/>
        </w:rPr>
        <w:t>,</w:t>
      </w:r>
      <w:r w:rsidR="00BB40E7" w:rsidRPr="00990DAA">
        <w:rPr>
          <w:rFonts w:cs="Arial"/>
          <w:bCs/>
          <w:spacing w:val="-1"/>
          <w:szCs w:val="19"/>
          <w:lang w:val="en-GB"/>
        </w:rPr>
        <w:t xml:space="preserve"> such as access to the Internet</w:t>
      </w:r>
      <w:r w:rsidR="00BB40E7" w:rsidRPr="00990DAA">
        <w:rPr>
          <w:rStyle w:val="Odwoanieprzypisudolnego"/>
          <w:rFonts w:cs="Arial"/>
          <w:spacing w:val="-1"/>
          <w:szCs w:val="19"/>
          <w:lang w:val="en-GB"/>
        </w:rPr>
        <w:footnoteReference w:id="7"/>
      </w:r>
      <w:r w:rsidR="004E59AA" w:rsidRPr="00990DAA">
        <w:rPr>
          <w:rFonts w:cs="Arial"/>
          <w:bCs/>
          <w:spacing w:val="-1"/>
          <w:szCs w:val="19"/>
          <w:lang w:val="en-GB"/>
        </w:rPr>
        <w:t xml:space="preserve"> and</w:t>
      </w:r>
      <w:r w:rsidR="00BB40E7" w:rsidRPr="00990DAA">
        <w:rPr>
          <w:rFonts w:cs="Arial"/>
          <w:bCs/>
          <w:spacing w:val="-1"/>
          <w:szCs w:val="19"/>
          <w:lang w:val="en-GB"/>
        </w:rPr>
        <w:t xml:space="preserve"> smartphone</w:t>
      </w:r>
      <w:r w:rsidRPr="00990DAA">
        <w:rPr>
          <w:rFonts w:cs="Arial"/>
          <w:bCs/>
          <w:spacing w:val="-1"/>
          <w:szCs w:val="19"/>
          <w:lang w:val="en-GB"/>
        </w:rPr>
        <w:t xml:space="preserve">, </w:t>
      </w:r>
      <w:r w:rsidR="00FA13FD" w:rsidRPr="00990DAA">
        <w:rPr>
          <w:rFonts w:cs="Arial"/>
          <w:bCs/>
          <w:spacing w:val="-1"/>
          <w:szCs w:val="19"/>
          <w:lang w:val="en-GB"/>
        </w:rPr>
        <w:t xml:space="preserve">there </w:t>
      </w:r>
      <w:r w:rsidR="004E59AA" w:rsidRPr="00990DAA">
        <w:rPr>
          <w:rFonts w:cs="Arial"/>
          <w:bCs/>
          <w:spacing w:val="-1"/>
          <w:szCs w:val="19"/>
          <w:lang w:val="en-GB"/>
        </w:rPr>
        <w:t>was a</w:t>
      </w:r>
      <w:r w:rsidR="00FA13FD" w:rsidRPr="00990DAA">
        <w:rPr>
          <w:rFonts w:cs="Arial"/>
          <w:bCs/>
          <w:spacing w:val="-1"/>
          <w:szCs w:val="19"/>
          <w:lang w:val="en-GB"/>
        </w:rPr>
        <w:t xml:space="preserve"> slight differenc</w:t>
      </w:r>
      <w:r w:rsidR="004E59AA" w:rsidRPr="00990DAA">
        <w:rPr>
          <w:rFonts w:cs="Arial"/>
          <w:bCs/>
          <w:spacing w:val="-1"/>
          <w:szCs w:val="19"/>
          <w:lang w:val="en-GB"/>
        </w:rPr>
        <w:t>e</w:t>
      </w:r>
      <w:r w:rsidR="00FA13FD" w:rsidRPr="00990DAA">
        <w:rPr>
          <w:rFonts w:cs="Arial"/>
          <w:bCs/>
          <w:spacing w:val="-1"/>
          <w:szCs w:val="19"/>
          <w:lang w:val="en-GB"/>
        </w:rPr>
        <w:t xml:space="preserve"> between </w:t>
      </w:r>
      <w:r w:rsidRPr="00990DAA">
        <w:rPr>
          <w:rFonts w:cs="Arial"/>
          <w:bCs/>
          <w:spacing w:val="-1"/>
          <w:szCs w:val="19"/>
          <w:lang w:val="en-GB"/>
        </w:rPr>
        <w:t xml:space="preserve">households in urban </w:t>
      </w:r>
      <w:r w:rsidR="00FA13FD" w:rsidRPr="00990DAA">
        <w:rPr>
          <w:rFonts w:cs="Arial"/>
          <w:bCs/>
          <w:spacing w:val="-1"/>
          <w:szCs w:val="19"/>
          <w:lang w:val="en-GB"/>
        </w:rPr>
        <w:t xml:space="preserve">and </w:t>
      </w:r>
      <w:r w:rsidR="00BB40E7" w:rsidRPr="00990DAA">
        <w:rPr>
          <w:rFonts w:cs="Arial"/>
          <w:bCs/>
          <w:spacing w:val="-1"/>
          <w:szCs w:val="19"/>
          <w:lang w:val="en-GB"/>
        </w:rPr>
        <w:t>rural areas</w:t>
      </w:r>
      <w:r w:rsidR="00951D9D" w:rsidRPr="00990DAA">
        <w:rPr>
          <w:rFonts w:cs="Arial"/>
          <w:bCs/>
          <w:spacing w:val="-1"/>
          <w:szCs w:val="19"/>
          <w:lang w:val="en-GB"/>
        </w:rPr>
        <w:t xml:space="preserve">, and it was </w:t>
      </w:r>
      <w:r w:rsidR="00C73B85">
        <w:rPr>
          <w:rFonts w:cs="Arial"/>
          <w:bCs/>
          <w:spacing w:val="-1"/>
          <w:szCs w:val="19"/>
          <w:lang w:val="en-GB"/>
        </w:rPr>
        <w:t>0.8</w:t>
      </w:r>
      <w:r w:rsidR="00FA769E">
        <w:rPr>
          <w:rFonts w:cs="Arial"/>
          <w:bCs/>
          <w:spacing w:val="-1"/>
          <w:szCs w:val="19"/>
          <w:lang w:val="en-GB"/>
        </w:rPr>
        <w:t xml:space="preserve"> percentage points </w:t>
      </w:r>
      <w:r w:rsidR="00F0397F">
        <w:rPr>
          <w:rFonts w:cs="Arial"/>
          <w:bCs/>
          <w:spacing w:val="-1"/>
          <w:szCs w:val="19"/>
          <w:lang w:val="en-GB"/>
        </w:rPr>
        <w:t>and</w:t>
      </w:r>
      <w:r w:rsidR="00FA769E">
        <w:rPr>
          <w:rFonts w:cs="Arial"/>
          <w:bCs/>
          <w:spacing w:val="-1"/>
          <w:szCs w:val="19"/>
          <w:lang w:val="en-GB"/>
        </w:rPr>
        <w:t xml:space="preserve"> 1.5 percentage points</w:t>
      </w:r>
      <w:r w:rsidR="00951D9D" w:rsidRPr="00990DAA">
        <w:rPr>
          <w:rFonts w:cs="Arial"/>
          <w:bCs/>
          <w:spacing w:val="-1"/>
          <w:szCs w:val="19"/>
          <w:lang w:val="en-GB"/>
        </w:rPr>
        <w:t xml:space="preserve"> </w:t>
      </w:r>
      <w:r w:rsidR="00F0397F">
        <w:rPr>
          <w:rFonts w:cs="Arial"/>
          <w:bCs/>
          <w:spacing w:val="-1"/>
          <w:szCs w:val="19"/>
          <w:lang w:val="en-GB"/>
        </w:rPr>
        <w:t xml:space="preserve">respectively </w:t>
      </w:r>
      <w:r w:rsidR="00951D9D" w:rsidRPr="00990DAA">
        <w:rPr>
          <w:rFonts w:cs="Arial"/>
          <w:bCs/>
          <w:spacing w:val="-1"/>
          <w:szCs w:val="19"/>
          <w:lang w:val="en-GB"/>
        </w:rPr>
        <w:t xml:space="preserve">in favour </w:t>
      </w:r>
      <w:r w:rsidR="00F0397F">
        <w:rPr>
          <w:rFonts w:cs="Arial"/>
          <w:bCs/>
          <w:spacing w:val="-1"/>
          <w:szCs w:val="19"/>
          <w:lang w:val="en-GB"/>
        </w:rPr>
        <w:t xml:space="preserve">of </w:t>
      </w:r>
      <w:r w:rsidR="00951D9D" w:rsidRPr="00990DAA">
        <w:rPr>
          <w:rFonts w:cs="Arial"/>
          <w:bCs/>
          <w:spacing w:val="-1"/>
          <w:szCs w:val="19"/>
          <w:lang w:val="en-GB"/>
        </w:rPr>
        <w:t>urban areas</w:t>
      </w:r>
      <w:r w:rsidR="00F0397F">
        <w:rPr>
          <w:rFonts w:cs="Arial"/>
          <w:bCs/>
          <w:spacing w:val="-1"/>
          <w:szCs w:val="19"/>
          <w:lang w:val="en-GB"/>
        </w:rPr>
        <w:t xml:space="preserve"> in both cases</w:t>
      </w:r>
      <w:r w:rsidR="004E59AA" w:rsidRPr="00990DAA">
        <w:rPr>
          <w:rFonts w:cs="Arial"/>
          <w:bCs/>
          <w:spacing w:val="-1"/>
          <w:szCs w:val="19"/>
          <w:lang w:val="en-GB"/>
        </w:rPr>
        <w:t xml:space="preserve">. </w:t>
      </w:r>
      <w:r w:rsidR="00D641BC" w:rsidRPr="00990DAA">
        <w:rPr>
          <w:rFonts w:cs="Arial"/>
          <w:spacing w:val="-1"/>
          <w:szCs w:val="19"/>
          <w:lang w:val="en-GB"/>
        </w:rPr>
        <w:t xml:space="preserve">A significantly </w:t>
      </w:r>
      <w:r w:rsidR="006D670B" w:rsidRPr="00990DAA">
        <w:rPr>
          <w:rFonts w:cs="Arial"/>
          <w:spacing w:val="-1"/>
          <w:szCs w:val="19"/>
          <w:lang w:val="en-GB"/>
        </w:rPr>
        <w:t>more</w:t>
      </w:r>
      <w:r w:rsidR="00D641BC" w:rsidRPr="00990DAA">
        <w:rPr>
          <w:rFonts w:cs="Arial"/>
          <w:spacing w:val="-1"/>
          <w:szCs w:val="19"/>
          <w:lang w:val="en-GB"/>
        </w:rPr>
        <w:t xml:space="preserve"> rura</w:t>
      </w:r>
      <w:r w:rsidR="00CE4A9C">
        <w:rPr>
          <w:rFonts w:cs="Arial"/>
          <w:spacing w:val="-1"/>
          <w:szCs w:val="19"/>
          <w:lang w:val="en-GB"/>
        </w:rPr>
        <w:t>l than urban households owned a </w:t>
      </w:r>
      <w:r w:rsidR="00D641BC" w:rsidRPr="00990DAA">
        <w:rPr>
          <w:rFonts w:cs="Arial"/>
          <w:spacing w:val="-1"/>
          <w:szCs w:val="19"/>
          <w:lang w:val="en-GB"/>
        </w:rPr>
        <w:t xml:space="preserve">bicycle (by </w:t>
      </w:r>
      <w:r w:rsidR="00FA769E">
        <w:rPr>
          <w:rFonts w:cs="Arial"/>
          <w:spacing w:val="-1"/>
          <w:szCs w:val="19"/>
          <w:lang w:val="en-GB"/>
        </w:rPr>
        <w:t>26.8</w:t>
      </w:r>
      <w:r w:rsidR="00D641BC" w:rsidRPr="00990DAA">
        <w:rPr>
          <w:rFonts w:cs="Arial"/>
          <w:spacing w:val="-1"/>
          <w:szCs w:val="19"/>
          <w:lang w:val="en-GB"/>
        </w:rPr>
        <w:t xml:space="preserve"> percentage points), a passenger car (by </w:t>
      </w:r>
      <w:r w:rsidR="00FA769E">
        <w:rPr>
          <w:rFonts w:cs="Arial"/>
          <w:spacing w:val="-1"/>
          <w:szCs w:val="19"/>
          <w:lang w:val="en-GB"/>
        </w:rPr>
        <w:t>19.4</w:t>
      </w:r>
      <w:r w:rsidR="00D641BC" w:rsidRPr="00990DAA">
        <w:rPr>
          <w:rFonts w:cs="Arial"/>
          <w:spacing w:val="-1"/>
          <w:szCs w:val="19"/>
          <w:lang w:val="en-GB"/>
        </w:rPr>
        <w:t xml:space="preserve"> percentage points) </w:t>
      </w:r>
      <w:r w:rsidR="00951D9D" w:rsidRPr="00990DAA">
        <w:rPr>
          <w:rFonts w:cs="Arial"/>
          <w:spacing w:val="-1"/>
          <w:szCs w:val="19"/>
          <w:lang w:val="en-GB"/>
        </w:rPr>
        <w:t>as well as</w:t>
      </w:r>
      <w:r w:rsidR="00CE4A9C">
        <w:rPr>
          <w:rFonts w:cs="Arial"/>
          <w:spacing w:val="-1"/>
          <w:szCs w:val="19"/>
          <w:lang w:val="en-GB"/>
        </w:rPr>
        <w:t xml:space="preserve"> a </w:t>
      </w:r>
      <w:r w:rsidR="00D641BC" w:rsidRPr="00990DAA">
        <w:rPr>
          <w:rFonts w:cs="Arial"/>
          <w:bCs/>
          <w:spacing w:val="-1"/>
          <w:szCs w:val="19"/>
          <w:lang w:val="en-GB"/>
        </w:rPr>
        <w:t xml:space="preserve">motorcycle, scooter, motorbike </w:t>
      </w:r>
      <w:r w:rsidR="00D641BC" w:rsidRPr="00990DAA">
        <w:rPr>
          <w:rFonts w:cs="Arial"/>
          <w:spacing w:val="-1"/>
          <w:szCs w:val="19"/>
          <w:lang w:val="en-GB"/>
        </w:rPr>
        <w:t xml:space="preserve">(by </w:t>
      </w:r>
      <w:r w:rsidR="004E59AA" w:rsidRPr="00990DAA">
        <w:rPr>
          <w:rFonts w:cs="Arial"/>
          <w:spacing w:val="-1"/>
          <w:szCs w:val="19"/>
          <w:lang w:val="en-GB"/>
        </w:rPr>
        <w:t>7.</w:t>
      </w:r>
      <w:r w:rsidR="00951D9D" w:rsidRPr="00990DAA">
        <w:rPr>
          <w:rFonts w:cs="Arial"/>
          <w:spacing w:val="-1"/>
          <w:szCs w:val="19"/>
          <w:lang w:val="en-GB"/>
        </w:rPr>
        <w:t>2</w:t>
      </w:r>
      <w:r w:rsidR="00D641BC" w:rsidRPr="00990DAA">
        <w:rPr>
          <w:rFonts w:cs="Arial"/>
          <w:spacing w:val="-1"/>
          <w:szCs w:val="19"/>
          <w:lang w:val="en-GB"/>
        </w:rPr>
        <w:t xml:space="preserve"> percentage points). In comparison with 202</w:t>
      </w:r>
      <w:r w:rsidR="00FA769E">
        <w:rPr>
          <w:rFonts w:cs="Arial"/>
          <w:spacing w:val="-1"/>
          <w:szCs w:val="19"/>
          <w:lang w:val="en-GB"/>
        </w:rPr>
        <w:t>4</w:t>
      </w:r>
      <w:r w:rsidR="00D641BC" w:rsidRPr="00990DAA">
        <w:rPr>
          <w:rFonts w:cs="Arial"/>
          <w:spacing w:val="-1"/>
          <w:szCs w:val="19"/>
          <w:lang w:val="en-GB"/>
        </w:rPr>
        <w:t xml:space="preserve">, there was </w:t>
      </w:r>
      <w:r w:rsidR="004E59AA" w:rsidRPr="00990DAA">
        <w:rPr>
          <w:rFonts w:cs="Arial"/>
          <w:spacing w:val="-1"/>
          <w:szCs w:val="19"/>
          <w:lang w:val="en-GB"/>
        </w:rPr>
        <w:t xml:space="preserve">not </w:t>
      </w:r>
      <w:r w:rsidR="00D641BC" w:rsidRPr="00990DAA">
        <w:rPr>
          <w:rFonts w:cs="Arial"/>
          <w:spacing w:val="-1"/>
          <w:szCs w:val="19"/>
          <w:lang w:val="en-GB"/>
        </w:rPr>
        <w:t xml:space="preserve">a </w:t>
      </w:r>
      <w:r w:rsidR="004E59AA" w:rsidRPr="00990DAA">
        <w:rPr>
          <w:rFonts w:cs="Arial"/>
          <w:spacing w:val="-1"/>
          <w:szCs w:val="19"/>
          <w:lang w:val="en-GB"/>
        </w:rPr>
        <w:t xml:space="preserve">significant </w:t>
      </w:r>
      <w:r w:rsidR="00D641BC" w:rsidRPr="00990DAA">
        <w:rPr>
          <w:rFonts w:cs="Arial"/>
          <w:spacing w:val="-1"/>
          <w:szCs w:val="19"/>
          <w:lang w:val="en-GB"/>
        </w:rPr>
        <w:t>change</w:t>
      </w:r>
      <w:r w:rsidR="000D07D5" w:rsidRPr="00990DAA">
        <w:rPr>
          <w:rFonts w:cs="Arial"/>
          <w:spacing w:val="-1"/>
          <w:szCs w:val="19"/>
          <w:lang w:val="en-GB"/>
        </w:rPr>
        <w:t xml:space="preserve"> of the difference</w:t>
      </w:r>
      <w:r w:rsidR="00D641BC" w:rsidRPr="00990DAA">
        <w:rPr>
          <w:rFonts w:cs="Arial"/>
          <w:spacing w:val="-1"/>
          <w:szCs w:val="19"/>
          <w:lang w:val="en-GB"/>
        </w:rPr>
        <w:t xml:space="preserve"> in the level of equipment with new generation devices </w:t>
      </w:r>
      <w:r w:rsidR="004E59AA" w:rsidRPr="00990DAA">
        <w:rPr>
          <w:rFonts w:cs="Arial"/>
          <w:spacing w:val="-1"/>
          <w:szCs w:val="19"/>
          <w:lang w:val="en-GB"/>
        </w:rPr>
        <w:t>between households in urban and rural areas</w:t>
      </w:r>
      <w:r w:rsidR="00D641BC" w:rsidRPr="00990DAA">
        <w:rPr>
          <w:rFonts w:cs="Arial"/>
          <w:spacing w:val="-1"/>
          <w:szCs w:val="19"/>
          <w:lang w:val="en-GB"/>
        </w:rPr>
        <w:t>.</w:t>
      </w:r>
    </w:p>
    <w:p w14:paraId="7EE94F50" w14:textId="7B89CAE7" w:rsidR="00BB40E7" w:rsidRPr="00951D9D" w:rsidRDefault="0080273B" w:rsidP="00DC28C6">
      <w:pPr>
        <w:spacing w:before="360" w:after="360" w:line="240" w:lineRule="auto"/>
        <w:rPr>
          <w:spacing w:val="-4"/>
          <w:szCs w:val="19"/>
          <w:shd w:val="clear" w:color="auto" w:fill="FFFFFF"/>
          <w:lang w:val="en-GB"/>
        </w:rPr>
      </w:pPr>
      <w:r>
        <w:rPr>
          <w:noProof/>
          <w:lang w:eastAsia="pl-PL"/>
        </w:rPr>
        <w:lastRenderedPageBreak/>
        <mc:AlternateContent>
          <mc:Choice Requires="wps">
            <w:drawing>
              <wp:anchor distT="45720" distB="45720" distL="114300" distR="114300" simplePos="0" relativeHeight="251833344" behindDoc="1" locked="0" layoutInCell="1" allowOverlap="1" wp14:anchorId="7EE94FCA" wp14:editId="6256F76E">
                <wp:simplePos x="0" y="0"/>
                <wp:positionH relativeFrom="column">
                  <wp:posOffset>5267325</wp:posOffset>
                </wp:positionH>
                <wp:positionV relativeFrom="paragraph">
                  <wp:posOffset>942975</wp:posOffset>
                </wp:positionV>
                <wp:extent cx="1781175" cy="1200150"/>
                <wp:effectExtent l="0" t="0" r="0" b="0"/>
                <wp:wrapTight wrapText="bothSides">
                  <wp:wrapPolygon edited="0">
                    <wp:start x="693" y="0"/>
                    <wp:lineTo x="693" y="21257"/>
                    <wp:lineTo x="20791" y="21257"/>
                    <wp:lineTo x="20791" y="0"/>
                    <wp:lineTo x="693" y="0"/>
                  </wp:wrapPolygon>
                </wp:wrapTight>
                <wp:docPr id="53"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200150"/>
                        </a:xfrm>
                        <a:prstGeom prst="rect">
                          <a:avLst/>
                        </a:prstGeom>
                        <a:noFill/>
                        <a:ln w="9525">
                          <a:noFill/>
                          <a:miter lim="800000"/>
                          <a:headEnd/>
                          <a:tailEnd/>
                        </a:ln>
                      </wps:spPr>
                      <wps:txbx>
                        <w:txbxContent>
                          <w:p w14:paraId="7EE9501F" w14:textId="6C3AD183" w:rsidR="00E127EB" w:rsidRPr="000A27AA" w:rsidRDefault="00E127EB" w:rsidP="00BB40E7">
                            <w:pPr>
                              <w:pStyle w:val="tekstzboku"/>
                              <w:rPr>
                                <w:lang w:val="en-GB"/>
                              </w:rPr>
                            </w:pPr>
                            <w:r w:rsidRPr="003B2361">
                              <w:rPr>
                                <w:rFonts w:cs="Arial"/>
                                <w:lang w:val="en-GB"/>
                              </w:rPr>
                              <w:t xml:space="preserve">In rural areas there </w:t>
                            </w:r>
                            <w:r>
                              <w:rPr>
                                <w:rFonts w:cs="Arial"/>
                                <w:lang w:val="en-GB"/>
                              </w:rPr>
                              <w:t>were</w:t>
                            </w:r>
                            <w:r w:rsidRPr="003B2361">
                              <w:rPr>
                                <w:rFonts w:cs="Arial"/>
                                <w:lang w:val="en-GB"/>
                              </w:rPr>
                              <w:t xml:space="preserve"> </w:t>
                            </w:r>
                            <w:r>
                              <w:rPr>
                                <w:rFonts w:cs="Arial"/>
                                <w:lang w:val="en-GB"/>
                              </w:rPr>
                              <w:t>more</w:t>
                            </w:r>
                            <w:r w:rsidRPr="003B2361">
                              <w:rPr>
                                <w:rFonts w:cs="Arial"/>
                                <w:lang w:val="en-GB"/>
                              </w:rPr>
                              <w:t xml:space="preserve"> households owning dishwasher, bicycle, passenger car, </w:t>
                            </w:r>
                            <w:r w:rsidRPr="000A27AA">
                              <w:rPr>
                                <w:rFonts w:cs="Arial"/>
                                <w:bCs w:val="0"/>
                                <w:lang w:val="en-GB"/>
                              </w:rPr>
                              <w:t>motorcycle, scooters, motorbikes</w:t>
                            </w:r>
                            <w:r w:rsidRPr="003B2361">
                              <w:rPr>
                                <w:rFonts w:cs="Arial"/>
                                <w:lang w:val="en-GB"/>
                              </w:rPr>
                              <w:t xml:space="preserve"> as well as TV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A" id="Pole tekstowe 28" o:spid="_x0000_s1039" type="#_x0000_t202" style="position:absolute;margin-left:414.75pt;margin-top:74.25pt;width:140.25pt;height:94.5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" filled="f" stroked="f">
                <v:textbox>
                  <w:txbxContent>
                    <w:p w14:paraId="7EE9501F" w14:textId="6C3AD183" w:rsidR="00E127EB" w:rsidRPr="000A27AA" w:rsidRDefault="00E127EB" w:rsidP="00BB40E7">
                      <w:pPr>
                        <w:pStyle w:val="tekstzboku"/>
                        <w:rPr>
                          <w:lang w:val="en-GB"/>
                        </w:rPr>
                      </w:pPr>
                      <w:r w:rsidRPr="003B2361">
                        <w:rPr>
                          <w:rFonts w:cs="Arial"/>
                          <w:lang w:val="en-GB"/>
                        </w:rPr>
                        <w:t xml:space="preserve">In rural areas there </w:t>
                      </w:r>
                      <w:r>
                        <w:rPr>
                          <w:rFonts w:cs="Arial"/>
                          <w:lang w:val="en-GB"/>
                        </w:rPr>
                        <w:t>were</w:t>
                      </w:r>
                      <w:r w:rsidRPr="003B2361">
                        <w:rPr>
                          <w:rFonts w:cs="Arial"/>
                          <w:lang w:val="en-GB"/>
                        </w:rPr>
                        <w:t xml:space="preserve"> </w:t>
                      </w:r>
                      <w:r>
                        <w:rPr>
                          <w:rFonts w:cs="Arial"/>
                          <w:lang w:val="en-GB"/>
                        </w:rPr>
                        <w:t>more</w:t>
                      </w:r>
                      <w:r w:rsidRPr="003B2361">
                        <w:rPr>
                          <w:rFonts w:cs="Arial"/>
                          <w:lang w:val="en-GB"/>
                        </w:rPr>
                        <w:t xml:space="preserve"> households owning dishwasher, bicycle, passenger car, </w:t>
                      </w:r>
                      <w:r w:rsidRPr="000A27AA">
                        <w:rPr>
                          <w:rFonts w:cs="Arial"/>
                          <w:bCs w:val="0"/>
                          <w:lang w:val="en-GB"/>
                        </w:rPr>
                        <w:t>motorcycle, scooters, motorbikes</w:t>
                      </w:r>
                      <w:r w:rsidRPr="003B2361">
                        <w:rPr>
                          <w:rFonts w:cs="Arial"/>
                          <w:lang w:val="en-GB"/>
                        </w:rPr>
                        <w:t xml:space="preserve"> as well as TV set</w:t>
                      </w:r>
                    </w:p>
                  </w:txbxContent>
                </v:textbox>
                <w10:wrap type="tight"/>
              </v:shape>
            </w:pict>
          </mc:Fallback>
        </mc:AlternateContent>
      </w:r>
      <w:r w:rsidR="000075A1">
        <w:rPr>
          <w:noProof/>
          <w:lang w:eastAsia="pl-PL"/>
        </w:rPr>
        <w:drawing>
          <wp:inline distT="0" distB="0" distL="0" distR="0" wp14:anchorId="12D548D6" wp14:editId="69786D96">
            <wp:extent cx="5122545" cy="2663825"/>
            <wp:effectExtent l="0" t="0" r="1905" b="3175"/>
            <wp:docPr id="194" name="Wykres 19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28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94F52" w14:textId="77777777" w:rsidR="00BB40E7" w:rsidRPr="004700B5" w:rsidRDefault="0080273B" w:rsidP="00DC28C6">
      <w:pPr>
        <w:spacing w:before="360" w:line="240" w:lineRule="auto"/>
        <w:rPr>
          <w:rFonts w:ascii="Fira Sans SemiBold" w:hAnsi="Fira Sans SemiBold"/>
          <w:color w:val="001D77"/>
          <w:szCs w:val="19"/>
          <w:shd w:val="clear" w:color="auto" w:fill="FFFFFF"/>
          <w:lang w:val="en-GB"/>
        </w:rPr>
      </w:pPr>
      <w:r w:rsidRPr="004700B5">
        <w:rPr>
          <w:noProof/>
          <w:lang w:eastAsia="pl-PL"/>
        </w:rPr>
        <mc:AlternateContent>
          <mc:Choice Requires="wps">
            <w:drawing>
              <wp:anchor distT="45720" distB="45720" distL="114300" distR="114300" simplePos="0" relativeHeight="251831296" behindDoc="1" locked="0" layoutInCell="1" allowOverlap="1" wp14:anchorId="7EE94FCE" wp14:editId="39A06450">
                <wp:simplePos x="0" y="0"/>
                <wp:positionH relativeFrom="column">
                  <wp:posOffset>5267325</wp:posOffset>
                </wp:positionH>
                <wp:positionV relativeFrom="paragraph">
                  <wp:posOffset>105410</wp:posOffset>
                </wp:positionV>
                <wp:extent cx="1781175" cy="1949450"/>
                <wp:effectExtent l="0" t="0" r="0" b="0"/>
                <wp:wrapTight wrapText="bothSides">
                  <wp:wrapPolygon edited="0">
                    <wp:start x="693" y="0"/>
                    <wp:lineTo x="693" y="21319"/>
                    <wp:lineTo x="20791" y="21319"/>
                    <wp:lineTo x="20791" y="0"/>
                    <wp:lineTo x="693" y="0"/>
                  </wp:wrapPolygon>
                </wp:wrapTight>
                <wp:docPr id="5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949450"/>
                        </a:xfrm>
                        <a:prstGeom prst="rect">
                          <a:avLst/>
                        </a:prstGeom>
                        <a:noFill/>
                        <a:ln w="9525">
                          <a:noFill/>
                          <a:miter lim="800000"/>
                          <a:headEnd/>
                          <a:tailEnd/>
                        </a:ln>
                      </wps:spPr>
                      <wps:txbx>
                        <w:txbxContent>
                          <w:p w14:paraId="7EE95020" w14:textId="2AFB334F" w:rsidR="00E127EB" w:rsidRPr="000A27AA" w:rsidRDefault="00E127EB" w:rsidP="00BB40E7">
                            <w:pPr>
                              <w:spacing w:after="0"/>
                              <w:rPr>
                                <w:rFonts w:eastAsia="Times New Roman" w:cs="Times New Roman"/>
                                <w:bCs/>
                                <w:color w:val="001D77"/>
                                <w:sz w:val="18"/>
                                <w:szCs w:val="18"/>
                                <w:lang w:val="en-GB" w:eastAsia="pl-PL"/>
                              </w:rPr>
                            </w:pPr>
                            <w:r w:rsidRPr="000A27AA">
                              <w:rPr>
                                <w:rFonts w:eastAsia="Times New Roman" w:cs="Times New Roman"/>
                                <w:bCs/>
                                <w:color w:val="001D77"/>
                                <w:sz w:val="18"/>
                                <w:szCs w:val="18"/>
                                <w:lang w:val="en-GB" w:eastAsia="pl-PL"/>
                              </w:rPr>
                              <w:t>In 20</w:t>
                            </w:r>
                            <w:r w:rsidRPr="00DB37D2">
                              <w:rPr>
                                <w:rFonts w:eastAsia="Times New Roman" w:cs="Times New Roman"/>
                                <w:bCs/>
                                <w:color w:val="001D77"/>
                                <w:sz w:val="18"/>
                                <w:szCs w:val="18"/>
                                <w:lang w:val="en-GB" w:eastAsia="pl-PL"/>
                              </w:rPr>
                              <w:t>2</w:t>
                            </w:r>
                            <w:r>
                              <w:rPr>
                                <w:rFonts w:eastAsia="Times New Roman" w:cs="Times New Roman"/>
                                <w:bCs/>
                                <w:color w:val="001D77"/>
                                <w:sz w:val="18"/>
                                <w:szCs w:val="18"/>
                                <w:lang w:val="en-GB" w:eastAsia="pl-PL"/>
                              </w:rPr>
                              <w:t>5</w:t>
                            </w:r>
                            <w:r w:rsidRPr="00DB37D2">
                              <w:rPr>
                                <w:rFonts w:eastAsia="Times New Roman" w:cs="Times New Roman"/>
                                <w:bCs/>
                                <w:color w:val="001D77"/>
                                <w:sz w:val="18"/>
                                <w:szCs w:val="18"/>
                                <w:lang w:val="en-GB" w:eastAsia="pl-PL"/>
                              </w:rPr>
                              <w:t xml:space="preserve">, </w:t>
                            </w:r>
                            <w:r>
                              <w:rPr>
                                <w:rFonts w:cs="Arial"/>
                                <w:bCs/>
                                <w:color w:val="001D77"/>
                                <w:sz w:val="18"/>
                                <w:szCs w:val="18"/>
                                <w:lang w:val="en-GB"/>
                              </w:rPr>
                              <w:t>t</w:t>
                            </w:r>
                            <w:r w:rsidRPr="003B2361">
                              <w:rPr>
                                <w:rFonts w:cs="Arial"/>
                                <w:bCs/>
                                <w:color w:val="001D77"/>
                                <w:sz w:val="18"/>
                                <w:szCs w:val="18"/>
                                <w:lang w:val="en-GB"/>
                              </w:rPr>
                              <w:t>he average household occupied a dwelling with a floor area of 89.</w:t>
                            </w:r>
                            <w:r>
                              <w:rPr>
                                <w:rFonts w:cs="Arial"/>
                                <w:bCs/>
                                <w:color w:val="001D77"/>
                                <w:sz w:val="18"/>
                                <w:szCs w:val="18"/>
                                <w:lang w:val="en-GB"/>
                              </w:rPr>
                              <w:t>0</w:t>
                            </w:r>
                            <w:r w:rsidR="00CE4A9C">
                              <w:rPr>
                                <w:rFonts w:cs="Arial"/>
                                <w:bCs/>
                                <w:color w:val="001D77"/>
                                <w:sz w:val="18"/>
                                <w:szCs w:val="18"/>
                                <w:lang w:val="en-GB"/>
                              </w:rPr>
                              <w:t>,</w:t>
                            </w:r>
                            <w:r w:rsidR="00CE4A9C">
                              <w:rPr>
                                <w:rFonts w:cs="Arial"/>
                                <w:color w:val="001D77"/>
                                <w:sz w:val="18"/>
                                <w:szCs w:val="18"/>
                                <w:lang w:val="en-GB"/>
                              </w:rPr>
                              <w:t xml:space="preserve"> </w:t>
                            </w:r>
                            <w:r>
                              <w:rPr>
                                <w:rFonts w:cs="Arial"/>
                                <w:color w:val="001D77"/>
                                <w:sz w:val="18"/>
                                <w:szCs w:val="18"/>
                                <w:lang w:val="en-GB"/>
                              </w:rPr>
                              <w:t>and it was slight decrease after</w:t>
                            </w:r>
                            <w:r w:rsidRPr="003B2361">
                              <w:rPr>
                                <w:rFonts w:cs="Arial"/>
                                <w:color w:val="001D77"/>
                                <w:sz w:val="18"/>
                                <w:szCs w:val="18"/>
                                <w:lang w:val="en-GB"/>
                              </w:rPr>
                              <w:t xml:space="preserve"> systematic increase in the average size of a dwelling continued since 2013</w:t>
                            </w:r>
                          </w:p>
                          <w:p w14:paraId="7EE95021" w14:textId="77777777" w:rsidR="00E127EB" w:rsidRPr="007E0E31" w:rsidRDefault="00E127EB" w:rsidP="00BB40E7">
                            <w:pPr>
                              <w:rPr>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CE" id="Pole tekstowe 26" o:spid="_x0000_s1040" type="#_x0000_t202" style="position:absolute;margin-left:414.75pt;margin-top:8.3pt;width:140.25pt;height:153.5pt;z-index:-25148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" filled="f" stroked="f">
                <v:textbox>
                  <w:txbxContent>
                    <w:p w14:paraId="7EE95020" w14:textId="2AFB334F" w:rsidR="00E127EB" w:rsidRPr="000A27AA" w:rsidRDefault="00E127EB" w:rsidP="00BB40E7">
                      <w:pPr>
                        <w:spacing w:after="0"/>
                        <w:rPr>
                          <w:rFonts w:eastAsia="Times New Roman" w:cs="Times New Roman"/>
                          <w:bCs/>
                          <w:color w:val="001D77"/>
                          <w:sz w:val="18"/>
                          <w:szCs w:val="18"/>
                          <w:lang w:val="en-GB" w:eastAsia="pl-PL"/>
                        </w:rPr>
                      </w:pPr>
                      <w:r w:rsidRPr="000A27AA">
                        <w:rPr>
                          <w:rFonts w:eastAsia="Times New Roman" w:cs="Times New Roman"/>
                          <w:bCs/>
                          <w:color w:val="001D77"/>
                          <w:sz w:val="18"/>
                          <w:szCs w:val="18"/>
                          <w:lang w:val="en-GB" w:eastAsia="pl-PL"/>
                        </w:rPr>
                        <w:t>In 20</w:t>
                      </w:r>
                      <w:r w:rsidRPr="00DB37D2">
                        <w:rPr>
                          <w:rFonts w:eastAsia="Times New Roman" w:cs="Times New Roman"/>
                          <w:bCs/>
                          <w:color w:val="001D77"/>
                          <w:sz w:val="18"/>
                          <w:szCs w:val="18"/>
                          <w:lang w:val="en-GB" w:eastAsia="pl-PL"/>
                        </w:rPr>
                        <w:t>2</w:t>
                      </w:r>
                      <w:r>
                        <w:rPr>
                          <w:rFonts w:eastAsia="Times New Roman" w:cs="Times New Roman"/>
                          <w:bCs/>
                          <w:color w:val="001D77"/>
                          <w:sz w:val="18"/>
                          <w:szCs w:val="18"/>
                          <w:lang w:val="en-GB" w:eastAsia="pl-PL"/>
                        </w:rPr>
                        <w:t>5</w:t>
                      </w:r>
                      <w:r w:rsidRPr="00DB37D2">
                        <w:rPr>
                          <w:rFonts w:eastAsia="Times New Roman" w:cs="Times New Roman"/>
                          <w:bCs/>
                          <w:color w:val="001D77"/>
                          <w:sz w:val="18"/>
                          <w:szCs w:val="18"/>
                          <w:lang w:val="en-GB" w:eastAsia="pl-PL"/>
                        </w:rPr>
                        <w:t xml:space="preserve">, </w:t>
                      </w:r>
                      <w:r>
                        <w:rPr>
                          <w:rFonts w:cs="Arial"/>
                          <w:bCs/>
                          <w:color w:val="001D77"/>
                          <w:sz w:val="18"/>
                          <w:szCs w:val="18"/>
                          <w:lang w:val="en-GB"/>
                        </w:rPr>
                        <w:t>t</w:t>
                      </w:r>
                      <w:r w:rsidRPr="003B2361">
                        <w:rPr>
                          <w:rFonts w:cs="Arial"/>
                          <w:bCs/>
                          <w:color w:val="001D77"/>
                          <w:sz w:val="18"/>
                          <w:szCs w:val="18"/>
                          <w:lang w:val="en-GB"/>
                        </w:rPr>
                        <w:t>he average household occupied a dwelling with a floor area of 89.</w:t>
                      </w:r>
                      <w:r>
                        <w:rPr>
                          <w:rFonts w:cs="Arial"/>
                          <w:bCs/>
                          <w:color w:val="001D77"/>
                          <w:sz w:val="18"/>
                          <w:szCs w:val="18"/>
                          <w:lang w:val="en-GB"/>
                        </w:rPr>
                        <w:t>0</w:t>
                      </w:r>
                      <w:r w:rsidR="00CE4A9C">
                        <w:rPr>
                          <w:rFonts w:cs="Arial"/>
                          <w:bCs/>
                          <w:color w:val="001D77"/>
                          <w:sz w:val="18"/>
                          <w:szCs w:val="18"/>
                          <w:lang w:val="en-GB"/>
                        </w:rPr>
                        <w:t>,</w:t>
                      </w:r>
                      <w:r w:rsidR="00CE4A9C">
                        <w:rPr>
                          <w:rFonts w:cs="Arial"/>
                          <w:color w:val="001D77"/>
                          <w:sz w:val="18"/>
                          <w:szCs w:val="18"/>
                          <w:lang w:val="en-GB"/>
                        </w:rPr>
                        <w:t xml:space="preserve"> </w:t>
                      </w:r>
                      <w:r>
                        <w:rPr>
                          <w:rFonts w:cs="Arial"/>
                          <w:color w:val="001D77"/>
                          <w:sz w:val="18"/>
                          <w:szCs w:val="18"/>
                          <w:lang w:val="en-GB"/>
                        </w:rPr>
                        <w:t>and it was slight decrease after</w:t>
                      </w:r>
                      <w:r w:rsidRPr="003B2361">
                        <w:rPr>
                          <w:rFonts w:cs="Arial"/>
                          <w:color w:val="001D77"/>
                          <w:sz w:val="18"/>
                          <w:szCs w:val="18"/>
                          <w:lang w:val="en-GB"/>
                        </w:rPr>
                        <w:t xml:space="preserve"> systematic increase in the average size of a dwelling continued since 2013</w:t>
                      </w:r>
                    </w:p>
                    <w:p w14:paraId="7EE95021" w14:textId="77777777" w:rsidR="00E127EB" w:rsidRPr="007E0E31" w:rsidRDefault="00E127EB" w:rsidP="00BB40E7">
                      <w:pPr>
                        <w:rPr>
                          <w:color w:val="001D77"/>
                          <w:lang w:val="en-GB"/>
                        </w:rPr>
                      </w:pPr>
                    </w:p>
                  </w:txbxContent>
                </v:textbox>
                <w10:wrap type="tight"/>
              </v:shape>
            </w:pict>
          </mc:Fallback>
        </mc:AlternateContent>
      </w:r>
      <w:r w:rsidR="00BB40E7" w:rsidRPr="004700B5">
        <w:rPr>
          <w:rFonts w:ascii="Fira Sans SemiBold" w:hAnsi="Fira Sans SemiBold"/>
          <w:color w:val="001D77"/>
          <w:szCs w:val="19"/>
          <w:shd w:val="clear" w:color="auto" w:fill="FFFFFF"/>
          <w:lang w:val="en-GB"/>
        </w:rPr>
        <w:t>Dwelling conditions</w:t>
      </w:r>
    </w:p>
    <w:p w14:paraId="7EE94F53" w14:textId="3DF51DB8" w:rsidR="00BB40E7" w:rsidRPr="00290FBD" w:rsidRDefault="00526CC8" w:rsidP="005071C2">
      <w:pPr>
        <w:rPr>
          <w:rFonts w:cs="Arial"/>
          <w:spacing w:val="-4"/>
          <w:szCs w:val="19"/>
          <w:lang w:val="en-GB"/>
        </w:rPr>
      </w:pPr>
      <w:r>
        <w:rPr>
          <w:rFonts w:cs="Arial"/>
          <w:bCs/>
          <w:spacing w:val="-4"/>
          <w:szCs w:val="19"/>
          <w:lang w:val="en-GB"/>
        </w:rPr>
        <w:t>T</w:t>
      </w:r>
      <w:r w:rsidR="00BB40E7" w:rsidRPr="00290FBD">
        <w:rPr>
          <w:rFonts w:cs="Arial"/>
          <w:bCs/>
          <w:spacing w:val="-4"/>
          <w:szCs w:val="19"/>
          <w:lang w:val="en-GB"/>
        </w:rPr>
        <w:t xml:space="preserve">he average household </w:t>
      </w:r>
      <w:r>
        <w:rPr>
          <w:rFonts w:cs="Arial"/>
          <w:bCs/>
          <w:spacing w:val="-4"/>
          <w:szCs w:val="19"/>
          <w:lang w:val="en-GB"/>
        </w:rPr>
        <w:t>i</w:t>
      </w:r>
      <w:r w:rsidR="00E95940" w:rsidRPr="00290FBD">
        <w:rPr>
          <w:rFonts w:cs="Arial"/>
          <w:bCs/>
          <w:spacing w:val="-4"/>
          <w:szCs w:val="19"/>
          <w:lang w:val="en-GB"/>
        </w:rPr>
        <w:t>n 20</w:t>
      </w:r>
      <w:r>
        <w:rPr>
          <w:rFonts w:cs="Arial"/>
          <w:bCs/>
          <w:spacing w:val="-4"/>
          <w:szCs w:val="19"/>
          <w:lang w:val="en-GB"/>
        </w:rPr>
        <w:t>2</w:t>
      </w:r>
      <w:r w:rsidR="00FA769E">
        <w:rPr>
          <w:rFonts w:cs="Arial"/>
          <w:bCs/>
          <w:spacing w:val="-4"/>
          <w:szCs w:val="19"/>
          <w:lang w:val="en-GB"/>
        </w:rPr>
        <w:t>5</w:t>
      </w:r>
      <w:r>
        <w:rPr>
          <w:rFonts w:cs="Arial"/>
          <w:bCs/>
          <w:spacing w:val="-4"/>
          <w:szCs w:val="19"/>
          <w:lang w:val="en-GB"/>
        </w:rPr>
        <w:t xml:space="preserve"> </w:t>
      </w:r>
      <w:r w:rsidR="00BB40E7" w:rsidRPr="00290FBD">
        <w:rPr>
          <w:rFonts w:cs="Arial"/>
          <w:bCs/>
          <w:spacing w:val="-4"/>
          <w:szCs w:val="19"/>
          <w:lang w:val="en-GB"/>
        </w:rPr>
        <w:t xml:space="preserve">occupied a dwelling with a floor area of </w:t>
      </w:r>
      <w:r w:rsidR="00FA769E">
        <w:rPr>
          <w:rFonts w:cs="Arial"/>
          <w:bCs/>
          <w:spacing w:val="-4"/>
          <w:szCs w:val="19"/>
          <w:lang w:val="en-GB"/>
        </w:rPr>
        <w:t>89.0</w:t>
      </w:r>
      <w:r w:rsidR="00BB40E7" w:rsidRPr="00290FBD">
        <w:rPr>
          <w:rFonts w:cs="Arial"/>
          <w:bCs/>
          <w:spacing w:val="-4"/>
          <w:szCs w:val="19"/>
          <w:lang w:val="en-GB"/>
        </w:rPr>
        <w:t xml:space="preserve"> m</w:t>
      </w:r>
      <w:r w:rsidR="00BB40E7" w:rsidRPr="00290FBD">
        <w:rPr>
          <w:rFonts w:cs="Arial"/>
          <w:bCs/>
          <w:spacing w:val="-4"/>
          <w:szCs w:val="19"/>
          <w:vertAlign w:val="superscript"/>
          <w:lang w:val="en-GB"/>
        </w:rPr>
        <w:t>2</w:t>
      </w:r>
      <w:r w:rsidR="00BB40E7" w:rsidRPr="00290FBD">
        <w:rPr>
          <w:rFonts w:cs="Arial"/>
          <w:spacing w:val="-4"/>
          <w:szCs w:val="19"/>
          <w:lang w:val="en-GB"/>
        </w:rPr>
        <w:t xml:space="preserve"> (in 20</w:t>
      </w:r>
      <w:r w:rsidR="003D3174">
        <w:rPr>
          <w:rFonts w:cs="Arial"/>
          <w:spacing w:val="-4"/>
          <w:szCs w:val="19"/>
          <w:lang w:val="en-GB"/>
        </w:rPr>
        <w:t>2</w:t>
      </w:r>
      <w:r w:rsidR="00FA769E">
        <w:rPr>
          <w:rFonts w:cs="Arial"/>
          <w:spacing w:val="-4"/>
          <w:szCs w:val="19"/>
          <w:lang w:val="en-GB"/>
        </w:rPr>
        <w:t>4</w:t>
      </w:r>
      <w:r w:rsidR="00BB40E7" w:rsidRPr="00290FBD">
        <w:rPr>
          <w:rFonts w:cs="Arial"/>
          <w:spacing w:val="-4"/>
          <w:szCs w:val="19"/>
          <w:lang w:val="en-GB"/>
        </w:rPr>
        <w:t xml:space="preserve"> – </w:t>
      </w:r>
      <w:r w:rsidR="00FA769E">
        <w:rPr>
          <w:rFonts w:cs="Arial"/>
          <w:spacing w:val="-4"/>
          <w:szCs w:val="19"/>
          <w:lang w:val="en-GB"/>
        </w:rPr>
        <w:t>89.2</w:t>
      </w:r>
      <w:r w:rsidR="00BB40E7" w:rsidRPr="00290FBD">
        <w:rPr>
          <w:rFonts w:cs="Arial"/>
          <w:spacing w:val="-4"/>
          <w:szCs w:val="19"/>
          <w:lang w:val="en-GB"/>
        </w:rPr>
        <w:t xml:space="preserve"> m</w:t>
      </w:r>
      <w:r w:rsidR="00BB40E7" w:rsidRPr="00290FBD">
        <w:rPr>
          <w:rFonts w:cs="Arial"/>
          <w:spacing w:val="-4"/>
          <w:szCs w:val="19"/>
          <w:vertAlign w:val="superscript"/>
          <w:lang w:val="en-GB"/>
        </w:rPr>
        <w:t>2</w:t>
      </w:r>
      <w:r w:rsidR="00BB40E7" w:rsidRPr="00290FBD">
        <w:rPr>
          <w:rFonts w:cs="Arial"/>
          <w:spacing w:val="-4"/>
          <w:szCs w:val="19"/>
          <w:lang w:val="en-GB"/>
        </w:rPr>
        <w:t>)</w:t>
      </w:r>
      <w:r>
        <w:rPr>
          <w:rFonts w:cs="Arial"/>
          <w:spacing w:val="-4"/>
          <w:szCs w:val="19"/>
          <w:lang w:val="en-GB"/>
        </w:rPr>
        <w:t>,</w:t>
      </w:r>
      <w:r w:rsidR="00BB40E7" w:rsidRPr="00290FBD">
        <w:rPr>
          <w:rFonts w:cs="Arial"/>
          <w:spacing w:val="-4"/>
          <w:szCs w:val="19"/>
          <w:lang w:val="en-GB"/>
        </w:rPr>
        <w:t xml:space="preserve"> which consisted of 3 rooms. </w:t>
      </w:r>
      <w:r w:rsidRPr="00526CC8">
        <w:rPr>
          <w:rFonts w:cs="Arial"/>
          <w:bCs/>
          <w:spacing w:val="-4"/>
          <w:szCs w:val="19"/>
          <w:lang w:val="en-GB"/>
        </w:rPr>
        <w:t xml:space="preserve">There was an average of </w:t>
      </w:r>
      <w:r w:rsidR="00951D9D">
        <w:rPr>
          <w:rFonts w:cs="Arial"/>
          <w:bCs/>
          <w:spacing w:val="-4"/>
          <w:szCs w:val="19"/>
          <w:lang w:val="en-GB"/>
        </w:rPr>
        <w:t>31.</w:t>
      </w:r>
      <w:r w:rsidR="00FA769E">
        <w:rPr>
          <w:rFonts w:cs="Arial"/>
          <w:bCs/>
          <w:spacing w:val="-4"/>
          <w:szCs w:val="19"/>
          <w:lang w:val="en-GB"/>
        </w:rPr>
        <w:t>1</w:t>
      </w:r>
      <w:r w:rsidRPr="00526CC8">
        <w:rPr>
          <w:rFonts w:cs="Arial"/>
          <w:bCs/>
          <w:spacing w:val="-4"/>
          <w:szCs w:val="19"/>
          <w:lang w:val="en-GB"/>
        </w:rPr>
        <w:t xml:space="preserve"> m</w:t>
      </w:r>
      <w:r w:rsidRPr="00AD006F">
        <w:rPr>
          <w:rFonts w:cs="Arial"/>
          <w:bCs/>
          <w:spacing w:val="-4"/>
          <w:szCs w:val="19"/>
          <w:vertAlign w:val="superscript"/>
          <w:lang w:val="en-GB"/>
        </w:rPr>
        <w:t>2</w:t>
      </w:r>
      <w:r w:rsidRPr="00526CC8">
        <w:rPr>
          <w:rFonts w:cs="Arial"/>
          <w:bCs/>
          <w:spacing w:val="-4"/>
          <w:szCs w:val="19"/>
          <w:lang w:val="en-GB"/>
        </w:rPr>
        <w:t xml:space="preserve"> of usable </w:t>
      </w:r>
      <w:r w:rsidR="00AD006F">
        <w:rPr>
          <w:rFonts w:cs="Arial"/>
          <w:bCs/>
          <w:spacing w:val="-4"/>
          <w:szCs w:val="19"/>
          <w:lang w:val="en-GB"/>
        </w:rPr>
        <w:t>floor area</w:t>
      </w:r>
      <w:r w:rsidRPr="00526CC8">
        <w:rPr>
          <w:rFonts w:cs="Arial"/>
          <w:bCs/>
          <w:spacing w:val="-4"/>
          <w:szCs w:val="19"/>
          <w:lang w:val="en-GB"/>
        </w:rPr>
        <w:t xml:space="preserve"> and 1 room per </w:t>
      </w:r>
      <w:r w:rsidR="00AD006F">
        <w:rPr>
          <w:rFonts w:cs="Arial"/>
          <w:bCs/>
          <w:spacing w:val="-4"/>
          <w:szCs w:val="19"/>
          <w:lang w:val="en-GB"/>
        </w:rPr>
        <w:t>capita in the household</w:t>
      </w:r>
      <w:r w:rsidRPr="00526CC8">
        <w:rPr>
          <w:rFonts w:cs="Arial"/>
          <w:bCs/>
          <w:spacing w:val="-4"/>
          <w:szCs w:val="19"/>
          <w:lang w:val="en-GB"/>
        </w:rPr>
        <w:t xml:space="preserve"> (in 20</w:t>
      </w:r>
      <w:r w:rsidR="00286F9E">
        <w:rPr>
          <w:rFonts w:cs="Arial"/>
          <w:bCs/>
          <w:spacing w:val="-4"/>
          <w:szCs w:val="19"/>
          <w:lang w:val="en-GB"/>
        </w:rPr>
        <w:t>2</w:t>
      </w:r>
      <w:r w:rsidR="00FA769E">
        <w:rPr>
          <w:rFonts w:cs="Arial"/>
          <w:bCs/>
          <w:spacing w:val="-4"/>
          <w:szCs w:val="19"/>
          <w:lang w:val="en-GB"/>
        </w:rPr>
        <w:t>4</w:t>
      </w:r>
      <w:r w:rsidRPr="00526CC8">
        <w:rPr>
          <w:rFonts w:cs="Arial"/>
          <w:bCs/>
          <w:spacing w:val="-4"/>
          <w:szCs w:val="19"/>
          <w:lang w:val="en-GB"/>
        </w:rPr>
        <w:t xml:space="preserve"> </w:t>
      </w:r>
      <w:r w:rsidR="00AD006F">
        <w:rPr>
          <w:rFonts w:cs="Arial"/>
          <w:bCs/>
          <w:spacing w:val="-4"/>
          <w:szCs w:val="19"/>
          <w:lang w:val="en-GB"/>
        </w:rPr>
        <w:t>–</w:t>
      </w:r>
      <w:r w:rsidRPr="00526CC8">
        <w:rPr>
          <w:rFonts w:cs="Arial"/>
          <w:bCs/>
          <w:spacing w:val="-4"/>
          <w:szCs w:val="19"/>
          <w:lang w:val="en-GB"/>
        </w:rPr>
        <w:t xml:space="preserve"> </w:t>
      </w:r>
      <w:r w:rsidR="00FA769E">
        <w:rPr>
          <w:rFonts w:cs="Arial"/>
          <w:bCs/>
          <w:spacing w:val="-4"/>
          <w:szCs w:val="19"/>
          <w:lang w:val="en-GB"/>
        </w:rPr>
        <w:t>31.3</w:t>
      </w:r>
      <w:r w:rsidRPr="00526CC8">
        <w:rPr>
          <w:rFonts w:cs="Arial"/>
          <w:bCs/>
          <w:spacing w:val="-4"/>
          <w:szCs w:val="19"/>
          <w:lang w:val="en-GB"/>
        </w:rPr>
        <w:t xml:space="preserve"> m</w:t>
      </w:r>
      <w:r w:rsidRPr="00AD006F">
        <w:rPr>
          <w:rFonts w:cs="Arial"/>
          <w:bCs/>
          <w:spacing w:val="-4"/>
          <w:szCs w:val="19"/>
          <w:vertAlign w:val="superscript"/>
          <w:lang w:val="en-GB"/>
        </w:rPr>
        <w:t>2</w:t>
      </w:r>
      <w:r w:rsidRPr="00526CC8">
        <w:rPr>
          <w:rFonts w:cs="Arial"/>
          <w:bCs/>
          <w:spacing w:val="-4"/>
          <w:szCs w:val="19"/>
          <w:lang w:val="en-GB"/>
        </w:rPr>
        <w:t xml:space="preserve"> and 1 room).</w:t>
      </w:r>
    </w:p>
    <w:p w14:paraId="7EE94F54" w14:textId="16B3BE41" w:rsidR="00AD006F" w:rsidRDefault="00AD006F" w:rsidP="005071C2">
      <w:pPr>
        <w:rPr>
          <w:rFonts w:cs="Arial"/>
          <w:szCs w:val="19"/>
          <w:lang w:val="en-GB"/>
        </w:rPr>
      </w:pPr>
      <w:r w:rsidRPr="00AD006F">
        <w:rPr>
          <w:rFonts w:cs="Arial"/>
          <w:szCs w:val="19"/>
          <w:lang w:val="en-GB"/>
        </w:rPr>
        <w:t xml:space="preserve">The largest average usable floor area of dwellings was held by households </w:t>
      </w:r>
      <w:r>
        <w:rPr>
          <w:rFonts w:cs="Arial"/>
          <w:szCs w:val="19"/>
          <w:lang w:val="en-GB"/>
        </w:rPr>
        <w:t xml:space="preserve">of farmers </w:t>
      </w:r>
      <w:r w:rsidR="00C23114">
        <w:rPr>
          <w:rFonts w:cs="Arial"/>
          <w:szCs w:val="19"/>
          <w:lang w:val="en-GB"/>
        </w:rPr>
        <w:br/>
      </w:r>
      <w:r>
        <w:rPr>
          <w:rFonts w:cs="Arial"/>
          <w:szCs w:val="19"/>
          <w:lang w:val="en-GB"/>
        </w:rPr>
        <w:t>–</w:t>
      </w:r>
      <w:r w:rsidRPr="00AD006F">
        <w:rPr>
          <w:rFonts w:cs="Arial"/>
          <w:szCs w:val="19"/>
          <w:lang w:val="en-GB"/>
        </w:rPr>
        <w:t xml:space="preserve"> </w:t>
      </w:r>
      <w:r w:rsidR="00FA769E">
        <w:rPr>
          <w:rFonts w:cs="Arial"/>
          <w:szCs w:val="19"/>
          <w:lang w:val="en-GB"/>
        </w:rPr>
        <w:t>147.4</w:t>
      </w:r>
      <w:r w:rsidR="00F5255B">
        <w:rPr>
          <w:rFonts w:cs="Arial"/>
          <w:szCs w:val="19"/>
          <w:lang w:val="en-GB"/>
        </w:rPr>
        <w:t> m</w:t>
      </w:r>
      <w:r w:rsidRPr="00AD006F">
        <w:rPr>
          <w:rFonts w:cs="Arial"/>
          <w:szCs w:val="19"/>
          <w:vertAlign w:val="superscript"/>
          <w:lang w:val="en-GB"/>
        </w:rPr>
        <w:t>2</w:t>
      </w:r>
      <w:r w:rsidRPr="00AD006F">
        <w:rPr>
          <w:rFonts w:cs="Arial"/>
          <w:szCs w:val="19"/>
          <w:lang w:val="en-GB"/>
        </w:rPr>
        <w:t xml:space="preserve">, </w:t>
      </w:r>
      <w:r>
        <w:rPr>
          <w:rFonts w:cs="Arial"/>
          <w:szCs w:val="19"/>
          <w:lang w:val="en-GB"/>
        </w:rPr>
        <w:t>while</w:t>
      </w:r>
      <w:r w:rsidRPr="00AD006F">
        <w:rPr>
          <w:rFonts w:cs="Arial"/>
          <w:szCs w:val="19"/>
          <w:lang w:val="en-GB"/>
        </w:rPr>
        <w:t xml:space="preserve"> the smallest</w:t>
      </w:r>
      <w:r>
        <w:rPr>
          <w:rFonts w:cs="Arial"/>
          <w:szCs w:val="19"/>
          <w:lang w:val="en-GB"/>
        </w:rPr>
        <w:t xml:space="preserve"> by</w:t>
      </w:r>
      <w:r w:rsidRPr="00AD006F">
        <w:rPr>
          <w:rFonts w:cs="Arial"/>
          <w:szCs w:val="19"/>
          <w:lang w:val="en-GB"/>
        </w:rPr>
        <w:t xml:space="preserve"> households of pensioners </w:t>
      </w:r>
      <w:r>
        <w:rPr>
          <w:rFonts w:cs="Arial"/>
          <w:szCs w:val="19"/>
          <w:lang w:val="en-GB"/>
        </w:rPr>
        <w:t>–</w:t>
      </w:r>
      <w:r w:rsidRPr="00AD006F">
        <w:rPr>
          <w:rFonts w:cs="Arial"/>
          <w:szCs w:val="19"/>
          <w:lang w:val="en-GB"/>
        </w:rPr>
        <w:t xml:space="preserve"> </w:t>
      </w:r>
      <w:r w:rsidR="00FA769E">
        <w:rPr>
          <w:rFonts w:cs="Arial"/>
          <w:szCs w:val="19"/>
          <w:lang w:val="en-GB"/>
        </w:rPr>
        <w:t>69.0</w:t>
      </w:r>
      <w:r w:rsidRPr="00AD006F">
        <w:rPr>
          <w:rFonts w:cs="Arial"/>
          <w:szCs w:val="19"/>
          <w:lang w:val="en-GB"/>
        </w:rPr>
        <w:t xml:space="preserve"> m</w:t>
      </w:r>
      <w:r w:rsidRPr="00AD006F">
        <w:rPr>
          <w:rFonts w:cs="Arial"/>
          <w:szCs w:val="19"/>
          <w:vertAlign w:val="superscript"/>
          <w:lang w:val="en-GB"/>
        </w:rPr>
        <w:t>2</w:t>
      </w:r>
      <w:r w:rsidRPr="00AD006F">
        <w:rPr>
          <w:rFonts w:cs="Arial"/>
          <w:szCs w:val="19"/>
          <w:lang w:val="en-GB"/>
        </w:rPr>
        <w:t xml:space="preserve">. </w:t>
      </w:r>
      <w:r>
        <w:rPr>
          <w:rFonts w:cs="Arial"/>
          <w:szCs w:val="19"/>
          <w:lang w:val="en-GB"/>
        </w:rPr>
        <w:t>In comparison with</w:t>
      </w:r>
      <w:r w:rsidRPr="00AD006F">
        <w:rPr>
          <w:rFonts w:cs="Arial"/>
          <w:szCs w:val="19"/>
          <w:lang w:val="en-GB"/>
        </w:rPr>
        <w:t xml:space="preserve"> 20</w:t>
      </w:r>
      <w:r w:rsidR="00286F9E">
        <w:rPr>
          <w:rFonts w:cs="Arial"/>
          <w:szCs w:val="19"/>
          <w:lang w:val="en-GB"/>
        </w:rPr>
        <w:t>2</w:t>
      </w:r>
      <w:r w:rsidR="00FA769E">
        <w:rPr>
          <w:rFonts w:cs="Arial"/>
          <w:szCs w:val="19"/>
          <w:lang w:val="en-GB"/>
        </w:rPr>
        <w:t>4</w:t>
      </w:r>
      <w:r w:rsidRPr="00AD006F">
        <w:rPr>
          <w:rFonts w:cs="Arial"/>
          <w:szCs w:val="19"/>
          <w:lang w:val="en-GB"/>
        </w:rPr>
        <w:t>, the</w:t>
      </w:r>
      <w:r w:rsidR="00AD0863">
        <w:rPr>
          <w:rFonts w:cs="Arial"/>
          <w:szCs w:val="19"/>
          <w:lang w:val="en-GB"/>
        </w:rPr>
        <w:t xml:space="preserve"> increase in </w:t>
      </w:r>
      <w:r w:rsidR="00AD0863" w:rsidRPr="00AD006F">
        <w:rPr>
          <w:rFonts w:cs="Arial"/>
          <w:szCs w:val="19"/>
          <w:lang w:val="en-GB"/>
        </w:rPr>
        <w:t xml:space="preserve">the </w:t>
      </w:r>
      <w:r w:rsidR="00FE6DCD">
        <w:rPr>
          <w:rFonts w:cs="Arial"/>
          <w:szCs w:val="19"/>
          <w:lang w:val="en-GB"/>
        </w:rPr>
        <w:t xml:space="preserve">average </w:t>
      </w:r>
      <w:r w:rsidR="00AD0863" w:rsidRPr="00AD006F">
        <w:rPr>
          <w:rFonts w:cs="Arial"/>
          <w:szCs w:val="19"/>
          <w:lang w:val="en-GB"/>
        </w:rPr>
        <w:t xml:space="preserve">floor </w:t>
      </w:r>
      <w:r w:rsidR="00AD0863">
        <w:rPr>
          <w:rFonts w:cs="Arial"/>
          <w:szCs w:val="19"/>
          <w:lang w:val="en-GB"/>
        </w:rPr>
        <w:t>area</w:t>
      </w:r>
      <w:r w:rsidR="00AD0863" w:rsidRPr="00AD006F">
        <w:rPr>
          <w:rFonts w:cs="Arial"/>
          <w:szCs w:val="19"/>
          <w:lang w:val="en-GB"/>
        </w:rPr>
        <w:t xml:space="preserve"> of the dwelling</w:t>
      </w:r>
      <w:r w:rsidR="00AD0863">
        <w:rPr>
          <w:rFonts w:cs="Arial"/>
          <w:szCs w:val="19"/>
          <w:lang w:val="en-GB"/>
        </w:rPr>
        <w:t>s</w:t>
      </w:r>
      <w:r w:rsidR="00AD0863" w:rsidRPr="00AD006F">
        <w:rPr>
          <w:rFonts w:cs="Arial"/>
          <w:szCs w:val="19"/>
          <w:lang w:val="en-GB"/>
        </w:rPr>
        <w:t xml:space="preserve"> </w:t>
      </w:r>
      <w:r w:rsidR="00AD0863">
        <w:rPr>
          <w:rFonts w:cs="Arial"/>
          <w:szCs w:val="19"/>
          <w:lang w:val="en-GB"/>
        </w:rPr>
        <w:t>occupied</w:t>
      </w:r>
      <w:r w:rsidR="00AD0863" w:rsidRPr="00AD006F">
        <w:rPr>
          <w:rFonts w:cs="Arial"/>
          <w:szCs w:val="19"/>
          <w:lang w:val="en-GB"/>
        </w:rPr>
        <w:t xml:space="preserve"> </w:t>
      </w:r>
      <w:r w:rsidR="00AD0863">
        <w:rPr>
          <w:rFonts w:cs="Arial"/>
          <w:szCs w:val="19"/>
          <w:lang w:val="en-GB"/>
        </w:rPr>
        <w:t>by</w:t>
      </w:r>
      <w:r w:rsidR="00AD0863" w:rsidRPr="00AD006F">
        <w:rPr>
          <w:rFonts w:cs="Arial"/>
          <w:szCs w:val="19"/>
          <w:lang w:val="en-GB"/>
        </w:rPr>
        <w:t xml:space="preserve"> households</w:t>
      </w:r>
      <w:r w:rsidR="00AD0863">
        <w:rPr>
          <w:rFonts w:cs="Arial"/>
          <w:szCs w:val="19"/>
          <w:lang w:val="en-GB"/>
        </w:rPr>
        <w:t xml:space="preserve"> occurred</w:t>
      </w:r>
      <w:r w:rsidR="00951D9D">
        <w:rPr>
          <w:rFonts w:cs="Arial"/>
          <w:szCs w:val="19"/>
          <w:lang w:val="en-GB"/>
        </w:rPr>
        <w:t xml:space="preserve"> </w:t>
      </w:r>
      <w:r w:rsidR="00AD0863">
        <w:rPr>
          <w:rFonts w:cs="Arial"/>
          <w:szCs w:val="19"/>
          <w:lang w:val="en-GB"/>
        </w:rPr>
        <w:t>in the households of</w:t>
      </w:r>
      <w:r w:rsidRPr="00AD006F">
        <w:rPr>
          <w:rFonts w:cs="Arial"/>
          <w:szCs w:val="19"/>
          <w:lang w:val="en-GB"/>
        </w:rPr>
        <w:t xml:space="preserve"> </w:t>
      </w:r>
      <w:r w:rsidR="004628FF">
        <w:rPr>
          <w:rFonts w:cs="Arial"/>
          <w:szCs w:val="19"/>
          <w:lang w:val="en-GB"/>
        </w:rPr>
        <w:t>farmers and self-employed</w:t>
      </w:r>
      <w:r w:rsidR="00951D9D">
        <w:rPr>
          <w:rFonts w:cs="Arial"/>
          <w:szCs w:val="19"/>
          <w:lang w:val="en-GB"/>
        </w:rPr>
        <w:t xml:space="preserve"> (by </w:t>
      </w:r>
      <w:r w:rsidR="0048227C">
        <w:rPr>
          <w:rFonts w:cs="Arial"/>
          <w:szCs w:val="19"/>
          <w:lang w:val="en-GB"/>
        </w:rPr>
        <w:t>4.6</w:t>
      </w:r>
      <w:r w:rsidR="00951D9D">
        <w:rPr>
          <w:rFonts w:cs="Arial"/>
          <w:szCs w:val="19"/>
          <w:lang w:val="en-GB"/>
        </w:rPr>
        <w:t xml:space="preserve"> </w:t>
      </w:r>
      <w:r w:rsidR="00B72F4F">
        <w:rPr>
          <w:rFonts w:cs="Arial"/>
          <w:szCs w:val="19"/>
          <w:lang w:val="en-GB"/>
        </w:rPr>
        <w:t>m</w:t>
      </w:r>
      <w:r w:rsidR="00B72F4F" w:rsidRPr="00AD006F">
        <w:rPr>
          <w:rFonts w:cs="Arial"/>
          <w:szCs w:val="19"/>
          <w:vertAlign w:val="superscript"/>
          <w:lang w:val="en-GB"/>
        </w:rPr>
        <w:t>2</w:t>
      </w:r>
      <w:r w:rsidR="00827A72">
        <w:rPr>
          <w:rFonts w:cs="Arial"/>
          <w:szCs w:val="19"/>
          <w:lang w:val="en-GB"/>
        </w:rPr>
        <w:t xml:space="preserve"> a</w:t>
      </w:r>
      <w:r w:rsidR="00B72F4F">
        <w:rPr>
          <w:rFonts w:cs="Arial"/>
          <w:szCs w:val="19"/>
          <w:lang w:val="en-GB"/>
        </w:rPr>
        <w:t xml:space="preserve">nd </w:t>
      </w:r>
      <w:r w:rsidR="0048227C">
        <w:rPr>
          <w:rFonts w:cs="Arial"/>
          <w:szCs w:val="19"/>
          <w:lang w:val="en-GB"/>
        </w:rPr>
        <w:t>0.8</w:t>
      </w:r>
      <w:r w:rsidR="00B72F4F">
        <w:rPr>
          <w:rFonts w:cs="Arial"/>
          <w:szCs w:val="19"/>
          <w:lang w:val="en-GB"/>
        </w:rPr>
        <w:t xml:space="preserve"> </w:t>
      </w:r>
      <w:r w:rsidR="00951D9D" w:rsidRPr="003B2361">
        <w:rPr>
          <w:rFonts w:cs="Arial"/>
          <w:szCs w:val="19"/>
          <w:lang w:val="en-GB"/>
        </w:rPr>
        <w:t>m</w:t>
      </w:r>
      <w:r w:rsidR="00951D9D" w:rsidRPr="00753213">
        <w:rPr>
          <w:rFonts w:cs="Arial"/>
          <w:szCs w:val="19"/>
          <w:vertAlign w:val="superscript"/>
          <w:lang w:val="en-GB"/>
        </w:rPr>
        <w:t>2</w:t>
      </w:r>
      <w:r w:rsidR="003B2361">
        <w:rPr>
          <w:rFonts w:cs="Arial"/>
          <w:szCs w:val="19"/>
          <w:lang w:val="en-GB"/>
        </w:rPr>
        <w:t xml:space="preserve"> </w:t>
      </w:r>
      <w:r w:rsidR="00B72F4F" w:rsidRPr="003B2361">
        <w:rPr>
          <w:rFonts w:cs="Arial"/>
          <w:szCs w:val="19"/>
          <w:lang w:val="en-GB"/>
        </w:rPr>
        <w:t>respectively</w:t>
      </w:r>
      <w:r w:rsidR="00951D9D" w:rsidRPr="00951D9D">
        <w:rPr>
          <w:rFonts w:cs="Arial"/>
          <w:szCs w:val="19"/>
          <w:lang w:val="en-GB"/>
        </w:rPr>
        <w:t>)</w:t>
      </w:r>
      <w:r w:rsidR="00951D9D">
        <w:rPr>
          <w:rFonts w:cs="Arial"/>
          <w:szCs w:val="19"/>
          <w:lang w:val="en-GB"/>
        </w:rPr>
        <w:t>,</w:t>
      </w:r>
      <w:r w:rsidR="00951D9D" w:rsidRPr="00951D9D">
        <w:rPr>
          <w:rFonts w:cs="Arial"/>
          <w:szCs w:val="19"/>
          <w:lang w:val="en-GB"/>
        </w:rPr>
        <w:t xml:space="preserve"> </w:t>
      </w:r>
      <w:r w:rsidR="00951D9D">
        <w:rPr>
          <w:rFonts w:cs="Arial"/>
          <w:szCs w:val="19"/>
          <w:lang w:val="en-GB"/>
        </w:rPr>
        <w:t xml:space="preserve">while the </w:t>
      </w:r>
      <w:r w:rsidR="00DB37D2">
        <w:rPr>
          <w:rFonts w:cs="Arial"/>
          <w:szCs w:val="19"/>
          <w:lang w:val="en-GB"/>
        </w:rPr>
        <w:t>decrease</w:t>
      </w:r>
      <w:r w:rsidR="00951D9D" w:rsidRPr="00951D9D">
        <w:rPr>
          <w:rFonts w:cs="Arial"/>
          <w:szCs w:val="19"/>
          <w:lang w:val="en-GB"/>
        </w:rPr>
        <w:t xml:space="preserve"> </w:t>
      </w:r>
      <w:r w:rsidR="00951D9D" w:rsidRPr="00AD006F">
        <w:rPr>
          <w:rFonts w:cs="Arial"/>
          <w:szCs w:val="19"/>
          <w:lang w:val="en-GB"/>
        </w:rPr>
        <w:t>in</w:t>
      </w:r>
      <w:r w:rsidR="00951D9D">
        <w:rPr>
          <w:rFonts w:cs="Arial"/>
          <w:szCs w:val="19"/>
          <w:lang w:val="en-GB"/>
        </w:rPr>
        <w:t xml:space="preserve"> </w:t>
      </w:r>
      <w:r w:rsidR="00951D9D" w:rsidRPr="00AD006F">
        <w:rPr>
          <w:rFonts w:cs="Arial"/>
          <w:szCs w:val="19"/>
          <w:lang w:val="en-GB"/>
        </w:rPr>
        <w:t>households of</w:t>
      </w:r>
      <w:r w:rsidR="00951D9D">
        <w:rPr>
          <w:rFonts w:cs="Arial"/>
          <w:szCs w:val="19"/>
          <w:lang w:val="en-GB"/>
        </w:rPr>
        <w:t xml:space="preserve"> </w:t>
      </w:r>
      <w:r w:rsidR="0048227C">
        <w:rPr>
          <w:rFonts w:cs="Arial"/>
          <w:szCs w:val="19"/>
          <w:lang w:val="en-GB"/>
        </w:rPr>
        <w:t>employees</w:t>
      </w:r>
      <w:r w:rsidR="00753213">
        <w:rPr>
          <w:rFonts w:cs="Arial"/>
          <w:szCs w:val="19"/>
          <w:lang w:val="en-GB"/>
        </w:rPr>
        <w:t>,</w:t>
      </w:r>
      <w:r w:rsidR="0048227C">
        <w:rPr>
          <w:rFonts w:cs="Arial"/>
          <w:szCs w:val="19"/>
          <w:lang w:val="en-GB"/>
        </w:rPr>
        <w:t xml:space="preserve"> </w:t>
      </w:r>
      <w:r w:rsidR="00956DF8">
        <w:rPr>
          <w:rFonts w:cs="Arial"/>
          <w:szCs w:val="19"/>
          <w:lang w:val="en-GB"/>
        </w:rPr>
        <w:t>pensioners and retirees</w:t>
      </w:r>
      <w:r w:rsidR="00951D9D">
        <w:rPr>
          <w:rFonts w:cs="Arial"/>
          <w:szCs w:val="19"/>
          <w:lang w:val="en-GB"/>
        </w:rPr>
        <w:t xml:space="preserve"> (by </w:t>
      </w:r>
      <w:r w:rsidR="0048227C">
        <w:rPr>
          <w:rFonts w:cs="Arial"/>
          <w:szCs w:val="19"/>
          <w:lang w:val="en-GB"/>
        </w:rPr>
        <w:t>0.7</w:t>
      </w:r>
      <w:r w:rsidR="00951D9D">
        <w:rPr>
          <w:rFonts w:cs="Arial"/>
          <w:szCs w:val="19"/>
          <w:lang w:val="en-GB"/>
        </w:rPr>
        <w:t xml:space="preserve"> </w:t>
      </w:r>
      <w:r w:rsidR="00951D9D" w:rsidRPr="00AD006F">
        <w:rPr>
          <w:rFonts w:cs="Arial"/>
          <w:szCs w:val="19"/>
          <w:lang w:val="en-GB"/>
        </w:rPr>
        <w:t>m</w:t>
      </w:r>
      <w:r w:rsidR="00951D9D" w:rsidRPr="00AD006F">
        <w:rPr>
          <w:rFonts w:cs="Arial"/>
          <w:szCs w:val="19"/>
          <w:vertAlign w:val="superscript"/>
          <w:lang w:val="en-GB"/>
        </w:rPr>
        <w:t>2</w:t>
      </w:r>
      <w:r w:rsidR="00956DF8">
        <w:rPr>
          <w:rFonts w:cs="Arial"/>
          <w:szCs w:val="19"/>
          <w:lang w:val="en-GB"/>
        </w:rPr>
        <w:t>, 0.2 m</w:t>
      </w:r>
      <w:r w:rsidR="00956DF8" w:rsidRPr="00AA62EC">
        <w:rPr>
          <w:rFonts w:cs="Arial"/>
          <w:szCs w:val="19"/>
          <w:vertAlign w:val="superscript"/>
          <w:lang w:val="en-GB"/>
        </w:rPr>
        <w:t>2</w:t>
      </w:r>
      <w:r w:rsidR="00956DF8">
        <w:rPr>
          <w:rFonts w:cs="Arial"/>
          <w:szCs w:val="19"/>
          <w:lang w:val="en-GB"/>
        </w:rPr>
        <w:t xml:space="preserve"> and 0.1 m</w:t>
      </w:r>
      <w:r w:rsidR="00956DF8" w:rsidRPr="00AA62EC">
        <w:rPr>
          <w:rFonts w:cs="Arial"/>
          <w:szCs w:val="19"/>
          <w:vertAlign w:val="superscript"/>
          <w:lang w:val="en-GB"/>
        </w:rPr>
        <w:t>2</w:t>
      </w:r>
      <w:r w:rsidR="00956DF8">
        <w:rPr>
          <w:rFonts w:cs="Arial"/>
          <w:szCs w:val="19"/>
          <w:lang w:val="en-GB"/>
        </w:rPr>
        <w:t xml:space="preserve"> respectively</w:t>
      </w:r>
      <w:r w:rsidR="00951D9D">
        <w:rPr>
          <w:rFonts w:cs="Arial"/>
          <w:szCs w:val="19"/>
          <w:lang w:val="en-GB"/>
        </w:rPr>
        <w:t>)</w:t>
      </w:r>
      <w:r w:rsidRPr="00AD006F">
        <w:rPr>
          <w:rFonts w:cs="Arial"/>
          <w:szCs w:val="19"/>
          <w:lang w:val="en-GB"/>
        </w:rPr>
        <w:t xml:space="preserve">. </w:t>
      </w:r>
    </w:p>
    <w:p w14:paraId="7EE94F55" w14:textId="1F1DD9F9" w:rsidR="00BB40E7" w:rsidRPr="006E1C16" w:rsidRDefault="00BB40E7" w:rsidP="005071C2">
      <w:pPr>
        <w:rPr>
          <w:rFonts w:cs="Arial"/>
          <w:szCs w:val="19"/>
          <w:lang w:val="en-GB"/>
        </w:rPr>
      </w:pPr>
      <w:r w:rsidRPr="006E1C16">
        <w:rPr>
          <w:rFonts w:cs="Arial"/>
          <w:szCs w:val="19"/>
          <w:lang w:val="en-GB"/>
        </w:rPr>
        <w:t xml:space="preserve">The largest </w:t>
      </w:r>
      <w:r w:rsidR="00FE6DCD">
        <w:rPr>
          <w:rFonts w:cs="Arial"/>
          <w:szCs w:val="19"/>
          <w:lang w:val="en-GB"/>
        </w:rPr>
        <w:t xml:space="preserve">average </w:t>
      </w:r>
      <w:r w:rsidRPr="006E1C16">
        <w:rPr>
          <w:rFonts w:cs="Arial"/>
          <w:szCs w:val="19"/>
          <w:lang w:val="en-GB"/>
        </w:rPr>
        <w:t xml:space="preserve">usable floor area </w:t>
      </w:r>
      <w:r w:rsidR="0053510F">
        <w:rPr>
          <w:rFonts w:cs="Arial"/>
          <w:szCs w:val="19"/>
          <w:lang w:val="en-GB"/>
        </w:rPr>
        <w:t xml:space="preserve">of dwellings </w:t>
      </w:r>
      <w:r w:rsidRPr="006E1C16">
        <w:rPr>
          <w:rFonts w:cs="Arial"/>
          <w:szCs w:val="19"/>
          <w:lang w:val="en-GB"/>
        </w:rPr>
        <w:t xml:space="preserve">per </w:t>
      </w:r>
      <w:r w:rsidR="000D7AC4">
        <w:rPr>
          <w:rFonts w:cs="Arial"/>
          <w:szCs w:val="19"/>
          <w:lang w:val="en-GB"/>
        </w:rPr>
        <w:t>capita</w:t>
      </w:r>
      <w:r w:rsidRPr="006E1C16">
        <w:rPr>
          <w:rFonts w:cs="Arial"/>
          <w:szCs w:val="19"/>
          <w:lang w:val="en-GB"/>
        </w:rPr>
        <w:t xml:space="preserve"> was in th</w:t>
      </w:r>
      <w:r>
        <w:rPr>
          <w:rFonts w:cs="Arial"/>
          <w:szCs w:val="19"/>
          <w:lang w:val="en-GB"/>
        </w:rPr>
        <w:t xml:space="preserve">e households of </w:t>
      </w:r>
      <w:r w:rsidR="007B7481">
        <w:rPr>
          <w:rFonts w:cs="Arial"/>
          <w:szCs w:val="19"/>
          <w:lang w:val="en-GB"/>
        </w:rPr>
        <w:t>pensioners</w:t>
      </w:r>
      <w:r w:rsidR="003D2E26">
        <w:rPr>
          <w:rFonts w:cs="Arial"/>
          <w:szCs w:val="19"/>
          <w:lang w:val="en-GB"/>
        </w:rPr>
        <w:t xml:space="preserve"> </w:t>
      </w:r>
      <w:r w:rsidR="00A166BC">
        <w:rPr>
          <w:rFonts w:cs="Arial"/>
          <w:szCs w:val="19"/>
          <w:lang w:val="en-GB"/>
        </w:rPr>
        <w:t>(</w:t>
      </w:r>
      <w:r w:rsidR="00FA769E">
        <w:rPr>
          <w:rFonts w:cs="Arial"/>
          <w:szCs w:val="19"/>
          <w:lang w:val="en-GB"/>
        </w:rPr>
        <w:t>39.3</w:t>
      </w:r>
      <w:r w:rsidR="00FE6DCD">
        <w:rPr>
          <w:rFonts w:cs="Arial"/>
          <w:szCs w:val="19"/>
          <w:lang w:val="en-GB"/>
        </w:rPr>
        <w:t> </w:t>
      </w:r>
      <w:r w:rsidR="00A166BC">
        <w:rPr>
          <w:rFonts w:cs="Arial"/>
          <w:szCs w:val="19"/>
          <w:lang w:val="en-GB"/>
        </w:rPr>
        <w:t>m</w:t>
      </w:r>
      <w:r w:rsidR="00A166BC">
        <w:rPr>
          <w:rFonts w:cs="Arial"/>
          <w:szCs w:val="19"/>
          <w:vertAlign w:val="superscript"/>
          <w:lang w:val="en-GB"/>
        </w:rPr>
        <w:t>2</w:t>
      </w:r>
      <w:r w:rsidR="00A166BC">
        <w:rPr>
          <w:rFonts w:cs="Arial"/>
          <w:szCs w:val="19"/>
          <w:lang w:val="en-GB"/>
        </w:rPr>
        <w:t xml:space="preserve">) </w:t>
      </w:r>
      <w:r>
        <w:rPr>
          <w:rFonts w:cs="Arial"/>
          <w:szCs w:val="19"/>
          <w:lang w:val="en-GB"/>
        </w:rPr>
        <w:t xml:space="preserve">and </w:t>
      </w:r>
      <w:r w:rsidR="007B7481">
        <w:rPr>
          <w:rFonts w:cs="Arial"/>
          <w:szCs w:val="19"/>
          <w:lang w:val="en-GB"/>
        </w:rPr>
        <w:t>retirees</w:t>
      </w:r>
      <w:r w:rsidR="003D2E26">
        <w:rPr>
          <w:rFonts w:cs="Arial"/>
          <w:szCs w:val="19"/>
          <w:lang w:val="en-GB"/>
        </w:rPr>
        <w:t xml:space="preserve"> </w:t>
      </w:r>
      <w:r>
        <w:rPr>
          <w:rFonts w:cs="Arial"/>
          <w:szCs w:val="19"/>
          <w:lang w:val="en-GB"/>
        </w:rPr>
        <w:t>(</w:t>
      </w:r>
      <w:r w:rsidR="00FA769E">
        <w:rPr>
          <w:rFonts w:cs="Arial"/>
          <w:szCs w:val="19"/>
          <w:lang w:val="en-GB"/>
        </w:rPr>
        <w:t>39.0</w:t>
      </w:r>
      <w:r w:rsidRPr="006E1C16">
        <w:rPr>
          <w:rFonts w:cs="Arial"/>
          <w:szCs w:val="19"/>
          <w:lang w:val="en-GB"/>
        </w:rPr>
        <w:t> m</w:t>
      </w:r>
      <w:r w:rsidRPr="006E1C16">
        <w:rPr>
          <w:rFonts w:cs="Arial"/>
          <w:szCs w:val="19"/>
          <w:vertAlign w:val="superscript"/>
          <w:lang w:val="en-GB"/>
        </w:rPr>
        <w:t>2</w:t>
      </w:r>
      <w:r w:rsidRPr="006E1C16">
        <w:rPr>
          <w:rFonts w:cs="Arial"/>
          <w:szCs w:val="19"/>
          <w:lang w:val="en-GB"/>
        </w:rPr>
        <w:t>)</w:t>
      </w:r>
      <w:r w:rsidR="00F06D8F">
        <w:rPr>
          <w:rFonts w:cs="Arial"/>
          <w:szCs w:val="19"/>
          <w:lang w:val="en-GB"/>
        </w:rPr>
        <w:t>,</w:t>
      </w:r>
      <w:r w:rsidRPr="006E1C16">
        <w:rPr>
          <w:rFonts w:cs="Arial"/>
          <w:szCs w:val="19"/>
          <w:lang w:val="en-GB"/>
        </w:rPr>
        <w:t xml:space="preserve"> which is </w:t>
      </w:r>
      <w:r w:rsidR="00F06D8F">
        <w:rPr>
          <w:rFonts w:cs="Arial"/>
          <w:szCs w:val="19"/>
          <w:lang w:val="en-GB"/>
        </w:rPr>
        <w:t>related</w:t>
      </w:r>
      <w:r w:rsidRPr="006E1C16">
        <w:rPr>
          <w:rFonts w:cs="Arial"/>
          <w:szCs w:val="19"/>
          <w:lang w:val="en-GB"/>
        </w:rPr>
        <w:t xml:space="preserve"> to a </w:t>
      </w:r>
      <w:r w:rsidR="00F06D8F">
        <w:rPr>
          <w:rFonts w:cs="Arial"/>
          <w:szCs w:val="19"/>
          <w:lang w:val="en-GB"/>
        </w:rPr>
        <w:t>smaller</w:t>
      </w:r>
      <w:r w:rsidRPr="006E1C16">
        <w:rPr>
          <w:rFonts w:cs="Arial"/>
          <w:szCs w:val="19"/>
          <w:lang w:val="en-GB"/>
        </w:rPr>
        <w:t xml:space="preserve"> number of persons in the household</w:t>
      </w:r>
      <w:r w:rsidR="00F06D8F">
        <w:rPr>
          <w:rFonts w:cs="Arial"/>
          <w:szCs w:val="19"/>
          <w:lang w:val="en-GB"/>
        </w:rPr>
        <w:t>, while</w:t>
      </w:r>
      <w:r w:rsidRPr="006E1C16">
        <w:rPr>
          <w:rFonts w:cs="Arial"/>
          <w:szCs w:val="19"/>
          <w:lang w:val="en-GB"/>
        </w:rPr>
        <w:t xml:space="preserve"> </w:t>
      </w:r>
      <w:r w:rsidR="00F06D8F">
        <w:rPr>
          <w:rFonts w:cs="Arial"/>
          <w:szCs w:val="19"/>
          <w:lang w:val="en-GB"/>
        </w:rPr>
        <w:t>t</w:t>
      </w:r>
      <w:r w:rsidRPr="006E1C16">
        <w:rPr>
          <w:rFonts w:cs="Arial"/>
          <w:szCs w:val="19"/>
          <w:lang w:val="en-GB"/>
        </w:rPr>
        <w:t>he smallest</w:t>
      </w:r>
      <w:r w:rsidR="00785882">
        <w:rPr>
          <w:rFonts w:cs="Arial"/>
          <w:szCs w:val="19"/>
          <w:lang w:val="en-GB"/>
        </w:rPr>
        <w:t xml:space="preserve"> </w:t>
      </w:r>
      <w:r w:rsidR="00F06D8F">
        <w:rPr>
          <w:rFonts w:cs="Arial"/>
          <w:szCs w:val="19"/>
          <w:lang w:val="en-GB"/>
        </w:rPr>
        <w:t>– in</w:t>
      </w:r>
      <w:r w:rsidRPr="006E1C16">
        <w:rPr>
          <w:rFonts w:cs="Arial"/>
          <w:szCs w:val="19"/>
          <w:lang w:val="en-GB"/>
        </w:rPr>
        <w:t xml:space="preserve"> t</w:t>
      </w:r>
      <w:r>
        <w:rPr>
          <w:rFonts w:cs="Arial"/>
          <w:szCs w:val="19"/>
          <w:lang w:val="en-GB"/>
        </w:rPr>
        <w:t>he households of employees (</w:t>
      </w:r>
      <w:r w:rsidR="003D2E26">
        <w:rPr>
          <w:rFonts w:cs="Arial"/>
          <w:szCs w:val="19"/>
          <w:lang w:val="en-GB"/>
        </w:rPr>
        <w:t>27.</w:t>
      </w:r>
      <w:r w:rsidR="00FA769E">
        <w:rPr>
          <w:rFonts w:cs="Arial"/>
          <w:szCs w:val="19"/>
          <w:lang w:val="en-GB"/>
        </w:rPr>
        <w:t>9</w:t>
      </w:r>
      <w:r w:rsidR="00FE6DCD">
        <w:rPr>
          <w:rFonts w:cs="Arial"/>
          <w:szCs w:val="19"/>
          <w:lang w:val="en-GB"/>
        </w:rPr>
        <w:t> </w:t>
      </w:r>
      <w:r w:rsidRPr="006E1C16">
        <w:rPr>
          <w:rFonts w:cs="Arial"/>
          <w:szCs w:val="19"/>
          <w:lang w:val="en-GB"/>
        </w:rPr>
        <w:t>m</w:t>
      </w:r>
      <w:r w:rsidRPr="006E1C16">
        <w:rPr>
          <w:rFonts w:cs="Arial"/>
          <w:szCs w:val="19"/>
          <w:vertAlign w:val="superscript"/>
          <w:lang w:val="en-GB"/>
        </w:rPr>
        <w:t>2</w:t>
      </w:r>
      <w:r w:rsidRPr="006E1C16">
        <w:rPr>
          <w:rFonts w:cs="Arial"/>
          <w:szCs w:val="19"/>
          <w:lang w:val="en-GB"/>
        </w:rPr>
        <w:t>).</w:t>
      </w:r>
    </w:p>
    <w:p w14:paraId="7EE94F56" w14:textId="32F5A990" w:rsidR="00BB40E7" w:rsidRPr="00290FBD" w:rsidRDefault="00BB40E7" w:rsidP="005071C2">
      <w:pPr>
        <w:rPr>
          <w:rFonts w:cs="Arial"/>
          <w:spacing w:val="-2"/>
          <w:szCs w:val="19"/>
          <w:lang w:val="en-GB"/>
        </w:rPr>
      </w:pPr>
      <w:r w:rsidRPr="00290FBD">
        <w:rPr>
          <w:rFonts w:cs="Arial"/>
          <w:spacing w:val="-2"/>
          <w:szCs w:val="19"/>
          <w:lang w:val="en-GB"/>
        </w:rPr>
        <w:t xml:space="preserve">The area of dwellings occupied by households was </w:t>
      </w:r>
      <w:r w:rsidR="00F06D8F">
        <w:rPr>
          <w:rFonts w:cs="Arial"/>
          <w:spacing w:val="-2"/>
          <w:szCs w:val="19"/>
          <w:lang w:val="en-GB"/>
        </w:rPr>
        <w:t>also differentiated according to the</w:t>
      </w:r>
      <w:r w:rsidRPr="00290FBD">
        <w:rPr>
          <w:rFonts w:cs="Arial"/>
          <w:spacing w:val="-2"/>
          <w:szCs w:val="19"/>
          <w:lang w:val="en-GB"/>
        </w:rPr>
        <w:t xml:space="preserve"> level of their income. </w:t>
      </w:r>
      <w:r w:rsidR="00F06D8F">
        <w:rPr>
          <w:rFonts w:cs="Arial"/>
          <w:spacing w:val="-2"/>
          <w:szCs w:val="19"/>
          <w:lang w:val="en-GB"/>
        </w:rPr>
        <w:t>In the case of the h</w:t>
      </w:r>
      <w:r w:rsidRPr="00290FBD">
        <w:rPr>
          <w:rFonts w:cs="Arial"/>
          <w:spacing w:val="-2"/>
          <w:szCs w:val="19"/>
          <w:lang w:val="en-GB"/>
        </w:rPr>
        <w:t>ouseholds with the highest income (5th quintile</w:t>
      </w:r>
      <w:r w:rsidR="00D71B29">
        <w:rPr>
          <w:rFonts w:cs="Arial"/>
          <w:spacing w:val="-2"/>
          <w:szCs w:val="19"/>
          <w:lang w:val="en-GB"/>
        </w:rPr>
        <w:t xml:space="preserve"> group</w:t>
      </w:r>
      <w:r w:rsidRPr="00290FBD">
        <w:rPr>
          <w:rFonts w:cs="Arial"/>
          <w:spacing w:val="-2"/>
          <w:szCs w:val="19"/>
          <w:lang w:val="en-GB"/>
        </w:rPr>
        <w:t xml:space="preserve">) </w:t>
      </w:r>
      <w:r w:rsidR="00CD16C1">
        <w:rPr>
          <w:rFonts w:cs="Arial"/>
          <w:spacing w:val="-2"/>
          <w:szCs w:val="19"/>
          <w:lang w:val="en-GB"/>
        </w:rPr>
        <w:t xml:space="preserve">average </w:t>
      </w:r>
      <w:r w:rsidRPr="00290FBD">
        <w:rPr>
          <w:rFonts w:cs="Arial"/>
          <w:spacing w:val="-2"/>
          <w:szCs w:val="19"/>
          <w:lang w:val="en-GB"/>
        </w:rPr>
        <w:t xml:space="preserve">occupied </w:t>
      </w:r>
      <w:r w:rsidR="00F06D8F">
        <w:rPr>
          <w:rFonts w:cs="Arial"/>
          <w:spacing w:val="-2"/>
          <w:szCs w:val="19"/>
          <w:lang w:val="en-GB"/>
        </w:rPr>
        <w:t xml:space="preserve">area was </w:t>
      </w:r>
      <w:r w:rsidRPr="00290FBD">
        <w:rPr>
          <w:rFonts w:cs="Arial"/>
          <w:spacing w:val="-2"/>
          <w:szCs w:val="19"/>
          <w:lang w:val="en-GB"/>
        </w:rPr>
        <w:t>smaller (</w:t>
      </w:r>
      <w:r w:rsidR="00956DF8">
        <w:rPr>
          <w:rFonts w:cs="Arial"/>
          <w:spacing w:val="-2"/>
          <w:szCs w:val="19"/>
          <w:lang w:val="en-GB"/>
        </w:rPr>
        <w:t>84.6</w:t>
      </w:r>
      <w:r w:rsidRPr="00290FBD">
        <w:rPr>
          <w:rFonts w:cs="Arial"/>
          <w:spacing w:val="-2"/>
          <w:szCs w:val="19"/>
          <w:lang w:val="en-GB"/>
        </w:rPr>
        <w:t xml:space="preserve"> m</w:t>
      </w:r>
      <w:r w:rsidRPr="00290FBD">
        <w:rPr>
          <w:rFonts w:cs="Arial"/>
          <w:spacing w:val="-2"/>
          <w:szCs w:val="19"/>
          <w:vertAlign w:val="superscript"/>
          <w:lang w:val="en-GB"/>
        </w:rPr>
        <w:t>2</w:t>
      </w:r>
      <w:r w:rsidRPr="00290FBD">
        <w:rPr>
          <w:rFonts w:cs="Arial"/>
          <w:spacing w:val="-2"/>
          <w:szCs w:val="19"/>
          <w:lang w:val="en-GB"/>
        </w:rPr>
        <w:t>) than households with the lowest income (1st quintile</w:t>
      </w:r>
      <w:r w:rsidR="00D71B29">
        <w:rPr>
          <w:rFonts w:cs="Arial"/>
          <w:spacing w:val="-2"/>
          <w:szCs w:val="19"/>
          <w:lang w:val="en-GB"/>
        </w:rPr>
        <w:t xml:space="preserve"> group</w:t>
      </w:r>
      <w:r w:rsidRPr="00290FBD">
        <w:rPr>
          <w:rFonts w:cs="Arial"/>
          <w:spacing w:val="-2"/>
          <w:szCs w:val="19"/>
          <w:lang w:val="en-GB"/>
        </w:rPr>
        <w:t xml:space="preserve">) – </w:t>
      </w:r>
      <w:r w:rsidR="00956DF8">
        <w:rPr>
          <w:rFonts w:cs="Arial"/>
          <w:spacing w:val="-2"/>
          <w:szCs w:val="19"/>
          <w:lang w:val="en-GB"/>
        </w:rPr>
        <w:t>91.2</w:t>
      </w:r>
      <w:r w:rsidRPr="00290FBD">
        <w:rPr>
          <w:rFonts w:cs="Arial"/>
          <w:spacing w:val="-2"/>
          <w:szCs w:val="19"/>
          <w:lang w:val="en-GB"/>
        </w:rPr>
        <w:t xml:space="preserve"> m</w:t>
      </w:r>
      <w:r w:rsidRPr="00290FBD">
        <w:rPr>
          <w:rFonts w:cs="Arial"/>
          <w:spacing w:val="-2"/>
          <w:szCs w:val="19"/>
          <w:shd w:val="clear" w:color="auto" w:fill="FFFFFF" w:themeFill="background1"/>
          <w:vertAlign w:val="superscript"/>
          <w:lang w:val="en-GB"/>
        </w:rPr>
        <w:t>2</w:t>
      </w:r>
      <w:r w:rsidR="00FE6DCD">
        <w:rPr>
          <w:rFonts w:cs="Arial"/>
          <w:spacing w:val="-2"/>
          <w:szCs w:val="19"/>
          <w:shd w:val="clear" w:color="auto" w:fill="FFFFFF" w:themeFill="background1"/>
          <w:lang w:val="en-GB"/>
        </w:rPr>
        <w:t>.</w:t>
      </w:r>
      <w:r w:rsidRPr="00290FBD">
        <w:rPr>
          <w:rFonts w:cs="Arial"/>
          <w:spacing w:val="-2"/>
          <w:szCs w:val="19"/>
          <w:shd w:val="clear" w:color="auto" w:fill="FFFFFF" w:themeFill="background1"/>
          <w:lang w:val="en-GB"/>
        </w:rPr>
        <w:t xml:space="preserve"> </w:t>
      </w:r>
      <w:r w:rsidR="00FE6DCD">
        <w:rPr>
          <w:rFonts w:cs="Arial"/>
          <w:spacing w:val="-2"/>
          <w:szCs w:val="19"/>
          <w:shd w:val="clear" w:color="auto" w:fill="FFFFFF" w:themeFill="background1"/>
          <w:lang w:val="en-GB"/>
        </w:rPr>
        <w:t>H</w:t>
      </w:r>
      <w:r w:rsidR="00E33004">
        <w:rPr>
          <w:rFonts w:cs="Arial"/>
          <w:spacing w:val="-2"/>
          <w:szCs w:val="19"/>
          <w:shd w:val="clear" w:color="auto" w:fill="FFFFFF" w:themeFill="background1"/>
          <w:lang w:val="en-GB"/>
        </w:rPr>
        <w:t>owever,</w:t>
      </w:r>
      <w:r w:rsidRPr="00290FBD">
        <w:rPr>
          <w:rFonts w:cs="Arial"/>
          <w:spacing w:val="-2"/>
          <w:szCs w:val="19"/>
          <w:shd w:val="clear" w:color="auto" w:fill="FFFFFF" w:themeFill="background1"/>
          <w:lang w:val="en-GB"/>
        </w:rPr>
        <w:t xml:space="preserve"> members </w:t>
      </w:r>
      <w:r w:rsidR="00FE6DCD">
        <w:rPr>
          <w:rFonts w:cs="Arial"/>
          <w:spacing w:val="-2"/>
          <w:szCs w:val="19"/>
          <w:shd w:val="clear" w:color="auto" w:fill="FFFFFF" w:themeFill="background1"/>
          <w:lang w:val="en-GB"/>
        </w:rPr>
        <w:t xml:space="preserve">of households </w:t>
      </w:r>
      <w:r w:rsidR="00956DF8">
        <w:rPr>
          <w:rFonts w:cs="Arial"/>
          <w:spacing w:val="-2"/>
          <w:szCs w:val="19"/>
          <w:shd w:val="clear" w:color="auto" w:fill="FFFFFF" w:themeFill="background1"/>
          <w:lang w:val="en-GB"/>
        </w:rPr>
        <w:t>from 5</w:t>
      </w:r>
      <w:r w:rsidR="00956DF8" w:rsidRPr="00956DF8">
        <w:rPr>
          <w:rFonts w:cs="Arial"/>
          <w:spacing w:val="-2"/>
          <w:szCs w:val="19"/>
          <w:shd w:val="clear" w:color="auto" w:fill="FFFFFF" w:themeFill="background1"/>
          <w:lang w:val="en-GB"/>
        </w:rPr>
        <w:t>th</w:t>
      </w:r>
      <w:r w:rsidR="00956DF8">
        <w:rPr>
          <w:rFonts w:cs="Arial"/>
          <w:spacing w:val="-2"/>
          <w:szCs w:val="19"/>
          <w:shd w:val="clear" w:color="auto" w:fill="FFFFFF" w:themeFill="background1"/>
          <w:lang w:val="en-GB"/>
        </w:rPr>
        <w:t xml:space="preserve"> quintile group </w:t>
      </w:r>
      <w:r w:rsidRPr="00290FBD">
        <w:rPr>
          <w:rFonts w:cs="Arial"/>
          <w:spacing w:val="-2"/>
          <w:szCs w:val="19"/>
          <w:shd w:val="clear" w:color="auto" w:fill="FFFFFF" w:themeFill="background1"/>
          <w:lang w:val="en-GB"/>
        </w:rPr>
        <w:t xml:space="preserve">had </w:t>
      </w:r>
      <w:r w:rsidR="00E33004">
        <w:rPr>
          <w:rFonts w:cs="Arial"/>
          <w:spacing w:val="-2"/>
          <w:szCs w:val="19"/>
          <w:shd w:val="clear" w:color="auto" w:fill="FFFFFF" w:themeFill="background1"/>
          <w:lang w:val="en-GB"/>
        </w:rPr>
        <w:t xml:space="preserve">much </w:t>
      </w:r>
      <w:r w:rsidR="00226C26">
        <w:rPr>
          <w:rFonts w:cs="Arial"/>
          <w:spacing w:val="-2"/>
          <w:szCs w:val="19"/>
          <w:shd w:val="clear" w:color="auto" w:fill="FFFFFF" w:themeFill="background1"/>
          <w:lang w:val="en-GB"/>
        </w:rPr>
        <w:t>greater</w:t>
      </w:r>
      <w:r w:rsidRPr="00290FBD">
        <w:rPr>
          <w:rFonts w:cs="Arial"/>
          <w:spacing w:val="-2"/>
          <w:szCs w:val="19"/>
          <w:shd w:val="clear" w:color="auto" w:fill="FFFFFF" w:themeFill="background1"/>
          <w:lang w:val="en-GB"/>
        </w:rPr>
        <w:t xml:space="preserve"> floor </w:t>
      </w:r>
      <w:r w:rsidR="00E33004">
        <w:rPr>
          <w:rFonts w:cs="Arial"/>
          <w:spacing w:val="-2"/>
          <w:szCs w:val="19"/>
          <w:shd w:val="clear" w:color="auto" w:fill="FFFFFF" w:themeFill="background1"/>
          <w:lang w:val="en-GB"/>
        </w:rPr>
        <w:t>area</w:t>
      </w:r>
      <w:r w:rsidR="0053510F">
        <w:rPr>
          <w:rFonts w:cs="Arial"/>
          <w:spacing w:val="-2"/>
          <w:szCs w:val="19"/>
          <w:shd w:val="clear" w:color="auto" w:fill="FFFFFF" w:themeFill="background1"/>
          <w:lang w:val="en-GB"/>
        </w:rPr>
        <w:t xml:space="preserve"> of a dwelling </w:t>
      </w:r>
      <w:r w:rsidRPr="00290FBD">
        <w:rPr>
          <w:rFonts w:cs="Arial"/>
          <w:spacing w:val="-2"/>
          <w:szCs w:val="19"/>
          <w:shd w:val="clear" w:color="auto" w:fill="FFFFFF" w:themeFill="background1"/>
          <w:lang w:val="en-GB"/>
        </w:rPr>
        <w:t xml:space="preserve">per </w:t>
      </w:r>
      <w:r w:rsidR="000D7AC4" w:rsidRPr="00290FBD">
        <w:rPr>
          <w:rFonts w:cs="Arial"/>
          <w:spacing w:val="-2"/>
          <w:szCs w:val="19"/>
          <w:shd w:val="clear" w:color="auto" w:fill="FFFFFF" w:themeFill="background1"/>
          <w:lang w:val="en-GB"/>
        </w:rPr>
        <w:t>capita</w:t>
      </w:r>
      <w:r w:rsidRPr="00290FBD">
        <w:rPr>
          <w:rFonts w:cs="Arial"/>
          <w:spacing w:val="-2"/>
          <w:szCs w:val="19"/>
          <w:shd w:val="clear" w:color="auto" w:fill="FFFFFF" w:themeFill="background1"/>
          <w:lang w:val="en-GB"/>
        </w:rPr>
        <w:t xml:space="preserve"> (</w:t>
      </w:r>
      <w:r w:rsidR="00785882">
        <w:rPr>
          <w:rFonts w:cs="Arial"/>
          <w:spacing w:val="-2"/>
          <w:szCs w:val="19"/>
          <w:shd w:val="clear" w:color="auto" w:fill="FFFFFF" w:themeFill="background1"/>
          <w:lang w:val="en-GB"/>
        </w:rPr>
        <w:t>39.3</w:t>
      </w:r>
      <w:r w:rsidRPr="00290FBD">
        <w:rPr>
          <w:rFonts w:cs="Arial"/>
          <w:spacing w:val="-2"/>
          <w:szCs w:val="19"/>
          <w:shd w:val="clear" w:color="auto" w:fill="FFFFFF" w:themeFill="background1"/>
          <w:lang w:val="en-GB"/>
        </w:rPr>
        <w:t> m</w:t>
      </w:r>
      <w:r w:rsidRPr="00290FBD">
        <w:rPr>
          <w:rFonts w:cs="Arial"/>
          <w:spacing w:val="-2"/>
          <w:szCs w:val="19"/>
          <w:vertAlign w:val="superscript"/>
          <w:lang w:val="en-GB"/>
        </w:rPr>
        <w:t>2</w:t>
      </w:r>
      <w:r w:rsidR="00FE6DCD">
        <w:rPr>
          <w:rFonts w:cs="Arial"/>
          <w:spacing w:val="-2"/>
          <w:szCs w:val="19"/>
          <w:shd w:val="clear" w:color="auto" w:fill="FFFFFF" w:themeFill="background1"/>
          <w:lang w:val="en-GB"/>
        </w:rPr>
        <w:t xml:space="preserve">) than households </w:t>
      </w:r>
      <w:r w:rsidR="00956DF8">
        <w:rPr>
          <w:rFonts w:cs="Arial"/>
          <w:spacing w:val="-2"/>
          <w:szCs w:val="19"/>
          <w:shd w:val="clear" w:color="auto" w:fill="FFFFFF" w:themeFill="background1"/>
          <w:lang w:val="en-GB"/>
        </w:rPr>
        <w:t>from 1</w:t>
      </w:r>
      <w:r w:rsidR="00956DF8" w:rsidRPr="00956DF8">
        <w:rPr>
          <w:rFonts w:cs="Arial"/>
          <w:spacing w:val="-2"/>
          <w:szCs w:val="19"/>
          <w:shd w:val="clear" w:color="auto" w:fill="FFFFFF" w:themeFill="background1"/>
          <w:lang w:val="en-GB"/>
        </w:rPr>
        <w:t>st</w:t>
      </w:r>
      <w:r w:rsidR="00956DF8">
        <w:rPr>
          <w:rFonts w:cs="Arial"/>
          <w:spacing w:val="-2"/>
          <w:szCs w:val="19"/>
          <w:shd w:val="clear" w:color="auto" w:fill="FFFFFF" w:themeFill="background1"/>
          <w:lang w:val="en-GB"/>
        </w:rPr>
        <w:t xml:space="preserve"> quintile group</w:t>
      </w:r>
      <w:r w:rsidR="00FE6DCD">
        <w:rPr>
          <w:rFonts w:cs="Arial"/>
          <w:spacing w:val="-2"/>
          <w:szCs w:val="19"/>
          <w:shd w:val="clear" w:color="auto" w:fill="FFFFFF" w:themeFill="background1"/>
          <w:lang w:val="en-GB"/>
        </w:rPr>
        <w:t xml:space="preserve"> (</w:t>
      </w:r>
      <w:r w:rsidR="00FA769E">
        <w:rPr>
          <w:rFonts w:cs="Arial"/>
          <w:spacing w:val="-2"/>
          <w:szCs w:val="19"/>
          <w:shd w:val="clear" w:color="auto" w:fill="FFFFFF" w:themeFill="background1"/>
          <w:lang w:val="en-GB"/>
        </w:rPr>
        <w:t>25.4</w:t>
      </w:r>
      <w:r w:rsidRPr="00290FBD">
        <w:rPr>
          <w:rFonts w:cs="Arial"/>
          <w:spacing w:val="-2"/>
          <w:szCs w:val="19"/>
          <w:shd w:val="clear" w:color="auto" w:fill="FFFFFF" w:themeFill="background1"/>
          <w:lang w:val="en-GB"/>
        </w:rPr>
        <w:t xml:space="preserve"> m</w:t>
      </w:r>
      <w:r w:rsidRPr="00290FBD">
        <w:rPr>
          <w:rFonts w:cs="Arial"/>
          <w:spacing w:val="-2"/>
          <w:szCs w:val="19"/>
          <w:vertAlign w:val="superscript"/>
          <w:lang w:val="en-GB"/>
        </w:rPr>
        <w:t>2</w:t>
      </w:r>
      <w:r w:rsidRPr="00290FBD">
        <w:rPr>
          <w:rFonts w:cs="Arial"/>
          <w:spacing w:val="-2"/>
          <w:szCs w:val="19"/>
          <w:shd w:val="clear" w:color="auto" w:fill="FFFFFF" w:themeFill="background1"/>
          <w:lang w:val="en-GB"/>
        </w:rPr>
        <w:t>)</w:t>
      </w:r>
      <w:r w:rsidRPr="00290FBD">
        <w:rPr>
          <w:rStyle w:val="Odwoanieprzypisudolnego"/>
          <w:rFonts w:cs="Arial"/>
          <w:spacing w:val="-2"/>
          <w:szCs w:val="19"/>
          <w:lang w:val="en-GB"/>
        </w:rPr>
        <w:footnoteReference w:id="8"/>
      </w:r>
      <w:r w:rsidRPr="00290FBD">
        <w:rPr>
          <w:rFonts w:cs="Arial"/>
          <w:spacing w:val="-2"/>
          <w:szCs w:val="19"/>
          <w:shd w:val="clear" w:color="auto" w:fill="FFFFFF" w:themeFill="background1"/>
          <w:lang w:val="en-GB"/>
        </w:rPr>
        <w:t>.</w:t>
      </w:r>
      <w:r w:rsidR="00F5255B">
        <w:rPr>
          <w:rFonts w:cs="Arial"/>
          <w:spacing w:val="-2"/>
          <w:szCs w:val="19"/>
          <w:shd w:val="clear" w:color="auto" w:fill="FFFFFF" w:themeFill="background1"/>
          <w:lang w:val="en-GB"/>
        </w:rPr>
        <w:t xml:space="preserve"> </w:t>
      </w:r>
    </w:p>
    <w:p w14:paraId="7EE94F57" w14:textId="0F0A8B2C" w:rsidR="00E33004" w:rsidRDefault="00E33004" w:rsidP="005071C2">
      <w:pPr>
        <w:rPr>
          <w:rFonts w:cs="Arial"/>
          <w:bCs/>
          <w:szCs w:val="19"/>
          <w:lang w:val="en-GB"/>
        </w:rPr>
      </w:pPr>
      <w:r w:rsidRPr="00E33004">
        <w:rPr>
          <w:rFonts w:cs="Arial"/>
          <w:bCs/>
          <w:szCs w:val="19"/>
          <w:lang w:val="en-GB"/>
        </w:rPr>
        <w:t>The equip</w:t>
      </w:r>
      <w:r w:rsidR="003C7300">
        <w:rPr>
          <w:rFonts w:cs="Arial"/>
          <w:bCs/>
          <w:szCs w:val="19"/>
          <w:lang w:val="en-GB"/>
        </w:rPr>
        <w:t xml:space="preserve">ment </w:t>
      </w:r>
      <w:r w:rsidRPr="00E33004">
        <w:rPr>
          <w:rFonts w:cs="Arial"/>
          <w:bCs/>
          <w:szCs w:val="19"/>
          <w:lang w:val="en-GB"/>
        </w:rPr>
        <w:t xml:space="preserve">of </w:t>
      </w:r>
      <w:r>
        <w:rPr>
          <w:rFonts w:cs="Arial"/>
          <w:bCs/>
          <w:szCs w:val="19"/>
          <w:lang w:val="en-GB"/>
        </w:rPr>
        <w:t>dwellings</w:t>
      </w:r>
      <w:r w:rsidRPr="00E33004">
        <w:rPr>
          <w:rFonts w:cs="Arial"/>
          <w:bCs/>
          <w:szCs w:val="19"/>
          <w:lang w:val="en-GB"/>
        </w:rPr>
        <w:t xml:space="preserve"> with technical and sanitary installations is systematically improving. </w:t>
      </w:r>
      <w:r>
        <w:rPr>
          <w:rFonts w:cs="Arial"/>
          <w:bCs/>
          <w:szCs w:val="19"/>
          <w:lang w:val="en-GB"/>
        </w:rPr>
        <w:t xml:space="preserve">Dwellings equipped with </w:t>
      </w:r>
      <w:r w:rsidRPr="00E33004">
        <w:rPr>
          <w:rFonts w:cs="Arial"/>
          <w:bCs/>
          <w:szCs w:val="19"/>
          <w:lang w:val="en-GB"/>
        </w:rPr>
        <w:t xml:space="preserve">water </w:t>
      </w:r>
      <w:r w:rsidR="00956DF8">
        <w:rPr>
          <w:rFonts w:cs="Arial"/>
          <w:bCs/>
          <w:szCs w:val="19"/>
          <w:lang w:val="en-GB"/>
        </w:rPr>
        <w:t xml:space="preserve">supply </w:t>
      </w:r>
      <w:r w:rsidRPr="00E33004">
        <w:rPr>
          <w:rFonts w:cs="Arial"/>
          <w:bCs/>
          <w:szCs w:val="19"/>
          <w:lang w:val="en-GB"/>
        </w:rPr>
        <w:t xml:space="preserve">accounted for 99.9% of all households, </w:t>
      </w:r>
      <w:r w:rsidR="00956DF8">
        <w:rPr>
          <w:rFonts w:cs="Arial"/>
          <w:bCs/>
          <w:szCs w:val="19"/>
          <w:lang w:val="en-GB"/>
        </w:rPr>
        <w:t xml:space="preserve">with hot running water – 99.5%, </w:t>
      </w:r>
      <w:r w:rsidR="003D2E26">
        <w:rPr>
          <w:rFonts w:cs="Arial"/>
          <w:bCs/>
          <w:szCs w:val="19"/>
          <w:lang w:val="en-GB"/>
        </w:rPr>
        <w:t>with sewage system and</w:t>
      </w:r>
      <w:r w:rsidRPr="00E33004">
        <w:rPr>
          <w:rFonts w:cs="Arial"/>
          <w:bCs/>
          <w:szCs w:val="19"/>
          <w:lang w:val="en-GB"/>
        </w:rPr>
        <w:t xml:space="preserve"> a flush</w:t>
      </w:r>
      <w:r>
        <w:rPr>
          <w:rFonts w:cs="Arial"/>
          <w:bCs/>
          <w:szCs w:val="19"/>
          <w:lang w:val="en-GB"/>
        </w:rPr>
        <w:t>ing</w:t>
      </w:r>
      <w:r w:rsidRPr="00E33004">
        <w:rPr>
          <w:rFonts w:cs="Arial"/>
          <w:bCs/>
          <w:szCs w:val="19"/>
          <w:lang w:val="en-GB"/>
        </w:rPr>
        <w:t xml:space="preserve"> toilet </w:t>
      </w:r>
      <w:r>
        <w:rPr>
          <w:rFonts w:cs="Arial"/>
          <w:bCs/>
          <w:szCs w:val="19"/>
          <w:lang w:val="en-GB"/>
        </w:rPr>
        <w:t>–</w:t>
      </w:r>
      <w:r w:rsidRPr="00E33004">
        <w:rPr>
          <w:rFonts w:cs="Arial"/>
          <w:bCs/>
          <w:szCs w:val="19"/>
          <w:lang w:val="en-GB"/>
        </w:rPr>
        <w:t xml:space="preserve"> 9</w:t>
      </w:r>
      <w:r w:rsidR="00A166BC">
        <w:rPr>
          <w:rFonts w:cs="Arial"/>
          <w:bCs/>
          <w:szCs w:val="19"/>
          <w:lang w:val="en-GB"/>
        </w:rPr>
        <w:t>9</w:t>
      </w:r>
      <w:r w:rsidRPr="00E33004">
        <w:rPr>
          <w:rFonts w:cs="Arial"/>
          <w:bCs/>
          <w:szCs w:val="19"/>
          <w:lang w:val="en-GB"/>
        </w:rPr>
        <w:t>.</w:t>
      </w:r>
      <w:r w:rsidR="00FA769E">
        <w:rPr>
          <w:rFonts w:cs="Arial"/>
          <w:bCs/>
          <w:szCs w:val="19"/>
          <w:lang w:val="en-GB"/>
        </w:rPr>
        <w:t>4</w:t>
      </w:r>
      <w:r w:rsidRPr="00E33004">
        <w:rPr>
          <w:rFonts w:cs="Arial"/>
          <w:bCs/>
          <w:szCs w:val="19"/>
          <w:lang w:val="en-GB"/>
        </w:rPr>
        <w:t>%</w:t>
      </w:r>
      <w:r w:rsidR="003D2E26">
        <w:rPr>
          <w:rFonts w:cs="Arial"/>
          <w:bCs/>
          <w:szCs w:val="19"/>
          <w:lang w:val="en-GB"/>
        </w:rPr>
        <w:t xml:space="preserve"> each,</w:t>
      </w:r>
      <w:r w:rsidRPr="00E33004">
        <w:rPr>
          <w:rFonts w:cs="Arial"/>
          <w:bCs/>
          <w:szCs w:val="19"/>
          <w:lang w:val="en-GB"/>
        </w:rPr>
        <w:t xml:space="preserve"> and </w:t>
      </w:r>
      <w:r>
        <w:rPr>
          <w:rFonts w:cs="Arial"/>
          <w:bCs/>
          <w:szCs w:val="19"/>
          <w:lang w:val="en-GB"/>
        </w:rPr>
        <w:t xml:space="preserve">with </w:t>
      </w:r>
      <w:r w:rsidR="00DE01E4">
        <w:rPr>
          <w:rFonts w:cs="Arial"/>
          <w:bCs/>
          <w:szCs w:val="19"/>
          <w:lang w:val="en-GB"/>
        </w:rPr>
        <w:t>a </w:t>
      </w:r>
      <w:r w:rsidRPr="00E33004">
        <w:rPr>
          <w:rFonts w:cs="Arial"/>
          <w:bCs/>
          <w:szCs w:val="19"/>
          <w:lang w:val="en-GB"/>
        </w:rPr>
        <w:t xml:space="preserve">bathroom </w:t>
      </w:r>
      <w:r>
        <w:rPr>
          <w:rFonts w:cs="Arial"/>
          <w:bCs/>
          <w:szCs w:val="19"/>
          <w:lang w:val="en-GB"/>
        </w:rPr>
        <w:t>–</w:t>
      </w:r>
      <w:r w:rsidRPr="00E33004">
        <w:rPr>
          <w:rFonts w:cs="Arial"/>
          <w:bCs/>
          <w:szCs w:val="19"/>
          <w:lang w:val="en-GB"/>
        </w:rPr>
        <w:t xml:space="preserve"> 9</w:t>
      </w:r>
      <w:r w:rsidR="00A166BC">
        <w:rPr>
          <w:rFonts w:cs="Arial"/>
          <w:bCs/>
          <w:szCs w:val="19"/>
          <w:lang w:val="en-GB"/>
        </w:rPr>
        <w:t>9</w:t>
      </w:r>
      <w:r w:rsidRPr="00E33004">
        <w:rPr>
          <w:rFonts w:cs="Arial"/>
          <w:bCs/>
          <w:szCs w:val="19"/>
          <w:lang w:val="en-GB"/>
        </w:rPr>
        <w:t>.</w:t>
      </w:r>
      <w:r w:rsidR="00785882">
        <w:rPr>
          <w:rFonts w:cs="Arial"/>
          <w:bCs/>
          <w:szCs w:val="19"/>
          <w:lang w:val="en-GB"/>
        </w:rPr>
        <w:t>2</w:t>
      </w:r>
      <w:r w:rsidRPr="00E33004">
        <w:rPr>
          <w:rFonts w:cs="Arial"/>
          <w:bCs/>
          <w:szCs w:val="19"/>
          <w:lang w:val="en-GB"/>
        </w:rPr>
        <w:t>%.</w:t>
      </w:r>
    </w:p>
    <w:p w14:paraId="7EE94F58" w14:textId="317DCEAC" w:rsidR="00E33004" w:rsidRDefault="00AD0863" w:rsidP="005071C2">
      <w:pPr>
        <w:rPr>
          <w:rFonts w:cs="Arial"/>
          <w:szCs w:val="19"/>
          <w:lang w:val="en-GB"/>
        </w:rPr>
      </w:pPr>
      <w:r>
        <w:rPr>
          <w:rFonts w:cs="Arial"/>
          <w:szCs w:val="19"/>
          <w:lang w:val="en-GB"/>
        </w:rPr>
        <w:t>As in the previous years</w:t>
      </w:r>
      <w:r w:rsidR="00E33004" w:rsidRPr="00E33004">
        <w:rPr>
          <w:rFonts w:cs="Arial"/>
          <w:szCs w:val="19"/>
          <w:lang w:val="en-GB"/>
        </w:rPr>
        <w:t>, the best equipped with technical and sanitary installations (</w:t>
      </w:r>
      <w:r w:rsidR="00E33004">
        <w:rPr>
          <w:rFonts w:cs="Arial"/>
          <w:szCs w:val="19"/>
          <w:lang w:val="en-GB"/>
        </w:rPr>
        <w:t>except</w:t>
      </w:r>
      <w:r w:rsidR="00E33004" w:rsidRPr="00E33004">
        <w:rPr>
          <w:rFonts w:cs="Arial"/>
          <w:szCs w:val="19"/>
          <w:lang w:val="en-GB"/>
        </w:rPr>
        <w:t xml:space="preserve"> gas and central heating) were the </w:t>
      </w:r>
      <w:r w:rsidR="00E33004">
        <w:rPr>
          <w:rFonts w:cs="Arial"/>
          <w:szCs w:val="19"/>
          <w:lang w:val="en-GB"/>
        </w:rPr>
        <w:t>dwellings</w:t>
      </w:r>
      <w:r w:rsidR="00E33004" w:rsidRPr="00E33004">
        <w:rPr>
          <w:rFonts w:cs="Arial"/>
          <w:szCs w:val="19"/>
          <w:lang w:val="en-GB"/>
        </w:rPr>
        <w:t xml:space="preserve"> of self-employed outside farm</w:t>
      </w:r>
      <w:r w:rsidR="00E33004">
        <w:rPr>
          <w:rFonts w:cs="Arial"/>
          <w:szCs w:val="19"/>
          <w:lang w:val="en-GB"/>
        </w:rPr>
        <w:t>ing</w:t>
      </w:r>
      <w:r w:rsidR="0053510F">
        <w:rPr>
          <w:rFonts w:cs="Arial"/>
          <w:szCs w:val="19"/>
          <w:lang w:val="en-GB"/>
        </w:rPr>
        <w:t xml:space="preserve"> persons</w:t>
      </w:r>
      <w:r w:rsidR="00E33004" w:rsidRPr="00E33004">
        <w:rPr>
          <w:rFonts w:cs="Arial"/>
          <w:szCs w:val="19"/>
          <w:lang w:val="en-GB"/>
        </w:rPr>
        <w:t xml:space="preserve">, and the worst </w:t>
      </w:r>
      <w:r w:rsidR="00E33004">
        <w:rPr>
          <w:rFonts w:cs="Arial"/>
          <w:szCs w:val="19"/>
          <w:lang w:val="en-GB"/>
        </w:rPr>
        <w:t>–</w:t>
      </w:r>
      <w:r w:rsidR="00E33004" w:rsidRPr="00E33004">
        <w:rPr>
          <w:rFonts w:cs="Arial"/>
          <w:szCs w:val="19"/>
          <w:lang w:val="en-GB"/>
        </w:rPr>
        <w:t xml:space="preserve"> households of pensioners.</w:t>
      </w:r>
      <w:r w:rsidR="00D328AD">
        <w:rPr>
          <w:rFonts w:cs="Arial"/>
          <w:szCs w:val="19"/>
          <w:lang w:val="en-GB"/>
        </w:rPr>
        <w:t xml:space="preserve"> </w:t>
      </w:r>
      <w:r w:rsidR="00D328AD" w:rsidRPr="00D328AD">
        <w:rPr>
          <w:rFonts w:cs="Arial"/>
          <w:szCs w:val="19"/>
          <w:lang w:val="en-GB"/>
        </w:rPr>
        <w:t>The differences in the level of equipment in favour of the self-employed were insignificant and did not exceed 1.4 percentage points.</w:t>
      </w:r>
    </w:p>
    <w:p w14:paraId="7EE94F59" w14:textId="243920CB" w:rsidR="00BB40E7" w:rsidRDefault="00BB40E7" w:rsidP="005071C2">
      <w:pPr>
        <w:rPr>
          <w:rFonts w:cs="Arial"/>
          <w:szCs w:val="19"/>
          <w:lang w:val="en-GB"/>
        </w:rPr>
      </w:pPr>
      <w:r w:rsidRPr="006E1C16">
        <w:rPr>
          <w:rFonts w:cs="Arial"/>
          <w:szCs w:val="19"/>
          <w:lang w:val="en-GB"/>
        </w:rPr>
        <w:t xml:space="preserve">Households in urban areas were slightly better equipped with sanitary and technical installations </w:t>
      </w:r>
      <w:r w:rsidR="001D40F5">
        <w:rPr>
          <w:rFonts w:cs="Arial"/>
          <w:szCs w:val="19"/>
          <w:lang w:val="en-GB"/>
        </w:rPr>
        <w:t>than households in rural areas</w:t>
      </w:r>
      <w:r w:rsidR="00CD16C1">
        <w:rPr>
          <w:rFonts w:cs="Arial"/>
          <w:szCs w:val="19"/>
          <w:lang w:val="en-GB"/>
        </w:rPr>
        <w:t xml:space="preserve">, </w:t>
      </w:r>
      <w:r w:rsidR="00CD16C1" w:rsidRPr="006E1C16">
        <w:rPr>
          <w:rFonts w:cs="Arial"/>
          <w:szCs w:val="19"/>
          <w:lang w:val="en-GB"/>
        </w:rPr>
        <w:t xml:space="preserve">except </w:t>
      </w:r>
      <w:r w:rsidR="00CD16C1">
        <w:rPr>
          <w:rFonts w:cs="Arial"/>
          <w:szCs w:val="19"/>
          <w:lang w:val="en-GB"/>
        </w:rPr>
        <w:t xml:space="preserve">equipping with </w:t>
      </w:r>
      <w:r w:rsidR="00CD16C1" w:rsidRPr="006E1C16">
        <w:rPr>
          <w:rFonts w:cs="Arial"/>
          <w:szCs w:val="19"/>
          <w:lang w:val="en-GB"/>
        </w:rPr>
        <w:t>gas</w:t>
      </w:r>
      <w:r w:rsidR="00CD16C1">
        <w:rPr>
          <w:rFonts w:cs="Arial"/>
          <w:szCs w:val="19"/>
          <w:lang w:val="en-GB"/>
        </w:rPr>
        <w:t xml:space="preserve">, </w:t>
      </w:r>
      <w:r w:rsidR="00CD16C1" w:rsidRPr="00CD16C1">
        <w:rPr>
          <w:rFonts w:cs="Arial"/>
          <w:szCs w:val="19"/>
          <w:lang w:val="en-GB"/>
        </w:rPr>
        <w:t>which is related to the refusal to equip new multi-family buildings with gas installations</w:t>
      </w:r>
      <w:r w:rsidR="001D40F5">
        <w:rPr>
          <w:rFonts w:cs="Arial"/>
          <w:szCs w:val="19"/>
          <w:lang w:val="en-GB"/>
        </w:rPr>
        <w:t>.</w:t>
      </w:r>
      <w:r w:rsidR="00A166BC">
        <w:rPr>
          <w:rFonts w:cs="Arial"/>
          <w:szCs w:val="19"/>
          <w:lang w:val="en-GB"/>
        </w:rPr>
        <w:t xml:space="preserve"> </w:t>
      </w:r>
    </w:p>
    <w:p w14:paraId="4704FD6B" w14:textId="0E4AFB99" w:rsidR="000075A1" w:rsidRDefault="000075A1" w:rsidP="000075A1">
      <w:pPr>
        <w:spacing w:before="360" w:after="360" w:line="240" w:lineRule="auto"/>
        <w:rPr>
          <w:rFonts w:cs="Arial"/>
          <w:szCs w:val="19"/>
          <w:lang w:val="en-GB"/>
        </w:rPr>
      </w:pPr>
      <w:r w:rsidRPr="002D6870">
        <w:rPr>
          <w:noProof/>
          <w:lang w:eastAsia="pl-PL"/>
        </w:rPr>
        <w:lastRenderedPageBreak/>
        <mc:AlternateContent>
          <mc:Choice Requires="wps">
            <w:drawing>
              <wp:anchor distT="45720" distB="45720" distL="114300" distR="114300" simplePos="0" relativeHeight="251834368" behindDoc="1" locked="0" layoutInCell="1" allowOverlap="1" wp14:anchorId="7EE94FD0" wp14:editId="421CCF48">
                <wp:simplePos x="0" y="0"/>
                <wp:positionH relativeFrom="column">
                  <wp:posOffset>5269230</wp:posOffset>
                </wp:positionH>
                <wp:positionV relativeFrom="paragraph">
                  <wp:posOffset>949960</wp:posOffset>
                </wp:positionV>
                <wp:extent cx="1725295" cy="1343660"/>
                <wp:effectExtent l="0" t="0" r="0" b="0"/>
                <wp:wrapTight wrapText="bothSides">
                  <wp:wrapPolygon edited="0">
                    <wp:start x="715" y="0"/>
                    <wp:lineTo x="715" y="21130"/>
                    <wp:lineTo x="20749" y="21130"/>
                    <wp:lineTo x="20749" y="0"/>
                    <wp:lineTo x="715" y="0"/>
                  </wp:wrapPolygon>
                </wp:wrapTight>
                <wp:docPr id="51"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43660"/>
                        </a:xfrm>
                        <a:prstGeom prst="rect">
                          <a:avLst/>
                        </a:prstGeom>
                        <a:noFill/>
                        <a:ln w="9525">
                          <a:noFill/>
                          <a:miter lim="800000"/>
                          <a:headEnd/>
                          <a:tailEnd/>
                        </a:ln>
                      </wps:spPr>
                      <wps:txbx>
                        <w:txbxContent>
                          <w:p w14:paraId="7EE95022" w14:textId="77777777" w:rsidR="00E127EB" w:rsidRPr="007E0E31" w:rsidRDefault="00E127EB" w:rsidP="00BB40E7">
                            <w:pPr>
                              <w:rPr>
                                <w:color w:val="001D77"/>
                                <w:szCs w:val="18"/>
                                <w:lang w:val="en-GB"/>
                              </w:rPr>
                            </w:pPr>
                            <w:r w:rsidRPr="007E0E31">
                              <w:rPr>
                                <w:rFonts w:cs="Arial"/>
                                <w:color w:val="001D77"/>
                                <w:szCs w:val="19"/>
                                <w:lang w:val="en-GB"/>
                              </w:rPr>
                              <w:t>Households in urban areas were slightly better equipped with sanitary and technical installations (except gas) than households in rural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D0" id="Pole tekstowe 25" o:spid="_x0000_s1041" type="#_x0000_t202" style="position:absolute;margin-left:414.9pt;margin-top:74.8pt;width:135.85pt;height:105.8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" filled="f" stroked="f">
                <v:textbox>
                  <w:txbxContent>
                    <w:p w14:paraId="7EE95022" w14:textId="77777777" w:rsidR="00E127EB" w:rsidRPr="007E0E31" w:rsidRDefault="00E127EB" w:rsidP="00BB40E7">
                      <w:pPr>
                        <w:rPr>
                          <w:color w:val="001D77"/>
                          <w:szCs w:val="18"/>
                          <w:lang w:val="en-GB"/>
                        </w:rPr>
                      </w:pPr>
                      <w:r w:rsidRPr="007E0E31">
                        <w:rPr>
                          <w:rFonts w:cs="Arial"/>
                          <w:color w:val="001D77"/>
                          <w:szCs w:val="19"/>
                          <w:lang w:val="en-GB"/>
                        </w:rPr>
                        <w:t>Households in urban areas were slightly better equipped with sanitary and technical installations (except gas) than households in rural areas</w:t>
                      </w:r>
                    </w:p>
                  </w:txbxContent>
                </v:textbox>
                <w10:wrap type="tight"/>
              </v:shape>
            </w:pict>
          </mc:Fallback>
        </mc:AlternateContent>
      </w:r>
      <w:r>
        <w:rPr>
          <w:noProof/>
          <w:lang w:eastAsia="pl-PL"/>
        </w:rPr>
        <w:drawing>
          <wp:inline distT="0" distB="0" distL="0" distR="0" wp14:anchorId="650B050C" wp14:editId="4C110B4D">
            <wp:extent cx="5122545" cy="2843530"/>
            <wp:effectExtent l="0" t="0" r="1905" b="0"/>
            <wp:docPr id="195" name="Wykres 19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3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E94F5C" w14:textId="26BA9694" w:rsidR="00BB40E7" w:rsidRPr="000075A1" w:rsidRDefault="003C7300" w:rsidP="005071C2">
      <w:pPr>
        <w:jc w:val="both"/>
        <w:rPr>
          <w:noProof/>
          <w:lang w:val="en-GB" w:eastAsia="pl-PL"/>
        </w:rPr>
      </w:pPr>
      <w:r>
        <w:rPr>
          <w:rFonts w:cs="Arial"/>
          <w:bCs/>
          <w:spacing w:val="2"/>
          <w:szCs w:val="19"/>
          <w:lang w:val="en-GB"/>
        </w:rPr>
        <w:t>T</w:t>
      </w:r>
      <w:r w:rsidR="00534B2A">
        <w:rPr>
          <w:rFonts w:cs="Arial"/>
          <w:bCs/>
          <w:spacing w:val="2"/>
          <w:szCs w:val="19"/>
          <w:lang w:val="en-GB"/>
        </w:rPr>
        <w:t xml:space="preserve">here is clear relationship </w:t>
      </w:r>
      <w:r>
        <w:rPr>
          <w:rFonts w:cs="Arial"/>
          <w:bCs/>
          <w:spacing w:val="2"/>
          <w:szCs w:val="19"/>
          <w:lang w:val="en-GB"/>
        </w:rPr>
        <w:t xml:space="preserve">between </w:t>
      </w:r>
      <w:r w:rsidRPr="00AD1C4D">
        <w:rPr>
          <w:rFonts w:cs="Arial"/>
          <w:bCs/>
          <w:spacing w:val="2"/>
          <w:szCs w:val="19"/>
          <w:lang w:val="en-GB"/>
        </w:rPr>
        <w:t>household’s</w:t>
      </w:r>
      <w:r>
        <w:rPr>
          <w:rFonts w:cs="Arial"/>
          <w:bCs/>
          <w:spacing w:val="2"/>
          <w:szCs w:val="19"/>
          <w:lang w:val="en-GB"/>
        </w:rPr>
        <w:t xml:space="preserve"> income and t</w:t>
      </w:r>
      <w:r w:rsidR="00BB40E7" w:rsidRPr="002D6870">
        <w:rPr>
          <w:rFonts w:cs="Arial"/>
          <w:bCs/>
          <w:spacing w:val="2"/>
          <w:szCs w:val="19"/>
          <w:lang w:val="en-GB"/>
        </w:rPr>
        <w:t xml:space="preserve">he equipment </w:t>
      </w:r>
      <w:r w:rsidR="00BB40E7" w:rsidRPr="00AD1C4D">
        <w:rPr>
          <w:rFonts w:cs="Arial"/>
          <w:bCs/>
          <w:spacing w:val="2"/>
          <w:szCs w:val="19"/>
          <w:lang w:val="en-GB"/>
        </w:rPr>
        <w:t>of dwellings in sanitary and technical install</w:t>
      </w:r>
      <w:r w:rsidR="00BC16CA" w:rsidRPr="00AD1C4D">
        <w:rPr>
          <w:rFonts w:cs="Arial"/>
          <w:bCs/>
          <w:spacing w:val="2"/>
          <w:szCs w:val="19"/>
          <w:lang w:val="en-GB"/>
        </w:rPr>
        <w:t>ations</w:t>
      </w:r>
      <w:r w:rsidR="00BB40E7" w:rsidRPr="00AD1C4D">
        <w:rPr>
          <w:rFonts w:cs="Arial"/>
          <w:bCs/>
          <w:spacing w:val="2"/>
          <w:szCs w:val="19"/>
          <w:lang w:val="en-GB"/>
        </w:rPr>
        <w:t xml:space="preserve">, </w:t>
      </w:r>
      <w:r w:rsidR="001B1600">
        <w:rPr>
          <w:rFonts w:cs="Arial"/>
          <w:bCs/>
          <w:spacing w:val="2"/>
          <w:szCs w:val="19"/>
          <w:lang w:val="en-GB"/>
        </w:rPr>
        <w:t>except</w:t>
      </w:r>
      <w:r w:rsidR="00BB40E7" w:rsidRPr="00AD1C4D">
        <w:rPr>
          <w:rFonts w:cs="Arial"/>
          <w:bCs/>
          <w:spacing w:val="2"/>
          <w:szCs w:val="19"/>
          <w:lang w:val="en-GB"/>
        </w:rPr>
        <w:t xml:space="preserve"> gas, which </w:t>
      </w:r>
      <w:r w:rsidR="00D856F5" w:rsidRPr="00AD1C4D">
        <w:rPr>
          <w:rFonts w:cs="Arial"/>
          <w:bCs/>
          <w:spacing w:val="2"/>
          <w:szCs w:val="19"/>
          <w:lang w:val="en-GB"/>
        </w:rPr>
        <w:t>was</w:t>
      </w:r>
      <w:r w:rsidR="00BB40E7" w:rsidRPr="00AD1C4D">
        <w:rPr>
          <w:rFonts w:cs="Arial"/>
          <w:bCs/>
          <w:spacing w:val="2"/>
          <w:szCs w:val="19"/>
          <w:lang w:val="en-GB"/>
        </w:rPr>
        <w:t xml:space="preserve"> use</w:t>
      </w:r>
      <w:r w:rsidR="00D856F5" w:rsidRPr="00AD1C4D">
        <w:rPr>
          <w:rFonts w:cs="Arial"/>
          <w:bCs/>
          <w:spacing w:val="2"/>
          <w:szCs w:val="19"/>
          <w:lang w:val="en-GB"/>
        </w:rPr>
        <w:t>d by</w:t>
      </w:r>
      <w:r w:rsidR="00BB40E7" w:rsidRPr="00AD1C4D">
        <w:rPr>
          <w:rFonts w:cs="Arial"/>
          <w:bCs/>
          <w:spacing w:val="2"/>
          <w:szCs w:val="19"/>
          <w:lang w:val="en-GB"/>
        </w:rPr>
        <w:t xml:space="preserve"> the richest households</w:t>
      </w:r>
      <w:r w:rsidR="00D856F5" w:rsidRPr="00AD1C4D">
        <w:rPr>
          <w:rFonts w:cs="Arial"/>
          <w:bCs/>
          <w:spacing w:val="2"/>
          <w:szCs w:val="19"/>
          <w:lang w:val="en-GB"/>
        </w:rPr>
        <w:t xml:space="preserve"> the least</w:t>
      </w:r>
      <w:r w:rsidR="00290FBD" w:rsidRPr="00AD1C4D">
        <w:rPr>
          <w:rFonts w:cs="Arial"/>
          <w:bCs/>
          <w:spacing w:val="2"/>
          <w:szCs w:val="19"/>
          <w:lang w:val="en-GB"/>
        </w:rPr>
        <w:t xml:space="preserve"> (5</w:t>
      </w:r>
      <w:r w:rsidR="00BC16CA" w:rsidRPr="00AD1C4D">
        <w:rPr>
          <w:rFonts w:cs="Arial"/>
          <w:bCs/>
          <w:spacing w:val="2"/>
          <w:szCs w:val="19"/>
          <w:lang w:val="en-GB"/>
        </w:rPr>
        <w:t>th</w:t>
      </w:r>
      <w:r w:rsidR="00290FBD" w:rsidRPr="00AD1C4D">
        <w:rPr>
          <w:rFonts w:cs="Arial"/>
          <w:bCs/>
          <w:spacing w:val="2"/>
          <w:szCs w:val="19"/>
          <w:lang w:val="en-GB"/>
        </w:rPr>
        <w:t> </w:t>
      </w:r>
      <w:r w:rsidR="00BB40E7" w:rsidRPr="00AD1C4D">
        <w:rPr>
          <w:rFonts w:cs="Arial"/>
          <w:bCs/>
          <w:spacing w:val="2"/>
          <w:szCs w:val="19"/>
          <w:lang w:val="en-GB"/>
        </w:rPr>
        <w:t>quintile group).</w:t>
      </w:r>
      <w:r w:rsidR="00BB40E7" w:rsidRPr="00AD1C4D">
        <w:rPr>
          <w:rFonts w:cs="Arial"/>
          <w:spacing w:val="2"/>
          <w:szCs w:val="19"/>
          <w:lang w:val="en-GB"/>
        </w:rPr>
        <w:t xml:space="preserve"> </w:t>
      </w:r>
      <w:r w:rsidR="00BB40E7" w:rsidRPr="00AD1C4D">
        <w:rPr>
          <w:rFonts w:cs="Arial"/>
          <w:bCs/>
          <w:spacing w:val="2"/>
          <w:szCs w:val="19"/>
          <w:lang w:val="en-GB"/>
        </w:rPr>
        <w:t>The most significant difference in this area between 1st and 5th quintile group</w:t>
      </w:r>
      <w:r>
        <w:rPr>
          <w:rFonts w:cs="Arial"/>
          <w:bCs/>
          <w:spacing w:val="2"/>
          <w:szCs w:val="19"/>
          <w:lang w:val="en-GB"/>
        </w:rPr>
        <w:t xml:space="preserve"> </w:t>
      </w:r>
      <w:r w:rsidR="00BB40E7" w:rsidRPr="00AD1C4D">
        <w:rPr>
          <w:rFonts w:cs="Arial"/>
          <w:bCs/>
          <w:spacing w:val="2"/>
          <w:szCs w:val="19"/>
          <w:lang w:val="en-GB"/>
        </w:rPr>
        <w:t>in favour of the richest</w:t>
      </w:r>
      <w:r>
        <w:rPr>
          <w:rFonts w:cs="Arial"/>
          <w:bCs/>
          <w:spacing w:val="2"/>
          <w:szCs w:val="19"/>
          <w:lang w:val="en-GB"/>
        </w:rPr>
        <w:t xml:space="preserve"> households</w:t>
      </w:r>
      <w:r w:rsidR="00BB40E7" w:rsidRPr="00AD1C4D">
        <w:rPr>
          <w:rFonts w:cs="Arial"/>
          <w:bCs/>
          <w:spacing w:val="2"/>
          <w:szCs w:val="19"/>
          <w:lang w:val="en-GB"/>
        </w:rPr>
        <w:t xml:space="preserve"> concerned the equipment with central heating (</w:t>
      </w:r>
      <w:r w:rsidR="00DF1506">
        <w:rPr>
          <w:rFonts w:cs="Arial"/>
          <w:bCs/>
          <w:spacing w:val="2"/>
          <w:szCs w:val="19"/>
          <w:lang w:val="en-GB"/>
        </w:rPr>
        <w:t xml:space="preserve">by </w:t>
      </w:r>
      <w:r w:rsidR="001B1600">
        <w:rPr>
          <w:rFonts w:cs="Arial"/>
          <w:bCs/>
          <w:spacing w:val="2"/>
          <w:szCs w:val="19"/>
          <w:lang w:val="en-GB"/>
        </w:rPr>
        <w:t>5.</w:t>
      </w:r>
      <w:r w:rsidR="0048227C">
        <w:rPr>
          <w:rFonts w:cs="Arial"/>
          <w:bCs/>
          <w:spacing w:val="2"/>
          <w:szCs w:val="19"/>
          <w:lang w:val="en-GB"/>
        </w:rPr>
        <w:t>1</w:t>
      </w:r>
      <w:r w:rsidR="00BB40E7" w:rsidRPr="00AD1C4D">
        <w:rPr>
          <w:rFonts w:cs="Arial"/>
          <w:bCs/>
          <w:spacing w:val="2"/>
          <w:szCs w:val="19"/>
          <w:lang w:val="en-GB"/>
        </w:rPr>
        <w:t> </w:t>
      </w:r>
      <w:r w:rsidR="00BB40E7" w:rsidRPr="00AD1C4D">
        <w:rPr>
          <w:rFonts w:cs="Arial"/>
          <w:spacing w:val="2"/>
          <w:szCs w:val="19"/>
          <w:lang w:val="en-GB"/>
        </w:rPr>
        <w:t>percentage points</w:t>
      </w:r>
      <w:r w:rsidR="00BB40E7" w:rsidRPr="00AD1C4D">
        <w:rPr>
          <w:rFonts w:cs="Arial"/>
          <w:bCs/>
          <w:spacing w:val="2"/>
          <w:szCs w:val="19"/>
          <w:lang w:val="en-GB"/>
        </w:rPr>
        <w:t>), bathroom (</w:t>
      </w:r>
      <w:r w:rsidR="00DF1506">
        <w:rPr>
          <w:rFonts w:cs="Arial"/>
          <w:bCs/>
          <w:spacing w:val="2"/>
          <w:szCs w:val="19"/>
          <w:lang w:val="en-GB"/>
        </w:rPr>
        <w:t xml:space="preserve">by </w:t>
      </w:r>
      <w:r w:rsidR="0048227C">
        <w:rPr>
          <w:rFonts w:cs="Arial"/>
          <w:bCs/>
          <w:spacing w:val="2"/>
          <w:szCs w:val="19"/>
          <w:lang w:val="en-GB"/>
        </w:rPr>
        <w:t>1.9</w:t>
      </w:r>
      <w:r w:rsidR="00BB40E7" w:rsidRPr="00AD1C4D">
        <w:rPr>
          <w:rFonts w:cs="Arial"/>
          <w:bCs/>
          <w:spacing w:val="2"/>
          <w:szCs w:val="19"/>
          <w:lang w:val="en-GB"/>
        </w:rPr>
        <w:t xml:space="preserve"> percentage points) and flushing toilet (</w:t>
      </w:r>
      <w:r w:rsidR="00DF1506">
        <w:rPr>
          <w:rFonts w:cs="Arial"/>
          <w:bCs/>
          <w:spacing w:val="2"/>
          <w:szCs w:val="19"/>
          <w:lang w:val="en-GB"/>
        </w:rPr>
        <w:t xml:space="preserve">by </w:t>
      </w:r>
      <w:r w:rsidR="0048227C">
        <w:rPr>
          <w:rFonts w:cs="Arial"/>
          <w:bCs/>
          <w:spacing w:val="2"/>
          <w:szCs w:val="19"/>
          <w:lang w:val="en-GB"/>
        </w:rPr>
        <w:t>1.4</w:t>
      </w:r>
      <w:r w:rsidR="00BB40E7" w:rsidRPr="00AD1C4D">
        <w:rPr>
          <w:rFonts w:cs="Arial"/>
          <w:bCs/>
          <w:spacing w:val="2"/>
          <w:szCs w:val="19"/>
          <w:lang w:val="en-GB"/>
        </w:rPr>
        <w:t xml:space="preserve"> percentage point</w:t>
      </w:r>
      <w:r w:rsidR="00BC16CA" w:rsidRPr="00AD1C4D">
        <w:rPr>
          <w:rFonts w:cs="Arial"/>
          <w:bCs/>
          <w:spacing w:val="2"/>
          <w:szCs w:val="19"/>
          <w:lang w:val="en-GB"/>
        </w:rPr>
        <w:t>s</w:t>
      </w:r>
      <w:r w:rsidR="00BB40E7" w:rsidRPr="00AD1C4D">
        <w:rPr>
          <w:rFonts w:cs="Arial"/>
          <w:bCs/>
          <w:spacing w:val="2"/>
          <w:szCs w:val="19"/>
          <w:lang w:val="en-GB"/>
        </w:rPr>
        <w:t>).</w:t>
      </w:r>
      <w:r>
        <w:rPr>
          <w:rFonts w:cs="Arial"/>
          <w:bCs/>
          <w:spacing w:val="2"/>
          <w:szCs w:val="19"/>
          <w:lang w:val="en-GB"/>
        </w:rPr>
        <w:t xml:space="preserve"> These</w:t>
      </w:r>
      <w:r w:rsidR="00BB40E7" w:rsidRPr="00AD1C4D">
        <w:rPr>
          <w:rFonts w:cs="Arial"/>
          <w:bCs/>
          <w:spacing w:val="2"/>
          <w:szCs w:val="19"/>
          <w:lang w:val="en-GB"/>
        </w:rPr>
        <w:t xml:space="preserve"> </w:t>
      </w:r>
      <w:r>
        <w:rPr>
          <w:rFonts w:cs="Arial"/>
          <w:bCs/>
          <w:spacing w:val="2"/>
          <w:szCs w:val="19"/>
          <w:lang w:val="en-GB"/>
        </w:rPr>
        <w:t>d</w:t>
      </w:r>
      <w:r w:rsidR="00BB40E7" w:rsidRPr="00AD1C4D">
        <w:rPr>
          <w:rFonts w:cs="Arial"/>
          <w:bCs/>
          <w:spacing w:val="2"/>
          <w:szCs w:val="19"/>
          <w:lang w:val="en-GB"/>
        </w:rPr>
        <w:t xml:space="preserve">ifferences </w:t>
      </w:r>
      <w:r w:rsidR="00DF1506">
        <w:rPr>
          <w:rFonts w:cs="Arial"/>
          <w:bCs/>
          <w:spacing w:val="2"/>
          <w:szCs w:val="19"/>
          <w:lang w:val="en-GB"/>
        </w:rPr>
        <w:t>remain on similar to</w:t>
      </w:r>
      <w:r w:rsidR="00BB40E7" w:rsidRPr="00AD1C4D">
        <w:rPr>
          <w:rFonts w:cs="Arial"/>
          <w:bCs/>
          <w:spacing w:val="2"/>
          <w:szCs w:val="19"/>
          <w:lang w:val="en-GB"/>
        </w:rPr>
        <w:t xml:space="preserve"> 20</w:t>
      </w:r>
      <w:r w:rsidR="00BC1678">
        <w:rPr>
          <w:rFonts w:cs="Arial"/>
          <w:bCs/>
          <w:spacing w:val="2"/>
          <w:szCs w:val="19"/>
          <w:lang w:val="en-GB"/>
        </w:rPr>
        <w:t>2</w:t>
      </w:r>
      <w:r w:rsidR="0048227C">
        <w:rPr>
          <w:rFonts w:cs="Arial"/>
          <w:bCs/>
          <w:spacing w:val="2"/>
          <w:szCs w:val="19"/>
          <w:lang w:val="en-GB"/>
        </w:rPr>
        <w:t>4</w:t>
      </w:r>
      <w:r w:rsidR="00DF1506">
        <w:rPr>
          <w:rFonts w:cs="Arial"/>
          <w:bCs/>
          <w:spacing w:val="2"/>
          <w:szCs w:val="19"/>
          <w:lang w:val="en-GB"/>
        </w:rPr>
        <w:t xml:space="preserve"> level</w:t>
      </w:r>
      <w:r w:rsidR="00BB40E7" w:rsidRPr="00AD1C4D">
        <w:rPr>
          <w:rFonts w:cs="Arial"/>
          <w:bCs/>
          <w:spacing w:val="2"/>
          <w:szCs w:val="19"/>
          <w:lang w:val="en-GB"/>
        </w:rPr>
        <w:t>.</w:t>
      </w:r>
    </w:p>
    <w:p w14:paraId="7EE94F5E" w14:textId="526F32EB" w:rsidR="00BB40E7" w:rsidRPr="00230699" w:rsidRDefault="000075A1" w:rsidP="00DC28C6">
      <w:pPr>
        <w:spacing w:before="360" w:after="360" w:line="240" w:lineRule="auto"/>
        <w:jc w:val="both"/>
        <w:rPr>
          <w:spacing w:val="-2"/>
          <w:szCs w:val="19"/>
          <w:shd w:val="clear" w:color="auto" w:fill="FFFFFF"/>
        </w:rPr>
      </w:pPr>
      <w:r>
        <w:rPr>
          <w:noProof/>
          <w:lang w:eastAsia="pl-PL"/>
        </w:rPr>
        <w:drawing>
          <wp:inline distT="0" distB="0" distL="0" distR="0" wp14:anchorId="0F013884" wp14:editId="44EB73D2">
            <wp:extent cx="5122545" cy="2807970"/>
            <wp:effectExtent l="0" t="0" r="1905" b="0"/>
            <wp:docPr id="197" name="Wykres 1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3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E94F60" w14:textId="7D601E15" w:rsidR="00BB40E7" w:rsidRPr="004700B5" w:rsidRDefault="0080273B" w:rsidP="00DC28C6">
      <w:pPr>
        <w:spacing w:before="360" w:line="240" w:lineRule="auto"/>
        <w:rPr>
          <w:rFonts w:ascii="Fira Sans SemiBold" w:hAnsi="Fira Sans SemiBold"/>
          <w:color w:val="001D77"/>
          <w:szCs w:val="19"/>
          <w:shd w:val="clear" w:color="auto" w:fill="FFFFFF"/>
          <w:lang w:val="en-GB"/>
        </w:rPr>
      </w:pPr>
      <w:r w:rsidRPr="004700B5">
        <w:rPr>
          <w:noProof/>
          <w:lang w:eastAsia="pl-PL"/>
        </w:rPr>
        <mc:AlternateContent>
          <mc:Choice Requires="wps">
            <w:drawing>
              <wp:anchor distT="45720" distB="45720" distL="114300" distR="114300" simplePos="0" relativeHeight="251832320" behindDoc="1" locked="0" layoutInCell="1" allowOverlap="1" wp14:anchorId="7EE94FD6" wp14:editId="3AD63B4C">
                <wp:simplePos x="0" y="0"/>
                <wp:positionH relativeFrom="column">
                  <wp:posOffset>5269230</wp:posOffset>
                </wp:positionH>
                <wp:positionV relativeFrom="paragraph">
                  <wp:posOffset>90805</wp:posOffset>
                </wp:positionV>
                <wp:extent cx="1725295" cy="1694180"/>
                <wp:effectExtent l="0" t="0" r="0" b="1270"/>
                <wp:wrapTight wrapText="bothSides">
                  <wp:wrapPolygon edited="0">
                    <wp:start x="715" y="0"/>
                    <wp:lineTo x="715" y="21373"/>
                    <wp:lineTo x="20749" y="21373"/>
                    <wp:lineTo x="20749" y="0"/>
                    <wp:lineTo x="715" y="0"/>
                  </wp:wrapPolygon>
                </wp:wrapTight>
                <wp:docPr id="50"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94180"/>
                        </a:xfrm>
                        <a:prstGeom prst="rect">
                          <a:avLst/>
                        </a:prstGeom>
                        <a:noFill/>
                        <a:ln w="9525">
                          <a:noFill/>
                          <a:miter lim="800000"/>
                          <a:headEnd/>
                          <a:tailEnd/>
                        </a:ln>
                      </wps:spPr>
                      <wps:txbx>
                        <w:txbxContent>
                          <w:p w14:paraId="7EE95023" w14:textId="728ABBFA" w:rsidR="00E127EB" w:rsidRPr="007E0E31" w:rsidRDefault="00E127EB"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w:t>
                            </w:r>
                            <w:r>
                              <w:rPr>
                                <w:color w:val="001D77"/>
                                <w:spacing w:val="-2"/>
                                <w:szCs w:val="19"/>
                                <w:lang w:val="en-US"/>
                              </w:rPr>
                              <w:t>evaluation</w:t>
                            </w:r>
                            <w:r w:rsidRPr="007E0E31">
                              <w:rPr>
                                <w:color w:val="001D77"/>
                                <w:spacing w:val="-2"/>
                                <w:szCs w:val="19"/>
                                <w:lang w:val="en-US"/>
                              </w:rPr>
                              <w:t xml:space="preserve"> of the financial situation of households </w:t>
                            </w:r>
                            <w:r>
                              <w:rPr>
                                <w:color w:val="001D77"/>
                                <w:spacing w:val="-2"/>
                                <w:szCs w:val="19"/>
                                <w:lang w:val="en-US"/>
                              </w:rPr>
                              <w:t>improved in all socio-economic groups. G</w:t>
                            </w:r>
                            <w:r w:rsidRPr="00E717F6">
                              <w:rPr>
                                <w:color w:val="001D77"/>
                                <w:spacing w:val="-2"/>
                                <w:szCs w:val="19"/>
                                <w:lang w:val="en-US"/>
                              </w:rPr>
                              <w:t>ood or rather good assessments prevailed over bad or rather bad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4FD6" id="Pole tekstowe 23" o:spid="_x0000_s1042" type="#_x0000_t202" style="position:absolute;margin-left:414.9pt;margin-top:7.15pt;width:135.85pt;height:133.4pt;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" filled="f" stroked="f">
                <v:textbox>
                  <w:txbxContent>
                    <w:p w14:paraId="7EE95023" w14:textId="728ABBFA" w:rsidR="00E127EB" w:rsidRPr="007E0E31" w:rsidRDefault="00E127EB" w:rsidP="00BB40E7">
                      <w:pPr>
                        <w:spacing w:after="0"/>
                        <w:rPr>
                          <w:rFonts w:eastAsia="Times New Roman" w:cs="Times New Roman"/>
                          <w:bCs/>
                          <w:color w:val="001D77"/>
                          <w:sz w:val="18"/>
                          <w:szCs w:val="18"/>
                          <w:lang w:val="en-GB" w:eastAsia="pl-PL"/>
                        </w:rPr>
                      </w:pPr>
                      <w:r w:rsidRPr="007E0E31">
                        <w:rPr>
                          <w:color w:val="001D77"/>
                          <w:spacing w:val="-2"/>
                          <w:szCs w:val="19"/>
                          <w:lang w:val="en-US"/>
                        </w:rPr>
                        <w:t xml:space="preserve">The subjective </w:t>
                      </w:r>
                      <w:r>
                        <w:rPr>
                          <w:color w:val="001D77"/>
                          <w:spacing w:val="-2"/>
                          <w:szCs w:val="19"/>
                          <w:lang w:val="en-US"/>
                        </w:rPr>
                        <w:t>evaluation</w:t>
                      </w:r>
                      <w:r w:rsidRPr="007E0E31">
                        <w:rPr>
                          <w:color w:val="001D77"/>
                          <w:spacing w:val="-2"/>
                          <w:szCs w:val="19"/>
                          <w:lang w:val="en-US"/>
                        </w:rPr>
                        <w:t xml:space="preserve"> of the financial situation of households </w:t>
                      </w:r>
                      <w:r>
                        <w:rPr>
                          <w:color w:val="001D77"/>
                          <w:spacing w:val="-2"/>
                          <w:szCs w:val="19"/>
                          <w:lang w:val="en-US"/>
                        </w:rPr>
                        <w:t>improved in all socio-economic groups. G</w:t>
                      </w:r>
                      <w:r w:rsidRPr="00E717F6">
                        <w:rPr>
                          <w:color w:val="001D77"/>
                          <w:spacing w:val="-2"/>
                          <w:szCs w:val="19"/>
                          <w:lang w:val="en-US"/>
                        </w:rPr>
                        <w:t>ood or rather good assessments prevailed over bad or rather bad</w:t>
                      </w:r>
                    </w:p>
                  </w:txbxContent>
                </v:textbox>
                <w10:wrap type="tight"/>
              </v:shape>
            </w:pict>
          </mc:Fallback>
        </mc:AlternateContent>
      </w:r>
      <w:r w:rsidR="00BB40E7" w:rsidRPr="004700B5">
        <w:rPr>
          <w:rFonts w:ascii="Fira Sans SemiBold" w:hAnsi="Fira Sans SemiBold"/>
          <w:color w:val="001D77"/>
          <w:szCs w:val="19"/>
          <w:shd w:val="clear" w:color="auto" w:fill="FFFFFF"/>
          <w:lang w:val="en-GB"/>
        </w:rPr>
        <w:t xml:space="preserve">A subjective evaluation of the financial situation of households </w:t>
      </w:r>
    </w:p>
    <w:p w14:paraId="7EE94F61" w14:textId="4470B198" w:rsidR="00BB40E7" w:rsidRDefault="00BC1678" w:rsidP="005071C2">
      <w:pPr>
        <w:pStyle w:val="HTML-wstpniesformatowany"/>
        <w:spacing w:before="120" w:after="120" w:line="240" w:lineRule="exact"/>
        <w:rPr>
          <w:rFonts w:ascii="Fira Sans" w:hAnsi="Fira Sans"/>
          <w:sz w:val="19"/>
          <w:szCs w:val="19"/>
          <w:lang w:val="en-US"/>
        </w:rPr>
      </w:pPr>
      <w:r w:rsidRPr="008A648A">
        <w:rPr>
          <w:rFonts w:ascii="Fira Sans" w:hAnsi="Fira Sans"/>
          <w:sz w:val="19"/>
          <w:szCs w:val="19"/>
          <w:lang w:val="en-US"/>
        </w:rPr>
        <w:t>T</w:t>
      </w:r>
      <w:r w:rsidR="00BB40E7" w:rsidRPr="008A648A">
        <w:rPr>
          <w:rFonts w:ascii="Fira Sans" w:hAnsi="Fira Sans"/>
          <w:sz w:val="19"/>
          <w:szCs w:val="19"/>
          <w:lang w:val="en-US"/>
        </w:rPr>
        <w:t xml:space="preserve">he subjective </w:t>
      </w:r>
      <w:r w:rsidR="003C7300" w:rsidRPr="008A648A">
        <w:rPr>
          <w:rFonts w:ascii="Fira Sans" w:hAnsi="Fira Sans"/>
          <w:sz w:val="19"/>
          <w:szCs w:val="19"/>
          <w:lang w:val="en-US"/>
        </w:rPr>
        <w:t>evaluation</w:t>
      </w:r>
      <w:r w:rsidR="00BB40E7" w:rsidRPr="008A648A">
        <w:rPr>
          <w:rFonts w:ascii="Fira Sans" w:hAnsi="Fira Sans"/>
          <w:sz w:val="19"/>
          <w:szCs w:val="19"/>
          <w:lang w:val="en-US"/>
        </w:rPr>
        <w:t xml:space="preserve"> of the financial situation of households </w:t>
      </w:r>
      <w:r w:rsidR="00FB4F7E" w:rsidRPr="008A648A">
        <w:rPr>
          <w:rFonts w:ascii="Fira Sans" w:hAnsi="Fira Sans"/>
          <w:sz w:val="19"/>
          <w:szCs w:val="19"/>
          <w:lang w:val="en-US"/>
        </w:rPr>
        <w:t>in 202</w:t>
      </w:r>
      <w:r w:rsidR="0099144E">
        <w:rPr>
          <w:rFonts w:ascii="Fira Sans" w:hAnsi="Fira Sans"/>
          <w:sz w:val="19"/>
          <w:szCs w:val="19"/>
          <w:lang w:val="en-US"/>
        </w:rPr>
        <w:t>5</w:t>
      </w:r>
      <w:r w:rsidR="00FB4F7E" w:rsidRPr="008A648A">
        <w:rPr>
          <w:rFonts w:ascii="Fira Sans" w:hAnsi="Fira Sans"/>
          <w:sz w:val="19"/>
          <w:szCs w:val="19"/>
          <w:lang w:val="en-US"/>
        </w:rPr>
        <w:t xml:space="preserve"> </w:t>
      </w:r>
      <w:r w:rsidR="007A5AAA" w:rsidRPr="008A648A">
        <w:rPr>
          <w:rFonts w:ascii="Fira Sans" w:hAnsi="Fira Sans"/>
          <w:sz w:val="19"/>
          <w:szCs w:val="19"/>
          <w:lang w:val="en-US"/>
        </w:rPr>
        <w:t>improved</w:t>
      </w:r>
      <w:r w:rsidR="00FB4F7E" w:rsidRPr="008A648A">
        <w:rPr>
          <w:rFonts w:ascii="Fira Sans" w:hAnsi="Fira Sans"/>
          <w:sz w:val="19"/>
          <w:szCs w:val="19"/>
          <w:lang w:val="en-US"/>
        </w:rPr>
        <w:t xml:space="preserve"> </w:t>
      </w:r>
      <w:r w:rsidRPr="008A648A">
        <w:rPr>
          <w:rFonts w:ascii="Fira Sans" w:hAnsi="Fira Sans"/>
          <w:sz w:val="19"/>
          <w:szCs w:val="19"/>
          <w:lang w:val="en-US"/>
        </w:rPr>
        <w:t xml:space="preserve">in </w:t>
      </w:r>
      <w:r w:rsidR="00D328AD">
        <w:rPr>
          <w:rFonts w:ascii="Fira Sans" w:hAnsi="Fira Sans"/>
          <w:sz w:val="19"/>
          <w:szCs w:val="19"/>
          <w:lang w:val="en-US"/>
        </w:rPr>
        <w:t>all</w:t>
      </w:r>
      <w:r w:rsidR="005071C2">
        <w:rPr>
          <w:rFonts w:ascii="Fira Sans" w:hAnsi="Fira Sans"/>
          <w:sz w:val="19"/>
          <w:szCs w:val="19"/>
          <w:lang w:val="en-US"/>
        </w:rPr>
        <w:t xml:space="preserve"> socio-economic groups</w:t>
      </w:r>
      <w:r w:rsidR="00C7566A">
        <w:rPr>
          <w:rFonts w:ascii="Fira Sans" w:hAnsi="Fira Sans"/>
          <w:sz w:val="19"/>
          <w:szCs w:val="19"/>
          <w:lang w:val="en-US"/>
        </w:rPr>
        <w:t>.</w:t>
      </w:r>
      <w:r w:rsidR="00785882">
        <w:rPr>
          <w:rFonts w:ascii="Fira Sans" w:hAnsi="Fira Sans"/>
          <w:sz w:val="19"/>
          <w:szCs w:val="19"/>
          <w:lang w:val="en-US"/>
        </w:rPr>
        <w:t xml:space="preserve"> </w:t>
      </w:r>
      <w:r w:rsidR="00C7566A">
        <w:rPr>
          <w:rFonts w:ascii="Fira Sans" w:hAnsi="Fira Sans"/>
          <w:sz w:val="19"/>
          <w:szCs w:val="19"/>
          <w:lang w:val="en-US"/>
        </w:rPr>
        <w:t>G</w:t>
      </w:r>
      <w:r w:rsidR="006A6058" w:rsidRPr="008A648A">
        <w:rPr>
          <w:rFonts w:ascii="Fira Sans" w:hAnsi="Fira Sans"/>
          <w:sz w:val="19"/>
          <w:szCs w:val="19"/>
          <w:lang w:val="en-US"/>
        </w:rPr>
        <w:t>ood or rather good assessments prevailed over bad or rather bad.</w:t>
      </w:r>
      <w:r w:rsidR="00E408D3" w:rsidRPr="008A648A">
        <w:rPr>
          <w:rFonts w:ascii="Fira Sans" w:hAnsi="Fira Sans"/>
          <w:sz w:val="19"/>
          <w:szCs w:val="19"/>
          <w:lang w:val="en-US"/>
        </w:rPr>
        <w:t xml:space="preserve"> </w:t>
      </w:r>
      <w:r w:rsidR="00BB40E7" w:rsidRPr="008A648A">
        <w:rPr>
          <w:rFonts w:ascii="Fira Sans" w:hAnsi="Fira Sans"/>
          <w:sz w:val="19"/>
          <w:szCs w:val="19"/>
          <w:lang w:val="en-US"/>
        </w:rPr>
        <w:t>In 20</w:t>
      </w:r>
      <w:r w:rsidR="003C7300" w:rsidRPr="008A648A">
        <w:rPr>
          <w:rFonts w:ascii="Fira Sans" w:hAnsi="Fira Sans"/>
          <w:sz w:val="19"/>
          <w:szCs w:val="19"/>
          <w:lang w:val="en-US"/>
        </w:rPr>
        <w:t>2</w:t>
      </w:r>
      <w:r w:rsidR="0099144E">
        <w:rPr>
          <w:rFonts w:ascii="Fira Sans" w:hAnsi="Fira Sans"/>
          <w:sz w:val="19"/>
          <w:szCs w:val="19"/>
          <w:lang w:val="en-US"/>
        </w:rPr>
        <w:t>5</w:t>
      </w:r>
      <w:r w:rsidR="00BB40E7" w:rsidRPr="008A648A">
        <w:rPr>
          <w:rFonts w:ascii="Fira Sans" w:hAnsi="Fira Sans"/>
          <w:sz w:val="19"/>
          <w:szCs w:val="19"/>
          <w:lang w:val="en-US"/>
        </w:rPr>
        <w:t>, there was a</w:t>
      </w:r>
      <w:r w:rsidR="007A5AAA" w:rsidRPr="008A648A">
        <w:rPr>
          <w:rFonts w:ascii="Fira Sans" w:hAnsi="Fira Sans"/>
          <w:sz w:val="19"/>
          <w:szCs w:val="19"/>
          <w:lang w:val="en-US"/>
        </w:rPr>
        <w:t>n</w:t>
      </w:r>
      <w:r w:rsidR="00BB40E7" w:rsidRPr="008A648A">
        <w:rPr>
          <w:rFonts w:ascii="Fira Sans" w:hAnsi="Fira Sans"/>
          <w:sz w:val="19"/>
          <w:szCs w:val="19"/>
          <w:lang w:val="en-US"/>
        </w:rPr>
        <w:t xml:space="preserve"> </w:t>
      </w:r>
      <w:r w:rsidR="007A5AAA" w:rsidRPr="008A648A">
        <w:rPr>
          <w:rFonts w:ascii="Fira Sans" w:hAnsi="Fira Sans"/>
          <w:sz w:val="19"/>
          <w:szCs w:val="19"/>
          <w:lang w:val="en-US"/>
        </w:rPr>
        <w:t>in</w:t>
      </w:r>
      <w:r w:rsidR="00BB40E7" w:rsidRPr="008A648A">
        <w:rPr>
          <w:rFonts w:ascii="Fira Sans" w:hAnsi="Fira Sans"/>
          <w:sz w:val="19"/>
          <w:szCs w:val="19"/>
          <w:lang w:val="en-US"/>
        </w:rPr>
        <w:t>crease in the percentage of households assessing their financial situation as good or rather good (</w:t>
      </w:r>
      <w:r w:rsidR="005071C2">
        <w:rPr>
          <w:rFonts w:ascii="Fira Sans" w:hAnsi="Fira Sans"/>
          <w:sz w:val="19"/>
          <w:szCs w:val="19"/>
          <w:lang w:val="en-US"/>
        </w:rPr>
        <w:t>59.</w:t>
      </w:r>
      <w:r w:rsidR="0099144E">
        <w:rPr>
          <w:rFonts w:ascii="Fira Sans" w:hAnsi="Fira Sans"/>
          <w:sz w:val="19"/>
          <w:szCs w:val="19"/>
          <w:lang w:val="en-US"/>
        </w:rPr>
        <w:t>2</w:t>
      </w:r>
      <w:r w:rsidR="00327127">
        <w:rPr>
          <w:rFonts w:ascii="Fira Sans" w:hAnsi="Fira Sans"/>
          <w:sz w:val="19"/>
          <w:szCs w:val="19"/>
          <w:lang w:val="en-US"/>
        </w:rPr>
        <w:t>% of </w:t>
      </w:r>
      <w:r w:rsidR="00BB40E7" w:rsidRPr="008A648A">
        <w:rPr>
          <w:rFonts w:ascii="Fira Sans" w:hAnsi="Fira Sans"/>
          <w:sz w:val="19"/>
          <w:szCs w:val="19"/>
          <w:lang w:val="en-US"/>
        </w:rPr>
        <w:t>households</w:t>
      </w:r>
      <w:r w:rsidR="006A6058" w:rsidRPr="008A648A">
        <w:rPr>
          <w:rFonts w:ascii="Fira Sans" w:hAnsi="Fira Sans"/>
          <w:sz w:val="19"/>
          <w:szCs w:val="19"/>
          <w:lang w:val="en-US"/>
        </w:rPr>
        <w:t xml:space="preserve"> in total</w:t>
      </w:r>
      <w:r w:rsidR="00BB40E7" w:rsidRPr="008A648A">
        <w:rPr>
          <w:rFonts w:ascii="Fira Sans" w:hAnsi="Fira Sans"/>
          <w:sz w:val="19"/>
          <w:szCs w:val="19"/>
          <w:lang w:val="en-US"/>
        </w:rPr>
        <w:t xml:space="preserve"> compared </w:t>
      </w:r>
      <w:r w:rsidRPr="008A648A">
        <w:rPr>
          <w:rFonts w:ascii="Fira Sans" w:hAnsi="Fira Sans"/>
          <w:sz w:val="19"/>
          <w:szCs w:val="19"/>
          <w:lang w:val="en-US"/>
        </w:rPr>
        <w:t>with</w:t>
      </w:r>
      <w:r w:rsidR="00BB40E7" w:rsidRPr="008A648A">
        <w:rPr>
          <w:rFonts w:ascii="Fira Sans" w:hAnsi="Fira Sans"/>
          <w:sz w:val="19"/>
          <w:szCs w:val="19"/>
          <w:lang w:val="en-US"/>
        </w:rPr>
        <w:t xml:space="preserve"> </w:t>
      </w:r>
      <w:r w:rsidR="005071C2">
        <w:rPr>
          <w:rFonts w:ascii="Fira Sans" w:hAnsi="Fira Sans"/>
          <w:sz w:val="19"/>
          <w:szCs w:val="19"/>
          <w:lang w:val="en-US"/>
        </w:rPr>
        <w:t>57.</w:t>
      </w:r>
      <w:r w:rsidR="00C341AE">
        <w:rPr>
          <w:rFonts w:ascii="Fira Sans" w:hAnsi="Fira Sans"/>
          <w:sz w:val="19"/>
          <w:szCs w:val="19"/>
          <w:lang w:val="en-US"/>
        </w:rPr>
        <w:t>7</w:t>
      </w:r>
      <w:r w:rsidR="00BB40E7" w:rsidRPr="008A648A">
        <w:rPr>
          <w:rFonts w:ascii="Fira Sans" w:hAnsi="Fira Sans"/>
          <w:sz w:val="19"/>
          <w:szCs w:val="19"/>
          <w:lang w:val="en-US"/>
        </w:rPr>
        <w:t>% in 20</w:t>
      </w:r>
      <w:r w:rsidRPr="008A648A">
        <w:rPr>
          <w:rFonts w:ascii="Fira Sans" w:hAnsi="Fira Sans"/>
          <w:sz w:val="19"/>
          <w:szCs w:val="19"/>
          <w:lang w:val="en-US"/>
        </w:rPr>
        <w:t>2</w:t>
      </w:r>
      <w:r w:rsidR="00C341AE">
        <w:rPr>
          <w:rFonts w:ascii="Fira Sans" w:hAnsi="Fira Sans"/>
          <w:sz w:val="19"/>
          <w:szCs w:val="19"/>
          <w:lang w:val="en-US"/>
        </w:rPr>
        <w:t>4</w:t>
      </w:r>
      <w:r w:rsidR="00BB40E7" w:rsidRPr="008A648A">
        <w:rPr>
          <w:rFonts w:ascii="Fira Sans" w:hAnsi="Fira Sans"/>
          <w:sz w:val="19"/>
          <w:szCs w:val="19"/>
          <w:lang w:val="en-US"/>
        </w:rPr>
        <w:t xml:space="preserve">) and </w:t>
      </w:r>
      <w:r w:rsidR="007A5AAA" w:rsidRPr="008A648A">
        <w:rPr>
          <w:rFonts w:ascii="Fira Sans" w:hAnsi="Fira Sans"/>
          <w:sz w:val="19"/>
          <w:szCs w:val="19"/>
          <w:lang w:val="en-US"/>
        </w:rPr>
        <w:t>the</w:t>
      </w:r>
      <w:r w:rsidR="00C341AE">
        <w:rPr>
          <w:rFonts w:ascii="Fira Sans" w:hAnsi="Fira Sans"/>
          <w:sz w:val="19"/>
          <w:szCs w:val="19"/>
          <w:lang w:val="en-US"/>
        </w:rPr>
        <w:t xml:space="preserve"> </w:t>
      </w:r>
      <w:r w:rsidR="005071C2">
        <w:rPr>
          <w:rFonts w:ascii="Fira Sans" w:hAnsi="Fira Sans"/>
          <w:sz w:val="19"/>
          <w:szCs w:val="19"/>
          <w:lang w:val="en-US"/>
        </w:rPr>
        <w:t>slight</w:t>
      </w:r>
      <w:r w:rsidR="007A5AAA" w:rsidRPr="008A648A">
        <w:rPr>
          <w:rFonts w:ascii="Fira Sans" w:hAnsi="Fira Sans"/>
          <w:sz w:val="19"/>
          <w:szCs w:val="19"/>
          <w:lang w:val="en-US"/>
        </w:rPr>
        <w:t xml:space="preserve"> de</w:t>
      </w:r>
      <w:r w:rsidR="00BB40E7" w:rsidRPr="008A648A">
        <w:rPr>
          <w:rFonts w:ascii="Fira Sans" w:hAnsi="Fira Sans"/>
          <w:sz w:val="19"/>
          <w:szCs w:val="19"/>
          <w:lang w:val="en-US"/>
        </w:rPr>
        <w:t>crease in the percentage of households perceiving it as bad or rather bad (</w:t>
      </w:r>
      <w:r w:rsidR="00C341AE">
        <w:rPr>
          <w:rFonts w:ascii="Fira Sans" w:hAnsi="Fira Sans"/>
          <w:sz w:val="19"/>
          <w:szCs w:val="19"/>
          <w:lang w:val="en-US"/>
        </w:rPr>
        <w:t>4.2</w:t>
      </w:r>
      <w:r w:rsidR="00BB40E7" w:rsidRPr="008A648A">
        <w:rPr>
          <w:rFonts w:ascii="Fira Sans" w:hAnsi="Fira Sans"/>
          <w:sz w:val="19"/>
          <w:szCs w:val="19"/>
          <w:lang w:val="en-US"/>
        </w:rPr>
        <w:t xml:space="preserve">% compared </w:t>
      </w:r>
      <w:r w:rsidRPr="008A648A">
        <w:rPr>
          <w:rFonts w:ascii="Fira Sans" w:hAnsi="Fira Sans"/>
          <w:sz w:val="19"/>
          <w:szCs w:val="19"/>
          <w:lang w:val="en-US"/>
        </w:rPr>
        <w:t>with</w:t>
      </w:r>
      <w:r w:rsidR="00BB40E7" w:rsidRPr="008A648A">
        <w:rPr>
          <w:rFonts w:ascii="Fira Sans" w:hAnsi="Fira Sans"/>
          <w:sz w:val="19"/>
          <w:szCs w:val="19"/>
          <w:lang w:val="en-US"/>
        </w:rPr>
        <w:t xml:space="preserve"> </w:t>
      </w:r>
      <w:r w:rsidR="00C341AE">
        <w:rPr>
          <w:rFonts w:ascii="Fira Sans" w:hAnsi="Fira Sans"/>
          <w:sz w:val="19"/>
          <w:szCs w:val="19"/>
          <w:lang w:val="en-US"/>
        </w:rPr>
        <w:t>4.3</w:t>
      </w:r>
      <w:r w:rsidR="00BB40E7" w:rsidRPr="008A648A">
        <w:rPr>
          <w:rFonts w:ascii="Fira Sans" w:hAnsi="Fira Sans"/>
          <w:sz w:val="19"/>
          <w:szCs w:val="19"/>
          <w:lang w:val="en-US"/>
        </w:rPr>
        <w:t>% in 20</w:t>
      </w:r>
      <w:r w:rsidRPr="008A648A">
        <w:rPr>
          <w:rFonts w:ascii="Fira Sans" w:hAnsi="Fira Sans"/>
          <w:sz w:val="19"/>
          <w:szCs w:val="19"/>
          <w:lang w:val="en-US"/>
        </w:rPr>
        <w:t>2</w:t>
      </w:r>
      <w:r w:rsidR="00C341AE">
        <w:rPr>
          <w:rFonts w:ascii="Fira Sans" w:hAnsi="Fira Sans"/>
          <w:sz w:val="19"/>
          <w:szCs w:val="19"/>
          <w:lang w:val="en-US"/>
        </w:rPr>
        <w:t>4</w:t>
      </w:r>
      <w:r w:rsidR="00BB40E7" w:rsidRPr="008A648A">
        <w:rPr>
          <w:rFonts w:ascii="Fira Sans" w:hAnsi="Fira Sans"/>
          <w:sz w:val="19"/>
          <w:szCs w:val="19"/>
          <w:lang w:val="en-US"/>
        </w:rPr>
        <w:t xml:space="preserve">). </w:t>
      </w:r>
      <w:r w:rsidR="00E22528" w:rsidRPr="008A648A">
        <w:rPr>
          <w:rFonts w:ascii="Fira Sans" w:hAnsi="Fira Sans" w:cs="Arial"/>
          <w:sz w:val="19"/>
          <w:szCs w:val="19"/>
          <w:lang w:val="en-GB"/>
        </w:rPr>
        <w:t>Households of self-employed outside farming</w:t>
      </w:r>
      <w:r w:rsidR="006A6058" w:rsidRPr="008A648A">
        <w:rPr>
          <w:rFonts w:ascii="Fira Sans" w:hAnsi="Fira Sans" w:cs="Arial"/>
          <w:sz w:val="19"/>
          <w:szCs w:val="19"/>
          <w:lang w:val="en-GB"/>
        </w:rPr>
        <w:t>, similarly to the previous years,</w:t>
      </w:r>
      <w:r w:rsidR="00E22528" w:rsidRPr="008A648A">
        <w:rPr>
          <w:rFonts w:ascii="Fira Sans" w:hAnsi="Fira Sans" w:cs="Arial"/>
          <w:sz w:val="19"/>
          <w:szCs w:val="19"/>
          <w:lang w:val="en-GB"/>
        </w:rPr>
        <w:t xml:space="preserve"> </w:t>
      </w:r>
      <w:r w:rsidR="00BB40E7" w:rsidRPr="008A648A">
        <w:rPr>
          <w:rFonts w:ascii="Fira Sans" w:hAnsi="Fira Sans" w:cs="Arial"/>
          <w:sz w:val="19"/>
          <w:szCs w:val="19"/>
          <w:lang w:val="en-GB"/>
        </w:rPr>
        <w:t>assess</w:t>
      </w:r>
      <w:r w:rsidR="00E22528" w:rsidRPr="008A648A">
        <w:rPr>
          <w:rFonts w:ascii="Fira Sans" w:hAnsi="Fira Sans" w:cs="Arial"/>
          <w:sz w:val="19"/>
          <w:szCs w:val="19"/>
          <w:lang w:val="en-GB"/>
        </w:rPr>
        <w:t>ed their</w:t>
      </w:r>
      <w:r w:rsidR="00BB40E7" w:rsidRPr="008A648A">
        <w:rPr>
          <w:rFonts w:ascii="Fira Sans" w:hAnsi="Fira Sans" w:cs="Arial"/>
          <w:sz w:val="19"/>
          <w:szCs w:val="19"/>
          <w:lang w:val="en-GB"/>
        </w:rPr>
        <w:t xml:space="preserve"> financial situation the most favourabl</w:t>
      </w:r>
      <w:r w:rsidR="00E22528" w:rsidRPr="008A648A">
        <w:rPr>
          <w:rFonts w:ascii="Fira Sans" w:hAnsi="Fira Sans" w:cs="Arial"/>
          <w:sz w:val="19"/>
          <w:szCs w:val="19"/>
          <w:lang w:val="en-GB"/>
        </w:rPr>
        <w:t>y</w:t>
      </w:r>
      <w:r w:rsidR="00BB40E7" w:rsidRPr="008A648A">
        <w:rPr>
          <w:rFonts w:ascii="Fira Sans" w:hAnsi="Fira Sans" w:cs="Arial"/>
          <w:sz w:val="19"/>
          <w:szCs w:val="19"/>
          <w:lang w:val="en-GB"/>
        </w:rPr>
        <w:t xml:space="preserve"> (</w:t>
      </w:r>
      <w:r w:rsidR="00C341AE">
        <w:rPr>
          <w:rFonts w:ascii="Fira Sans" w:hAnsi="Fira Sans" w:cs="Arial"/>
          <w:sz w:val="19"/>
          <w:szCs w:val="19"/>
          <w:lang w:val="en-GB"/>
        </w:rPr>
        <w:t>78.9</w:t>
      </w:r>
      <w:r w:rsidR="00BB40E7" w:rsidRPr="008A648A">
        <w:rPr>
          <w:rFonts w:ascii="Fira Sans" w:hAnsi="Fira Sans" w:cs="Arial"/>
          <w:sz w:val="19"/>
          <w:szCs w:val="19"/>
          <w:lang w:val="en-GB"/>
        </w:rPr>
        <w:t xml:space="preserve">% </w:t>
      </w:r>
      <w:r w:rsidR="00BB40E7" w:rsidRPr="008A648A">
        <w:rPr>
          <w:rFonts w:ascii="Fira Sans" w:hAnsi="Fira Sans"/>
          <w:sz w:val="19"/>
          <w:szCs w:val="19"/>
          <w:lang w:val="en-US"/>
        </w:rPr>
        <w:t>positive assessments</w:t>
      </w:r>
      <w:r w:rsidRPr="008A648A">
        <w:rPr>
          <w:rFonts w:ascii="Fira Sans" w:hAnsi="Fira Sans"/>
          <w:sz w:val="19"/>
          <w:szCs w:val="19"/>
          <w:lang w:val="en-US"/>
        </w:rPr>
        <w:t xml:space="preserve"> </w:t>
      </w:r>
      <w:r w:rsidR="00E22528" w:rsidRPr="008A648A">
        <w:rPr>
          <w:rFonts w:ascii="Fira Sans" w:hAnsi="Fira Sans"/>
          <w:sz w:val="19"/>
          <w:szCs w:val="19"/>
          <w:lang w:val="en-US"/>
        </w:rPr>
        <w:t>compar</w:t>
      </w:r>
      <w:r w:rsidRPr="008A648A">
        <w:rPr>
          <w:rFonts w:ascii="Fira Sans" w:hAnsi="Fira Sans"/>
          <w:sz w:val="19"/>
          <w:szCs w:val="19"/>
          <w:lang w:val="en-US"/>
        </w:rPr>
        <w:t>ed</w:t>
      </w:r>
      <w:r w:rsidR="00E22528" w:rsidRPr="008A648A">
        <w:rPr>
          <w:rFonts w:ascii="Fira Sans" w:hAnsi="Fira Sans"/>
          <w:sz w:val="19"/>
          <w:szCs w:val="19"/>
          <w:lang w:val="en-US"/>
        </w:rPr>
        <w:t xml:space="preserve"> with </w:t>
      </w:r>
      <w:r w:rsidR="00785882">
        <w:rPr>
          <w:rFonts w:ascii="Fira Sans" w:hAnsi="Fira Sans"/>
          <w:sz w:val="19"/>
          <w:szCs w:val="19"/>
          <w:lang w:val="en-US"/>
        </w:rPr>
        <w:t>7</w:t>
      </w:r>
      <w:r w:rsidR="00C341AE">
        <w:rPr>
          <w:rFonts w:ascii="Fira Sans" w:hAnsi="Fira Sans"/>
          <w:sz w:val="19"/>
          <w:szCs w:val="19"/>
          <w:lang w:val="en-US"/>
        </w:rPr>
        <w:t>6.2</w:t>
      </w:r>
      <w:r w:rsidRPr="008A648A">
        <w:rPr>
          <w:rFonts w:ascii="Fira Sans" w:hAnsi="Fira Sans"/>
          <w:sz w:val="19"/>
          <w:szCs w:val="19"/>
          <w:lang w:val="en-US"/>
        </w:rPr>
        <w:t xml:space="preserve">% in </w:t>
      </w:r>
      <w:r w:rsidR="00E22528" w:rsidRPr="008A648A">
        <w:rPr>
          <w:rFonts w:ascii="Fira Sans" w:hAnsi="Fira Sans"/>
          <w:sz w:val="19"/>
          <w:szCs w:val="19"/>
          <w:lang w:val="en-US"/>
        </w:rPr>
        <w:t>20</w:t>
      </w:r>
      <w:r w:rsidRPr="008A648A">
        <w:rPr>
          <w:rFonts w:ascii="Fira Sans" w:hAnsi="Fira Sans"/>
          <w:sz w:val="19"/>
          <w:szCs w:val="19"/>
          <w:lang w:val="en-US"/>
        </w:rPr>
        <w:t>2</w:t>
      </w:r>
      <w:r w:rsidR="00C341AE">
        <w:rPr>
          <w:rFonts w:ascii="Fira Sans" w:hAnsi="Fira Sans"/>
          <w:sz w:val="19"/>
          <w:szCs w:val="19"/>
          <w:lang w:val="en-US"/>
        </w:rPr>
        <w:t>4</w:t>
      </w:r>
      <w:r w:rsidR="00BB40E7" w:rsidRPr="008A648A">
        <w:rPr>
          <w:rFonts w:ascii="Fira Sans" w:hAnsi="Fira Sans" w:cs="Arial"/>
          <w:sz w:val="19"/>
          <w:szCs w:val="19"/>
          <w:lang w:val="en-GB"/>
        </w:rPr>
        <w:t>)</w:t>
      </w:r>
      <w:r w:rsidRPr="008A648A">
        <w:rPr>
          <w:rFonts w:ascii="Fira Sans" w:hAnsi="Fira Sans" w:cs="Arial"/>
          <w:sz w:val="19"/>
          <w:szCs w:val="19"/>
          <w:lang w:val="en-GB"/>
        </w:rPr>
        <w:t>,</w:t>
      </w:r>
      <w:r w:rsidR="00BB40E7" w:rsidRPr="008A648A">
        <w:rPr>
          <w:rFonts w:ascii="Fira Sans" w:hAnsi="Fira Sans" w:cs="Arial"/>
          <w:sz w:val="19"/>
          <w:szCs w:val="19"/>
          <w:lang w:val="en-GB"/>
        </w:rPr>
        <w:t xml:space="preserve"> whereas </w:t>
      </w:r>
      <w:r w:rsidR="00E22528" w:rsidRPr="008A648A">
        <w:rPr>
          <w:rFonts w:ascii="Fira Sans" w:hAnsi="Fira Sans" w:cs="Arial"/>
          <w:sz w:val="19"/>
          <w:szCs w:val="19"/>
          <w:lang w:val="en-GB"/>
        </w:rPr>
        <w:t xml:space="preserve">households of pensioners </w:t>
      </w:r>
      <w:r w:rsidR="00BB40E7" w:rsidRPr="008A648A">
        <w:rPr>
          <w:rFonts w:ascii="Fira Sans" w:hAnsi="Fira Sans" w:cs="Arial"/>
          <w:sz w:val="19"/>
          <w:szCs w:val="19"/>
          <w:lang w:val="en-GB"/>
        </w:rPr>
        <w:t>assess</w:t>
      </w:r>
      <w:r w:rsidR="00E22528" w:rsidRPr="008A648A">
        <w:rPr>
          <w:rFonts w:ascii="Fira Sans" w:hAnsi="Fira Sans" w:cs="Arial"/>
          <w:sz w:val="19"/>
          <w:szCs w:val="19"/>
          <w:lang w:val="en-GB"/>
        </w:rPr>
        <w:t>ed their situation the worst</w:t>
      </w:r>
      <w:r w:rsidR="00BB40E7" w:rsidRPr="008A648A">
        <w:rPr>
          <w:rFonts w:ascii="Fira Sans" w:hAnsi="Fira Sans" w:cs="Arial"/>
          <w:sz w:val="19"/>
          <w:szCs w:val="19"/>
          <w:lang w:val="en-GB"/>
        </w:rPr>
        <w:t xml:space="preserve"> (</w:t>
      </w:r>
      <w:r w:rsidR="00C341AE">
        <w:rPr>
          <w:rFonts w:ascii="Fira Sans" w:hAnsi="Fira Sans" w:cs="Arial"/>
          <w:sz w:val="19"/>
          <w:szCs w:val="19"/>
          <w:lang w:val="en-GB"/>
        </w:rPr>
        <w:t>26.0</w:t>
      </w:r>
      <w:r w:rsidR="00BB40E7" w:rsidRPr="008A648A">
        <w:rPr>
          <w:rFonts w:ascii="Fira Sans" w:hAnsi="Fira Sans" w:cs="Arial"/>
          <w:sz w:val="19"/>
          <w:szCs w:val="19"/>
          <w:lang w:val="en-GB"/>
        </w:rPr>
        <w:t xml:space="preserve">% </w:t>
      </w:r>
      <w:r w:rsidR="00BB40E7" w:rsidRPr="008A648A">
        <w:rPr>
          <w:rFonts w:ascii="Fira Sans" w:hAnsi="Fira Sans"/>
          <w:sz w:val="19"/>
          <w:szCs w:val="19"/>
          <w:lang w:val="en-US"/>
        </w:rPr>
        <w:t xml:space="preserve">positive assessments compared </w:t>
      </w:r>
      <w:r w:rsidR="00E22528" w:rsidRPr="008A648A">
        <w:rPr>
          <w:rFonts w:ascii="Fira Sans" w:hAnsi="Fira Sans"/>
          <w:sz w:val="19"/>
          <w:szCs w:val="19"/>
          <w:lang w:val="en-US"/>
        </w:rPr>
        <w:t>with</w:t>
      </w:r>
      <w:r w:rsidR="00BB40E7" w:rsidRPr="008A648A">
        <w:rPr>
          <w:rFonts w:ascii="Fira Sans" w:hAnsi="Fira Sans"/>
          <w:sz w:val="19"/>
          <w:szCs w:val="19"/>
          <w:lang w:val="en-US"/>
        </w:rPr>
        <w:t xml:space="preserve"> </w:t>
      </w:r>
      <w:r w:rsidR="00C341AE">
        <w:rPr>
          <w:rFonts w:ascii="Fira Sans" w:hAnsi="Fira Sans"/>
          <w:sz w:val="19"/>
          <w:szCs w:val="19"/>
          <w:lang w:val="en-US"/>
        </w:rPr>
        <w:t>24.6</w:t>
      </w:r>
      <w:r w:rsidR="00BB40E7" w:rsidRPr="008A648A">
        <w:rPr>
          <w:rFonts w:ascii="Fira Sans" w:hAnsi="Fira Sans"/>
          <w:sz w:val="19"/>
          <w:szCs w:val="19"/>
          <w:lang w:val="en-US"/>
        </w:rPr>
        <w:t>% in 20</w:t>
      </w:r>
      <w:r w:rsidRPr="008A648A">
        <w:rPr>
          <w:rFonts w:ascii="Fira Sans" w:hAnsi="Fira Sans"/>
          <w:sz w:val="19"/>
          <w:szCs w:val="19"/>
          <w:lang w:val="en-US"/>
        </w:rPr>
        <w:t>2</w:t>
      </w:r>
      <w:r w:rsidR="00C341AE">
        <w:rPr>
          <w:rFonts w:ascii="Fira Sans" w:hAnsi="Fira Sans"/>
          <w:sz w:val="19"/>
          <w:szCs w:val="19"/>
          <w:lang w:val="en-US"/>
        </w:rPr>
        <w:t>4</w:t>
      </w:r>
      <w:r w:rsidR="00BB40E7" w:rsidRPr="008A648A">
        <w:rPr>
          <w:rFonts w:ascii="Fira Sans" w:hAnsi="Fira Sans"/>
          <w:sz w:val="19"/>
          <w:szCs w:val="19"/>
          <w:lang w:val="en-US"/>
        </w:rPr>
        <w:t>).</w:t>
      </w:r>
    </w:p>
    <w:p w14:paraId="42DF8586" w14:textId="0E488D4C" w:rsidR="005071C2" w:rsidRPr="008A648A" w:rsidRDefault="005071C2" w:rsidP="005071C2">
      <w:pPr>
        <w:pStyle w:val="HTML-wstpniesformatowany"/>
        <w:spacing w:before="360" w:after="360"/>
        <w:rPr>
          <w:rFonts w:ascii="Fira Sans" w:hAnsi="Fira Sans"/>
          <w:sz w:val="19"/>
          <w:szCs w:val="19"/>
          <w:lang w:val="en-US"/>
        </w:rPr>
      </w:pPr>
      <w:r>
        <w:rPr>
          <w:noProof/>
        </w:rPr>
        <w:lastRenderedPageBreak/>
        <w:drawing>
          <wp:inline distT="0" distB="0" distL="0" distR="0" wp14:anchorId="10614F6A" wp14:editId="17C719E1">
            <wp:extent cx="5122545" cy="3708000"/>
            <wp:effectExtent l="0" t="0" r="1905" b="6985"/>
            <wp:docPr id="198" name="Wykres 19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3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E94F65" w14:textId="3F8181F3" w:rsidR="00BB40E7" w:rsidRDefault="00BB40E7" w:rsidP="00BB40E7">
      <w:pPr>
        <w:rPr>
          <w:rFonts w:cs="Arial"/>
          <w:spacing w:val="-2"/>
          <w:szCs w:val="19"/>
          <w:lang w:val="en-GB"/>
        </w:rPr>
      </w:pPr>
      <w:r w:rsidRPr="00060989">
        <w:rPr>
          <w:rFonts w:cs="Arial"/>
          <w:spacing w:val="-2"/>
          <w:szCs w:val="19"/>
          <w:lang w:val="en-GB"/>
        </w:rPr>
        <w:t>The subjective evaluation of the financial situation</w:t>
      </w:r>
      <w:r w:rsidR="00D856F5" w:rsidRPr="00060989">
        <w:rPr>
          <w:rFonts w:cs="Arial"/>
          <w:spacing w:val="-2"/>
          <w:szCs w:val="19"/>
          <w:lang w:val="en-GB"/>
        </w:rPr>
        <w:t xml:space="preserve"> </w:t>
      </w:r>
      <w:r w:rsidR="00E22528">
        <w:rPr>
          <w:rFonts w:cs="Arial"/>
          <w:spacing w:val="-2"/>
          <w:szCs w:val="19"/>
          <w:lang w:val="en-GB"/>
        </w:rPr>
        <w:t xml:space="preserve">of households </w:t>
      </w:r>
      <w:r w:rsidR="001E3394">
        <w:rPr>
          <w:rFonts w:cs="Arial"/>
          <w:spacing w:val="-2"/>
          <w:szCs w:val="19"/>
          <w:lang w:val="en-GB"/>
        </w:rPr>
        <w:t>is related to</w:t>
      </w:r>
      <w:r w:rsidRPr="00060989">
        <w:rPr>
          <w:rFonts w:cs="Arial"/>
          <w:spacing w:val="-2"/>
          <w:szCs w:val="19"/>
          <w:lang w:val="en-GB"/>
        </w:rPr>
        <w:t xml:space="preserve"> the place of residence</w:t>
      </w:r>
      <w:r w:rsidR="00F82B68">
        <w:rPr>
          <w:rFonts w:cs="Arial"/>
          <w:spacing w:val="-2"/>
          <w:szCs w:val="19"/>
          <w:lang w:val="en-GB"/>
        </w:rPr>
        <w:t xml:space="preserve"> of a household</w:t>
      </w:r>
      <w:r w:rsidRPr="00060989">
        <w:rPr>
          <w:rFonts w:cs="Arial"/>
          <w:spacing w:val="-2"/>
          <w:szCs w:val="19"/>
          <w:lang w:val="en-GB"/>
        </w:rPr>
        <w:t xml:space="preserve">. </w:t>
      </w:r>
      <w:r w:rsidR="00736E08">
        <w:rPr>
          <w:rFonts w:cs="Arial"/>
          <w:spacing w:val="-2"/>
          <w:szCs w:val="19"/>
          <w:lang w:val="en-GB"/>
        </w:rPr>
        <w:t>Members of h</w:t>
      </w:r>
      <w:r w:rsidRPr="00060989">
        <w:rPr>
          <w:rFonts w:cs="Arial"/>
          <w:spacing w:val="-2"/>
          <w:szCs w:val="19"/>
          <w:lang w:val="en-GB"/>
        </w:rPr>
        <w:t>ouseholds in rural areas</w:t>
      </w:r>
      <w:r w:rsidR="0001037F">
        <w:rPr>
          <w:rFonts w:cs="Arial"/>
          <w:spacing w:val="-2"/>
          <w:szCs w:val="19"/>
          <w:lang w:val="en-GB"/>
        </w:rPr>
        <w:t>, similarly to the previous years,</w:t>
      </w:r>
      <w:r w:rsidRPr="00060989">
        <w:rPr>
          <w:rFonts w:cs="Arial"/>
          <w:spacing w:val="-2"/>
          <w:szCs w:val="19"/>
          <w:lang w:val="en-GB"/>
        </w:rPr>
        <w:t xml:space="preserve"> assess</w:t>
      </w:r>
      <w:r w:rsidR="00F82B68">
        <w:rPr>
          <w:rFonts w:cs="Arial"/>
          <w:spacing w:val="-2"/>
          <w:szCs w:val="19"/>
          <w:lang w:val="en-GB"/>
        </w:rPr>
        <w:t>ed</w:t>
      </w:r>
      <w:r w:rsidRPr="00060989">
        <w:rPr>
          <w:rFonts w:cs="Arial"/>
          <w:spacing w:val="-2"/>
          <w:szCs w:val="19"/>
          <w:lang w:val="en-GB"/>
        </w:rPr>
        <w:t xml:space="preserve"> their financial situation worse than urban residents, </w:t>
      </w:r>
      <w:r w:rsidR="00F82B68">
        <w:rPr>
          <w:rFonts w:cs="Arial"/>
          <w:spacing w:val="-2"/>
          <w:szCs w:val="19"/>
          <w:lang w:val="en-GB"/>
        </w:rPr>
        <w:t>especially</w:t>
      </w:r>
      <w:r w:rsidRPr="00060989">
        <w:rPr>
          <w:rFonts w:cs="Arial"/>
          <w:spacing w:val="-2"/>
          <w:szCs w:val="19"/>
          <w:lang w:val="en-GB"/>
        </w:rPr>
        <w:t xml:space="preserve"> those from cities with a population of 500 thousand or more</w:t>
      </w:r>
      <w:r w:rsidR="00E408D3">
        <w:rPr>
          <w:rFonts w:cs="Arial"/>
          <w:spacing w:val="-2"/>
          <w:szCs w:val="19"/>
          <w:lang w:val="en-GB"/>
        </w:rPr>
        <w:t>.</w:t>
      </w:r>
      <w:r w:rsidRPr="00060989">
        <w:rPr>
          <w:rFonts w:cs="Arial"/>
          <w:spacing w:val="-2"/>
          <w:szCs w:val="19"/>
          <w:lang w:val="en-GB"/>
        </w:rPr>
        <w:t xml:space="preserve"> </w:t>
      </w:r>
      <w:r w:rsidR="00FE6DCD">
        <w:rPr>
          <w:rFonts w:cs="Arial"/>
          <w:spacing w:val="-2"/>
          <w:szCs w:val="19"/>
          <w:lang w:val="en-GB"/>
        </w:rPr>
        <w:t xml:space="preserve">Among </w:t>
      </w:r>
      <w:r w:rsidR="005D4BCF">
        <w:rPr>
          <w:rFonts w:cs="Arial"/>
          <w:spacing w:val="-2"/>
          <w:szCs w:val="19"/>
          <w:lang w:val="en-GB"/>
        </w:rPr>
        <w:t xml:space="preserve">households </w:t>
      </w:r>
      <w:r w:rsidR="005D4BCF" w:rsidRPr="00060989">
        <w:rPr>
          <w:rFonts w:cs="Arial"/>
          <w:spacing w:val="-2"/>
          <w:szCs w:val="19"/>
          <w:lang w:val="en-GB"/>
        </w:rPr>
        <w:t xml:space="preserve">in cities with population </w:t>
      </w:r>
      <w:r w:rsidR="00FE6DCD" w:rsidRPr="00060989">
        <w:rPr>
          <w:rFonts w:cs="Arial"/>
          <w:spacing w:val="-2"/>
          <w:szCs w:val="19"/>
          <w:lang w:val="en-GB"/>
        </w:rPr>
        <w:t xml:space="preserve">500 thousand or more </w:t>
      </w:r>
      <w:r w:rsidR="00FE6DCD">
        <w:rPr>
          <w:rFonts w:cs="Arial"/>
          <w:spacing w:val="-2"/>
          <w:szCs w:val="19"/>
          <w:lang w:val="en-GB"/>
        </w:rPr>
        <w:t xml:space="preserve">the percentage </w:t>
      </w:r>
      <w:r w:rsidR="005D4BCF" w:rsidRPr="00060989">
        <w:rPr>
          <w:rFonts w:cs="Arial"/>
          <w:spacing w:val="-2"/>
          <w:szCs w:val="19"/>
          <w:lang w:val="en-GB"/>
        </w:rPr>
        <w:t xml:space="preserve">of </w:t>
      </w:r>
      <w:r w:rsidR="00FE6DCD">
        <w:rPr>
          <w:rFonts w:cs="Arial"/>
          <w:spacing w:val="-2"/>
          <w:szCs w:val="19"/>
          <w:lang w:val="en-GB"/>
        </w:rPr>
        <w:t>subjective evaluations good or rather good increased</w:t>
      </w:r>
      <w:r w:rsidR="005D4BCF">
        <w:rPr>
          <w:rFonts w:cs="Arial"/>
          <w:spacing w:val="-2"/>
          <w:szCs w:val="19"/>
          <w:lang w:val="en-GB"/>
        </w:rPr>
        <w:t xml:space="preserve"> </w:t>
      </w:r>
      <w:r w:rsidR="00FE6DCD">
        <w:rPr>
          <w:rFonts w:cs="Arial"/>
          <w:spacing w:val="-2"/>
          <w:szCs w:val="19"/>
          <w:lang w:val="en-GB"/>
        </w:rPr>
        <w:t xml:space="preserve">from </w:t>
      </w:r>
      <w:r w:rsidR="00C341AE">
        <w:rPr>
          <w:rFonts w:cs="Arial"/>
          <w:spacing w:val="-2"/>
          <w:szCs w:val="19"/>
          <w:lang w:val="en-GB"/>
        </w:rPr>
        <w:t>69.8</w:t>
      </w:r>
      <w:r w:rsidR="00FE6DCD">
        <w:rPr>
          <w:rFonts w:cs="Arial"/>
          <w:spacing w:val="-2"/>
          <w:szCs w:val="19"/>
          <w:lang w:val="en-GB"/>
        </w:rPr>
        <w:t>% in 202</w:t>
      </w:r>
      <w:r w:rsidR="00C341AE">
        <w:rPr>
          <w:rFonts w:cs="Arial"/>
          <w:spacing w:val="-2"/>
          <w:szCs w:val="19"/>
          <w:lang w:val="en-GB"/>
        </w:rPr>
        <w:t>4</w:t>
      </w:r>
      <w:r w:rsidR="00FE6DCD">
        <w:rPr>
          <w:rFonts w:cs="Arial"/>
          <w:spacing w:val="-2"/>
          <w:szCs w:val="19"/>
          <w:lang w:val="en-GB"/>
        </w:rPr>
        <w:t xml:space="preserve"> to </w:t>
      </w:r>
      <w:r w:rsidR="00C341AE">
        <w:rPr>
          <w:rFonts w:cs="Arial"/>
          <w:spacing w:val="-2"/>
          <w:szCs w:val="19"/>
          <w:lang w:val="en-GB"/>
        </w:rPr>
        <w:t>74.6</w:t>
      </w:r>
      <w:r w:rsidR="005D4BCF">
        <w:rPr>
          <w:rFonts w:cs="Arial"/>
          <w:spacing w:val="-2"/>
          <w:szCs w:val="19"/>
          <w:lang w:val="en-GB"/>
        </w:rPr>
        <w:t>% in 202</w:t>
      </w:r>
      <w:r w:rsidR="00C341AE">
        <w:rPr>
          <w:rFonts w:cs="Arial"/>
          <w:spacing w:val="-2"/>
          <w:szCs w:val="19"/>
          <w:lang w:val="en-GB"/>
        </w:rPr>
        <w:t>5</w:t>
      </w:r>
      <w:r w:rsidR="00FE6DCD">
        <w:rPr>
          <w:rFonts w:cs="Arial"/>
          <w:spacing w:val="-2"/>
          <w:szCs w:val="19"/>
          <w:lang w:val="en-GB"/>
        </w:rPr>
        <w:t>. In households in rural areas</w:t>
      </w:r>
      <w:r w:rsidR="00C336A9">
        <w:rPr>
          <w:rFonts w:cs="Arial"/>
          <w:spacing w:val="-2"/>
          <w:szCs w:val="19"/>
          <w:lang w:val="en-GB"/>
        </w:rPr>
        <w:t>,</w:t>
      </w:r>
      <w:r w:rsidR="00FE6DCD">
        <w:rPr>
          <w:rFonts w:cs="Arial"/>
          <w:spacing w:val="-2"/>
          <w:szCs w:val="19"/>
          <w:lang w:val="en-GB"/>
        </w:rPr>
        <w:t xml:space="preserve"> </w:t>
      </w:r>
      <w:r w:rsidR="00FE6DCD" w:rsidRPr="00FE6DCD">
        <w:rPr>
          <w:rFonts w:cs="Arial"/>
          <w:spacing w:val="-2"/>
          <w:szCs w:val="19"/>
          <w:lang w:val="en-GB"/>
        </w:rPr>
        <w:t xml:space="preserve">the corresponding percentage was at a much lower level, but also increased </w:t>
      </w:r>
      <w:r w:rsidR="00C336A9" w:rsidRPr="00FE6DCD">
        <w:rPr>
          <w:rFonts w:cs="Arial"/>
          <w:spacing w:val="-2"/>
          <w:szCs w:val="19"/>
          <w:lang w:val="en-GB"/>
        </w:rPr>
        <w:t xml:space="preserve">from </w:t>
      </w:r>
      <w:r w:rsidR="00C341AE">
        <w:rPr>
          <w:rFonts w:cs="Arial"/>
          <w:spacing w:val="-2"/>
          <w:szCs w:val="19"/>
          <w:lang w:val="en-GB"/>
        </w:rPr>
        <w:t>52.8</w:t>
      </w:r>
      <w:r w:rsidR="00C336A9" w:rsidRPr="00FE6DCD">
        <w:rPr>
          <w:rFonts w:cs="Arial"/>
          <w:spacing w:val="-2"/>
          <w:szCs w:val="19"/>
          <w:lang w:val="en-GB"/>
        </w:rPr>
        <w:t>% in 202</w:t>
      </w:r>
      <w:r w:rsidR="00C341AE">
        <w:rPr>
          <w:rFonts w:cs="Arial"/>
          <w:spacing w:val="-2"/>
          <w:szCs w:val="19"/>
          <w:lang w:val="en-GB"/>
        </w:rPr>
        <w:t>4</w:t>
      </w:r>
      <w:r w:rsidR="00C336A9">
        <w:rPr>
          <w:rFonts w:cs="Arial"/>
          <w:spacing w:val="-2"/>
          <w:szCs w:val="19"/>
          <w:lang w:val="en-GB"/>
        </w:rPr>
        <w:t xml:space="preserve"> </w:t>
      </w:r>
      <w:r w:rsidR="00FE6DCD" w:rsidRPr="00FE6DCD">
        <w:rPr>
          <w:rFonts w:cs="Arial"/>
          <w:spacing w:val="-2"/>
          <w:szCs w:val="19"/>
          <w:lang w:val="en-GB"/>
        </w:rPr>
        <w:t xml:space="preserve">to </w:t>
      </w:r>
      <w:r w:rsidR="00C341AE">
        <w:rPr>
          <w:rFonts w:cs="Arial"/>
          <w:spacing w:val="-2"/>
          <w:szCs w:val="19"/>
          <w:lang w:val="en-GB"/>
        </w:rPr>
        <w:t>55.0</w:t>
      </w:r>
      <w:r w:rsidR="00FE6DCD" w:rsidRPr="00FE6DCD">
        <w:rPr>
          <w:rFonts w:cs="Arial"/>
          <w:spacing w:val="-2"/>
          <w:szCs w:val="19"/>
          <w:lang w:val="en-GB"/>
        </w:rPr>
        <w:t>% in 202</w:t>
      </w:r>
      <w:r w:rsidR="00C341AE">
        <w:rPr>
          <w:rFonts w:cs="Arial"/>
          <w:spacing w:val="-2"/>
          <w:szCs w:val="19"/>
          <w:lang w:val="en-GB"/>
        </w:rPr>
        <w:t>5</w:t>
      </w:r>
      <w:r w:rsidR="00EC27B0">
        <w:rPr>
          <w:rFonts w:cs="Arial"/>
          <w:spacing w:val="-2"/>
          <w:szCs w:val="19"/>
          <w:lang w:val="en-GB"/>
        </w:rPr>
        <w:t xml:space="preserve"> reaching level by 4.0 percentage points higher than in towns below 20 thousand inhabitants</w:t>
      </w:r>
      <w:r w:rsidR="00FE6DCD" w:rsidRPr="00FE6DCD">
        <w:rPr>
          <w:rFonts w:cs="Arial"/>
          <w:spacing w:val="-2"/>
          <w:szCs w:val="19"/>
          <w:lang w:val="en-GB"/>
        </w:rPr>
        <w:t>.</w:t>
      </w:r>
    </w:p>
    <w:p w14:paraId="7EE94F66" w14:textId="2AE2C8B1" w:rsidR="000E17FE" w:rsidRPr="00E408D3" w:rsidRDefault="000075A1" w:rsidP="00DC28C6">
      <w:pPr>
        <w:spacing w:before="360" w:after="360" w:line="240" w:lineRule="auto"/>
        <w:rPr>
          <w:spacing w:val="-2"/>
          <w:szCs w:val="19"/>
          <w:shd w:val="clear" w:color="auto" w:fill="FFFFFF"/>
          <w:lang w:val="en-GB"/>
        </w:rPr>
      </w:pPr>
      <w:r>
        <w:rPr>
          <w:noProof/>
          <w:lang w:eastAsia="pl-PL"/>
        </w:rPr>
        <w:drawing>
          <wp:inline distT="0" distB="0" distL="0" distR="0" wp14:anchorId="641DEEB0" wp14:editId="4C38975E">
            <wp:extent cx="5122545" cy="3780000"/>
            <wp:effectExtent l="0" t="0" r="1905" b="0"/>
            <wp:docPr id="199" name="Wykres 1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3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E94F6E" w14:textId="593A0105" w:rsidR="00F82B68" w:rsidRPr="00E408D3" w:rsidRDefault="00EC27B0" w:rsidP="00DC28C6">
      <w:pPr>
        <w:spacing w:before="360" w:line="240" w:lineRule="auto"/>
        <w:rPr>
          <w:spacing w:val="-2"/>
          <w:szCs w:val="19"/>
          <w:shd w:val="clear" w:color="auto" w:fill="FFFFFF"/>
          <w:lang w:val="en-GB"/>
        </w:rPr>
      </w:pPr>
      <w:r w:rsidRPr="00797E60">
        <w:rPr>
          <w:b/>
          <w:noProof/>
          <w:spacing w:val="-1"/>
          <w:lang w:eastAsia="pl-PL"/>
        </w:rPr>
        <w:lastRenderedPageBreak/>
        <mc:AlternateContent>
          <mc:Choice Requires="wps">
            <w:drawing>
              <wp:anchor distT="45720" distB="45720" distL="114300" distR="114300" simplePos="0" relativeHeight="251849728" behindDoc="1" locked="0" layoutInCell="1" allowOverlap="1" wp14:anchorId="02C4D737" wp14:editId="18101C44">
                <wp:simplePos x="0" y="0"/>
                <wp:positionH relativeFrom="page">
                  <wp:posOffset>5707132</wp:posOffset>
                </wp:positionH>
                <wp:positionV relativeFrom="paragraph">
                  <wp:posOffset>100357</wp:posOffset>
                </wp:positionV>
                <wp:extent cx="1725295" cy="1952625"/>
                <wp:effectExtent l="0" t="0" r="0" b="0"/>
                <wp:wrapTight wrapText="bothSides">
                  <wp:wrapPolygon edited="0">
                    <wp:start x="715" y="0"/>
                    <wp:lineTo x="715" y="21284"/>
                    <wp:lineTo x="20749" y="21284"/>
                    <wp:lineTo x="20749" y="0"/>
                    <wp:lineTo x="715" y="0"/>
                  </wp:wrapPolygon>
                </wp:wrapTight>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2625"/>
                        </a:xfrm>
                        <a:prstGeom prst="rect">
                          <a:avLst/>
                        </a:prstGeom>
                        <a:noFill/>
                        <a:ln w="9525">
                          <a:noFill/>
                          <a:miter lim="800000"/>
                          <a:headEnd/>
                          <a:tailEnd/>
                        </a:ln>
                      </wps:spPr>
                      <wps:txbx>
                        <w:txbxContent>
                          <w:p w14:paraId="602B6359" w14:textId="02342202" w:rsidR="00E127EB" w:rsidRPr="000E442E" w:rsidRDefault="00E127EB" w:rsidP="000E442E">
                            <w:pPr>
                              <w:pStyle w:val="tekstzboku"/>
                              <w:rPr>
                                <w:bCs w:val="0"/>
                                <w:lang w:val="en-GB"/>
                              </w:rPr>
                            </w:pPr>
                            <w:r>
                              <w:rPr>
                                <w:bCs w:val="0"/>
                                <w:lang w:val="en-GB"/>
                              </w:rPr>
                              <w:t xml:space="preserve">In </w:t>
                            </w:r>
                            <w:r w:rsidRPr="000E442E">
                              <w:rPr>
                                <w:bCs w:val="0"/>
                                <w:lang w:val="en-GB"/>
                              </w:rPr>
                              <w:t>2022</w:t>
                            </w:r>
                            <w:r>
                              <w:rPr>
                                <w:bCs w:val="0"/>
                                <w:lang w:val="en-GB"/>
                              </w:rPr>
                              <w:t>–2025</w:t>
                            </w:r>
                            <w:r w:rsidRPr="000E442E">
                              <w:rPr>
                                <w:bCs w:val="0"/>
                                <w:lang w:val="en-GB"/>
                              </w:rPr>
                              <w:t>, households provided aid to inhabitants of Ukraine (in Poland an</w:t>
                            </w:r>
                            <w:r>
                              <w:rPr>
                                <w:bCs w:val="0"/>
                                <w:lang w:val="en-GB"/>
                              </w:rPr>
                              <w:t xml:space="preserve">d </w:t>
                            </w:r>
                            <w:r w:rsidRPr="000E442E">
                              <w:rPr>
                                <w:bCs w:val="0"/>
                                <w:lang w:val="en-GB"/>
                              </w:rPr>
                              <w:t xml:space="preserve">Ukraine), </w:t>
                            </w:r>
                            <w:r>
                              <w:rPr>
                                <w:bCs w:val="0"/>
                                <w:lang w:val="en-GB"/>
                              </w:rPr>
                              <w:t>although the scale of this assistance was systematically decreasing from</w:t>
                            </w:r>
                            <w:r w:rsidRPr="000E442E">
                              <w:rPr>
                                <w:bCs w:val="0"/>
                                <w:lang w:val="en-GB"/>
                              </w:rPr>
                              <w:t xml:space="preserve"> </w:t>
                            </w:r>
                            <w:r>
                              <w:rPr>
                                <w:bCs w:val="0"/>
                                <w:lang w:val="en-GB"/>
                              </w:rPr>
                              <w:t>69.</w:t>
                            </w:r>
                            <w:r w:rsidRPr="000E442E">
                              <w:rPr>
                                <w:bCs w:val="0"/>
                                <w:lang w:val="en-GB"/>
                              </w:rPr>
                              <w:t>3%</w:t>
                            </w:r>
                            <w:r>
                              <w:rPr>
                                <w:bCs w:val="0"/>
                                <w:lang w:val="en-GB"/>
                              </w:rPr>
                              <w:t xml:space="preserve"> of households in total</w:t>
                            </w:r>
                            <w:r w:rsidRPr="000E442E">
                              <w:rPr>
                                <w:bCs w:val="0"/>
                                <w:lang w:val="en-GB"/>
                              </w:rPr>
                              <w:t xml:space="preserve"> </w:t>
                            </w:r>
                            <w:r>
                              <w:rPr>
                                <w:bCs w:val="0"/>
                                <w:lang w:val="en-GB"/>
                              </w:rPr>
                              <w:t>in the first quarter of 2022 to</w:t>
                            </w:r>
                            <w:r w:rsidRPr="000E442E">
                              <w:rPr>
                                <w:bCs w:val="0"/>
                                <w:lang w:val="en-GB"/>
                              </w:rPr>
                              <w:t xml:space="preserve"> </w:t>
                            </w:r>
                            <w:r>
                              <w:rPr>
                                <w:bCs w:val="0"/>
                                <w:lang w:val="en-GB"/>
                              </w:rPr>
                              <w:t>3.6</w:t>
                            </w:r>
                            <w:r w:rsidRPr="000E442E">
                              <w:rPr>
                                <w:bCs w:val="0"/>
                                <w:lang w:val="en-GB"/>
                              </w:rPr>
                              <w:t xml:space="preserve">% </w:t>
                            </w:r>
                            <w:r>
                              <w:rPr>
                                <w:bCs w:val="0"/>
                                <w:lang w:val="en-GB"/>
                              </w:rPr>
                              <w:t>in the fourth quarter of</w:t>
                            </w:r>
                            <w:r w:rsidRPr="000E442E">
                              <w:rPr>
                                <w:bCs w:val="0"/>
                                <w:lang w:val="en-GB"/>
                              </w:rPr>
                              <w:t xml:space="preserve"> 202</w:t>
                            </w:r>
                            <w:r>
                              <w:rPr>
                                <w:bCs w:val="0"/>
                                <w:lang w:val="en-G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4D737" id="Pole tekstowe 29" o:spid="_x0000_s1043" type="#_x0000_t202" style="position:absolute;margin-left:449.4pt;margin-top:7.9pt;width:135.85pt;height:153.75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" filled="f" stroked="f">
                <v:textbox>
                  <w:txbxContent>
                    <w:p w14:paraId="602B6359" w14:textId="02342202" w:rsidR="00E127EB" w:rsidRPr="000E442E" w:rsidRDefault="00E127EB" w:rsidP="000E442E">
                      <w:pPr>
                        <w:pStyle w:val="tekstzboku"/>
                        <w:rPr>
                          <w:bCs w:val="0"/>
                          <w:lang w:val="en-GB"/>
                        </w:rPr>
                      </w:pPr>
                      <w:r>
                        <w:rPr>
                          <w:bCs w:val="0"/>
                          <w:lang w:val="en-GB"/>
                        </w:rPr>
                        <w:t xml:space="preserve">In </w:t>
                      </w:r>
                      <w:r w:rsidRPr="000E442E">
                        <w:rPr>
                          <w:bCs w:val="0"/>
                          <w:lang w:val="en-GB"/>
                        </w:rPr>
                        <w:t>2022</w:t>
                      </w:r>
                      <w:r>
                        <w:rPr>
                          <w:bCs w:val="0"/>
                          <w:lang w:val="en-GB"/>
                        </w:rPr>
                        <w:t>–2025</w:t>
                      </w:r>
                      <w:r w:rsidRPr="000E442E">
                        <w:rPr>
                          <w:bCs w:val="0"/>
                          <w:lang w:val="en-GB"/>
                        </w:rPr>
                        <w:t>, households provided aid to inhabitants of Ukraine (in Poland an</w:t>
                      </w:r>
                      <w:r>
                        <w:rPr>
                          <w:bCs w:val="0"/>
                          <w:lang w:val="en-GB"/>
                        </w:rPr>
                        <w:t xml:space="preserve">d </w:t>
                      </w:r>
                      <w:r w:rsidRPr="000E442E">
                        <w:rPr>
                          <w:bCs w:val="0"/>
                          <w:lang w:val="en-GB"/>
                        </w:rPr>
                        <w:t xml:space="preserve">Ukraine), </w:t>
                      </w:r>
                      <w:r>
                        <w:rPr>
                          <w:bCs w:val="0"/>
                          <w:lang w:val="en-GB"/>
                        </w:rPr>
                        <w:t xml:space="preserve">although the scale of this assistance </w:t>
                      </w:r>
                      <w:r>
                        <w:rPr>
                          <w:bCs w:val="0"/>
                          <w:lang w:val="en-GB"/>
                        </w:rPr>
                        <w:t>was systematically decreasing from</w:t>
                      </w:r>
                      <w:r w:rsidRPr="000E442E">
                        <w:rPr>
                          <w:bCs w:val="0"/>
                          <w:lang w:val="en-GB"/>
                        </w:rPr>
                        <w:t xml:space="preserve"> </w:t>
                      </w:r>
                      <w:r>
                        <w:rPr>
                          <w:bCs w:val="0"/>
                          <w:lang w:val="en-GB"/>
                        </w:rPr>
                        <w:t>69.</w:t>
                      </w:r>
                      <w:r w:rsidRPr="000E442E">
                        <w:rPr>
                          <w:bCs w:val="0"/>
                          <w:lang w:val="en-GB"/>
                        </w:rPr>
                        <w:t>3%</w:t>
                      </w:r>
                      <w:r>
                        <w:rPr>
                          <w:bCs w:val="0"/>
                          <w:lang w:val="en-GB"/>
                        </w:rPr>
                        <w:t xml:space="preserve"> of households in total</w:t>
                      </w:r>
                      <w:r w:rsidRPr="000E442E">
                        <w:rPr>
                          <w:bCs w:val="0"/>
                          <w:lang w:val="en-GB"/>
                        </w:rPr>
                        <w:t xml:space="preserve"> </w:t>
                      </w:r>
                      <w:r>
                        <w:rPr>
                          <w:bCs w:val="0"/>
                          <w:lang w:val="en-GB"/>
                        </w:rPr>
                        <w:t>in the first quarter of 2022 to</w:t>
                      </w:r>
                      <w:r w:rsidRPr="000E442E">
                        <w:rPr>
                          <w:bCs w:val="0"/>
                          <w:lang w:val="en-GB"/>
                        </w:rPr>
                        <w:t xml:space="preserve"> </w:t>
                      </w:r>
                      <w:r>
                        <w:rPr>
                          <w:bCs w:val="0"/>
                          <w:lang w:val="en-GB"/>
                        </w:rPr>
                        <w:t>3.6</w:t>
                      </w:r>
                      <w:r w:rsidRPr="000E442E">
                        <w:rPr>
                          <w:bCs w:val="0"/>
                          <w:lang w:val="en-GB"/>
                        </w:rPr>
                        <w:t xml:space="preserve">% </w:t>
                      </w:r>
                      <w:r>
                        <w:rPr>
                          <w:bCs w:val="0"/>
                          <w:lang w:val="en-GB"/>
                        </w:rPr>
                        <w:t>in the fourth quarter of</w:t>
                      </w:r>
                      <w:r w:rsidRPr="000E442E">
                        <w:rPr>
                          <w:bCs w:val="0"/>
                          <w:lang w:val="en-GB"/>
                        </w:rPr>
                        <w:t xml:space="preserve"> 202</w:t>
                      </w:r>
                      <w:r>
                        <w:rPr>
                          <w:bCs w:val="0"/>
                          <w:lang w:val="en-GB"/>
                        </w:rPr>
                        <w:t>5</w:t>
                      </w:r>
                    </w:p>
                  </w:txbxContent>
                </v:textbox>
                <w10:wrap type="tight" anchorx="page"/>
              </v:shape>
            </w:pict>
          </mc:Fallback>
        </mc:AlternateContent>
      </w:r>
      <w:r w:rsidR="00E408D3" w:rsidRPr="000E442E">
        <w:rPr>
          <w:b/>
          <w:color w:val="001D77"/>
          <w:spacing w:val="-1"/>
          <w:szCs w:val="19"/>
          <w:shd w:val="clear" w:color="auto" w:fill="FFFFFF"/>
          <w:lang w:val="en-GB"/>
        </w:rPr>
        <w:t>Support granted by households to the inhabitants of Ukraine (in Poland and Ukraine)</w:t>
      </w:r>
    </w:p>
    <w:p w14:paraId="693A0BDC" w14:textId="66631547" w:rsidR="000E442E" w:rsidRDefault="00C10E05" w:rsidP="0031787F">
      <w:pPr>
        <w:rPr>
          <w:spacing w:val="-2"/>
          <w:szCs w:val="19"/>
          <w:shd w:val="clear" w:color="auto" w:fill="FFFFFF"/>
          <w:lang w:val="en-GB"/>
        </w:rPr>
      </w:pPr>
      <w:r>
        <w:rPr>
          <w:spacing w:val="-2"/>
          <w:szCs w:val="19"/>
          <w:shd w:val="clear" w:color="auto" w:fill="FFFFFF"/>
          <w:lang w:val="en-GB"/>
        </w:rPr>
        <w:t>In 202</w:t>
      </w:r>
      <w:r w:rsidR="00C341AE">
        <w:rPr>
          <w:spacing w:val="-2"/>
          <w:szCs w:val="19"/>
          <w:shd w:val="clear" w:color="auto" w:fill="FFFFFF"/>
          <w:lang w:val="en-GB"/>
        </w:rPr>
        <w:t>5</w:t>
      </w:r>
      <w:r w:rsidR="000E442E" w:rsidRPr="000E442E">
        <w:rPr>
          <w:spacing w:val="-2"/>
          <w:szCs w:val="19"/>
          <w:shd w:val="clear" w:color="auto" w:fill="FFFFFF"/>
          <w:lang w:val="en-GB"/>
        </w:rPr>
        <w:t xml:space="preserve"> households in Poland </w:t>
      </w:r>
      <w:r>
        <w:rPr>
          <w:spacing w:val="-2"/>
          <w:szCs w:val="19"/>
          <w:shd w:val="clear" w:color="auto" w:fill="FFFFFF"/>
          <w:lang w:val="en-GB"/>
        </w:rPr>
        <w:t>continued</w:t>
      </w:r>
      <w:r w:rsidR="00E826E4">
        <w:rPr>
          <w:spacing w:val="-2"/>
          <w:szCs w:val="19"/>
          <w:shd w:val="clear" w:color="auto" w:fill="FFFFFF"/>
          <w:lang w:val="en-GB"/>
        </w:rPr>
        <w:t>, although in the smaller scale,</w:t>
      </w:r>
      <w:r>
        <w:rPr>
          <w:spacing w:val="-2"/>
          <w:szCs w:val="19"/>
          <w:shd w:val="clear" w:color="auto" w:fill="FFFFFF"/>
          <w:lang w:val="en-GB"/>
        </w:rPr>
        <w:t xml:space="preserve"> </w:t>
      </w:r>
      <w:r w:rsidR="000E442E" w:rsidRPr="000E442E">
        <w:rPr>
          <w:spacing w:val="-2"/>
          <w:szCs w:val="19"/>
          <w:shd w:val="clear" w:color="auto" w:fill="FFFFFF"/>
          <w:lang w:val="en-GB"/>
        </w:rPr>
        <w:t>provid</w:t>
      </w:r>
      <w:r>
        <w:rPr>
          <w:spacing w:val="-2"/>
          <w:szCs w:val="19"/>
          <w:shd w:val="clear" w:color="auto" w:fill="FFFFFF"/>
          <w:lang w:val="en-GB"/>
        </w:rPr>
        <w:t>ing</w:t>
      </w:r>
      <w:r w:rsidR="000E442E" w:rsidRPr="000E442E">
        <w:rPr>
          <w:spacing w:val="-2"/>
          <w:szCs w:val="19"/>
          <w:shd w:val="clear" w:color="auto" w:fill="FFFFFF"/>
          <w:lang w:val="en-GB"/>
        </w:rPr>
        <w:t xml:space="preserve"> </w:t>
      </w:r>
      <w:r w:rsidR="000E442E">
        <w:rPr>
          <w:spacing w:val="-2"/>
          <w:szCs w:val="19"/>
          <w:shd w:val="clear" w:color="auto" w:fill="FFFFFF"/>
          <w:lang w:val="en-GB"/>
        </w:rPr>
        <w:t>aid</w:t>
      </w:r>
      <w:r w:rsidR="000E442E" w:rsidRPr="000E442E">
        <w:rPr>
          <w:spacing w:val="-2"/>
          <w:szCs w:val="19"/>
          <w:shd w:val="clear" w:color="auto" w:fill="FFFFFF"/>
          <w:lang w:val="en-GB"/>
        </w:rPr>
        <w:t xml:space="preserve"> to </w:t>
      </w:r>
      <w:r w:rsidR="000E442E">
        <w:rPr>
          <w:spacing w:val="-2"/>
          <w:szCs w:val="19"/>
          <w:shd w:val="clear" w:color="auto" w:fill="FFFFFF"/>
          <w:lang w:val="en-GB"/>
        </w:rPr>
        <w:t>inhabitants</w:t>
      </w:r>
      <w:r w:rsidR="000E442E" w:rsidRPr="000E442E">
        <w:rPr>
          <w:spacing w:val="-2"/>
          <w:szCs w:val="19"/>
          <w:shd w:val="clear" w:color="auto" w:fill="FFFFFF"/>
          <w:lang w:val="en-GB"/>
        </w:rPr>
        <w:t xml:space="preserve"> of </w:t>
      </w:r>
      <w:r w:rsidR="007B7481">
        <w:rPr>
          <w:spacing w:val="-2"/>
          <w:szCs w:val="19"/>
          <w:shd w:val="clear" w:color="auto" w:fill="FFFFFF"/>
          <w:lang w:val="en-GB"/>
        </w:rPr>
        <w:t xml:space="preserve">Ukraine </w:t>
      </w:r>
      <w:r w:rsidR="000E442E">
        <w:rPr>
          <w:spacing w:val="-2"/>
          <w:szCs w:val="19"/>
          <w:shd w:val="clear" w:color="auto" w:fill="FFFFFF"/>
          <w:lang w:val="en-GB"/>
        </w:rPr>
        <w:t xml:space="preserve">covered by the </w:t>
      </w:r>
      <w:r w:rsidR="000E442E" w:rsidRPr="000E442E">
        <w:rPr>
          <w:spacing w:val="-2"/>
          <w:szCs w:val="19"/>
          <w:shd w:val="clear" w:color="auto" w:fill="FFFFFF"/>
          <w:lang w:val="en-GB"/>
        </w:rPr>
        <w:t>war</w:t>
      </w:r>
      <w:r>
        <w:rPr>
          <w:spacing w:val="-2"/>
          <w:szCs w:val="19"/>
          <w:shd w:val="clear" w:color="auto" w:fill="FFFFFF"/>
          <w:lang w:val="en-GB"/>
        </w:rPr>
        <w:t>,</w:t>
      </w:r>
      <w:r w:rsidR="000E442E" w:rsidRPr="000E442E">
        <w:rPr>
          <w:spacing w:val="-2"/>
          <w:szCs w:val="19"/>
          <w:shd w:val="clear" w:color="auto" w:fill="FFFFFF"/>
          <w:lang w:val="en-GB"/>
        </w:rPr>
        <w:t xml:space="preserve"> </w:t>
      </w:r>
      <w:r w:rsidR="00EA0C45">
        <w:rPr>
          <w:spacing w:val="-2"/>
          <w:szCs w:val="19"/>
          <w:shd w:val="clear" w:color="auto" w:fill="FFFFFF"/>
          <w:lang w:val="en-GB"/>
        </w:rPr>
        <w:t>resulting from</w:t>
      </w:r>
      <w:r w:rsidR="00635586">
        <w:rPr>
          <w:spacing w:val="-2"/>
          <w:szCs w:val="19"/>
          <w:shd w:val="clear" w:color="auto" w:fill="FFFFFF"/>
          <w:lang w:val="en-GB"/>
        </w:rPr>
        <w:t xml:space="preserve"> the Russian invasion</w:t>
      </w:r>
      <w:r w:rsidR="00AE5B4E" w:rsidRPr="0080589B">
        <w:rPr>
          <w:rStyle w:val="Odwoanieprzypisudolnego"/>
          <w:spacing w:val="-2"/>
        </w:rPr>
        <w:footnoteReference w:id="9"/>
      </w:r>
      <w:r w:rsidR="00635586">
        <w:rPr>
          <w:spacing w:val="-2"/>
          <w:szCs w:val="19"/>
          <w:shd w:val="clear" w:color="auto" w:fill="FFFFFF"/>
          <w:lang w:val="en-GB"/>
        </w:rPr>
        <w:t>.</w:t>
      </w:r>
      <w:r w:rsidR="000E442E" w:rsidRPr="000E442E">
        <w:rPr>
          <w:spacing w:val="-2"/>
          <w:szCs w:val="19"/>
          <w:shd w:val="clear" w:color="auto" w:fill="FFFFFF"/>
          <w:lang w:val="en-GB"/>
        </w:rPr>
        <w:t xml:space="preserve"> In individual quarters of 2022</w:t>
      </w:r>
      <w:r w:rsidR="008F5346">
        <w:rPr>
          <w:spacing w:val="-2"/>
          <w:szCs w:val="19"/>
          <w:shd w:val="clear" w:color="auto" w:fill="FFFFFF"/>
          <w:lang w:val="en-GB"/>
        </w:rPr>
        <w:t>–</w:t>
      </w:r>
      <w:r>
        <w:rPr>
          <w:spacing w:val="-2"/>
          <w:szCs w:val="19"/>
          <w:shd w:val="clear" w:color="auto" w:fill="FFFFFF"/>
          <w:lang w:val="en-GB"/>
        </w:rPr>
        <w:t>202</w:t>
      </w:r>
      <w:r w:rsidR="00C341AE">
        <w:rPr>
          <w:spacing w:val="-2"/>
          <w:szCs w:val="19"/>
          <w:shd w:val="clear" w:color="auto" w:fill="FFFFFF"/>
          <w:lang w:val="en-GB"/>
        </w:rPr>
        <w:t>5</w:t>
      </w:r>
      <w:r w:rsidR="000E442E" w:rsidRPr="000E442E">
        <w:rPr>
          <w:spacing w:val="-2"/>
          <w:szCs w:val="19"/>
          <w:shd w:val="clear" w:color="auto" w:fill="FFFFFF"/>
          <w:lang w:val="en-GB"/>
        </w:rPr>
        <w:t xml:space="preserve">, the scale of assistance provided by households to </w:t>
      </w:r>
      <w:r w:rsidR="00635586">
        <w:rPr>
          <w:spacing w:val="-2"/>
          <w:szCs w:val="19"/>
          <w:shd w:val="clear" w:color="auto" w:fill="FFFFFF"/>
          <w:lang w:val="en-GB"/>
        </w:rPr>
        <w:t>inhabitants</w:t>
      </w:r>
      <w:r w:rsidR="000E442E" w:rsidRPr="000E442E">
        <w:rPr>
          <w:spacing w:val="-2"/>
          <w:szCs w:val="19"/>
          <w:shd w:val="clear" w:color="auto" w:fill="FFFFFF"/>
          <w:lang w:val="en-GB"/>
        </w:rPr>
        <w:t xml:space="preserve"> of Ukraine decreased from </w:t>
      </w:r>
      <w:r>
        <w:rPr>
          <w:spacing w:val="-2"/>
          <w:szCs w:val="19"/>
          <w:shd w:val="clear" w:color="auto" w:fill="FFFFFF"/>
          <w:lang w:val="en-GB"/>
        </w:rPr>
        <w:t>69</w:t>
      </w:r>
      <w:r w:rsidR="000E442E" w:rsidRPr="000E442E">
        <w:rPr>
          <w:spacing w:val="-2"/>
          <w:szCs w:val="19"/>
          <w:shd w:val="clear" w:color="auto" w:fill="FFFFFF"/>
          <w:lang w:val="en-GB"/>
        </w:rPr>
        <w:t xml:space="preserve">.3% in the first quarter </w:t>
      </w:r>
      <w:r>
        <w:rPr>
          <w:spacing w:val="-2"/>
          <w:szCs w:val="19"/>
          <w:shd w:val="clear" w:color="auto" w:fill="FFFFFF"/>
          <w:lang w:val="en-GB"/>
        </w:rPr>
        <w:t xml:space="preserve">of 2022 </w:t>
      </w:r>
      <w:r w:rsidR="000E442E" w:rsidRPr="000E442E">
        <w:rPr>
          <w:spacing w:val="-2"/>
          <w:szCs w:val="19"/>
          <w:shd w:val="clear" w:color="auto" w:fill="FFFFFF"/>
          <w:lang w:val="en-GB"/>
        </w:rPr>
        <w:t xml:space="preserve">to </w:t>
      </w:r>
      <w:r w:rsidR="00C341AE">
        <w:rPr>
          <w:spacing w:val="-2"/>
          <w:szCs w:val="19"/>
          <w:shd w:val="clear" w:color="auto" w:fill="FFFFFF"/>
          <w:lang w:val="en-GB"/>
        </w:rPr>
        <w:t>3.6</w:t>
      </w:r>
      <w:r w:rsidR="000E442E" w:rsidRPr="000E442E">
        <w:rPr>
          <w:spacing w:val="-2"/>
          <w:szCs w:val="19"/>
          <w:shd w:val="clear" w:color="auto" w:fill="FFFFFF"/>
          <w:lang w:val="en-GB"/>
        </w:rPr>
        <w:t>% in the fourth quarter of 202</w:t>
      </w:r>
      <w:r w:rsidR="00C341AE">
        <w:rPr>
          <w:spacing w:val="-2"/>
          <w:szCs w:val="19"/>
          <w:shd w:val="clear" w:color="auto" w:fill="FFFFFF"/>
          <w:lang w:val="en-GB"/>
        </w:rPr>
        <w:t>5</w:t>
      </w:r>
      <w:r w:rsidR="000E442E" w:rsidRPr="000E442E">
        <w:rPr>
          <w:spacing w:val="-2"/>
          <w:szCs w:val="19"/>
          <w:shd w:val="clear" w:color="auto" w:fill="FFFFFF"/>
          <w:lang w:val="en-GB"/>
        </w:rPr>
        <w:t>.</w:t>
      </w:r>
    </w:p>
    <w:p w14:paraId="6A7BCF51" w14:textId="6499A997" w:rsidR="002A060F" w:rsidRDefault="002A060F" w:rsidP="002A060F">
      <w:pPr>
        <w:spacing w:before="360" w:after="360" w:line="240" w:lineRule="auto"/>
        <w:rPr>
          <w:spacing w:val="-2"/>
          <w:szCs w:val="19"/>
          <w:shd w:val="clear" w:color="auto" w:fill="FFFFFF"/>
          <w:lang w:val="en-GB"/>
        </w:rPr>
      </w:pPr>
      <w:r>
        <w:rPr>
          <w:noProof/>
          <w:lang w:eastAsia="pl-PL"/>
        </w:rPr>
        <w:drawing>
          <wp:inline distT="0" distB="0" distL="0" distR="0" wp14:anchorId="17B7B722" wp14:editId="5A14165D">
            <wp:extent cx="5122545" cy="3888000"/>
            <wp:effectExtent l="0" t="0" r="1905" b="0"/>
            <wp:docPr id="201" name="Wykres 2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3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31563D" w14:textId="56823BDE" w:rsidR="00AE5B4E" w:rsidRDefault="00AE5B4E" w:rsidP="005071C2">
      <w:pPr>
        <w:rPr>
          <w:shd w:val="clear" w:color="auto" w:fill="FFFFFF"/>
          <w:lang w:val="en-GB"/>
        </w:rPr>
      </w:pPr>
      <w:r w:rsidRPr="002E3797">
        <w:rPr>
          <w:shd w:val="clear" w:color="auto" w:fill="FFFFFF"/>
          <w:lang w:val="en-GB"/>
        </w:rPr>
        <w:t>Th</w:t>
      </w:r>
      <w:r>
        <w:rPr>
          <w:shd w:val="clear" w:color="auto" w:fill="FFFFFF"/>
          <w:lang w:val="en-GB"/>
        </w:rPr>
        <w:t xml:space="preserve">e </w:t>
      </w:r>
      <w:r w:rsidRPr="002E3797">
        <w:rPr>
          <w:shd w:val="clear" w:color="auto" w:fill="FFFFFF"/>
          <w:lang w:val="en-GB"/>
        </w:rPr>
        <w:t xml:space="preserve">highest share of households granting support to Ukrainian inhabitants </w:t>
      </w:r>
      <w:r w:rsidR="00273032">
        <w:rPr>
          <w:shd w:val="clear" w:color="auto" w:fill="FFFFFF"/>
          <w:lang w:val="en-GB"/>
        </w:rPr>
        <w:t xml:space="preserve">in </w:t>
      </w:r>
      <w:r w:rsidR="00C341AE">
        <w:rPr>
          <w:shd w:val="clear" w:color="auto" w:fill="FFFFFF"/>
          <w:lang w:val="en-GB"/>
        </w:rPr>
        <w:t xml:space="preserve">2025 </w:t>
      </w:r>
      <w:r w:rsidRPr="002E3797">
        <w:rPr>
          <w:shd w:val="clear" w:color="auto" w:fill="FFFFFF"/>
          <w:lang w:val="en-GB"/>
        </w:rPr>
        <w:t xml:space="preserve">was among households of </w:t>
      </w:r>
      <w:r w:rsidR="003E047F">
        <w:rPr>
          <w:shd w:val="clear" w:color="auto" w:fill="FFFFFF"/>
          <w:lang w:val="en-GB"/>
        </w:rPr>
        <w:t xml:space="preserve">employees (4.2%). </w:t>
      </w:r>
    </w:p>
    <w:p w14:paraId="7604A790" w14:textId="6FE57AC4" w:rsidR="003F62B5" w:rsidRPr="002E3797" w:rsidRDefault="003F62B5" w:rsidP="003F62B5">
      <w:pPr>
        <w:spacing w:before="360" w:after="360" w:line="240" w:lineRule="auto"/>
        <w:rPr>
          <w:shd w:val="clear" w:color="auto" w:fill="FFFFFF"/>
          <w:lang w:val="en-GB"/>
        </w:rPr>
      </w:pPr>
      <w:r w:rsidRPr="003B49C8">
        <w:rPr>
          <w:b/>
          <w:noProof/>
          <w:spacing w:val="-2"/>
          <w:lang w:eastAsia="pl-PL"/>
        </w:rPr>
        <mc:AlternateContent>
          <mc:Choice Requires="wps">
            <w:drawing>
              <wp:anchor distT="45720" distB="45720" distL="114300" distR="114300" simplePos="0" relativeHeight="251851776" behindDoc="1" locked="0" layoutInCell="1" allowOverlap="1" wp14:anchorId="13A040DB" wp14:editId="76320F96">
                <wp:simplePos x="0" y="0"/>
                <wp:positionH relativeFrom="column">
                  <wp:posOffset>5259788</wp:posOffset>
                </wp:positionH>
                <wp:positionV relativeFrom="paragraph">
                  <wp:posOffset>729780</wp:posOffset>
                </wp:positionV>
                <wp:extent cx="1725295" cy="1414780"/>
                <wp:effectExtent l="0" t="0" r="0" b="0"/>
                <wp:wrapTight wrapText="bothSides">
                  <wp:wrapPolygon edited="0">
                    <wp:start x="715" y="0"/>
                    <wp:lineTo x="715" y="21232"/>
                    <wp:lineTo x="20749" y="21232"/>
                    <wp:lineTo x="20749" y="0"/>
                    <wp:lineTo x="715" y="0"/>
                  </wp:wrapPolygon>
                </wp:wrapTight>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14780"/>
                        </a:xfrm>
                        <a:prstGeom prst="rect">
                          <a:avLst/>
                        </a:prstGeom>
                        <a:noFill/>
                        <a:ln w="9525">
                          <a:noFill/>
                          <a:miter lim="800000"/>
                          <a:headEnd/>
                          <a:tailEnd/>
                        </a:ln>
                      </wps:spPr>
                      <wps:txbx>
                        <w:txbxContent>
                          <w:p w14:paraId="3DA9AD52" w14:textId="250958B5" w:rsidR="00E127EB" w:rsidRPr="00AE5B4E" w:rsidRDefault="00E127EB" w:rsidP="00AE5B4E">
                            <w:pPr>
                              <w:pStyle w:val="tekstzboku"/>
                              <w:rPr>
                                <w:bCs w:val="0"/>
                                <w:lang w:val="en-GB"/>
                              </w:rPr>
                            </w:pPr>
                            <w:r w:rsidRPr="00AE5B4E">
                              <w:rPr>
                                <w:lang w:val="en-GB"/>
                              </w:rPr>
                              <w:t>In 202</w:t>
                            </w:r>
                            <w:r>
                              <w:rPr>
                                <w:lang w:val="en-GB"/>
                              </w:rPr>
                              <w:t>5</w:t>
                            </w:r>
                            <w:r w:rsidRPr="00AE5B4E">
                              <w:rPr>
                                <w:lang w:val="en-GB"/>
                              </w:rPr>
                              <w:t xml:space="preserve">, </w:t>
                            </w:r>
                            <w:r>
                              <w:rPr>
                                <w:lang w:val="en-GB"/>
                              </w:rPr>
                              <w:t>among the</w:t>
                            </w:r>
                            <w:r w:rsidRPr="00AE5B4E">
                              <w:rPr>
                                <w:lang w:val="en-GB"/>
                              </w:rPr>
                              <w:t xml:space="preserve"> households </w:t>
                            </w:r>
                            <w:r>
                              <w:rPr>
                                <w:lang w:val="en-GB"/>
                              </w:rPr>
                              <w:t>of employees</w:t>
                            </w:r>
                            <w:r w:rsidRPr="00AE5B4E">
                              <w:rPr>
                                <w:lang w:val="en-GB"/>
                              </w:rPr>
                              <w:t xml:space="preserve"> </w:t>
                            </w:r>
                            <w:r>
                              <w:rPr>
                                <w:lang w:val="en-GB"/>
                              </w:rPr>
                              <w:t xml:space="preserve">was recorded </w:t>
                            </w:r>
                            <w:r w:rsidRPr="00AE5B4E">
                              <w:rPr>
                                <w:lang w:val="en-GB"/>
                              </w:rPr>
                              <w:t xml:space="preserve">the highest percentage </w:t>
                            </w:r>
                            <w:r>
                              <w:rPr>
                                <w:lang w:val="en-GB"/>
                              </w:rPr>
                              <w:t xml:space="preserve">of those </w:t>
                            </w:r>
                            <w:r w:rsidRPr="00AE5B4E">
                              <w:rPr>
                                <w:lang w:val="en-GB"/>
                              </w:rPr>
                              <w:t xml:space="preserve">providing support to </w:t>
                            </w:r>
                            <w:r>
                              <w:rPr>
                                <w:lang w:val="en-GB"/>
                              </w:rPr>
                              <w:t>inhabitants</w:t>
                            </w:r>
                            <w:r w:rsidRPr="00AE5B4E">
                              <w:rPr>
                                <w:lang w:val="en-GB"/>
                              </w:rPr>
                              <w:t xml:space="preserve"> of Ukraine (in Poland and Ukraine)</w:t>
                            </w:r>
                            <w:r w:rsidRPr="00273032">
                              <w:rPr>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40DB" id="Pole tekstowe 32" o:spid="_x0000_s1044" type="#_x0000_t202" style="position:absolute;margin-left:414.15pt;margin-top:57.45pt;width:135.85pt;height:111.4pt;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" filled="f" stroked="f">
                <v:textbox>
                  <w:txbxContent>
                    <w:p w14:paraId="3DA9AD52" w14:textId="250958B5" w:rsidR="00E127EB" w:rsidRPr="00AE5B4E" w:rsidRDefault="00E127EB" w:rsidP="00AE5B4E">
                      <w:pPr>
                        <w:pStyle w:val="tekstzboku"/>
                        <w:rPr>
                          <w:bCs w:val="0"/>
                          <w:lang w:val="en-GB"/>
                        </w:rPr>
                      </w:pPr>
                      <w:r w:rsidRPr="00AE5B4E">
                        <w:rPr>
                          <w:lang w:val="en-GB"/>
                        </w:rPr>
                        <w:t>In 202</w:t>
                      </w:r>
                      <w:r>
                        <w:rPr>
                          <w:lang w:val="en-GB"/>
                        </w:rPr>
                        <w:t>5</w:t>
                      </w:r>
                      <w:r w:rsidRPr="00AE5B4E">
                        <w:rPr>
                          <w:lang w:val="en-GB"/>
                        </w:rPr>
                        <w:t xml:space="preserve">, </w:t>
                      </w:r>
                      <w:r>
                        <w:rPr>
                          <w:lang w:val="en-GB"/>
                        </w:rPr>
                        <w:t>among the</w:t>
                      </w:r>
                      <w:r w:rsidRPr="00AE5B4E">
                        <w:rPr>
                          <w:lang w:val="en-GB"/>
                        </w:rPr>
                        <w:t xml:space="preserve"> households </w:t>
                      </w:r>
                      <w:r>
                        <w:rPr>
                          <w:lang w:val="en-GB"/>
                        </w:rPr>
                        <w:t>of employees</w:t>
                      </w:r>
                      <w:r w:rsidRPr="00AE5B4E">
                        <w:rPr>
                          <w:lang w:val="en-GB"/>
                        </w:rPr>
                        <w:t xml:space="preserve"> </w:t>
                      </w:r>
                      <w:r>
                        <w:rPr>
                          <w:lang w:val="en-GB"/>
                        </w:rPr>
                        <w:t xml:space="preserve">was recorded </w:t>
                      </w:r>
                      <w:r w:rsidRPr="00AE5B4E">
                        <w:rPr>
                          <w:lang w:val="en-GB"/>
                        </w:rPr>
                        <w:t xml:space="preserve">the highest percentage </w:t>
                      </w:r>
                      <w:r>
                        <w:rPr>
                          <w:lang w:val="en-GB"/>
                        </w:rPr>
                        <w:t xml:space="preserve">of those </w:t>
                      </w:r>
                      <w:r w:rsidRPr="00AE5B4E">
                        <w:rPr>
                          <w:lang w:val="en-GB"/>
                        </w:rPr>
                        <w:t xml:space="preserve">providing support to </w:t>
                      </w:r>
                      <w:r>
                        <w:rPr>
                          <w:lang w:val="en-GB"/>
                        </w:rPr>
                        <w:t>inhabitants</w:t>
                      </w:r>
                      <w:r w:rsidRPr="00AE5B4E">
                        <w:rPr>
                          <w:lang w:val="en-GB"/>
                        </w:rPr>
                        <w:t xml:space="preserve"> of Ukraine (in </w:t>
                      </w:r>
                      <w:r w:rsidRPr="00AE5B4E">
                        <w:rPr>
                          <w:lang w:val="en-GB"/>
                        </w:rPr>
                        <w:t>Poland and Ukraine)</w:t>
                      </w:r>
                      <w:r w:rsidRPr="00273032">
                        <w:rPr>
                          <w:lang w:val="en-GB"/>
                        </w:rPr>
                        <w:t xml:space="preserve"> </w:t>
                      </w:r>
                    </w:p>
                  </w:txbxContent>
                </v:textbox>
                <w10:wrap type="tight"/>
              </v:shape>
            </w:pict>
          </mc:Fallback>
        </mc:AlternateContent>
      </w:r>
      <w:r w:rsidR="00842153">
        <w:rPr>
          <w:noProof/>
          <w:lang w:eastAsia="pl-PL"/>
        </w:rPr>
        <w:drawing>
          <wp:inline distT="0" distB="0" distL="0" distR="0" wp14:anchorId="51A3966E" wp14:editId="3213C7B1">
            <wp:extent cx="5122545" cy="2735580"/>
            <wp:effectExtent l="0" t="0" r="1905" b="7620"/>
            <wp:docPr id="5" name="Wykres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3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D5A33C" w14:textId="777491BE" w:rsidR="00273032" w:rsidRDefault="00F97368" w:rsidP="003F62B5">
      <w:pPr>
        <w:spacing w:before="360" w:after="360" w:line="240" w:lineRule="auto"/>
        <w:rPr>
          <w:spacing w:val="-2"/>
          <w:szCs w:val="19"/>
          <w:shd w:val="clear" w:color="auto" w:fill="FFFFFF"/>
          <w:lang w:val="en-GB"/>
        </w:rPr>
      </w:pPr>
      <w:r>
        <w:rPr>
          <w:spacing w:val="-2"/>
          <w:szCs w:val="19"/>
          <w:shd w:val="clear" w:color="auto" w:fill="FFFFFF"/>
          <w:lang w:val="en-GB"/>
        </w:rPr>
        <w:lastRenderedPageBreak/>
        <w:t>In  202</w:t>
      </w:r>
      <w:r w:rsidR="003E047F">
        <w:rPr>
          <w:spacing w:val="-2"/>
          <w:szCs w:val="19"/>
          <w:shd w:val="clear" w:color="auto" w:fill="FFFFFF"/>
          <w:lang w:val="en-GB"/>
        </w:rPr>
        <w:t>5</w:t>
      </w:r>
      <w:r>
        <w:rPr>
          <w:spacing w:val="-2"/>
          <w:szCs w:val="19"/>
          <w:shd w:val="clear" w:color="auto" w:fill="FFFFFF"/>
          <w:lang w:val="en-GB"/>
        </w:rPr>
        <w:t>, households from 5th quintile group (</w:t>
      </w:r>
      <w:r w:rsidRPr="00F97368">
        <w:rPr>
          <w:spacing w:val="-2"/>
          <w:szCs w:val="19"/>
          <w:shd w:val="clear" w:color="auto" w:fill="FFFFFF"/>
          <w:lang w:val="en-GB"/>
        </w:rPr>
        <w:t xml:space="preserve">covering 20% of the wealthiest persons) were </w:t>
      </w:r>
      <w:r>
        <w:rPr>
          <w:spacing w:val="-2"/>
          <w:szCs w:val="19"/>
          <w:shd w:val="clear" w:color="auto" w:fill="FFFFFF"/>
          <w:lang w:val="en-GB"/>
        </w:rPr>
        <w:t xml:space="preserve">the most </w:t>
      </w:r>
      <w:r w:rsidRPr="00F97368">
        <w:rPr>
          <w:spacing w:val="-2"/>
          <w:szCs w:val="19"/>
          <w:shd w:val="clear" w:color="auto" w:fill="FFFFFF"/>
          <w:lang w:val="en-GB"/>
        </w:rPr>
        <w:t>engaged in the support to the inhabitants of Ukraine.</w:t>
      </w:r>
      <w:r>
        <w:rPr>
          <w:spacing w:val="-2"/>
          <w:szCs w:val="19"/>
          <w:shd w:val="clear" w:color="auto" w:fill="FFFFFF"/>
          <w:lang w:val="en-GB"/>
        </w:rPr>
        <w:t xml:space="preserve"> In this quintile group the percentage of helping households </w:t>
      </w:r>
      <w:r w:rsidR="003F62B5">
        <w:rPr>
          <w:spacing w:val="-2"/>
          <w:szCs w:val="19"/>
          <w:shd w:val="clear" w:color="auto" w:fill="FFFFFF"/>
          <w:lang w:val="en-GB"/>
        </w:rPr>
        <w:t>was</w:t>
      </w:r>
      <w:r>
        <w:rPr>
          <w:spacing w:val="-2"/>
          <w:szCs w:val="19"/>
          <w:shd w:val="clear" w:color="auto" w:fill="FFFFFF"/>
          <w:lang w:val="en-GB"/>
        </w:rPr>
        <w:t xml:space="preserve"> </w:t>
      </w:r>
      <w:r w:rsidR="003E047F">
        <w:rPr>
          <w:spacing w:val="-2"/>
          <w:szCs w:val="19"/>
          <w:shd w:val="clear" w:color="auto" w:fill="FFFFFF"/>
          <w:lang w:val="en-GB"/>
        </w:rPr>
        <w:t>4.8</w:t>
      </w:r>
      <w:r>
        <w:rPr>
          <w:spacing w:val="-2"/>
          <w:szCs w:val="19"/>
          <w:shd w:val="clear" w:color="auto" w:fill="FFFFFF"/>
          <w:lang w:val="en-GB"/>
        </w:rPr>
        <w:t xml:space="preserve">% </w:t>
      </w:r>
      <w:r w:rsidR="00D4488C">
        <w:rPr>
          <w:spacing w:val="-2"/>
          <w:szCs w:val="19"/>
          <w:shd w:val="clear" w:color="auto" w:fill="FFFFFF"/>
          <w:lang w:val="en-GB"/>
        </w:rPr>
        <w:t>(</w:t>
      </w:r>
      <w:r w:rsidR="00D4488C" w:rsidRPr="00D4488C">
        <w:rPr>
          <w:spacing w:val="-2"/>
          <w:szCs w:val="19"/>
          <w:shd w:val="clear" w:color="auto" w:fill="FFFFFF"/>
          <w:lang w:val="en-GB"/>
        </w:rPr>
        <w:t xml:space="preserve">in </w:t>
      </w:r>
      <w:r w:rsidR="008E6E3A">
        <w:rPr>
          <w:spacing w:val="-2"/>
          <w:szCs w:val="19"/>
          <w:shd w:val="clear" w:color="auto" w:fill="FFFFFF"/>
          <w:lang w:val="en-GB"/>
        </w:rPr>
        <w:t>2024</w:t>
      </w:r>
      <w:r w:rsidR="00D4488C" w:rsidRPr="00D4488C">
        <w:rPr>
          <w:spacing w:val="-2"/>
          <w:szCs w:val="19"/>
          <w:shd w:val="clear" w:color="auto" w:fill="FFFFFF"/>
          <w:lang w:val="en-GB"/>
        </w:rPr>
        <w:t xml:space="preserve"> – </w:t>
      </w:r>
      <w:r w:rsidR="003E047F">
        <w:rPr>
          <w:spacing w:val="-2"/>
          <w:szCs w:val="19"/>
          <w:shd w:val="clear" w:color="auto" w:fill="FFFFFF"/>
          <w:lang w:val="en-GB"/>
        </w:rPr>
        <w:t>10.1</w:t>
      </w:r>
      <w:r w:rsidR="00D4488C" w:rsidRPr="00D4488C">
        <w:rPr>
          <w:spacing w:val="-2"/>
          <w:szCs w:val="19"/>
          <w:shd w:val="clear" w:color="auto" w:fill="FFFFFF"/>
          <w:lang w:val="en-GB"/>
        </w:rPr>
        <w:t>%</w:t>
      </w:r>
      <w:r w:rsidR="00D4488C">
        <w:rPr>
          <w:spacing w:val="-2"/>
          <w:szCs w:val="19"/>
          <w:shd w:val="clear" w:color="auto" w:fill="FFFFFF"/>
          <w:lang w:val="en-GB"/>
        </w:rPr>
        <w:t>)</w:t>
      </w:r>
      <w:r w:rsidR="003E047F">
        <w:rPr>
          <w:spacing w:val="-2"/>
          <w:szCs w:val="19"/>
          <w:shd w:val="clear" w:color="auto" w:fill="FFFFFF"/>
          <w:lang w:val="en-GB"/>
        </w:rPr>
        <w:t>.</w:t>
      </w:r>
      <w:r w:rsidR="00D4488C">
        <w:rPr>
          <w:spacing w:val="-2"/>
          <w:szCs w:val="19"/>
          <w:shd w:val="clear" w:color="auto" w:fill="FFFFFF"/>
          <w:lang w:val="en-GB"/>
        </w:rPr>
        <w:t xml:space="preserve"> </w:t>
      </w:r>
    </w:p>
    <w:p w14:paraId="7BA2747B" w14:textId="372B55AA" w:rsidR="00F97368" w:rsidRDefault="002A060F" w:rsidP="00DC28C6">
      <w:pPr>
        <w:spacing w:before="360" w:after="360" w:line="240" w:lineRule="auto"/>
        <w:rPr>
          <w:spacing w:val="-2"/>
          <w:szCs w:val="19"/>
          <w:shd w:val="clear" w:color="auto" w:fill="FFFFFF"/>
          <w:lang w:val="en-GB"/>
        </w:rPr>
      </w:pPr>
      <w:r>
        <w:rPr>
          <w:noProof/>
          <w:lang w:eastAsia="pl-PL"/>
        </w:rPr>
        <w:drawing>
          <wp:inline distT="0" distB="0" distL="0" distR="0" wp14:anchorId="68A5E4FB" wp14:editId="3BE0A346">
            <wp:extent cx="5122545" cy="2628000"/>
            <wp:effectExtent l="0" t="0" r="1905" b="1270"/>
            <wp:docPr id="203" name="Wykres 20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3D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84B9E7" w14:textId="4E081BBC" w:rsidR="002A060F" w:rsidRDefault="00F97368" w:rsidP="005071C2">
      <w:pPr>
        <w:rPr>
          <w:spacing w:val="-2"/>
          <w:szCs w:val="19"/>
          <w:shd w:val="clear" w:color="auto" w:fill="FFFFFF"/>
          <w:lang w:val="en-GB"/>
        </w:rPr>
      </w:pPr>
      <w:r w:rsidRPr="00F97368">
        <w:rPr>
          <w:spacing w:val="-2"/>
          <w:szCs w:val="19"/>
          <w:shd w:val="clear" w:color="auto" w:fill="FFFFFF"/>
          <w:lang w:val="en-GB"/>
        </w:rPr>
        <w:t xml:space="preserve">Households declaring support to the inhabitants of Ukraine were </w:t>
      </w:r>
      <w:r w:rsidR="003F62B5">
        <w:rPr>
          <w:spacing w:val="-2"/>
          <w:szCs w:val="19"/>
          <w:shd w:val="clear" w:color="auto" w:fill="FFFFFF"/>
          <w:lang w:val="en-GB"/>
        </w:rPr>
        <w:t>present</w:t>
      </w:r>
      <w:r w:rsidRPr="00F97368">
        <w:rPr>
          <w:spacing w:val="-2"/>
          <w:szCs w:val="19"/>
          <w:shd w:val="clear" w:color="auto" w:fill="FFFFFF"/>
          <w:lang w:val="en-GB"/>
        </w:rPr>
        <w:t xml:space="preserve"> in all the classes of locality. </w:t>
      </w:r>
      <w:r>
        <w:rPr>
          <w:spacing w:val="-2"/>
          <w:szCs w:val="19"/>
          <w:shd w:val="clear" w:color="auto" w:fill="FFFFFF"/>
          <w:lang w:val="en-GB"/>
        </w:rPr>
        <w:t xml:space="preserve">In </w:t>
      </w:r>
      <w:r w:rsidR="003E047F">
        <w:rPr>
          <w:spacing w:val="-2"/>
          <w:szCs w:val="19"/>
          <w:shd w:val="clear" w:color="auto" w:fill="FFFFFF"/>
          <w:lang w:val="en-GB"/>
        </w:rPr>
        <w:t xml:space="preserve">2025 </w:t>
      </w:r>
      <w:r>
        <w:rPr>
          <w:spacing w:val="-2"/>
          <w:szCs w:val="19"/>
          <w:shd w:val="clear" w:color="auto" w:fill="FFFFFF"/>
          <w:lang w:val="en-GB"/>
        </w:rPr>
        <w:t xml:space="preserve"> t</w:t>
      </w:r>
      <w:r w:rsidRPr="00F97368">
        <w:rPr>
          <w:spacing w:val="-2"/>
          <w:szCs w:val="19"/>
          <w:shd w:val="clear" w:color="auto" w:fill="FFFFFF"/>
          <w:lang w:val="en-GB"/>
        </w:rPr>
        <w:t xml:space="preserve">he highest percentage of households that provided assistance was in </w:t>
      </w:r>
      <w:r w:rsidR="003F62B5">
        <w:rPr>
          <w:spacing w:val="-2"/>
          <w:szCs w:val="19"/>
          <w:shd w:val="clear" w:color="auto" w:fill="FFFFFF"/>
          <w:lang w:val="en-GB"/>
        </w:rPr>
        <w:t xml:space="preserve">cities </w:t>
      </w:r>
      <w:r w:rsidRPr="00F97368">
        <w:rPr>
          <w:spacing w:val="-2"/>
          <w:szCs w:val="19"/>
          <w:shd w:val="clear" w:color="auto" w:fill="FFFFFF"/>
          <w:lang w:val="en-GB"/>
        </w:rPr>
        <w:t xml:space="preserve">with 500 thousand or more residents – </w:t>
      </w:r>
      <w:r w:rsidR="005734C2">
        <w:rPr>
          <w:spacing w:val="-2"/>
          <w:szCs w:val="19"/>
          <w:shd w:val="clear" w:color="auto" w:fill="FFFFFF"/>
          <w:lang w:val="en-GB"/>
        </w:rPr>
        <w:t xml:space="preserve"> </w:t>
      </w:r>
      <w:r w:rsidR="00C73B85">
        <w:rPr>
          <w:spacing w:val="-2"/>
          <w:szCs w:val="19"/>
          <w:shd w:val="clear" w:color="auto" w:fill="FFFFFF"/>
          <w:lang w:val="en-GB"/>
        </w:rPr>
        <w:t>6.7</w:t>
      </w:r>
      <w:r w:rsidR="003F62B5">
        <w:rPr>
          <w:spacing w:val="-2"/>
          <w:szCs w:val="19"/>
          <w:shd w:val="clear" w:color="auto" w:fill="FFFFFF"/>
          <w:lang w:val="en-GB"/>
        </w:rPr>
        <w:t>%</w:t>
      </w:r>
      <w:r w:rsidRPr="00F97368">
        <w:rPr>
          <w:spacing w:val="-2"/>
          <w:szCs w:val="19"/>
          <w:shd w:val="clear" w:color="auto" w:fill="FFFFFF"/>
          <w:lang w:val="en-GB"/>
        </w:rPr>
        <w:t xml:space="preserve"> </w:t>
      </w:r>
      <w:r w:rsidR="00D4488C">
        <w:rPr>
          <w:spacing w:val="-2"/>
          <w:szCs w:val="19"/>
          <w:shd w:val="clear" w:color="auto" w:fill="FFFFFF"/>
          <w:lang w:val="en-GB"/>
        </w:rPr>
        <w:t>(</w:t>
      </w:r>
      <w:r w:rsidR="00D4488C" w:rsidRPr="00D4488C">
        <w:rPr>
          <w:spacing w:val="-2"/>
          <w:szCs w:val="19"/>
          <w:shd w:val="clear" w:color="auto" w:fill="FFFFFF"/>
          <w:lang w:val="en-GB"/>
        </w:rPr>
        <w:t xml:space="preserve">in </w:t>
      </w:r>
      <w:r w:rsidR="008E6E3A">
        <w:rPr>
          <w:spacing w:val="-2"/>
          <w:szCs w:val="19"/>
          <w:shd w:val="clear" w:color="auto" w:fill="FFFFFF"/>
          <w:lang w:val="en-GB"/>
        </w:rPr>
        <w:t>2024</w:t>
      </w:r>
      <w:r w:rsidR="00885939">
        <w:rPr>
          <w:spacing w:val="-2"/>
          <w:szCs w:val="19"/>
          <w:shd w:val="clear" w:color="auto" w:fill="FFFFFF"/>
          <w:lang w:val="en-GB"/>
        </w:rPr>
        <w:t xml:space="preserve"> – 12.0%).</w:t>
      </w:r>
    </w:p>
    <w:p w14:paraId="439E265E" w14:textId="2EAB2784" w:rsidR="00885939" w:rsidRDefault="003F62B5" w:rsidP="00C04D28">
      <w:pPr>
        <w:spacing w:before="360" w:after="360" w:line="240" w:lineRule="auto"/>
        <w:rPr>
          <w:spacing w:val="-2"/>
          <w:szCs w:val="19"/>
          <w:shd w:val="clear" w:color="auto" w:fill="FFFFFF"/>
          <w:lang w:val="en-GB"/>
        </w:rPr>
      </w:pPr>
      <w:r>
        <w:rPr>
          <w:i/>
          <w:noProof/>
          <w:lang w:eastAsia="pl-PL"/>
        </w:rPr>
        <mc:AlternateContent>
          <mc:Choice Requires="wps">
            <w:drawing>
              <wp:anchor distT="45720" distB="45720" distL="114300" distR="114300" simplePos="0" relativeHeight="251853824" behindDoc="1" locked="0" layoutInCell="1" allowOverlap="1" wp14:anchorId="6D293197" wp14:editId="6074666C">
                <wp:simplePos x="0" y="0"/>
                <wp:positionH relativeFrom="column">
                  <wp:posOffset>5261693</wp:posOffset>
                </wp:positionH>
                <wp:positionV relativeFrom="paragraph">
                  <wp:posOffset>903633</wp:posOffset>
                </wp:positionV>
                <wp:extent cx="1725295" cy="1304925"/>
                <wp:effectExtent l="0" t="0" r="0" b="0"/>
                <wp:wrapTight wrapText="bothSides">
                  <wp:wrapPolygon edited="0">
                    <wp:start x="715" y="0"/>
                    <wp:lineTo x="715" y="21127"/>
                    <wp:lineTo x="20749" y="21127"/>
                    <wp:lineTo x="20749" y="0"/>
                    <wp:lineTo x="715" y="0"/>
                  </wp:wrapPolygon>
                </wp:wrapTight>
                <wp:docPr id="36" name="Pole tekstow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04925"/>
                        </a:xfrm>
                        <a:prstGeom prst="rect">
                          <a:avLst/>
                        </a:prstGeom>
                        <a:noFill/>
                        <a:ln w="9525">
                          <a:noFill/>
                          <a:miter lim="800000"/>
                          <a:headEnd/>
                          <a:tailEnd/>
                        </a:ln>
                      </wps:spPr>
                      <wps:txbx>
                        <w:txbxContent>
                          <w:p w14:paraId="7781D07E" w14:textId="38EB5A9A" w:rsidR="00E127EB" w:rsidRPr="005734C2" w:rsidRDefault="00E127EB" w:rsidP="005734C2">
                            <w:pPr>
                              <w:pStyle w:val="tekstzboku"/>
                              <w:rPr>
                                <w:bCs w:val="0"/>
                                <w:lang w:val="en-GB"/>
                              </w:rPr>
                            </w:pPr>
                            <w:r>
                              <w:rPr>
                                <w:lang w:val="en-GB"/>
                              </w:rPr>
                              <w:t>In</w:t>
                            </w:r>
                            <w:r w:rsidRPr="005734C2">
                              <w:rPr>
                                <w:lang w:val="en-GB"/>
                              </w:rPr>
                              <w:t xml:space="preserve"> 202</w:t>
                            </w:r>
                            <w:r>
                              <w:rPr>
                                <w:lang w:val="en-GB"/>
                              </w:rPr>
                              <w:t>5</w:t>
                            </w:r>
                            <w:r w:rsidRPr="005734C2">
                              <w:rPr>
                                <w:lang w:val="en-GB"/>
                              </w:rPr>
                              <w:t>, the highest percentage of households helping residents of Ukraine was in</w:t>
                            </w:r>
                            <w:r>
                              <w:rPr>
                                <w:lang w:val="en-GB"/>
                              </w:rPr>
                              <w:t xml:space="preserve"> the cities with 500 thousand or more</w:t>
                            </w:r>
                            <w:r w:rsidRPr="005734C2">
                              <w:rPr>
                                <w:lang w:val="en-GB"/>
                              </w:rPr>
                              <w:t xml:space="preserve"> </w:t>
                            </w:r>
                            <w:r>
                              <w:rPr>
                                <w:lang w:val="en-GB"/>
                              </w:rPr>
                              <w:t>residents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93197" id="Pole tekstowe 36" o:spid="_x0000_s1045" type="#_x0000_t202" style="position:absolute;margin-left:414.3pt;margin-top:71.15pt;width:135.85pt;height:102.75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" filled="f" stroked="f">
                <v:textbox>
                  <w:txbxContent>
                    <w:p w14:paraId="7781D07E" w14:textId="38EB5A9A" w:rsidR="00E127EB" w:rsidRPr="005734C2" w:rsidRDefault="00E127EB" w:rsidP="005734C2">
                      <w:pPr>
                        <w:pStyle w:val="tekstzboku"/>
                        <w:rPr>
                          <w:bCs w:val="0"/>
                          <w:lang w:val="en-GB"/>
                        </w:rPr>
                      </w:pPr>
                      <w:r>
                        <w:rPr>
                          <w:lang w:val="en-GB"/>
                        </w:rPr>
                        <w:t>In</w:t>
                      </w:r>
                      <w:r w:rsidRPr="005734C2">
                        <w:rPr>
                          <w:lang w:val="en-GB"/>
                        </w:rPr>
                        <w:t xml:space="preserve"> 202</w:t>
                      </w:r>
                      <w:r>
                        <w:rPr>
                          <w:lang w:val="en-GB"/>
                        </w:rPr>
                        <w:t>5</w:t>
                      </w:r>
                      <w:r w:rsidRPr="005734C2">
                        <w:rPr>
                          <w:lang w:val="en-GB"/>
                        </w:rPr>
                        <w:t>, the highest percentage of households helping residents of Ukraine was in</w:t>
                      </w:r>
                      <w:r>
                        <w:rPr>
                          <w:lang w:val="en-GB"/>
                        </w:rPr>
                        <w:t xml:space="preserve"> the cities with 500 thousand or more</w:t>
                      </w:r>
                      <w:r w:rsidRPr="005734C2">
                        <w:rPr>
                          <w:lang w:val="en-GB"/>
                        </w:rPr>
                        <w:t xml:space="preserve"> </w:t>
                      </w:r>
                      <w:r>
                        <w:rPr>
                          <w:lang w:val="en-GB"/>
                        </w:rPr>
                        <w:t>residents</w:t>
                      </w:r>
                    </w:p>
                  </w:txbxContent>
                </v:textbox>
                <w10:wrap type="tight"/>
              </v:shape>
            </w:pict>
          </mc:Fallback>
        </mc:AlternateContent>
      </w:r>
      <w:r w:rsidR="00885939">
        <w:rPr>
          <w:noProof/>
          <w:lang w:eastAsia="pl-PL"/>
        </w:rPr>
        <w:drawing>
          <wp:inline distT="0" distB="0" distL="0" distR="0" wp14:anchorId="1C56B1DB" wp14:editId="33E48355">
            <wp:extent cx="5122545" cy="2700000"/>
            <wp:effectExtent l="0" t="0" r="1905" b="5715"/>
            <wp:docPr id="9" name="Wykres 9">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3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1D61F1" w14:textId="4F85792D" w:rsidR="002B0436" w:rsidRDefault="005734C2" w:rsidP="005071C2">
      <w:pPr>
        <w:rPr>
          <w:spacing w:val="-2"/>
          <w:szCs w:val="19"/>
          <w:shd w:val="clear" w:color="auto" w:fill="FFFFFF"/>
          <w:lang w:val="en-GB"/>
        </w:rPr>
      </w:pPr>
      <w:r>
        <w:rPr>
          <w:spacing w:val="-2"/>
          <w:szCs w:val="19"/>
          <w:shd w:val="clear" w:color="auto" w:fill="FFFFFF"/>
          <w:lang w:val="en-GB"/>
        </w:rPr>
        <w:t>It is worth of emphasizing, that in 202</w:t>
      </w:r>
      <w:r w:rsidR="00C73B85">
        <w:rPr>
          <w:spacing w:val="-2"/>
          <w:szCs w:val="19"/>
          <w:shd w:val="clear" w:color="auto" w:fill="FFFFFF"/>
          <w:lang w:val="en-GB"/>
        </w:rPr>
        <w:t>5</w:t>
      </w:r>
      <w:r>
        <w:rPr>
          <w:spacing w:val="-2"/>
          <w:szCs w:val="19"/>
          <w:shd w:val="clear" w:color="auto" w:fill="FFFFFF"/>
          <w:lang w:val="en-GB"/>
        </w:rPr>
        <w:t xml:space="preserve"> </w:t>
      </w:r>
      <w:r w:rsidR="00D4488C">
        <w:rPr>
          <w:spacing w:val="-2"/>
          <w:szCs w:val="19"/>
          <w:shd w:val="clear" w:color="auto" w:fill="FFFFFF"/>
          <w:lang w:val="en-GB"/>
        </w:rPr>
        <w:t xml:space="preserve">support granted to the inhabitants of Ukraine escaping from war to Poland or staying on the territory of covered by war Ukraine, </w:t>
      </w:r>
      <w:r w:rsidR="006D670B">
        <w:rPr>
          <w:spacing w:val="-2"/>
          <w:szCs w:val="19"/>
          <w:shd w:val="clear" w:color="auto" w:fill="FFFFFF"/>
          <w:lang w:val="en-GB"/>
        </w:rPr>
        <w:t xml:space="preserve">was continued </w:t>
      </w:r>
      <w:r w:rsidR="00D4488C">
        <w:rPr>
          <w:spacing w:val="-2"/>
          <w:szCs w:val="19"/>
          <w:shd w:val="clear" w:color="auto" w:fill="FFFFFF"/>
          <w:lang w:val="en-GB"/>
        </w:rPr>
        <w:t>d</w:t>
      </w:r>
      <w:r w:rsidR="008562A0">
        <w:rPr>
          <w:spacing w:val="-2"/>
          <w:szCs w:val="19"/>
          <w:shd w:val="clear" w:color="auto" w:fill="FFFFFF"/>
          <w:lang w:val="en-GB"/>
        </w:rPr>
        <w:t>espite the decline in the intensity of this assis</w:t>
      </w:r>
      <w:r w:rsidR="002B0436">
        <w:rPr>
          <w:spacing w:val="-2"/>
          <w:szCs w:val="19"/>
          <w:shd w:val="clear" w:color="auto" w:fill="FFFFFF"/>
          <w:lang w:val="en-GB"/>
        </w:rPr>
        <w:t>tance in the following quarters</w:t>
      </w:r>
      <w:r w:rsidR="008562A0">
        <w:rPr>
          <w:spacing w:val="-2"/>
          <w:szCs w:val="19"/>
          <w:shd w:val="clear" w:color="auto" w:fill="FFFFFF"/>
          <w:lang w:val="en-GB"/>
        </w:rPr>
        <w:t>.</w:t>
      </w:r>
      <w:r w:rsidR="00CB6763">
        <w:rPr>
          <w:spacing w:val="-2"/>
          <w:szCs w:val="19"/>
          <w:shd w:val="clear" w:color="auto" w:fill="FFFFFF"/>
          <w:lang w:val="en-GB"/>
        </w:rPr>
        <w:t xml:space="preserve"> </w:t>
      </w:r>
      <w:r w:rsidR="00CB6763" w:rsidRPr="002E3797">
        <w:rPr>
          <w:lang w:val="en-GB"/>
        </w:rPr>
        <w:t>Among households helping</w:t>
      </w:r>
      <w:r w:rsidR="00CB6763">
        <w:rPr>
          <w:lang w:val="en-GB"/>
        </w:rPr>
        <w:t xml:space="preserve"> persons from Ukraine</w:t>
      </w:r>
      <w:r w:rsidR="00CB6763" w:rsidRPr="002E3797">
        <w:rPr>
          <w:lang w:val="en-GB"/>
        </w:rPr>
        <w:t xml:space="preserve">, the dominant forms of support </w:t>
      </w:r>
      <w:r w:rsidR="00CB6763">
        <w:rPr>
          <w:lang w:val="en-GB"/>
        </w:rPr>
        <w:t xml:space="preserve">in 2022–2025 </w:t>
      </w:r>
      <w:r w:rsidR="00CB6763" w:rsidRPr="002E3797">
        <w:rPr>
          <w:lang w:val="en-GB"/>
        </w:rPr>
        <w:t>were</w:t>
      </w:r>
      <w:r w:rsidR="00CB6763">
        <w:rPr>
          <w:lang w:val="en-GB"/>
        </w:rPr>
        <w:t>:</w:t>
      </w:r>
      <w:r w:rsidR="00CB6763" w:rsidRPr="002E3797">
        <w:rPr>
          <w:lang w:val="en-GB"/>
        </w:rPr>
        <w:t xml:space="preserve"> in-kind donations and financial support (directly o</w:t>
      </w:r>
      <w:r w:rsidR="00CB6763">
        <w:rPr>
          <w:lang w:val="en-GB"/>
        </w:rPr>
        <w:t>r</w:t>
      </w:r>
      <w:r w:rsidR="00CB6763" w:rsidRPr="002E3797">
        <w:rPr>
          <w:lang w:val="en-GB"/>
        </w:rPr>
        <w:t xml:space="preserve"> through organizations). It is also worth noting that households </w:t>
      </w:r>
      <w:r w:rsidR="00CB6763">
        <w:rPr>
          <w:lang w:val="en-GB"/>
        </w:rPr>
        <w:t xml:space="preserve">still </w:t>
      </w:r>
      <w:r w:rsidR="00CB6763" w:rsidRPr="002E3797">
        <w:rPr>
          <w:lang w:val="en-GB"/>
        </w:rPr>
        <w:t>provided assistance to refugees from</w:t>
      </w:r>
      <w:r w:rsidR="00AA62EC">
        <w:rPr>
          <w:lang w:val="en-GB"/>
        </w:rPr>
        <w:t xml:space="preserve"> Ukraine in Poland in finding a </w:t>
      </w:r>
      <w:r w:rsidR="00CB6763" w:rsidRPr="002E3797">
        <w:rPr>
          <w:lang w:val="en-GB"/>
        </w:rPr>
        <w:t>job, taking care of everyday matters or caring for relatives.</w:t>
      </w:r>
    </w:p>
    <w:p w14:paraId="7352B135" w14:textId="56A6BDF7" w:rsidR="00161F41" w:rsidRDefault="0031787F" w:rsidP="00362EE0">
      <w:pPr>
        <w:spacing w:before="360"/>
        <w:rPr>
          <w:spacing w:val="-2"/>
          <w:szCs w:val="19"/>
          <w:shd w:val="clear" w:color="auto" w:fill="FFFFFF"/>
          <w:lang w:val="en-GB"/>
        </w:rPr>
      </w:pPr>
      <w:r w:rsidRPr="0031787F">
        <w:rPr>
          <w:spacing w:val="-2"/>
          <w:szCs w:val="19"/>
          <w:shd w:val="clear" w:color="auto" w:fill="FFFFFF"/>
          <w:lang w:val="en-GB"/>
        </w:rPr>
        <w:t>In case of quoting Statistics Poland data, please provide informati</w:t>
      </w:r>
      <w:r>
        <w:rPr>
          <w:spacing w:val="-2"/>
          <w:szCs w:val="19"/>
          <w:shd w:val="clear" w:color="auto" w:fill="FFFFFF"/>
          <w:lang w:val="en-GB"/>
        </w:rPr>
        <w:t xml:space="preserve">on: “Source of data: Statistics </w:t>
      </w:r>
      <w:r w:rsidRPr="0031787F">
        <w:rPr>
          <w:spacing w:val="-2"/>
          <w:szCs w:val="19"/>
          <w:shd w:val="clear" w:color="auto" w:fill="FFFFFF"/>
          <w:lang w:val="en-GB"/>
        </w:rPr>
        <w:t xml:space="preserve">Poland”, and in case of publishing calculations made on data </w:t>
      </w:r>
      <w:r>
        <w:rPr>
          <w:spacing w:val="-2"/>
          <w:szCs w:val="19"/>
          <w:shd w:val="clear" w:color="auto" w:fill="FFFFFF"/>
          <w:lang w:val="en-GB"/>
        </w:rPr>
        <w:t xml:space="preserve">published by Statistics Poland, </w:t>
      </w:r>
      <w:r w:rsidRPr="0031787F">
        <w:rPr>
          <w:spacing w:val="-2"/>
          <w:szCs w:val="19"/>
          <w:shd w:val="clear" w:color="auto" w:fill="FFFFFF"/>
          <w:lang w:val="en-GB"/>
        </w:rPr>
        <w:t>please include the following disclaimer: “Own study based on figures from Statistics Poland”.</w:t>
      </w:r>
    </w:p>
    <w:p w14:paraId="480ABCAE" w14:textId="77777777" w:rsidR="00161F41" w:rsidRPr="002B0436" w:rsidRDefault="00161F41" w:rsidP="002B0436">
      <w:pPr>
        <w:rPr>
          <w:spacing w:val="-2"/>
          <w:szCs w:val="19"/>
          <w:shd w:val="clear" w:color="auto" w:fill="FFFFFF"/>
          <w:lang w:val="en-GB"/>
        </w:rPr>
        <w:sectPr w:rsidR="00161F41" w:rsidRPr="002B0436" w:rsidSect="00181548">
          <w:headerReference w:type="default" r:id="rId33"/>
          <w:footerReference w:type="default" r:id="rId34"/>
          <w:headerReference w:type="first" r:id="rId35"/>
          <w:footerReference w:type="first" r:id="rId36"/>
          <w:pgSz w:w="11906" w:h="16838"/>
          <w:pgMar w:top="720" w:right="3119" w:bottom="720" w:left="720" w:header="284" w:footer="397"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016A06" w:rsidRPr="008E6E3A" w14:paraId="6F6FDE4B" w14:textId="77777777" w:rsidTr="00674571">
        <w:trPr>
          <w:trHeight w:val="1626"/>
        </w:trPr>
        <w:tc>
          <w:tcPr>
            <w:tcW w:w="4926" w:type="dxa"/>
          </w:tcPr>
          <w:p w14:paraId="6E7ABDB6" w14:textId="77777777" w:rsidR="00016A06" w:rsidRPr="00016A06" w:rsidRDefault="00016A06" w:rsidP="00674571">
            <w:pPr>
              <w:spacing w:before="0" w:after="0" w:line="276" w:lineRule="auto"/>
              <w:rPr>
                <w:rFonts w:cs="Arial"/>
                <w:sz w:val="20"/>
                <w:szCs w:val="20"/>
                <w:lang w:val="en-GB"/>
              </w:rPr>
            </w:pPr>
            <w:r w:rsidRPr="00016A06">
              <w:rPr>
                <w:rFonts w:cs="Arial"/>
                <w:sz w:val="20"/>
                <w:szCs w:val="20"/>
                <w:lang w:val="en-GB"/>
              </w:rPr>
              <w:lastRenderedPageBreak/>
              <w:t>Prepared by:</w:t>
            </w:r>
          </w:p>
          <w:p w14:paraId="75CCE4AD" w14:textId="4C94EB1A" w:rsidR="00016A06" w:rsidRPr="00016A06" w:rsidRDefault="00016A06" w:rsidP="002233D3">
            <w:pPr>
              <w:tabs>
                <w:tab w:val="left" w:pos="3123"/>
              </w:tabs>
              <w:spacing w:before="0" w:line="276" w:lineRule="auto"/>
              <w:rPr>
                <w:rFonts w:cs="Arial"/>
                <w:b/>
                <w:color w:val="000000" w:themeColor="text1"/>
                <w:sz w:val="20"/>
                <w:szCs w:val="20"/>
                <w:lang w:val="en-GB"/>
              </w:rPr>
            </w:pPr>
            <w:r w:rsidRPr="00016A06">
              <w:rPr>
                <w:rFonts w:cs="Arial"/>
                <w:b/>
                <w:color w:val="000000" w:themeColor="text1"/>
                <w:sz w:val="20"/>
                <w:szCs w:val="20"/>
                <w:lang w:val="en-GB"/>
              </w:rPr>
              <w:t>Social Research Department</w:t>
            </w:r>
            <w:r w:rsidR="002233D3">
              <w:rPr>
                <w:rFonts w:cs="Arial"/>
                <w:b/>
                <w:color w:val="000000" w:themeColor="text1"/>
                <w:sz w:val="20"/>
                <w:szCs w:val="20"/>
                <w:lang w:val="en-GB"/>
              </w:rPr>
              <w:tab/>
            </w:r>
          </w:p>
          <w:p w14:paraId="506DC0E6" w14:textId="77777777" w:rsidR="00016A06" w:rsidRPr="00016A06" w:rsidRDefault="00016A06" w:rsidP="00674571">
            <w:pPr>
              <w:spacing w:before="0" w:after="0" w:line="276" w:lineRule="auto"/>
              <w:rPr>
                <w:b/>
                <w:sz w:val="20"/>
                <w:szCs w:val="20"/>
                <w:lang w:val="fi-FI"/>
              </w:rPr>
            </w:pPr>
            <w:r w:rsidRPr="00016A06">
              <w:rPr>
                <w:b/>
                <w:sz w:val="20"/>
                <w:szCs w:val="20"/>
                <w:lang w:val="fi-FI"/>
              </w:rPr>
              <w:t>Director Izabela Grabowska</w:t>
            </w:r>
          </w:p>
          <w:p w14:paraId="1D8E21BB" w14:textId="77777777" w:rsidR="00016A06" w:rsidRPr="00016A06" w:rsidRDefault="00016A06" w:rsidP="00674571">
            <w:pPr>
              <w:pStyle w:val="Nagwek3"/>
              <w:spacing w:before="0" w:after="120" w:line="276" w:lineRule="auto"/>
              <w:outlineLvl w:val="2"/>
              <w:rPr>
                <w:rFonts w:ascii="Fira Sans" w:hAnsi="Fira Sans" w:cs="Arial"/>
                <w:color w:val="000000" w:themeColor="text1"/>
                <w:sz w:val="20"/>
                <w:szCs w:val="20"/>
                <w:lang w:val="fi-FI"/>
              </w:rPr>
            </w:pPr>
            <w:r w:rsidRPr="00016A06">
              <w:rPr>
                <w:rFonts w:ascii="Fira Sans" w:hAnsi="Fira Sans" w:cs="Arial"/>
                <w:color w:val="000000" w:themeColor="text1"/>
                <w:sz w:val="20"/>
                <w:szCs w:val="20"/>
                <w:lang w:val="fi-FI"/>
              </w:rPr>
              <w:t>Phone: (+48 22) 608 31 22</w:t>
            </w:r>
          </w:p>
        </w:tc>
        <w:tc>
          <w:tcPr>
            <w:tcW w:w="4927" w:type="dxa"/>
          </w:tcPr>
          <w:p w14:paraId="70B0C52B" w14:textId="77777777" w:rsidR="00016A06" w:rsidRPr="00016A06" w:rsidRDefault="00016A06" w:rsidP="002233D3">
            <w:pPr>
              <w:spacing w:before="0" w:line="276" w:lineRule="auto"/>
              <w:rPr>
                <w:b/>
                <w:sz w:val="20"/>
                <w:szCs w:val="20"/>
                <w:lang w:val="en-GB"/>
              </w:rPr>
            </w:pPr>
            <w:r w:rsidRPr="00016A06">
              <w:rPr>
                <w:rFonts w:cs="Arial"/>
                <w:sz w:val="20"/>
                <w:szCs w:val="20"/>
                <w:lang w:val="en-GB"/>
              </w:rPr>
              <w:t>Issued by:</w:t>
            </w:r>
            <w:r w:rsidRPr="00016A06">
              <w:rPr>
                <w:rFonts w:cs="Arial"/>
                <w:sz w:val="20"/>
                <w:szCs w:val="20"/>
                <w:lang w:val="en-GB"/>
              </w:rPr>
              <w:br/>
            </w:r>
            <w:r w:rsidRPr="00016A06">
              <w:rPr>
                <w:b/>
                <w:sz w:val="20"/>
                <w:szCs w:val="20"/>
                <w:lang w:val="en-GB"/>
              </w:rPr>
              <w:t>Press Office</w:t>
            </w:r>
          </w:p>
          <w:p w14:paraId="4888F257" w14:textId="77777777" w:rsidR="00016A06" w:rsidRPr="00016A06" w:rsidRDefault="00016A06" w:rsidP="002233D3">
            <w:pPr>
              <w:spacing w:after="0" w:line="276" w:lineRule="auto"/>
              <w:rPr>
                <w:sz w:val="20"/>
                <w:szCs w:val="20"/>
                <w:lang w:val="en-GB"/>
              </w:rPr>
            </w:pPr>
            <w:r w:rsidRPr="00016A06">
              <w:rPr>
                <w:sz w:val="20"/>
                <w:szCs w:val="20"/>
                <w:lang w:val="en-GB"/>
              </w:rPr>
              <w:t>Mobile: (+48) 695 255 032</w:t>
            </w:r>
          </w:p>
          <w:p w14:paraId="48C5C6DA" w14:textId="77777777" w:rsidR="00016A06" w:rsidRPr="00016A06" w:rsidRDefault="00016A06" w:rsidP="002233D3">
            <w:pPr>
              <w:spacing w:before="0" w:after="0" w:line="276" w:lineRule="auto"/>
              <w:rPr>
                <w:sz w:val="20"/>
                <w:szCs w:val="20"/>
                <w:lang w:val="en-GB"/>
              </w:rPr>
            </w:pPr>
            <w:r w:rsidRPr="00016A06">
              <w:rPr>
                <w:sz w:val="20"/>
                <w:szCs w:val="20"/>
                <w:lang w:val="en-GB"/>
              </w:rPr>
              <w:t xml:space="preserve">Phone: (+48 22) 608 38 04, (+48 22) 449 41 45, </w:t>
            </w:r>
          </w:p>
          <w:p w14:paraId="666A6B77" w14:textId="77777777" w:rsidR="00016A06" w:rsidRPr="00016A06" w:rsidRDefault="00016A06" w:rsidP="002233D3">
            <w:pPr>
              <w:spacing w:before="0" w:line="276" w:lineRule="auto"/>
              <w:rPr>
                <w:sz w:val="20"/>
                <w:szCs w:val="20"/>
                <w:lang w:val="en-GB"/>
              </w:rPr>
            </w:pPr>
            <w:r w:rsidRPr="00016A06">
              <w:rPr>
                <w:sz w:val="20"/>
                <w:szCs w:val="20"/>
                <w:lang w:val="en-GB"/>
              </w:rPr>
              <w:t xml:space="preserve">             (+48 22) 608 30 09</w:t>
            </w:r>
          </w:p>
          <w:p w14:paraId="1BA99F01" w14:textId="77777777" w:rsidR="00016A06" w:rsidRPr="00016A06" w:rsidRDefault="00016A06" w:rsidP="002233D3">
            <w:pPr>
              <w:pStyle w:val="Nagwek3"/>
              <w:spacing w:before="0" w:after="120" w:line="276" w:lineRule="auto"/>
              <w:outlineLvl w:val="2"/>
              <w:rPr>
                <w:rFonts w:ascii="Fira Sans" w:hAnsi="Fira Sans" w:cs="Arial"/>
                <w:b/>
                <w:color w:val="000000" w:themeColor="text1"/>
                <w:sz w:val="20"/>
                <w:szCs w:val="20"/>
                <w:lang w:val="fi-FI"/>
              </w:rPr>
            </w:pPr>
            <w:r w:rsidRPr="00016A06">
              <w:rPr>
                <w:rFonts w:ascii="Fira Sans" w:hAnsi="Fira Sans"/>
                <w:b/>
                <w:color w:val="auto"/>
                <w:sz w:val="20"/>
                <w:szCs w:val="20"/>
                <w:lang w:val="en-GB"/>
              </w:rPr>
              <w:t xml:space="preserve">e-mail: </w:t>
            </w:r>
            <w:hyperlink r:id="rId37" w:history="1">
              <w:r w:rsidRPr="00016A06">
                <w:rPr>
                  <w:rStyle w:val="Hipercze"/>
                  <w:rFonts w:ascii="Fira Sans" w:hAnsi="Fira Sans" w:cs="Arial"/>
                  <w:b/>
                  <w:sz w:val="20"/>
                  <w:szCs w:val="20"/>
                  <w:lang w:val="en-US"/>
                </w:rPr>
                <w:t>obslugaprasowa@stat.gov.pl</w:t>
              </w:r>
            </w:hyperlink>
          </w:p>
          <w:p w14:paraId="5545BCFB" w14:textId="77777777" w:rsidR="00016A06" w:rsidRPr="00016A06" w:rsidRDefault="00016A06" w:rsidP="00674571">
            <w:pPr>
              <w:rPr>
                <w:sz w:val="20"/>
                <w:szCs w:val="20"/>
                <w:lang w:val="en-GB"/>
              </w:rPr>
            </w:pPr>
          </w:p>
        </w:tc>
      </w:tr>
      <w:tr w:rsidR="00016A06" w:rsidRPr="00016A06" w14:paraId="0A328445" w14:textId="77777777" w:rsidTr="00674571">
        <w:trPr>
          <w:trHeight w:val="418"/>
        </w:trPr>
        <w:tc>
          <w:tcPr>
            <w:tcW w:w="4926" w:type="dxa"/>
            <w:vMerge w:val="restart"/>
          </w:tcPr>
          <w:p w14:paraId="31AFDFC7" w14:textId="77777777" w:rsidR="00016A06" w:rsidRPr="00016A06" w:rsidRDefault="00016A06" w:rsidP="00674571">
            <w:pPr>
              <w:rPr>
                <w:sz w:val="20"/>
                <w:szCs w:val="20"/>
                <w:lang w:val="en-US"/>
              </w:rPr>
            </w:pPr>
          </w:p>
        </w:tc>
        <w:tc>
          <w:tcPr>
            <w:tcW w:w="4927" w:type="dxa"/>
            <w:vAlign w:val="center"/>
          </w:tcPr>
          <w:p w14:paraId="4328AAF0" w14:textId="77777777" w:rsidR="00016A06" w:rsidRPr="00016A06" w:rsidRDefault="00016A06" w:rsidP="00674571">
            <w:pPr>
              <w:ind w:firstLine="680"/>
              <w:rPr>
                <w:sz w:val="20"/>
                <w:szCs w:val="20"/>
              </w:rPr>
            </w:pPr>
            <w:r w:rsidRPr="00016A06">
              <w:rPr>
                <w:noProof/>
                <w:sz w:val="20"/>
                <w:szCs w:val="20"/>
                <w:lang w:eastAsia="pl-PL"/>
              </w:rPr>
              <w:drawing>
                <wp:anchor distT="0" distB="0" distL="114300" distR="114300" simplePos="0" relativeHeight="251855872" behindDoc="0" locked="0" layoutInCell="1" allowOverlap="1" wp14:anchorId="30BB7CFA" wp14:editId="23B6570B">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9" w:history="1">
              <w:r w:rsidRPr="00016A06">
                <w:rPr>
                  <w:rStyle w:val="Hipercze"/>
                  <w:sz w:val="20"/>
                  <w:szCs w:val="20"/>
                </w:rPr>
                <w:t xml:space="preserve">stat.gov.pl/en/    </w:t>
              </w:r>
            </w:hyperlink>
            <w:r w:rsidRPr="00016A06">
              <w:rPr>
                <w:sz w:val="20"/>
                <w:szCs w:val="20"/>
              </w:rPr>
              <w:t xml:space="preserve"> </w:t>
            </w:r>
          </w:p>
        </w:tc>
      </w:tr>
      <w:tr w:rsidR="00016A06" w:rsidRPr="00016A06" w14:paraId="0512DACC" w14:textId="77777777" w:rsidTr="00674571">
        <w:trPr>
          <w:trHeight w:val="418"/>
        </w:trPr>
        <w:tc>
          <w:tcPr>
            <w:tcW w:w="4926" w:type="dxa"/>
            <w:vMerge/>
          </w:tcPr>
          <w:p w14:paraId="4F08FEB1" w14:textId="77777777" w:rsidR="00016A06" w:rsidRPr="00016A06" w:rsidRDefault="00016A06" w:rsidP="00674571">
            <w:pPr>
              <w:rPr>
                <w:b/>
                <w:sz w:val="20"/>
                <w:szCs w:val="20"/>
              </w:rPr>
            </w:pPr>
          </w:p>
        </w:tc>
        <w:tc>
          <w:tcPr>
            <w:tcW w:w="4927" w:type="dxa"/>
            <w:vAlign w:val="center"/>
          </w:tcPr>
          <w:p w14:paraId="271FABE9" w14:textId="77777777" w:rsidR="00016A06" w:rsidRPr="00016A06" w:rsidRDefault="00016A06" w:rsidP="00674571">
            <w:pPr>
              <w:ind w:firstLine="680"/>
              <w:rPr>
                <w:sz w:val="20"/>
                <w:szCs w:val="20"/>
              </w:rPr>
            </w:pPr>
            <w:r w:rsidRPr="00016A06">
              <w:rPr>
                <w:noProof/>
                <w:sz w:val="20"/>
                <w:szCs w:val="20"/>
                <w:lang w:eastAsia="pl-PL"/>
              </w:rPr>
              <w:drawing>
                <wp:anchor distT="0" distB="0" distL="114300" distR="114300" simplePos="0" relativeHeight="251856896" behindDoc="0" locked="0" layoutInCell="1" allowOverlap="1" wp14:anchorId="2535FAC5" wp14:editId="22E20CC5">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1" w:history="1">
              <w:r w:rsidRPr="00016A06">
                <w:rPr>
                  <w:rStyle w:val="Hipercze"/>
                  <w:sz w:val="20"/>
                  <w:szCs w:val="20"/>
                </w:rPr>
                <w:t>@</w:t>
              </w:r>
              <w:proofErr w:type="spellStart"/>
              <w:r w:rsidRPr="00016A06">
                <w:rPr>
                  <w:rStyle w:val="Hipercze"/>
                  <w:noProof/>
                  <w:sz w:val="20"/>
                  <w:szCs w:val="20"/>
                  <w:lang w:eastAsia="pl-PL"/>
                </w:rPr>
                <w:t>StatPoland</w:t>
              </w:r>
              <w:proofErr w:type="spellEnd"/>
            </w:hyperlink>
          </w:p>
        </w:tc>
      </w:tr>
      <w:tr w:rsidR="00016A06" w:rsidRPr="00016A06" w14:paraId="01E43581" w14:textId="77777777" w:rsidTr="00674571">
        <w:trPr>
          <w:trHeight w:val="480"/>
        </w:trPr>
        <w:tc>
          <w:tcPr>
            <w:tcW w:w="4926" w:type="dxa"/>
            <w:vMerge/>
          </w:tcPr>
          <w:p w14:paraId="3F606CB9" w14:textId="77777777" w:rsidR="00016A06" w:rsidRPr="00016A06" w:rsidRDefault="00016A06" w:rsidP="00674571">
            <w:pPr>
              <w:rPr>
                <w:b/>
                <w:sz w:val="20"/>
                <w:szCs w:val="20"/>
              </w:rPr>
            </w:pPr>
          </w:p>
        </w:tc>
        <w:tc>
          <w:tcPr>
            <w:tcW w:w="4927" w:type="dxa"/>
          </w:tcPr>
          <w:p w14:paraId="7137B9EA" w14:textId="77777777" w:rsidR="00016A06" w:rsidRPr="00016A06" w:rsidRDefault="00016A06" w:rsidP="00674571">
            <w:pPr>
              <w:ind w:firstLine="680"/>
              <w:rPr>
                <w:sz w:val="20"/>
                <w:szCs w:val="20"/>
              </w:rPr>
            </w:pPr>
            <w:r w:rsidRPr="00016A06">
              <w:rPr>
                <w:noProof/>
                <w:sz w:val="20"/>
                <w:szCs w:val="20"/>
                <w:lang w:eastAsia="pl-PL"/>
              </w:rPr>
              <w:drawing>
                <wp:anchor distT="0" distB="0" distL="114300" distR="114300" simplePos="0" relativeHeight="251857920" behindDoc="0" locked="0" layoutInCell="1" allowOverlap="1" wp14:anchorId="551093B1" wp14:editId="77FEDAFE">
                  <wp:simplePos x="0" y="0"/>
                  <wp:positionH relativeFrom="column">
                    <wp:posOffset>80645</wp:posOffset>
                  </wp:positionH>
                  <wp:positionV relativeFrom="paragraph">
                    <wp:posOffset>13970</wp:posOffset>
                  </wp:positionV>
                  <wp:extent cx="251460" cy="251460"/>
                  <wp:effectExtent l="0" t="0" r="0" b="0"/>
                  <wp:wrapNone/>
                  <wp:docPr id="17" name="Obraz 17"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3" w:history="1">
              <w:r w:rsidRPr="00016A06">
                <w:rPr>
                  <w:rStyle w:val="Hipercze"/>
                  <w:sz w:val="20"/>
                  <w:szCs w:val="20"/>
                </w:rPr>
                <w:t>@</w:t>
              </w:r>
              <w:proofErr w:type="spellStart"/>
              <w:r w:rsidRPr="00016A06">
                <w:rPr>
                  <w:rStyle w:val="Hipercze"/>
                  <w:sz w:val="20"/>
                  <w:szCs w:val="20"/>
                </w:rPr>
                <w:t>GlownyUrzadStatystyczny</w:t>
              </w:r>
              <w:proofErr w:type="spellEnd"/>
            </w:hyperlink>
            <w:r w:rsidRPr="00016A06">
              <w:rPr>
                <w:noProof/>
                <w:sz w:val="20"/>
                <w:szCs w:val="20"/>
                <w:lang w:eastAsia="pl-PL"/>
              </w:rPr>
              <w:t xml:space="preserve"> </w:t>
            </w:r>
          </w:p>
        </w:tc>
      </w:tr>
      <w:tr w:rsidR="00016A06" w:rsidRPr="00016A06" w14:paraId="3D850471" w14:textId="77777777" w:rsidTr="00674571">
        <w:trPr>
          <w:trHeight w:val="480"/>
        </w:trPr>
        <w:tc>
          <w:tcPr>
            <w:tcW w:w="4926" w:type="dxa"/>
          </w:tcPr>
          <w:p w14:paraId="2AE55421" w14:textId="77777777" w:rsidR="00016A06" w:rsidRPr="00016A06" w:rsidRDefault="00016A06" w:rsidP="00674571">
            <w:pPr>
              <w:rPr>
                <w:b/>
                <w:sz w:val="20"/>
                <w:szCs w:val="20"/>
              </w:rPr>
            </w:pPr>
          </w:p>
        </w:tc>
        <w:tc>
          <w:tcPr>
            <w:tcW w:w="4927" w:type="dxa"/>
          </w:tcPr>
          <w:p w14:paraId="3AD94DA8" w14:textId="77777777" w:rsidR="00016A06" w:rsidRPr="00016A06" w:rsidRDefault="00016A06" w:rsidP="00674571">
            <w:pPr>
              <w:ind w:firstLine="680"/>
              <w:rPr>
                <w:sz w:val="20"/>
                <w:szCs w:val="20"/>
              </w:rPr>
            </w:pPr>
            <w:r w:rsidRPr="00016A06">
              <w:rPr>
                <w:noProof/>
                <w:sz w:val="20"/>
                <w:szCs w:val="20"/>
                <w:lang w:eastAsia="pl-PL"/>
              </w:rPr>
              <w:drawing>
                <wp:anchor distT="0" distB="0" distL="114300" distR="114300" simplePos="0" relativeHeight="251858944" behindDoc="0" locked="0" layoutInCell="1" allowOverlap="1" wp14:anchorId="07243F7B" wp14:editId="14A4193E">
                  <wp:simplePos x="0" y="0"/>
                  <wp:positionH relativeFrom="column">
                    <wp:posOffset>82550</wp:posOffset>
                  </wp:positionH>
                  <wp:positionV relativeFrom="paragraph">
                    <wp:posOffset>12700</wp:posOffset>
                  </wp:positionV>
                  <wp:extent cx="251460" cy="251460"/>
                  <wp:effectExtent l="0" t="0" r="0" b="0"/>
                  <wp:wrapNone/>
                  <wp:docPr id="18" name="Obraz 18"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5" w:history="1">
              <w:r w:rsidRPr="00016A06">
                <w:rPr>
                  <w:rStyle w:val="Hipercze"/>
                  <w:sz w:val="20"/>
                  <w:szCs w:val="20"/>
                </w:rPr>
                <w:t>@</w:t>
              </w:r>
              <w:proofErr w:type="spellStart"/>
              <w:r w:rsidRPr="00016A06">
                <w:rPr>
                  <w:rStyle w:val="Hipercze"/>
                  <w:sz w:val="20"/>
                  <w:szCs w:val="20"/>
                </w:rPr>
                <w:t>gus_stat</w:t>
              </w:r>
              <w:proofErr w:type="spellEnd"/>
            </w:hyperlink>
          </w:p>
        </w:tc>
      </w:tr>
      <w:tr w:rsidR="00016A06" w:rsidRPr="00016A06" w14:paraId="13A88F54" w14:textId="77777777" w:rsidTr="00674571">
        <w:trPr>
          <w:trHeight w:val="480"/>
        </w:trPr>
        <w:tc>
          <w:tcPr>
            <w:tcW w:w="4926" w:type="dxa"/>
          </w:tcPr>
          <w:p w14:paraId="330837CC" w14:textId="77777777" w:rsidR="00016A06" w:rsidRPr="00016A06" w:rsidRDefault="00016A06" w:rsidP="00674571">
            <w:pPr>
              <w:rPr>
                <w:b/>
                <w:sz w:val="20"/>
                <w:szCs w:val="20"/>
              </w:rPr>
            </w:pPr>
          </w:p>
        </w:tc>
        <w:tc>
          <w:tcPr>
            <w:tcW w:w="4927" w:type="dxa"/>
          </w:tcPr>
          <w:p w14:paraId="5D51514B" w14:textId="77777777" w:rsidR="00016A06" w:rsidRPr="00016A06" w:rsidRDefault="00016A06" w:rsidP="00674571">
            <w:pPr>
              <w:ind w:firstLine="680"/>
              <w:rPr>
                <w:sz w:val="20"/>
                <w:szCs w:val="20"/>
              </w:rPr>
            </w:pPr>
            <w:r w:rsidRPr="00016A06">
              <w:rPr>
                <w:noProof/>
                <w:sz w:val="20"/>
                <w:szCs w:val="20"/>
                <w:lang w:eastAsia="pl-PL"/>
              </w:rPr>
              <w:drawing>
                <wp:anchor distT="0" distB="0" distL="114300" distR="114300" simplePos="0" relativeHeight="251859968" behindDoc="0" locked="0" layoutInCell="1" allowOverlap="1" wp14:anchorId="766924E7" wp14:editId="3AB9B9C3">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7" w:history="1">
              <w:r w:rsidRPr="00016A06">
                <w:rPr>
                  <w:rStyle w:val="Hipercze"/>
                  <w:sz w:val="20"/>
                  <w:szCs w:val="20"/>
                </w:rPr>
                <w:t>@</w:t>
              </w:r>
              <w:proofErr w:type="spellStart"/>
              <w:r w:rsidRPr="00016A06">
                <w:rPr>
                  <w:rStyle w:val="Hipercze"/>
                  <w:sz w:val="20"/>
                  <w:szCs w:val="20"/>
                </w:rPr>
                <w:t>GłównyUrządStatystycznyGUS</w:t>
              </w:r>
              <w:proofErr w:type="spellEnd"/>
            </w:hyperlink>
          </w:p>
        </w:tc>
      </w:tr>
      <w:tr w:rsidR="00016A06" w:rsidRPr="00016A06" w14:paraId="3481FE72" w14:textId="77777777" w:rsidTr="00016A06">
        <w:trPr>
          <w:trHeight w:val="1134"/>
        </w:trPr>
        <w:tc>
          <w:tcPr>
            <w:tcW w:w="4926" w:type="dxa"/>
          </w:tcPr>
          <w:p w14:paraId="448F3E44" w14:textId="77777777" w:rsidR="00016A06" w:rsidRPr="00016A06" w:rsidRDefault="00016A06" w:rsidP="00674571">
            <w:pPr>
              <w:rPr>
                <w:b/>
                <w:sz w:val="20"/>
                <w:szCs w:val="20"/>
              </w:rPr>
            </w:pPr>
          </w:p>
        </w:tc>
        <w:tc>
          <w:tcPr>
            <w:tcW w:w="4927" w:type="dxa"/>
          </w:tcPr>
          <w:p w14:paraId="46548BBF" w14:textId="77777777" w:rsidR="00016A06" w:rsidRPr="00016A06" w:rsidRDefault="00D945DB" w:rsidP="00674571">
            <w:pPr>
              <w:ind w:firstLine="680"/>
              <w:rPr>
                <w:sz w:val="20"/>
                <w:szCs w:val="20"/>
              </w:rPr>
            </w:pPr>
            <w:hyperlink r:id="rId48" w:history="1">
              <w:r w:rsidR="00016A06" w:rsidRPr="00016A06">
                <w:rPr>
                  <w:rStyle w:val="Hipercze"/>
                  <w:noProof/>
                  <w:sz w:val="20"/>
                  <w:szCs w:val="20"/>
                  <w:lang w:eastAsia="pl-PL"/>
                </w:rPr>
                <w:t>@Glówny Urząd Statystyczny</w:t>
              </w:r>
            </w:hyperlink>
            <w:r w:rsidR="00016A06" w:rsidRPr="00016A06">
              <w:rPr>
                <w:noProof/>
                <w:sz w:val="20"/>
                <w:szCs w:val="20"/>
                <w:lang w:eastAsia="pl-PL"/>
              </w:rPr>
              <w:drawing>
                <wp:anchor distT="0" distB="0" distL="114300" distR="114300" simplePos="0" relativeHeight="251860992" behindDoc="0" locked="0" layoutInCell="1" allowOverlap="1" wp14:anchorId="021853D2" wp14:editId="7A545AEE">
                  <wp:simplePos x="0" y="0"/>
                  <wp:positionH relativeFrom="column">
                    <wp:posOffset>82550</wp:posOffset>
                  </wp:positionH>
                  <wp:positionV relativeFrom="paragraph">
                    <wp:posOffset>15240</wp:posOffset>
                  </wp:positionV>
                  <wp:extent cx="251460" cy="251460"/>
                  <wp:effectExtent l="0" t="0" r="0" b="0"/>
                  <wp:wrapNone/>
                  <wp:docPr id="20" name="Obraz 20"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016A06" w:rsidRPr="00016A06" w14:paraId="653B5868" w14:textId="77777777" w:rsidTr="00674571">
        <w:trPr>
          <w:trHeight w:val="4114"/>
        </w:trPr>
        <w:tc>
          <w:tcPr>
            <w:tcW w:w="9853" w:type="dxa"/>
            <w:gridSpan w:val="2"/>
            <w:shd w:val="clear" w:color="auto" w:fill="D9D9D9" w:themeFill="background1" w:themeFillShade="D9"/>
          </w:tcPr>
          <w:p w14:paraId="7A0B3001" w14:textId="77777777" w:rsidR="00016A06" w:rsidRPr="00016A06" w:rsidRDefault="00016A06" w:rsidP="00674571">
            <w:pPr>
              <w:rPr>
                <w:b/>
                <w:sz w:val="20"/>
                <w:szCs w:val="20"/>
                <w:lang w:val="en-GB"/>
              </w:rPr>
            </w:pPr>
            <w:r w:rsidRPr="00016A06">
              <w:rPr>
                <w:b/>
                <w:sz w:val="20"/>
                <w:szCs w:val="20"/>
                <w:lang w:val="en-GB"/>
              </w:rPr>
              <w:t>Related information</w:t>
            </w:r>
          </w:p>
          <w:p w14:paraId="1A3D9957" w14:textId="77777777" w:rsidR="00016A06" w:rsidRPr="00016A06" w:rsidRDefault="00D945DB" w:rsidP="00674571">
            <w:pPr>
              <w:rPr>
                <w:rStyle w:val="Hipercze"/>
                <w:rFonts w:cs="Arial"/>
                <w:sz w:val="20"/>
                <w:szCs w:val="20"/>
                <w:shd w:val="clear" w:color="auto" w:fill="F0F0F0"/>
                <w:lang w:val="en-GB"/>
              </w:rPr>
            </w:pPr>
            <w:hyperlink r:id="rId50" w:history="1">
              <w:r w:rsidR="00016A06" w:rsidRPr="00016A06">
                <w:rPr>
                  <w:rStyle w:val="Hipercze"/>
                  <w:rFonts w:cs="Arial"/>
                  <w:sz w:val="20"/>
                  <w:szCs w:val="20"/>
                  <w:shd w:val="clear" w:color="auto" w:fill="D9D9D9" w:themeFill="background1" w:themeFillShade="D9"/>
                  <w:lang w:val="en-GB"/>
                </w:rPr>
                <w:t>Household Budget Survey in 2024</w:t>
              </w:r>
            </w:hyperlink>
          </w:p>
          <w:p w14:paraId="48306590" w14:textId="77777777" w:rsidR="00016A06" w:rsidRPr="00016A06" w:rsidRDefault="00D945DB" w:rsidP="00674571">
            <w:pPr>
              <w:rPr>
                <w:rStyle w:val="Hipercze"/>
                <w:rFonts w:cs="Arial"/>
                <w:sz w:val="20"/>
                <w:szCs w:val="20"/>
                <w:shd w:val="clear" w:color="auto" w:fill="F0F0F0"/>
                <w:lang w:val="en-GB"/>
              </w:rPr>
            </w:pPr>
            <w:hyperlink r:id="rId51" w:history="1">
              <w:r w:rsidR="00016A06" w:rsidRPr="00016A06">
                <w:rPr>
                  <w:rStyle w:val="Hipercze"/>
                  <w:rFonts w:cs="Arial"/>
                  <w:sz w:val="20"/>
                  <w:szCs w:val="20"/>
                  <w:shd w:val="clear" w:color="auto" w:fill="D9D9D9" w:themeFill="background1" w:themeFillShade="D9"/>
                  <w:lang w:val="en-GB"/>
                </w:rPr>
                <w:t>The situation of households in 2024 on the basis of results of the Household Budget Survey</w:t>
              </w:r>
            </w:hyperlink>
          </w:p>
          <w:p w14:paraId="03B51FAE" w14:textId="77777777" w:rsidR="00016A06" w:rsidRPr="00016A06" w:rsidRDefault="00016A06" w:rsidP="00674571">
            <w:pPr>
              <w:rPr>
                <w:rStyle w:val="Hipercze"/>
                <w:rFonts w:cs="Arial"/>
                <w:sz w:val="20"/>
                <w:szCs w:val="20"/>
                <w:shd w:val="clear" w:color="auto" w:fill="F0F0F0"/>
                <w:lang w:val="en-GB"/>
              </w:rPr>
            </w:pPr>
            <w:r w:rsidRPr="00016A06">
              <w:rPr>
                <w:rStyle w:val="Hipercze"/>
                <w:rFonts w:cs="Arial"/>
                <w:sz w:val="20"/>
                <w:szCs w:val="20"/>
                <w:shd w:val="clear" w:color="auto" w:fill="F0F0F0"/>
                <w:lang w:val="en-GB"/>
              </w:rPr>
              <w:fldChar w:fldCharType="begin"/>
            </w:r>
            <w:r w:rsidRPr="00016A06">
              <w:rPr>
                <w:rStyle w:val="Hipercze"/>
                <w:rFonts w:cs="Arial"/>
                <w:sz w:val="20"/>
                <w:szCs w:val="20"/>
                <w:shd w:val="clear" w:color="auto" w:fill="F0F0F0"/>
                <w:lang w:val="en-GB"/>
              </w:rPr>
              <w:instrText xml:space="preserve"> HYPERLINK "https://stat.gov.pl/en/topics/living-conditions/living-conditions/support-granted-by-households-to-the-inhabitants-of-ukraine-in-the-first-half-of-2022-on-the-basis-of-results-of-the-household-budget-survey,15,1.html" </w:instrText>
            </w:r>
            <w:r w:rsidRPr="00016A06">
              <w:rPr>
                <w:rStyle w:val="Hipercze"/>
                <w:rFonts w:cs="Arial"/>
                <w:sz w:val="20"/>
                <w:szCs w:val="20"/>
                <w:shd w:val="clear" w:color="auto" w:fill="F0F0F0"/>
                <w:lang w:val="en-GB"/>
              </w:rPr>
              <w:fldChar w:fldCharType="separate"/>
            </w:r>
            <w:r w:rsidRPr="00016A06">
              <w:rPr>
                <w:rStyle w:val="Hipercze"/>
                <w:rFonts w:cs="Arial"/>
                <w:sz w:val="20"/>
                <w:szCs w:val="20"/>
                <w:shd w:val="clear" w:color="auto" w:fill="D9D9D9" w:themeFill="background1" w:themeFillShade="D9"/>
                <w:lang w:val="en-GB"/>
              </w:rPr>
              <w:t>Support granted by households to the inhabitants of Ukraine in the first half of 2022 on the basis of results of the Household Budget Survey</w:t>
            </w:r>
          </w:p>
          <w:p w14:paraId="568D0BEF" w14:textId="77777777" w:rsidR="00016A06" w:rsidRPr="00016A06" w:rsidRDefault="00016A06" w:rsidP="00674571">
            <w:pPr>
              <w:rPr>
                <w:b/>
                <w:color w:val="000000" w:themeColor="text1"/>
                <w:sz w:val="20"/>
                <w:szCs w:val="20"/>
                <w:lang w:val="en-GB"/>
              </w:rPr>
            </w:pPr>
            <w:r w:rsidRPr="00016A06">
              <w:rPr>
                <w:rStyle w:val="Hipercze"/>
                <w:rFonts w:cs="Arial"/>
                <w:sz w:val="20"/>
                <w:szCs w:val="20"/>
                <w:shd w:val="clear" w:color="auto" w:fill="F0F0F0"/>
                <w:lang w:val="en-GB"/>
              </w:rPr>
              <w:fldChar w:fldCharType="end"/>
            </w:r>
          </w:p>
          <w:p w14:paraId="7C0FB2BA" w14:textId="77777777" w:rsidR="00016A06" w:rsidRPr="00016A06" w:rsidRDefault="00016A06" w:rsidP="00674571">
            <w:pPr>
              <w:rPr>
                <w:b/>
                <w:color w:val="000000" w:themeColor="text1"/>
                <w:sz w:val="20"/>
                <w:szCs w:val="20"/>
                <w:lang w:val="en-GB"/>
              </w:rPr>
            </w:pPr>
            <w:r w:rsidRPr="00016A06">
              <w:rPr>
                <w:b/>
                <w:color w:val="000000" w:themeColor="text1"/>
                <w:sz w:val="20"/>
                <w:szCs w:val="20"/>
                <w:lang w:val="en-GB"/>
              </w:rPr>
              <w:t>Data available in databases</w:t>
            </w:r>
          </w:p>
          <w:p w14:paraId="014880C9" w14:textId="77777777" w:rsidR="00016A06" w:rsidRPr="00016A06" w:rsidRDefault="00D945DB" w:rsidP="00674571">
            <w:pPr>
              <w:rPr>
                <w:rStyle w:val="Hipercze"/>
                <w:rFonts w:cs="Arial"/>
                <w:sz w:val="20"/>
                <w:szCs w:val="20"/>
                <w:shd w:val="clear" w:color="auto" w:fill="F0F0F0"/>
                <w:lang w:val="en-GB"/>
              </w:rPr>
            </w:pPr>
            <w:hyperlink r:id="rId52" w:history="1">
              <w:r w:rsidR="00016A06" w:rsidRPr="00016A06">
                <w:rPr>
                  <w:rStyle w:val="Hipercze"/>
                  <w:rFonts w:cs="Arial"/>
                  <w:sz w:val="20"/>
                  <w:szCs w:val="20"/>
                  <w:shd w:val="clear" w:color="auto" w:fill="D9D9D9" w:themeFill="background1" w:themeFillShade="D9"/>
                  <w:lang w:val="en-GB"/>
                </w:rPr>
                <w:t>LOCAL DATA BANK private households</w:t>
              </w:r>
            </w:hyperlink>
          </w:p>
          <w:p w14:paraId="55815232" w14:textId="77777777" w:rsidR="00016A06" w:rsidRPr="00016A06" w:rsidRDefault="00D945DB" w:rsidP="00674571">
            <w:pPr>
              <w:rPr>
                <w:rStyle w:val="Hipercze"/>
                <w:rFonts w:cs="Arial"/>
                <w:sz w:val="20"/>
                <w:szCs w:val="20"/>
                <w:shd w:val="clear" w:color="auto" w:fill="F0F0F0"/>
                <w:lang w:val="en-GB"/>
              </w:rPr>
            </w:pPr>
            <w:hyperlink r:id="rId53" w:history="1">
              <w:r w:rsidR="00016A06" w:rsidRPr="00016A06">
                <w:rPr>
                  <w:rStyle w:val="Hipercze"/>
                  <w:rFonts w:cs="Arial"/>
                  <w:sz w:val="20"/>
                  <w:szCs w:val="20"/>
                  <w:shd w:val="clear" w:color="auto" w:fill="D9D9D9" w:themeFill="background1" w:themeFillShade="D9"/>
                  <w:lang w:val="en-GB"/>
                </w:rPr>
                <w:t>KNOWLEDGE DATABASES Living conditions of the population</w:t>
              </w:r>
            </w:hyperlink>
          </w:p>
          <w:p w14:paraId="5D3B2453" w14:textId="77777777" w:rsidR="00016A06" w:rsidRPr="00016A06" w:rsidRDefault="00016A06" w:rsidP="00674571">
            <w:pPr>
              <w:rPr>
                <w:color w:val="001D77"/>
                <w:sz w:val="20"/>
                <w:szCs w:val="20"/>
                <w:lang w:val="en-GB"/>
              </w:rPr>
            </w:pPr>
          </w:p>
          <w:p w14:paraId="40ED797E" w14:textId="77777777" w:rsidR="00016A06" w:rsidRPr="00016A06" w:rsidRDefault="00016A06" w:rsidP="00674571">
            <w:pPr>
              <w:rPr>
                <w:b/>
                <w:color w:val="000000" w:themeColor="text1"/>
                <w:sz w:val="20"/>
                <w:szCs w:val="20"/>
                <w:lang w:val="en-GB"/>
              </w:rPr>
            </w:pPr>
            <w:r w:rsidRPr="00016A06">
              <w:rPr>
                <w:b/>
                <w:color w:val="000000" w:themeColor="text1"/>
                <w:sz w:val="20"/>
                <w:szCs w:val="20"/>
                <w:lang w:val="en-GB"/>
              </w:rPr>
              <w:t>Terms used in official statistics</w:t>
            </w:r>
          </w:p>
          <w:p w14:paraId="715A9B7B" w14:textId="77777777" w:rsidR="00016A06" w:rsidRPr="00016A06" w:rsidRDefault="00D945DB" w:rsidP="00674571">
            <w:pPr>
              <w:rPr>
                <w:rStyle w:val="Hipercze"/>
                <w:rFonts w:cs="Arial"/>
                <w:sz w:val="20"/>
                <w:szCs w:val="20"/>
                <w:shd w:val="clear" w:color="auto" w:fill="F0F0F0"/>
                <w:lang w:val="en-GB"/>
              </w:rPr>
            </w:pPr>
            <w:hyperlink r:id="rId54" w:history="1">
              <w:r w:rsidR="00016A06" w:rsidRPr="00016A06">
                <w:rPr>
                  <w:rStyle w:val="Hipercze"/>
                  <w:rFonts w:cs="Arial"/>
                  <w:sz w:val="20"/>
                  <w:szCs w:val="20"/>
                  <w:shd w:val="clear" w:color="auto" w:fill="D9D9D9" w:themeFill="background1" w:themeFillShade="D9"/>
                  <w:lang w:val="en-GB"/>
                </w:rPr>
                <w:t>Household's budget</w:t>
              </w:r>
            </w:hyperlink>
          </w:p>
          <w:p w14:paraId="3C0BAD2D" w14:textId="77777777" w:rsidR="00016A06" w:rsidRPr="00016A06" w:rsidRDefault="00D945DB" w:rsidP="00674571">
            <w:pPr>
              <w:rPr>
                <w:rStyle w:val="Hipercze"/>
                <w:rFonts w:cs="Arial"/>
                <w:sz w:val="20"/>
                <w:szCs w:val="20"/>
                <w:shd w:val="clear" w:color="auto" w:fill="F0F0F0"/>
                <w:lang w:val="en-GB"/>
              </w:rPr>
            </w:pPr>
            <w:hyperlink r:id="rId55" w:history="1">
              <w:r w:rsidR="00016A06" w:rsidRPr="00016A06">
                <w:rPr>
                  <w:rStyle w:val="Hipercze"/>
                  <w:rFonts w:cs="Arial"/>
                  <w:sz w:val="20"/>
                  <w:szCs w:val="20"/>
                  <w:shd w:val="clear" w:color="auto" w:fill="D9D9D9" w:themeFill="background1" w:themeFillShade="D9"/>
                  <w:lang w:val="en-GB"/>
                </w:rPr>
                <w:t>Disposable income</w:t>
              </w:r>
            </w:hyperlink>
          </w:p>
          <w:p w14:paraId="26FF7BFA" w14:textId="77777777" w:rsidR="00016A06" w:rsidRPr="00016A06" w:rsidRDefault="00D945DB" w:rsidP="00674571">
            <w:pPr>
              <w:rPr>
                <w:rStyle w:val="Hipercze"/>
                <w:rFonts w:cs="Arial"/>
                <w:sz w:val="20"/>
                <w:szCs w:val="20"/>
                <w:shd w:val="clear" w:color="auto" w:fill="F0F0F0"/>
                <w:lang w:val="en-GB"/>
              </w:rPr>
            </w:pPr>
            <w:hyperlink r:id="rId56" w:history="1">
              <w:r w:rsidR="00016A06" w:rsidRPr="00016A06">
                <w:rPr>
                  <w:rStyle w:val="Hipercze"/>
                  <w:rFonts w:cs="Arial"/>
                  <w:sz w:val="20"/>
                  <w:szCs w:val="20"/>
                  <w:shd w:val="clear" w:color="auto" w:fill="D9D9D9" w:themeFill="background1" w:themeFillShade="D9"/>
                  <w:lang w:val="en-GB"/>
                </w:rPr>
                <w:t>Household's available income</w:t>
              </w:r>
            </w:hyperlink>
          </w:p>
          <w:p w14:paraId="3243FD7D" w14:textId="77777777" w:rsidR="00016A06" w:rsidRPr="00016A06" w:rsidRDefault="00D945DB" w:rsidP="00674571">
            <w:pPr>
              <w:rPr>
                <w:rStyle w:val="Hipercze"/>
                <w:rFonts w:cs="Arial"/>
                <w:sz w:val="20"/>
                <w:szCs w:val="20"/>
                <w:shd w:val="clear" w:color="auto" w:fill="F0F0F0"/>
                <w:lang w:val="en-GB"/>
              </w:rPr>
            </w:pPr>
            <w:hyperlink r:id="rId57" w:history="1">
              <w:r w:rsidR="00016A06" w:rsidRPr="00016A06">
                <w:rPr>
                  <w:rStyle w:val="Hipercze"/>
                  <w:rFonts w:cs="Arial"/>
                  <w:sz w:val="20"/>
                  <w:szCs w:val="20"/>
                  <w:shd w:val="clear" w:color="auto" w:fill="D9D9D9" w:themeFill="background1" w:themeFillShade="D9"/>
                  <w:lang w:val="en-GB"/>
                </w:rPr>
                <w:t>Private household</w:t>
              </w:r>
            </w:hyperlink>
          </w:p>
          <w:p w14:paraId="75606BD0" w14:textId="77777777" w:rsidR="00016A06" w:rsidRPr="00016A06" w:rsidRDefault="00D945DB" w:rsidP="00674571">
            <w:pPr>
              <w:rPr>
                <w:rStyle w:val="Hipercze"/>
                <w:rFonts w:cs="Arial"/>
                <w:sz w:val="20"/>
                <w:szCs w:val="20"/>
                <w:shd w:val="clear" w:color="auto" w:fill="F0F0F0"/>
                <w:lang w:val="en-GB"/>
              </w:rPr>
            </w:pPr>
            <w:hyperlink r:id="rId58" w:history="1">
              <w:r w:rsidR="00016A06" w:rsidRPr="00016A06">
                <w:rPr>
                  <w:rStyle w:val="Hipercze"/>
                  <w:rFonts w:cs="Arial"/>
                  <w:sz w:val="20"/>
                  <w:szCs w:val="20"/>
                  <w:shd w:val="clear" w:color="auto" w:fill="D9D9D9" w:themeFill="background1" w:themeFillShade="D9"/>
                  <w:lang w:val="en-GB"/>
                </w:rPr>
                <w:t>Net household's receipts</w:t>
              </w:r>
            </w:hyperlink>
          </w:p>
          <w:p w14:paraId="0F150EBD" w14:textId="77777777" w:rsidR="00016A06" w:rsidRPr="00016A06" w:rsidRDefault="00D945DB" w:rsidP="00674571">
            <w:pPr>
              <w:rPr>
                <w:rStyle w:val="Hipercze"/>
                <w:rFonts w:cs="Arial"/>
                <w:sz w:val="20"/>
                <w:szCs w:val="20"/>
                <w:shd w:val="clear" w:color="auto" w:fill="F0F0F0"/>
                <w:lang w:val="en-GB"/>
              </w:rPr>
            </w:pPr>
            <w:hyperlink r:id="rId59" w:history="1">
              <w:r w:rsidR="00016A06" w:rsidRPr="00016A06">
                <w:rPr>
                  <w:rStyle w:val="Hipercze"/>
                  <w:rFonts w:cs="Arial"/>
                  <w:sz w:val="20"/>
                  <w:szCs w:val="20"/>
                  <w:shd w:val="clear" w:color="auto" w:fill="D9D9D9" w:themeFill="background1" w:themeFillShade="D9"/>
                  <w:lang w:val="en-GB"/>
                </w:rPr>
                <w:t>Net household's outgoings</w:t>
              </w:r>
            </w:hyperlink>
          </w:p>
          <w:p w14:paraId="35E32C06" w14:textId="77777777" w:rsidR="00016A06" w:rsidRPr="00016A06" w:rsidRDefault="00D945DB" w:rsidP="00674571">
            <w:pPr>
              <w:rPr>
                <w:rStyle w:val="Hipercze"/>
                <w:rFonts w:cs="Arial"/>
                <w:sz w:val="20"/>
                <w:szCs w:val="20"/>
                <w:shd w:val="clear" w:color="auto" w:fill="F0F0F0"/>
                <w:lang w:val="en-GB"/>
              </w:rPr>
            </w:pPr>
            <w:hyperlink r:id="rId60" w:history="1">
              <w:r w:rsidR="00016A06" w:rsidRPr="00016A06">
                <w:rPr>
                  <w:rStyle w:val="Hipercze"/>
                  <w:rFonts w:cs="Arial"/>
                  <w:sz w:val="20"/>
                  <w:szCs w:val="20"/>
                  <w:shd w:val="clear" w:color="auto" w:fill="D9D9D9" w:themeFill="background1" w:themeFillShade="D9"/>
                  <w:lang w:val="en-GB"/>
                </w:rPr>
                <w:t>Quantitative consumption of foodstuffs in households per person</w:t>
              </w:r>
            </w:hyperlink>
          </w:p>
          <w:p w14:paraId="671CA0F8" w14:textId="77777777" w:rsidR="00016A06" w:rsidRPr="00016A06" w:rsidRDefault="00D945DB" w:rsidP="00674571">
            <w:pPr>
              <w:rPr>
                <w:rStyle w:val="Hipercze"/>
                <w:rFonts w:cs="Arial"/>
                <w:sz w:val="20"/>
                <w:szCs w:val="20"/>
                <w:shd w:val="clear" w:color="auto" w:fill="F0F0F0"/>
                <w:lang w:val="en-GB"/>
              </w:rPr>
            </w:pPr>
            <w:hyperlink r:id="rId61" w:history="1">
              <w:r w:rsidR="00016A06" w:rsidRPr="00016A06">
                <w:rPr>
                  <w:rStyle w:val="Hipercze"/>
                  <w:rFonts w:cs="Arial"/>
                  <w:sz w:val="20"/>
                  <w:szCs w:val="20"/>
                  <w:shd w:val="clear" w:color="auto" w:fill="D9D9D9" w:themeFill="background1" w:themeFillShade="D9"/>
                  <w:lang w:val="en-GB"/>
                </w:rPr>
                <w:t>Subjective evaluation of material situation</w:t>
              </w:r>
            </w:hyperlink>
          </w:p>
          <w:p w14:paraId="50582C2D" w14:textId="77777777" w:rsidR="00016A06" w:rsidRPr="00016A06" w:rsidRDefault="00D945DB" w:rsidP="00674571">
            <w:pPr>
              <w:rPr>
                <w:rStyle w:val="Hipercze"/>
                <w:rFonts w:cs="Arial"/>
                <w:sz w:val="20"/>
                <w:szCs w:val="20"/>
                <w:shd w:val="clear" w:color="auto" w:fill="F0F0F0"/>
                <w:lang w:val="en-GB"/>
              </w:rPr>
            </w:pPr>
            <w:hyperlink r:id="rId62" w:history="1">
              <w:r w:rsidR="00016A06" w:rsidRPr="00016A06">
                <w:rPr>
                  <w:rStyle w:val="Hipercze"/>
                  <w:rFonts w:cs="Arial"/>
                  <w:sz w:val="20"/>
                  <w:szCs w:val="20"/>
                  <w:shd w:val="clear" w:color="auto" w:fill="D9D9D9" w:themeFill="background1" w:themeFillShade="D9"/>
                  <w:lang w:val="en-GB"/>
                </w:rPr>
                <w:t>Housing conditions</w:t>
              </w:r>
            </w:hyperlink>
          </w:p>
          <w:p w14:paraId="61A38B45" w14:textId="77777777" w:rsidR="00016A06" w:rsidRPr="00016A06" w:rsidRDefault="00D945DB" w:rsidP="00674571">
            <w:pPr>
              <w:rPr>
                <w:rStyle w:val="Hipercze"/>
                <w:rFonts w:cs="Arial"/>
                <w:sz w:val="20"/>
                <w:szCs w:val="20"/>
                <w:shd w:val="clear" w:color="auto" w:fill="F0F0F0"/>
                <w:lang w:val="en-GB"/>
              </w:rPr>
            </w:pPr>
            <w:hyperlink r:id="rId63" w:history="1">
              <w:r w:rsidR="00016A06" w:rsidRPr="00016A06">
                <w:rPr>
                  <w:rStyle w:val="Hipercze"/>
                  <w:rFonts w:cs="Arial"/>
                  <w:sz w:val="20"/>
                  <w:szCs w:val="20"/>
                  <w:shd w:val="clear" w:color="auto" w:fill="D9D9D9" w:themeFill="background1" w:themeFillShade="D9"/>
                  <w:lang w:val="en-GB"/>
                </w:rPr>
                <w:t>Expenditures of a household</w:t>
              </w:r>
            </w:hyperlink>
          </w:p>
          <w:p w14:paraId="5A22B67F" w14:textId="77777777" w:rsidR="00016A06" w:rsidRPr="00016A06" w:rsidRDefault="00D945DB" w:rsidP="00674571">
            <w:pPr>
              <w:rPr>
                <w:rStyle w:val="Hipercze"/>
                <w:rFonts w:cs="Arial"/>
                <w:sz w:val="20"/>
                <w:szCs w:val="20"/>
                <w:shd w:val="clear" w:color="auto" w:fill="F0F0F0"/>
                <w:lang w:val="en-GB"/>
              </w:rPr>
            </w:pPr>
            <w:hyperlink r:id="rId64" w:history="1">
              <w:r w:rsidR="00016A06" w:rsidRPr="00016A06">
                <w:rPr>
                  <w:rStyle w:val="Hipercze"/>
                  <w:rFonts w:cs="Arial"/>
                  <w:sz w:val="20"/>
                  <w:szCs w:val="20"/>
                  <w:shd w:val="clear" w:color="auto" w:fill="D9D9D9" w:themeFill="background1" w:themeFillShade="D9"/>
                  <w:lang w:val="en-GB"/>
                </w:rPr>
                <w:t>Expenditures on consumer goods and services</w:t>
              </w:r>
            </w:hyperlink>
          </w:p>
          <w:p w14:paraId="00C01D94" w14:textId="77777777" w:rsidR="00016A06" w:rsidRPr="00016A06" w:rsidRDefault="00D945DB" w:rsidP="00674571">
            <w:pPr>
              <w:rPr>
                <w:rFonts w:cs="Arial"/>
                <w:color w:val="0000FF"/>
                <w:sz w:val="20"/>
                <w:szCs w:val="20"/>
                <w:u w:val="single"/>
                <w:shd w:val="clear" w:color="auto" w:fill="F0F0F0"/>
                <w:lang w:val="en-GB"/>
              </w:rPr>
            </w:pPr>
            <w:hyperlink r:id="rId65" w:history="1">
              <w:r w:rsidR="00016A06" w:rsidRPr="00016A06">
                <w:rPr>
                  <w:rStyle w:val="Hipercze"/>
                  <w:rFonts w:cs="Arial"/>
                  <w:sz w:val="20"/>
                  <w:szCs w:val="20"/>
                  <w:shd w:val="clear" w:color="auto" w:fill="D9D9D9" w:themeFill="background1" w:themeFillShade="D9"/>
                  <w:lang w:val="en-GB"/>
                </w:rPr>
                <w:t>Household's equipment</w:t>
              </w:r>
            </w:hyperlink>
          </w:p>
        </w:tc>
      </w:tr>
    </w:tbl>
    <w:p w14:paraId="7EE94F8F" w14:textId="304D5B25" w:rsidR="00474A3A" w:rsidRPr="003B33FE" w:rsidRDefault="00474A3A" w:rsidP="0016281C">
      <w:pPr>
        <w:spacing w:before="0" w:after="0"/>
        <w:rPr>
          <w:i/>
          <w:lang w:val="en-US"/>
        </w:rPr>
      </w:pPr>
    </w:p>
    <w:sectPr w:rsidR="00474A3A" w:rsidRPr="003B33FE" w:rsidSect="00E240FE">
      <w:headerReference w:type="default" r:id="rId66"/>
      <w:footerReference w:type="default" r:id="rId67"/>
      <w:pgSz w:w="11906" w:h="16838"/>
      <w:pgMar w:top="720" w:right="3119" w:bottom="720" w:left="720" w:header="170" w:footer="39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F154CF" w16cid:durableId="2D95C292"/>
  <w16cid:commentId w16cid:paraId="618F04E7" w16cid:durableId="2D95D0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19565" w14:textId="77777777" w:rsidR="00E127EB" w:rsidRDefault="00E127EB" w:rsidP="000662E2">
      <w:pPr>
        <w:spacing w:after="0" w:line="240" w:lineRule="auto"/>
      </w:pPr>
      <w:r>
        <w:separator/>
      </w:r>
    </w:p>
  </w:endnote>
  <w:endnote w:type="continuationSeparator" w:id="0">
    <w:p w14:paraId="502F151C" w14:textId="77777777" w:rsidR="00E127EB" w:rsidRDefault="00E127E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661CD289-7ED7-44FE-82CA-78602115C144}"/>
    <w:embedBold r:id="rId2" w:fontKey="{A4831C50-C64D-47F6-9DCB-027B91CAE7A2}"/>
    <w:embedItalic r:id="rId3" w:fontKey="{D7C741B8-DFAA-4774-AA3D-613D63EC2FA9}"/>
    <w:embedBoldItalic r:id="rId4" w:fontKey="{EA75AEE7-895F-479C-B72D-35603A15D3A8}"/>
  </w:font>
  <w:font w:name="Fira Sans">
    <w:altName w:val="Fira Sans"/>
    <w:panose1 w:val="020B0503050000020004"/>
    <w:charset w:val="EE"/>
    <w:family w:val="swiss"/>
    <w:pitch w:val="variable"/>
    <w:sig w:usb0="600002FF" w:usb1="02000001" w:usb2="00000000" w:usb3="00000000" w:csb0="0000019F" w:csb1="00000000"/>
    <w:embedRegular r:id="rId5" w:fontKey="{8A07E06C-77F0-427D-902C-5C88000284FC}"/>
    <w:embedBold r:id="rId6" w:fontKey="{2A4399A0-0EBE-49E3-B351-99097EFFB15F}"/>
    <w:embedItalic r:id="rId7" w:fontKey="{98ED4CC3-65FD-4227-873D-F3D43910594B}"/>
    <w:embedBoldItalic r:id="rId8" w:fontKey="{3569B81E-3D44-45F0-9FA1-1D45DC5037ED}"/>
  </w:font>
  <w:font w:name="Fira Sans SemiBold">
    <w:panose1 w:val="020B0603050000020004"/>
    <w:charset w:val="EE"/>
    <w:family w:val="swiss"/>
    <w:pitch w:val="variable"/>
    <w:sig w:usb0="600002FF" w:usb1="02000001" w:usb2="00000000" w:usb3="00000000" w:csb0="0000019F" w:csb1="00000000"/>
    <w:embedRegular r:id="rId9" w:fontKey="{FF5F8EAC-CE82-45A2-BA28-DBC4C3C51D64}"/>
  </w:font>
  <w:font w:name="Fira Sans Medium">
    <w:panose1 w:val="020B0603050000020004"/>
    <w:charset w:val="EE"/>
    <w:family w:val="swiss"/>
    <w:pitch w:val="variable"/>
    <w:sig w:usb0="600002FF" w:usb1="02000001" w:usb2="00000000" w:usb3="00000000" w:csb0="0000019F" w:csb1="00000000"/>
    <w:embedRegular r:id="rId10" w:fontKey="{4295D583-A81D-4650-881A-A7589B28EAF5}"/>
    <w:embedItalic r:id="rId11" w:fontKey="{9E2CBDC9-0158-4BB5-A254-66B05A6F0213}"/>
  </w:font>
  <w:font w:name="Segoe UI">
    <w:panose1 w:val="020B0502040204020203"/>
    <w:charset w:val="EE"/>
    <w:family w:val="swiss"/>
    <w:pitch w:val="variable"/>
    <w:sig w:usb0="E4002EFF" w:usb1="C000E47F" w:usb2="00000009" w:usb3="00000000" w:csb0="000001FF" w:csb1="00000000"/>
    <w:embedRegular r:id="rId12" w:fontKey="{652CCDE1-E77C-46B1-9316-FAD3340203EE}"/>
  </w:font>
  <w:font w:name="Fira Sans Extra Condensed SemiB">
    <w:panose1 w:val="020B0603050000020004"/>
    <w:charset w:val="EE"/>
    <w:family w:val="swiss"/>
    <w:pitch w:val="variable"/>
    <w:sig w:usb0="600002FF" w:usb1="00000001" w:usb2="00000000" w:usb3="00000000" w:csb0="0000019F" w:csb1="00000000"/>
    <w:embedRegular r:id="rId13" w:fontKey="{52E2A29B-BF50-4A09-A241-71596433D09D}"/>
    <w:embedItalic r:id="rId14" w:fontKey="{57DBFAFC-B486-4304-AED6-82D64161CCB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510229"/>
      <w:docPartObj>
        <w:docPartGallery w:val="Page Numbers (Bottom of Page)"/>
        <w:docPartUnique/>
      </w:docPartObj>
    </w:sdtPr>
    <w:sdtEndPr/>
    <w:sdtContent>
      <w:p w14:paraId="7EE94FED" w14:textId="77777777" w:rsidR="00E127EB" w:rsidRDefault="00E127EB" w:rsidP="003B18B6">
        <w:pPr>
          <w:pStyle w:val="Stopka"/>
          <w:jc w:val="center"/>
        </w:pPr>
        <w:r>
          <w:rPr>
            <w:noProof/>
          </w:rPr>
          <w:fldChar w:fldCharType="begin"/>
        </w:r>
        <w:r>
          <w:rPr>
            <w:noProof/>
          </w:rPr>
          <w:instrText>PAGE   \* MERGEFORMAT</w:instrText>
        </w:r>
        <w:r>
          <w:rPr>
            <w:noProof/>
          </w:rPr>
          <w:fldChar w:fldCharType="separate"/>
        </w:r>
        <w:r w:rsidR="00D945DB">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728881"/>
      <w:docPartObj>
        <w:docPartGallery w:val="Page Numbers (Bottom of Page)"/>
        <w:docPartUnique/>
      </w:docPartObj>
    </w:sdtPr>
    <w:sdtEndPr/>
    <w:sdtContent>
      <w:p w14:paraId="7EE94FF0" w14:textId="77777777" w:rsidR="00E127EB" w:rsidRDefault="00E127EB" w:rsidP="003B18B6">
        <w:pPr>
          <w:pStyle w:val="Stopka"/>
          <w:jc w:val="center"/>
        </w:pPr>
        <w:r>
          <w:rPr>
            <w:noProof/>
          </w:rPr>
          <w:fldChar w:fldCharType="begin"/>
        </w:r>
        <w:r>
          <w:rPr>
            <w:noProof/>
          </w:rPr>
          <w:instrText>PAGE   \* MERGEFORMAT</w:instrText>
        </w:r>
        <w:r>
          <w:rPr>
            <w:noProof/>
          </w:rPr>
          <w:fldChar w:fldCharType="separate"/>
        </w:r>
        <w:r w:rsidR="00D945DB">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7EE94FF2" w14:textId="77777777" w:rsidR="00E127EB" w:rsidRDefault="00E127EB" w:rsidP="003B18B6">
        <w:pPr>
          <w:pStyle w:val="Stopka"/>
          <w:jc w:val="center"/>
        </w:pPr>
        <w:r>
          <w:rPr>
            <w:noProof/>
          </w:rPr>
          <w:fldChar w:fldCharType="begin"/>
        </w:r>
        <w:r>
          <w:rPr>
            <w:noProof/>
          </w:rPr>
          <w:instrText>PAGE   \* MERGEFORMAT</w:instrText>
        </w:r>
        <w:r>
          <w:rPr>
            <w:noProof/>
          </w:rPr>
          <w:fldChar w:fldCharType="separate"/>
        </w:r>
        <w:r w:rsidR="00D945DB">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34089" w14:textId="77777777" w:rsidR="00E127EB" w:rsidRDefault="00E127EB" w:rsidP="000662E2">
      <w:pPr>
        <w:spacing w:after="0" w:line="240" w:lineRule="auto"/>
      </w:pPr>
      <w:r>
        <w:separator/>
      </w:r>
    </w:p>
  </w:footnote>
  <w:footnote w:type="continuationSeparator" w:id="0">
    <w:p w14:paraId="6F9D98C5" w14:textId="77777777" w:rsidR="00E127EB" w:rsidRDefault="00E127EB" w:rsidP="000662E2">
      <w:pPr>
        <w:spacing w:after="0" w:line="240" w:lineRule="auto"/>
      </w:pPr>
      <w:r>
        <w:continuationSeparator/>
      </w:r>
    </w:p>
  </w:footnote>
  <w:footnote w:id="1">
    <w:p w14:paraId="1162EDA2" w14:textId="28DBFE8B" w:rsidR="00E127EB" w:rsidRPr="00D01E6C" w:rsidRDefault="00E127EB" w:rsidP="005D5B8E">
      <w:pPr>
        <w:pStyle w:val="Tekstprzypisudolnego"/>
        <w:spacing w:after="120"/>
        <w:rPr>
          <w:sz w:val="16"/>
          <w:szCs w:val="16"/>
          <w:lang w:val="en-GB"/>
        </w:rPr>
      </w:pPr>
      <w:r w:rsidRPr="00D01E6C">
        <w:rPr>
          <w:rStyle w:val="Odwoanieprzypisudolnego"/>
          <w:sz w:val="16"/>
          <w:szCs w:val="16"/>
          <w:lang w:val="en-GB"/>
        </w:rPr>
        <w:footnoteRef/>
      </w:r>
      <w:r w:rsidRPr="00D01E6C">
        <w:rPr>
          <w:sz w:val="16"/>
          <w:szCs w:val="16"/>
          <w:lang w:val="en-GB"/>
        </w:rPr>
        <w:t xml:space="preserve"> Values in </w:t>
      </w:r>
      <w:r>
        <w:rPr>
          <w:sz w:val="16"/>
          <w:szCs w:val="16"/>
          <w:lang w:val="en-GB"/>
        </w:rPr>
        <w:t xml:space="preserve">the </w:t>
      </w:r>
      <w:r w:rsidRPr="00D01E6C">
        <w:rPr>
          <w:sz w:val="16"/>
          <w:szCs w:val="16"/>
          <w:lang w:val="en-GB"/>
        </w:rPr>
        <w:t>news releases are presented rounded up to 1 PLN</w:t>
      </w:r>
      <w:r>
        <w:rPr>
          <w:sz w:val="16"/>
          <w:szCs w:val="16"/>
          <w:lang w:val="en-GB"/>
        </w:rPr>
        <w:t>.</w:t>
      </w:r>
    </w:p>
  </w:footnote>
  <w:footnote w:id="2">
    <w:p w14:paraId="5F95D754" w14:textId="77777777" w:rsidR="00DC537B" w:rsidRPr="00BC721A" w:rsidRDefault="00DC537B" w:rsidP="00DC537B">
      <w:pPr>
        <w:pStyle w:val="Tekstprzypisudolnego"/>
        <w:spacing w:after="120"/>
        <w:ind w:left="113" w:hanging="113"/>
        <w:rPr>
          <w:lang w:val="en-GB"/>
        </w:rPr>
      </w:pPr>
      <w:r w:rsidRPr="00AC06CA">
        <w:rPr>
          <w:rStyle w:val="Odwoanieprzypisudolnego"/>
          <w:sz w:val="16"/>
        </w:rPr>
        <w:footnoteRef/>
      </w:r>
      <w:r w:rsidRPr="00BC721A">
        <w:rPr>
          <w:sz w:val="16"/>
          <w:lang w:val="en-GB"/>
        </w:rPr>
        <w:t xml:space="preserve"> </w:t>
      </w:r>
      <w:r w:rsidRPr="006416F7">
        <w:rPr>
          <w:rFonts w:cs="Arial"/>
          <w:sz w:val="16"/>
          <w:lang w:val="en-US"/>
        </w:rPr>
        <w:t>Due to the introduction of a new classification of individual consumption by purpose in 2013, based on harmonized COICOP</w:t>
      </w:r>
      <w:r>
        <w:rPr>
          <w:rFonts w:cs="Arial"/>
          <w:sz w:val="16"/>
          <w:lang w:val="en-US"/>
        </w:rPr>
        <w:t xml:space="preserve"> classification</w:t>
      </w:r>
      <w:r w:rsidRPr="006416F7">
        <w:rPr>
          <w:rFonts w:cs="Arial"/>
          <w:sz w:val="16"/>
          <w:lang w:val="en-US"/>
        </w:rPr>
        <w:t xml:space="preserve"> for all surveys of the European Statistical System, the results for 20</w:t>
      </w:r>
      <w:r>
        <w:rPr>
          <w:rFonts w:cs="Arial"/>
          <w:sz w:val="16"/>
          <w:lang w:val="en-US"/>
        </w:rPr>
        <w:t>12</w:t>
      </w:r>
      <w:r w:rsidRPr="006416F7">
        <w:rPr>
          <w:rFonts w:cs="Arial"/>
          <w:sz w:val="16"/>
          <w:lang w:val="en-US"/>
        </w:rPr>
        <w:t>–20</w:t>
      </w:r>
      <w:r>
        <w:rPr>
          <w:rFonts w:cs="Arial"/>
          <w:sz w:val="16"/>
          <w:lang w:val="en-US"/>
        </w:rPr>
        <w:t>25</w:t>
      </w:r>
      <w:r w:rsidRPr="006416F7">
        <w:rPr>
          <w:rFonts w:cs="Arial"/>
          <w:sz w:val="16"/>
          <w:lang w:val="en-US"/>
        </w:rPr>
        <w:t xml:space="preserve"> are presented in comparable conditions – each “expenditure” item </w:t>
      </w:r>
      <w:r>
        <w:rPr>
          <w:rFonts w:cs="Arial"/>
          <w:sz w:val="16"/>
          <w:lang w:val="en-US"/>
        </w:rPr>
        <w:t>in</w:t>
      </w:r>
      <w:r w:rsidRPr="006416F7">
        <w:rPr>
          <w:rFonts w:cs="Arial"/>
          <w:sz w:val="16"/>
          <w:lang w:val="en-US"/>
        </w:rPr>
        <w:t xml:space="preserve"> 2012 was supplemented by the “life-insurance contributions” item.</w:t>
      </w:r>
    </w:p>
  </w:footnote>
  <w:footnote w:id="3">
    <w:p w14:paraId="271D6A70" w14:textId="201BEC7A" w:rsidR="00E127EB" w:rsidRPr="0059067C" w:rsidRDefault="00E127EB" w:rsidP="005D5B8E">
      <w:pPr>
        <w:pStyle w:val="Tekstprzypisudolnego"/>
        <w:spacing w:before="240" w:after="120"/>
        <w:ind w:left="113" w:hanging="113"/>
        <w:rPr>
          <w:sz w:val="16"/>
          <w:szCs w:val="16"/>
          <w:lang w:val="en-GB"/>
        </w:rPr>
      </w:pPr>
      <w:r w:rsidRPr="00ED605D">
        <w:rPr>
          <w:rStyle w:val="Odwoanieprzypisudolnego"/>
          <w:sz w:val="16"/>
          <w:szCs w:val="16"/>
        </w:rPr>
        <w:footnoteRef/>
      </w:r>
      <w:r w:rsidRPr="0059067C">
        <w:rPr>
          <w:sz w:val="16"/>
          <w:szCs w:val="16"/>
          <w:lang w:val="en-GB"/>
        </w:rPr>
        <w:t xml:space="preserve"> The average monthly income </w:t>
      </w:r>
      <w:r>
        <w:rPr>
          <w:sz w:val="16"/>
          <w:szCs w:val="16"/>
          <w:lang w:val="en-GB"/>
        </w:rPr>
        <w:t>indicator</w:t>
      </w:r>
      <w:r w:rsidRPr="0059067C">
        <w:rPr>
          <w:sz w:val="16"/>
          <w:szCs w:val="16"/>
          <w:lang w:val="en-GB"/>
        </w:rPr>
        <w:t xml:space="preserve"> is equal to the quotient of the average monthly income per capita in the surveyed group by the average monthly income per capita for the whole Poland</w:t>
      </w:r>
      <w:r>
        <w:rPr>
          <w:sz w:val="16"/>
          <w:szCs w:val="16"/>
          <w:lang w:val="en-GB"/>
        </w:rPr>
        <w:t xml:space="preserve"> in %</w:t>
      </w:r>
      <w:r w:rsidRPr="0059067C">
        <w:rPr>
          <w:sz w:val="16"/>
          <w:szCs w:val="16"/>
          <w:lang w:val="en-GB"/>
        </w:rPr>
        <w:t>.</w:t>
      </w:r>
    </w:p>
  </w:footnote>
  <w:footnote w:id="4">
    <w:p w14:paraId="0644F497" w14:textId="08E40B98" w:rsidR="00E127EB" w:rsidRPr="00A571DC" w:rsidRDefault="00E127EB" w:rsidP="005D5B8E">
      <w:pPr>
        <w:pStyle w:val="Tekstprzypisudolnego"/>
        <w:spacing w:after="120"/>
        <w:ind w:left="113" w:hanging="113"/>
        <w:rPr>
          <w:sz w:val="16"/>
          <w:szCs w:val="16"/>
          <w:lang w:val="en-GB"/>
        </w:rPr>
      </w:pPr>
      <w:r>
        <w:rPr>
          <w:rStyle w:val="Odwoanieprzypisudolnego"/>
          <w:sz w:val="16"/>
          <w:szCs w:val="16"/>
        </w:rPr>
        <w:footnoteRef/>
      </w:r>
      <w:r w:rsidRPr="00A571DC">
        <w:rPr>
          <w:sz w:val="16"/>
          <w:szCs w:val="16"/>
          <w:lang w:val="en-GB"/>
        </w:rPr>
        <w:t xml:space="preserve"> </w:t>
      </w:r>
      <w:r w:rsidRPr="0059067C">
        <w:rPr>
          <w:sz w:val="16"/>
          <w:szCs w:val="16"/>
          <w:lang w:val="en-GB"/>
        </w:rPr>
        <w:t xml:space="preserve">The average monthly </w:t>
      </w:r>
      <w:r>
        <w:rPr>
          <w:sz w:val="16"/>
          <w:szCs w:val="16"/>
          <w:lang w:val="en-GB"/>
        </w:rPr>
        <w:t>expenditure</w:t>
      </w:r>
      <w:r w:rsidRPr="0059067C">
        <w:rPr>
          <w:sz w:val="16"/>
          <w:szCs w:val="16"/>
          <w:lang w:val="en-GB"/>
        </w:rPr>
        <w:t xml:space="preserve"> </w:t>
      </w:r>
      <w:r>
        <w:rPr>
          <w:sz w:val="16"/>
          <w:szCs w:val="16"/>
          <w:lang w:val="en-GB"/>
        </w:rPr>
        <w:t>indicator</w:t>
      </w:r>
      <w:r w:rsidRPr="0059067C">
        <w:rPr>
          <w:sz w:val="16"/>
          <w:szCs w:val="16"/>
          <w:lang w:val="en-GB"/>
        </w:rPr>
        <w:t xml:space="preserve"> is equal to the quotient of the average monthly </w:t>
      </w:r>
      <w:r>
        <w:rPr>
          <w:sz w:val="16"/>
          <w:szCs w:val="16"/>
          <w:lang w:val="en-GB"/>
        </w:rPr>
        <w:t>expenditure</w:t>
      </w:r>
      <w:r w:rsidRPr="0059067C">
        <w:rPr>
          <w:sz w:val="16"/>
          <w:szCs w:val="16"/>
          <w:lang w:val="en-GB"/>
        </w:rPr>
        <w:t xml:space="preserve"> per capita in the surveyed group by the average monthly </w:t>
      </w:r>
      <w:r>
        <w:rPr>
          <w:sz w:val="16"/>
          <w:szCs w:val="16"/>
          <w:lang w:val="en-GB"/>
        </w:rPr>
        <w:t>expenditure</w:t>
      </w:r>
      <w:r w:rsidRPr="0059067C">
        <w:rPr>
          <w:sz w:val="16"/>
          <w:szCs w:val="16"/>
          <w:lang w:val="en-GB"/>
        </w:rPr>
        <w:t xml:space="preserve"> per capita for the whole Poland</w:t>
      </w:r>
      <w:r>
        <w:rPr>
          <w:sz w:val="16"/>
          <w:szCs w:val="16"/>
          <w:lang w:val="en-GB"/>
        </w:rPr>
        <w:t xml:space="preserve"> in %</w:t>
      </w:r>
      <w:r w:rsidRPr="0059067C">
        <w:rPr>
          <w:sz w:val="16"/>
          <w:szCs w:val="16"/>
          <w:lang w:val="en-GB"/>
        </w:rPr>
        <w:t>.</w:t>
      </w:r>
    </w:p>
  </w:footnote>
  <w:footnote w:id="5">
    <w:p w14:paraId="78BB2479" w14:textId="667F0F97" w:rsidR="00E127EB" w:rsidRPr="0053773B" w:rsidRDefault="00E127EB" w:rsidP="006D20DC">
      <w:pPr>
        <w:spacing w:before="240"/>
        <w:rPr>
          <w:sz w:val="16"/>
          <w:szCs w:val="16"/>
          <w:lang w:val="en-GB"/>
        </w:rPr>
      </w:pPr>
      <w:r w:rsidRPr="00211F7F">
        <w:rPr>
          <w:rStyle w:val="Odwoanieprzypisudolnego"/>
          <w:sz w:val="16"/>
          <w:szCs w:val="16"/>
        </w:rPr>
        <w:footnoteRef/>
      </w:r>
      <w:r w:rsidRPr="0053773B">
        <w:rPr>
          <w:sz w:val="16"/>
          <w:szCs w:val="16"/>
          <w:lang w:val="en-GB"/>
        </w:rPr>
        <w:t xml:space="preserve"> In 20</w:t>
      </w:r>
      <w:r>
        <w:rPr>
          <w:sz w:val="16"/>
          <w:szCs w:val="16"/>
          <w:lang w:val="en-GB"/>
        </w:rPr>
        <w:t>25</w:t>
      </w:r>
      <w:r w:rsidRPr="0053773B">
        <w:rPr>
          <w:sz w:val="16"/>
          <w:szCs w:val="16"/>
          <w:lang w:val="en-GB"/>
        </w:rPr>
        <w:t xml:space="preserve"> the average number of persons in urban households was 2.</w:t>
      </w:r>
      <w:r>
        <w:rPr>
          <w:sz w:val="16"/>
          <w:szCs w:val="16"/>
          <w:lang w:val="en-GB"/>
        </w:rPr>
        <w:t>56,</w:t>
      </w:r>
      <w:r w:rsidRPr="0053773B">
        <w:rPr>
          <w:sz w:val="16"/>
          <w:szCs w:val="16"/>
          <w:lang w:val="en-GB"/>
        </w:rPr>
        <w:t xml:space="preserve"> while in rural households </w:t>
      </w:r>
      <w:r>
        <w:rPr>
          <w:sz w:val="16"/>
          <w:szCs w:val="16"/>
          <w:lang w:val="en-GB"/>
        </w:rPr>
        <w:t>– 3.45.</w:t>
      </w:r>
    </w:p>
  </w:footnote>
  <w:footnote w:id="6">
    <w:p w14:paraId="5EF7F98E" w14:textId="3FD57FDE" w:rsidR="00E127EB" w:rsidRPr="00FF0D37" w:rsidRDefault="00E127EB" w:rsidP="006D20DC">
      <w:pPr>
        <w:pStyle w:val="Tekstprzypisudolnego"/>
        <w:spacing w:before="240" w:after="120"/>
        <w:ind w:left="113" w:hanging="113"/>
        <w:rPr>
          <w:lang w:val="en-GB"/>
        </w:rPr>
      </w:pPr>
      <w:r w:rsidRPr="00FF0D37">
        <w:rPr>
          <w:rStyle w:val="Odwoanieprzypisudolnego"/>
          <w:sz w:val="16"/>
          <w:lang w:val="en-GB"/>
        </w:rPr>
        <w:footnoteRef/>
      </w:r>
      <w:r w:rsidRPr="00FF0D37">
        <w:rPr>
          <w:sz w:val="16"/>
          <w:lang w:val="en-GB"/>
        </w:rPr>
        <w:t xml:space="preserve"> </w:t>
      </w:r>
      <w:r>
        <w:rPr>
          <w:sz w:val="16"/>
          <w:lang w:val="en-GB"/>
        </w:rPr>
        <w:t>The category of “new generation goods”</w:t>
      </w:r>
      <w:r w:rsidRPr="00FF0D37">
        <w:rPr>
          <w:sz w:val="16"/>
          <w:lang w:val="en-GB"/>
        </w:rPr>
        <w:t xml:space="preserve"> i</w:t>
      </w:r>
      <w:r>
        <w:rPr>
          <w:sz w:val="16"/>
          <w:lang w:val="en-GB"/>
        </w:rPr>
        <w:t>ncludes:</w:t>
      </w:r>
      <w:r w:rsidRPr="00FF0D37">
        <w:rPr>
          <w:sz w:val="16"/>
          <w:lang w:val="en-GB"/>
        </w:rPr>
        <w:t xml:space="preserve"> </w:t>
      </w:r>
      <w:r>
        <w:rPr>
          <w:sz w:val="16"/>
          <w:lang w:val="en-GB"/>
        </w:rPr>
        <w:t>access to the Internet, smartphone, plasma or LCD TV set, dishwasher and</w:t>
      </w:r>
      <w:r w:rsidRPr="00FF0D37">
        <w:rPr>
          <w:sz w:val="16"/>
          <w:lang w:val="en-GB"/>
        </w:rPr>
        <w:t xml:space="preserve"> passenger car.</w:t>
      </w:r>
    </w:p>
  </w:footnote>
  <w:footnote w:id="7">
    <w:p w14:paraId="7EE95004" w14:textId="1F56CD61" w:rsidR="00E127EB" w:rsidRPr="006E1C16" w:rsidRDefault="00E127EB" w:rsidP="006D20DC">
      <w:pPr>
        <w:pStyle w:val="Tekstprzypisudolnego"/>
        <w:spacing w:after="120"/>
        <w:ind w:left="113" w:hanging="113"/>
        <w:rPr>
          <w:sz w:val="12"/>
          <w:lang w:val="en-US"/>
        </w:rPr>
      </w:pPr>
      <w:r w:rsidRPr="006E1C16">
        <w:rPr>
          <w:rStyle w:val="Odwoanieprzypisudolnego"/>
          <w:sz w:val="16"/>
        </w:rPr>
        <w:footnoteRef/>
      </w:r>
      <w:r w:rsidRPr="006E1C16">
        <w:rPr>
          <w:sz w:val="16"/>
          <w:lang w:val="en-US"/>
        </w:rPr>
        <w:t xml:space="preserve"> </w:t>
      </w:r>
      <w:r w:rsidRPr="00BB40E7">
        <w:rPr>
          <w:rStyle w:val="tlid-translation"/>
          <w:sz w:val="16"/>
          <w:lang w:val="en-GB"/>
        </w:rPr>
        <w:t xml:space="preserve">This category includes </w:t>
      </w:r>
      <w:r>
        <w:rPr>
          <w:rStyle w:val="tlid-translation"/>
          <w:sz w:val="16"/>
          <w:lang w:val="en-GB"/>
        </w:rPr>
        <w:t>access</w:t>
      </w:r>
      <w:r w:rsidRPr="00BB40E7">
        <w:rPr>
          <w:rStyle w:val="tlid-translation"/>
          <w:sz w:val="16"/>
          <w:lang w:val="en-GB"/>
        </w:rPr>
        <w:t xml:space="preserve"> to the Internet, regardless of the type of Internet connection and </w:t>
      </w:r>
      <w:r>
        <w:rPr>
          <w:rStyle w:val="tlid-translation"/>
          <w:sz w:val="16"/>
          <w:lang w:val="en-GB"/>
        </w:rPr>
        <w:t xml:space="preserve">the </w:t>
      </w:r>
      <w:r w:rsidRPr="00BB40E7">
        <w:rPr>
          <w:rStyle w:val="tlid-translation"/>
          <w:sz w:val="16"/>
          <w:lang w:val="en-GB"/>
        </w:rPr>
        <w:t>type of device (e.g. desktop computer, laptop, tablet, TV set, smartphone).</w:t>
      </w:r>
    </w:p>
  </w:footnote>
  <w:footnote w:id="8">
    <w:p w14:paraId="7EE95006" w14:textId="1C3156A5" w:rsidR="00E127EB" w:rsidRPr="0013230E" w:rsidRDefault="00E127EB" w:rsidP="006D20DC">
      <w:pPr>
        <w:pStyle w:val="Tekstprzypisudolnego"/>
        <w:spacing w:before="240" w:after="120"/>
        <w:rPr>
          <w:rFonts w:cs="Arial"/>
          <w:b/>
          <w:bCs/>
          <w:sz w:val="18"/>
          <w:lang w:val="en-GB"/>
        </w:rPr>
      </w:pPr>
      <w:r w:rsidRPr="006E1C16">
        <w:rPr>
          <w:rStyle w:val="Odwoanieprzypisudolnego"/>
          <w:rFonts w:cs="Arial"/>
          <w:sz w:val="16"/>
          <w:lang w:val="en-GB"/>
        </w:rPr>
        <w:footnoteRef/>
      </w:r>
      <w:r w:rsidRPr="006E1C16">
        <w:rPr>
          <w:rFonts w:cs="Arial"/>
          <w:bCs/>
          <w:sz w:val="16"/>
          <w:lang w:val="en-GB"/>
        </w:rPr>
        <w:t xml:space="preserve"> The average number of persons in 1st qu</w:t>
      </w:r>
      <w:r>
        <w:rPr>
          <w:rFonts w:cs="Arial"/>
          <w:bCs/>
          <w:sz w:val="16"/>
          <w:lang w:val="en-GB"/>
        </w:rPr>
        <w:t>intile group of households was 3.59</w:t>
      </w:r>
      <w:r w:rsidRPr="006E1C16">
        <w:rPr>
          <w:rFonts w:cs="Arial"/>
          <w:bCs/>
          <w:sz w:val="16"/>
          <w:lang w:val="en-GB"/>
        </w:rPr>
        <w:t>,</w:t>
      </w:r>
      <w:r>
        <w:rPr>
          <w:rFonts w:cs="Arial"/>
          <w:bCs/>
          <w:sz w:val="16"/>
          <w:lang w:val="en-GB"/>
        </w:rPr>
        <w:t xml:space="preserve"> and in 5th quintile group – 2.15</w:t>
      </w:r>
      <w:r w:rsidRPr="006E1C16">
        <w:rPr>
          <w:rFonts w:cs="Arial"/>
          <w:bCs/>
          <w:sz w:val="16"/>
          <w:lang w:val="en-GB"/>
        </w:rPr>
        <w:t>.</w:t>
      </w:r>
    </w:p>
  </w:footnote>
  <w:footnote w:id="9">
    <w:p w14:paraId="7D83090D" w14:textId="689E3998" w:rsidR="00E127EB" w:rsidRPr="00273032" w:rsidRDefault="00E127EB" w:rsidP="00D36A84">
      <w:pPr>
        <w:pStyle w:val="Tekstprzypisudolnego"/>
        <w:spacing w:after="120"/>
        <w:ind w:left="113" w:hanging="113"/>
        <w:rPr>
          <w:spacing w:val="-2"/>
          <w:sz w:val="16"/>
          <w:lang w:val="en-GB"/>
        </w:rPr>
      </w:pPr>
      <w:r w:rsidRPr="0026658F">
        <w:rPr>
          <w:rStyle w:val="Odwoanieprzypisudolnego"/>
          <w:sz w:val="16"/>
        </w:rPr>
        <w:footnoteRef/>
      </w:r>
      <w:r w:rsidRPr="00273032">
        <w:rPr>
          <w:sz w:val="16"/>
          <w:lang w:val="en-GB"/>
        </w:rPr>
        <w:t xml:space="preserve"> </w:t>
      </w:r>
      <w:r w:rsidRPr="00273032">
        <w:rPr>
          <w:spacing w:val="-2"/>
          <w:sz w:val="16"/>
          <w:lang w:val="en-GB"/>
        </w:rPr>
        <w:t xml:space="preserve">Concerns the provision of assistance due to warfare - regardless of its form and scope (covers both </w:t>
      </w:r>
      <w:r>
        <w:rPr>
          <w:spacing w:val="-2"/>
          <w:sz w:val="16"/>
          <w:lang w:val="en-GB"/>
        </w:rPr>
        <w:t>support</w:t>
      </w:r>
      <w:r w:rsidRPr="00273032">
        <w:rPr>
          <w:spacing w:val="-2"/>
          <w:sz w:val="16"/>
          <w:lang w:val="en-GB"/>
        </w:rPr>
        <w:t xml:space="preserve"> provided in Poland and directed to persons remaining in Ukraine) at least once in the period from</w:t>
      </w:r>
      <w:r>
        <w:rPr>
          <w:spacing w:val="-2"/>
          <w:sz w:val="16"/>
          <w:lang w:val="en-GB"/>
        </w:rPr>
        <w:t xml:space="preserve"> 24th</w:t>
      </w:r>
      <w:r w:rsidRPr="00273032">
        <w:rPr>
          <w:spacing w:val="-2"/>
          <w:sz w:val="16"/>
          <w:lang w:val="en-GB"/>
        </w:rPr>
        <w:t xml:space="preserve"> February 2022 to the end of the </w:t>
      </w:r>
      <w:r>
        <w:rPr>
          <w:spacing w:val="-2"/>
          <w:sz w:val="16"/>
          <w:lang w:val="en-GB"/>
        </w:rPr>
        <w:t xml:space="preserve">first </w:t>
      </w:r>
      <w:r w:rsidRPr="00273032">
        <w:rPr>
          <w:spacing w:val="-2"/>
          <w:sz w:val="16"/>
          <w:lang w:val="en-GB"/>
        </w:rPr>
        <w:t xml:space="preserve">quarter </w:t>
      </w:r>
      <w:r>
        <w:rPr>
          <w:spacing w:val="-2"/>
          <w:sz w:val="16"/>
          <w:lang w:val="en-GB"/>
        </w:rPr>
        <w:t xml:space="preserve">or in the quarter, </w:t>
      </w:r>
      <w:r w:rsidRPr="00273032">
        <w:rPr>
          <w:spacing w:val="-2"/>
          <w:sz w:val="16"/>
          <w:lang w:val="en-GB"/>
        </w:rPr>
        <w:t xml:space="preserve">in which the household participated in the </w:t>
      </w:r>
      <w:r>
        <w:rPr>
          <w:spacing w:val="-2"/>
          <w:sz w:val="16"/>
          <w:lang w:val="en-GB"/>
        </w:rPr>
        <w:t>survey</w:t>
      </w:r>
      <w:r w:rsidRPr="00273032">
        <w:rPr>
          <w:spacing w:val="-2"/>
          <w:sz w:val="16"/>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94FEC" w14:textId="77777777" w:rsidR="00E127EB" w:rsidRDefault="00E127EB">
    <w:pPr>
      <w:pStyle w:val="Nagwek"/>
    </w:pPr>
    <w:r>
      <w:rPr>
        <w:noProof/>
        <w:lang w:eastAsia="pl-PL"/>
      </w:rPr>
      <mc:AlternateContent>
        <mc:Choice Requires="wps">
          <w:drawing>
            <wp:anchor distT="0" distB="0" distL="114300" distR="114300" simplePos="0" relativeHeight="251662336" behindDoc="1" locked="0" layoutInCell="1" allowOverlap="1" wp14:anchorId="7EE94FF3" wp14:editId="7EE94FF4">
              <wp:simplePos x="0" y="0"/>
              <wp:positionH relativeFrom="column">
                <wp:posOffset>5214620</wp:posOffset>
              </wp:positionH>
              <wp:positionV relativeFrom="paragraph">
                <wp:posOffset>-178435</wp:posOffset>
              </wp:positionV>
              <wp:extent cx="1874520" cy="22680295"/>
              <wp:effectExtent l="0" t="0" r="0" b="0"/>
              <wp:wrapNone/>
              <wp:docPr id="48"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773321"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m0sg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" fillcolor="#f2f2f2 [3052]" stroked="f"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94FEE" w14:textId="77777777" w:rsidR="00E127EB" w:rsidRDefault="00E127EB">
    <w:pPr>
      <w:pStyle w:val="Nagwek"/>
      <w:rPr>
        <w:noProof/>
        <w:lang w:eastAsia="pl-PL"/>
      </w:rPr>
    </w:pPr>
    <w:r>
      <w:rPr>
        <w:noProof/>
        <w:lang w:eastAsia="pl-PL"/>
      </w:rPr>
      <w:drawing>
        <wp:anchor distT="0" distB="0" distL="114300" distR="114300" simplePos="0" relativeHeight="251658752" behindDoc="0" locked="0" layoutInCell="1" allowOverlap="1" wp14:anchorId="7EE94FF5" wp14:editId="7EE94FF6">
          <wp:simplePos x="0" y="0"/>
          <wp:positionH relativeFrom="column">
            <wp:posOffset>0</wp:posOffset>
          </wp:positionH>
          <wp:positionV relativeFrom="paragraph">
            <wp:posOffset>82509</wp:posOffset>
          </wp:positionV>
          <wp:extent cx="1955800" cy="744855"/>
          <wp:effectExtent l="0" t="0" r="0" b="0"/>
          <wp:wrapSquare wrapText="bothSides"/>
          <wp:docPr id="14" name="Obraz 14" descr="C:\Users\zawistowskaB\AppData\Local\Microsoft\Windows\INetCache\Content.Word\logo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wistowskaB\AppData\Local\Microsoft\Windows\INetCache\Content.Word\logog-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744855"/>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54144" behindDoc="1" locked="0" layoutInCell="1" allowOverlap="1" wp14:anchorId="7EE94FF7" wp14:editId="7EE94FF8">
              <wp:simplePos x="0" y="0"/>
              <wp:positionH relativeFrom="column">
                <wp:posOffset>5208905</wp:posOffset>
              </wp:positionH>
              <wp:positionV relativeFrom="paragraph">
                <wp:posOffset>202565</wp:posOffset>
              </wp:positionV>
              <wp:extent cx="1871980" cy="22905085"/>
              <wp:effectExtent l="0" t="0" r="0" b="0"/>
              <wp:wrapNone/>
              <wp:docPr id="47"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B0ED63" id="Prostokąt 10" o:spid="_x0000_s1026" style="position:absolute;margin-left:410.15pt;margin-top:15.95pt;width:147.4pt;height:180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" fillcolor="#f2f2f2" stroked="f" strokeweight="1pt"/>
          </w:pict>
        </mc:Fallback>
      </mc:AlternateContent>
    </w:r>
    <w:r>
      <w:rPr>
        <w:noProof/>
        <w:lang w:eastAsia="pl-PL"/>
      </w:rPr>
      <mc:AlternateContent>
        <mc:Choice Requires="wps">
          <w:drawing>
            <wp:anchor distT="0" distB="0" distL="114300" distR="114300" simplePos="0" relativeHeight="251655168" behindDoc="0" locked="0" layoutInCell="1" allowOverlap="1" wp14:anchorId="7EE94FF9" wp14:editId="7EE94FFA">
              <wp:simplePos x="0" y="0"/>
              <wp:positionH relativeFrom="column">
                <wp:posOffset>5036820</wp:posOffset>
              </wp:positionH>
              <wp:positionV relativeFrom="paragraph">
                <wp:posOffset>198755</wp:posOffset>
              </wp:positionV>
              <wp:extent cx="2060575" cy="357505"/>
              <wp:effectExtent l="0" t="0" r="0" b="0"/>
              <wp:wrapNone/>
              <wp:docPr id="46"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95040" w14:textId="77777777" w:rsidR="00E127EB" w:rsidRPr="003C6C8D" w:rsidRDefault="00E127EB"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94FF9" id="Schemat blokowy: opóźnienie 6" o:spid="_x0000_s1046" style="position:absolute;margin-left:396.6pt;margin-top:15.65pt;width:162.25pt;height:28.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EE95040" w14:textId="77777777" w:rsidR="00E127EB" w:rsidRPr="003C6C8D" w:rsidRDefault="00E127EB"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p>
  <w:p w14:paraId="7EE94FEF" w14:textId="77777777" w:rsidR="00E127EB" w:rsidRDefault="00E127EB">
    <w:pPr>
      <w:pStyle w:val="Nagwek"/>
      <w:rPr>
        <w:noProof/>
        <w:lang w:eastAsia="pl-PL"/>
      </w:rPr>
    </w:pPr>
    <w:r>
      <w:rPr>
        <w:noProof/>
        <w:lang w:eastAsia="pl-PL"/>
      </w:rPr>
      <mc:AlternateContent>
        <mc:Choice Requires="wps">
          <w:drawing>
            <wp:anchor distT="45720" distB="45720" distL="114300" distR="114300" simplePos="0" relativeHeight="251656192" behindDoc="0" locked="0" layoutInCell="1" allowOverlap="1" wp14:anchorId="7EE94FFB" wp14:editId="7EE94FFC">
              <wp:simplePos x="0" y="0"/>
              <wp:positionH relativeFrom="column">
                <wp:posOffset>5305425</wp:posOffset>
              </wp:positionH>
              <wp:positionV relativeFrom="paragraph">
                <wp:posOffset>837565</wp:posOffset>
              </wp:positionV>
              <wp:extent cx="1432560" cy="336550"/>
              <wp:effectExtent l="0" t="0" r="0" b="0"/>
              <wp:wrapNone/>
              <wp:docPr id="4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EE95041" w14:textId="4B936A5F" w:rsidR="00E127EB" w:rsidRPr="006D0A0D" w:rsidRDefault="00E127EB">
                          <w:pPr>
                            <w:rPr>
                              <w:rFonts w:ascii="Fira Sans SemiBold" w:hAnsi="Fira Sans SemiBold"/>
                              <w:color w:val="001D77"/>
                              <w:lang w:val="en-GB"/>
                            </w:rPr>
                          </w:pPr>
                          <w:r>
                            <w:rPr>
                              <w:rFonts w:ascii="Fira Sans SemiBold" w:hAnsi="Fira Sans SemiBold"/>
                              <w:color w:val="001D77"/>
                              <w:lang w:val="en-GB"/>
                            </w:rPr>
                            <w:t>27</w:t>
                          </w:r>
                          <w:r w:rsidRPr="006D0A0D">
                            <w:rPr>
                              <w:rFonts w:ascii="Fira Sans SemiBold" w:hAnsi="Fira Sans SemiBold"/>
                              <w:color w:val="001D77"/>
                              <w:lang w:val="en-GB"/>
                            </w:rPr>
                            <w:t>.05.202</w:t>
                          </w:r>
                          <w:r>
                            <w:rPr>
                              <w:rFonts w:ascii="Fira Sans SemiBold" w:hAnsi="Fira Sans SemiBold"/>
                              <w:color w:val="001D77"/>
                              <w:lang w:val="en-GB"/>
                            </w:rPr>
                            <w:t>6</w:t>
                          </w:r>
                        </w:p>
                        <w:p w14:paraId="7EE95042" w14:textId="77777777" w:rsidR="00E127EB" w:rsidRPr="006D0A0D" w:rsidRDefault="00E127EB" w:rsidP="00F37172">
                          <w:pPr>
                            <w:jc w:val="both"/>
                            <w:rPr>
                              <w:rFonts w:ascii="Fira Sans SemiBold" w:hAnsi="Fira Sans SemiBold"/>
                              <w:color w:val="001D77"/>
                              <w:lang w:val="en-GB"/>
                            </w:rPr>
                          </w:pPr>
                          <w:proofErr w:type="spellStart"/>
                          <w:r w:rsidRPr="006D0A0D">
                            <w:rPr>
                              <w:rFonts w:ascii="Fira Sans SemiBold" w:hAnsi="Fira Sans SemiBold"/>
                              <w:color w:val="001D77"/>
                              <w:lang w:val="en-GB"/>
                            </w:rPr>
                            <w:t>dd.mm.rrrr</w:t>
                          </w:r>
                          <w:proofErr w:type="spellEnd"/>
                          <w:r w:rsidRPr="006D0A0D">
                            <w:rPr>
                              <w:rFonts w:ascii="Fira Sans SemiBold" w:hAnsi="Fira Sans SemiBold"/>
                              <w:color w:val="001D77"/>
                              <w:lang w:val="en-GB"/>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94FFB" id="_x0000_t202" coordsize="21600,21600" o:spt="202" path="m,l,21600r21600,l21600,xe">
              <v:stroke joinstyle="miter"/>
              <v:path gradientshapeok="t" o:connecttype="rect"/>
            </v:shapetype>
            <v:shape id="Pole tekstowe 2" o:spid="_x0000_s1047" type="#_x0000_t202" style="position:absolute;margin-left:417.75pt;margin-top:65.95pt;width:112.8pt;height:2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" filled="f" stroked="f">
              <v:textbox>
                <w:txbxContent>
                  <w:p w14:paraId="7EE95041" w14:textId="4B936A5F" w:rsidR="00E127EB" w:rsidRPr="006D0A0D" w:rsidRDefault="00E127EB">
                    <w:pPr>
                      <w:rPr>
                        <w:rFonts w:ascii="Fira Sans SemiBold" w:hAnsi="Fira Sans SemiBold"/>
                        <w:color w:val="001D77"/>
                        <w:lang w:val="en-GB"/>
                      </w:rPr>
                    </w:pPr>
                    <w:r>
                      <w:rPr>
                        <w:rFonts w:ascii="Fira Sans SemiBold" w:hAnsi="Fira Sans SemiBold"/>
                        <w:color w:val="001D77"/>
                        <w:lang w:val="en-GB"/>
                      </w:rPr>
                      <w:t>27</w:t>
                    </w:r>
                    <w:r w:rsidRPr="006D0A0D">
                      <w:rPr>
                        <w:rFonts w:ascii="Fira Sans SemiBold" w:hAnsi="Fira Sans SemiBold"/>
                        <w:color w:val="001D77"/>
                        <w:lang w:val="en-GB"/>
                      </w:rPr>
                      <w:t>.05.202</w:t>
                    </w:r>
                    <w:r>
                      <w:rPr>
                        <w:rFonts w:ascii="Fira Sans SemiBold" w:hAnsi="Fira Sans SemiBold"/>
                        <w:color w:val="001D77"/>
                        <w:lang w:val="en-GB"/>
                      </w:rPr>
                      <w:t>6</w:t>
                    </w:r>
                  </w:p>
                  <w:p w14:paraId="7EE95042" w14:textId="77777777" w:rsidR="00E127EB" w:rsidRPr="006D0A0D" w:rsidRDefault="00E127EB" w:rsidP="00F37172">
                    <w:pPr>
                      <w:jc w:val="both"/>
                      <w:rPr>
                        <w:rFonts w:ascii="Fira Sans SemiBold" w:hAnsi="Fira Sans SemiBold"/>
                        <w:color w:val="001D77"/>
                        <w:lang w:val="en-GB"/>
                      </w:rPr>
                    </w:pPr>
                    <w:proofErr w:type="spellStart"/>
                    <w:r w:rsidRPr="006D0A0D">
                      <w:rPr>
                        <w:rFonts w:ascii="Fira Sans SemiBold" w:hAnsi="Fira Sans SemiBold"/>
                        <w:color w:val="001D77"/>
                        <w:lang w:val="en-GB"/>
                      </w:rPr>
                      <w:t>dd.mm.rrrr</w:t>
                    </w:r>
                    <w:proofErr w:type="spellEnd"/>
                    <w:r w:rsidRPr="006D0A0D">
                      <w:rPr>
                        <w:rFonts w:ascii="Fira Sans SemiBold" w:hAnsi="Fira Sans SemiBold"/>
                        <w:color w:val="001D77"/>
                        <w:lang w:val="en-GB"/>
                      </w:rPr>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94FF1" w14:textId="77777777" w:rsidR="00E127EB" w:rsidRDefault="00E127E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122.25pt;visibility:visible" o:bullet="t">
        <v:imagedata r:id="rId1" o:title=""/>
      </v:shape>
    </w:pict>
  </w:numPicBullet>
  <w:numPicBullet w:numPicBulletId="1">
    <w:pict>
      <v:shape id="_x0000_i1027" type="#_x0000_t75" style="width:122.25pt;height:122.2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2ADC"/>
    <w:rsid w:val="00003437"/>
    <w:rsid w:val="00006D23"/>
    <w:rsid w:val="0000709F"/>
    <w:rsid w:val="000075A1"/>
    <w:rsid w:val="0001037F"/>
    <w:rsid w:val="00010600"/>
    <w:rsid w:val="00010896"/>
    <w:rsid w:val="000108B8"/>
    <w:rsid w:val="0001148B"/>
    <w:rsid w:val="00011A02"/>
    <w:rsid w:val="000152F5"/>
    <w:rsid w:val="00015853"/>
    <w:rsid w:val="00015F38"/>
    <w:rsid w:val="000169CC"/>
    <w:rsid w:val="00016A06"/>
    <w:rsid w:val="00016C7A"/>
    <w:rsid w:val="00017628"/>
    <w:rsid w:val="0001775E"/>
    <w:rsid w:val="00020B67"/>
    <w:rsid w:val="000226E4"/>
    <w:rsid w:val="00022773"/>
    <w:rsid w:val="00022B92"/>
    <w:rsid w:val="00024670"/>
    <w:rsid w:val="0002534B"/>
    <w:rsid w:val="00026173"/>
    <w:rsid w:val="000266A3"/>
    <w:rsid w:val="00030FF6"/>
    <w:rsid w:val="000320F7"/>
    <w:rsid w:val="0003344D"/>
    <w:rsid w:val="00033605"/>
    <w:rsid w:val="00033C7A"/>
    <w:rsid w:val="00033E65"/>
    <w:rsid w:val="00035382"/>
    <w:rsid w:val="00035A6C"/>
    <w:rsid w:val="000363C8"/>
    <w:rsid w:val="000374A2"/>
    <w:rsid w:val="00040208"/>
    <w:rsid w:val="00041D2B"/>
    <w:rsid w:val="00042B02"/>
    <w:rsid w:val="00043063"/>
    <w:rsid w:val="00044796"/>
    <w:rsid w:val="0004567D"/>
    <w:rsid w:val="0004582E"/>
    <w:rsid w:val="00046650"/>
    <w:rsid w:val="000470AA"/>
    <w:rsid w:val="0005030D"/>
    <w:rsid w:val="000506EC"/>
    <w:rsid w:val="000515F2"/>
    <w:rsid w:val="000552F7"/>
    <w:rsid w:val="000561B3"/>
    <w:rsid w:val="00056F23"/>
    <w:rsid w:val="00057CA1"/>
    <w:rsid w:val="00060989"/>
    <w:rsid w:val="00062380"/>
    <w:rsid w:val="00063858"/>
    <w:rsid w:val="0006501E"/>
    <w:rsid w:val="0006514B"/>
    <w:rsid w:val="000662E2"/>
    <w:rsid w:val="00066603"/>
    <w:rsid w:val="000666B9"/>
    <w:rsid w:val="00066883"/>
    <w:rsid w:val="00067319"/>
    <w:rsid w:val="0007036D"/>
    <w:rsid w:val="00070936"/>
    <w:rsid w:val="000723AD"/>
    <w:rsid w:val="00073583"/>
    <w:rsid w:val="00073D9C"/>
    <w:rsid w:val="00074DD8"/>
    <w:rsid w:val="00075074"/>
    <w:rsid w:val="000752AE"/>
    <w:rsid w:val="000755D3"/>
    <w:rsid w:val="00077E63"/>
    <w:rsid w:val="000806F7"/>
    <w:rsid w:val="00080EE5"/>
    <w:rsid w:val="000813F3"/>
    <w:rsid w:val="00081A74"/>
    <w:rsid w:val="0008583C"/>
    <w:rsid w:val="000869FC"/>
    <w:rsid w:val="00086E2F"/>
    <w:rsid w:val="0008735C"/>
    <w:rsid w:val="00090897"/>
    <w:rsid w:val="000916D0"/>
    <w:rsid w:val="00092FDF"/>
    <w:rsid w:val="000957C6"/>
    <w:rsid w:val="00095F54"/>
    <w:rsid w:val="00097840"/>
    <w:rsid w:val="000A03BF"/>
    <w:rsid w:val="000A1730"/>
    <w:rsid w:val="000A27AA"/>
    <w:rsid w:val="000A2B97"/>
    <w:rsid w:val="000A34EB"/>
    <w:rsid w:val="000A3711"/>
    <w:rsid w:val="000A4599"/>
    <w:rsid w:val="000A4CAA"/>
    <w:rsid w:val="000A5727"/>
    <w:rsid w:val="000A6EE6"/>
    <w:rsid w:val="000B04B8"/>
    <w:rsid w:val="000B0727"/>
    <w:rsid w:val="000B088F"/>
    <w:rsid w:val="000B0E56"/>
    <w:rsid w:val="000B3813"/>
    <w:rsid w:val="000B39CD"/>
    <w:rsid w:val="000B40C5"/>
    <w:rsid w:val="000B4D50"/>
    <w:rsid w:val="000B54F4"/>
    <w:rsid w:val="000B5D96"/>
    <w:rsid w:val="000B61D1"/>
    <w:rsid w:val="000C0588"/>
    <w:rsid w:val="000C0C5A"/>
    <w:rsid w:val="000C1245"/>
    <w:rsid w:val="000C135D"/>
    <w:rsid w:val="000C2B9E"/>
    <w:rsid w:val="000C2ED5"/>
    <w:rsid w:val="000C3538"/>
    <w:rsid w:val="000C4C55"/>
    <w:rsid w:val="000C65C9"/>
    <w:rsid w:val="000C6E7D"/>
    <w:rsid w:val="000D07D5"/>
    <w:rsid w:val="000D1D43"/>
    <w:rsid w:val="000D2215"/>
    <w:rsid w:val="000D225C"/>
    <w:rsid w:val="000D2A5C"/>
    <w:rsid w:val="000D3623"/>
    <w:rsid w:val="000D384E"/>
    <w:rsid w:val="000D3903"/>
    <w:rsid w:val="000D4913"/>
    <w:rsid w:val="000D64AA"/>
    <w:rsid w:val="000D71AB"/>
    <w:rsid w:val="000D7AC4"/>
    <w:rsid w:val="000E02F4"/>
    <w:rsid w:val="000E0706"/>
    <w:rsid w:val="000E0918"/>
    <w:rsid w:val="000E116D"/>
    <w:rsid w:val="000E17FE"/>
    <w:rsid w:val="000E19D1"/>
    <w:rsid w:val="000E2607"/>
    <w:rsid w:val="000E312A"/>
    <w:rsid w:val="000E3160"/>
    <w:rsid w:val="000E442E"/>
    <w:rsid w:val="000E49B1"/>
    <w:rsid w:val="000E5EAC"/>
    <w:rsid w:val="000E617F"/>
    <w:rsid w:val="000F0B1A"/>
    <w:rsid w:val="000F2EB9"/>
    <w:rsid w:val="000F3240"/>
    <w:rsid w:val="000F4736"/>
    <w:rsid w:val="000F5FF3"/>
    <w:rsid w:val="001006C8"/>
    <w:rsid w:val="00100AFA"/>
    <w:rsid w:val="001011C3"/>
    <w:rsid w:val="00103C80"/>
    <w:rsid w:val="00103DA6"/>
    <w:rsid w:val="0010500C"/>
    <w:rsid w:val="001053BE"/>
    <w:rsid w:val="0010648B"/>
    <w:rsid w:val="001065AE"/>
    <w:rsid w:val="001075EA"/>
    <w:rsid w:val="00110B61"/>
    <w:rsid w:val="00110D87"/>
    <w:rsid w:val="00111C41"/>
    <w:rsid w:val="00113A40"/>
    <w:rsid w:val="00114295"/>
    <w:rsid w:val="00114DB9"/>
    <w:rsid w:val="001156FC"/>
    <w:rsid w:val="00115CFE"/>
    <w:rsid w:val="00116087"/>
    <w:rsid w:val="00117155"/>
    <w:rsid w:val="00117253"/>
    <w:rsid w:val="00117F16"/>
    <w:rsid w:val="00120F6F"/>
    <w:rsid w:val="0012125A"/>
    <w:rsid w:val="00121317"/>
    <w:rsid w:val="0012275D"/>
    <w:rsid w:val="00123302"/>
    <w:rsid w:val="0012375C"/>
    <w:rsid w:val="00126772"/>
    <w:rsid w:val="001267B5"/>
    <w:rsid w:val="00126EA7"/>
    <w:rsid w:val="00126FF1"/>
    <w:rsid w:val="00127FCF"/>
    <w:rsid w:val="00130296"/>
    <w:rsid w:val="00133F90"/>
    <w:rsid w:val="00134653"/>
    <w:rsid w:val="00134A30"/>
    <w:rsid w:val="00135F55"/>
    <w:rsid w:val="00137683"/>
    <w:rsid w:val="00137D32"/>
    <w:rsid w:val="00141C86"/>
    <w:rsid w:val="001423B6"/>
    <w:rsid w:val="00142447"/>
    <w:rsid w:val="00142571"/>
    <w:rsid w:val="00143BC0"/>
    <w:rsid w:val="001446F6"/>
    <w:rsid w:val="001448A7"/>
    <w:rsid w:val="001465FA"/>
    <w:rsid w:val="00146621"/>
    <w:rsid w:val="001467C3"/>
    <w:rsid w:val="0015157F"/>
    <w:rsid w:val="00151655"/>
    <w:rsid w:val="001550A2"/>
    <w:rsid w:val="00155632"/>
    <w:rsid w:val="001558B0"/>
    <w:rsid w:val="00156698"/>
    <w:rsid w:val="00157C8F"/>
    <w:rsid w:val="0016127B"/>
    <w:rsid w:val="00161F41"/>
    <w:rsid w:val="00162325"/>
    <w:rsid w:val="00162604"/>
    <w:rsid w:val="0016281C"/>
    <w:rsid w:val="001642DA"/>
    <w:rsid w:val="0016568B"/>
    <w:rsid w:val="0016712C"/>
    <w:rsid w:val="00167A47"/>
    <w:rsid w:val="00167FA5"/>
    <w:rsid w:val="00170256"/>
    <w:rsid w:val="0017045C"/>
    <w:rsid w:val="001708D1"/>
    <w:rsid w:val="0017122E"/>
    <w:rsid w:val="00171D09"/>
    <w:rsid w:val="00173D6C"/>
    <w:rsid w:val="001747E2"/>
    <w:rsid w:val="00174B82"/>
    <w:rsid w:val="001802EF"/>
    <w:rsid w:val="00180604"/>
    <w:rsid w:val="00181544"/>
    <w:rsid w:val="00181548"/>
    <w:rsid w:val="00182564"/>
    <w:rsid w:val="001849AA"/>
    <w:rsid w:val="00184C28"/>
    <w:rsid w:val="001864F9"/>
    <w:rsid w:val="00186509"/>
    <w:rsid w:val="001868C5"/>
    <w:rsid w:val="00186B5C"/>
    <w:rsid w:val="00187B70"/>
    <w:rsid w:val="001915A8"/>
    <w:rsid w:val="001931C9"/>
    <w:rsid w:val="00193754"/>
    <w:rsid w:val="00194D55"/>
    <w:rsid w:val="0019505E"/>
    <w:rsid w:val="001951DA"/>
    <w:rsid w:val="001953D9"/>
    <w:rsid w:val="00197EA4"/>
    <w:rsid w:val="001A08FF"/>
    <w:rsid w:val="001A0DD4"/>
    <w:rsid w:val="001A1762"/>
    <w:rsid w:val="001A18B1"/>
    <w:rsid w:val="001A1DBE"/>
    <w:rsid w:val="001A1FD8"/>
    <w:rsid w:val="001A3A35"/>
    <w:rsid w:val="001A47C1"/>
    <w:rsid w:val="001A602C"/>
    <w:rsid w:val="001A6DB4"/>
    <w:rsid w:val="001A7478"/>
    <w:rsid w:val="001B0AE6"/>
    <w:rsid w:val="001B11D0"/>
    <w:rsid w:val="001B1600"/>
    <w:rsid w:val="001B43D7"/>
    <w:rsid w:val="001B4438"/>
    <w:rsid w:val="001B509A"/>
    <w:rsid w:val="001B5EAF"/>
    <w:rsid w:val="001B69B5"/>
    <w:rsid w:val="001B7686"/>
    <w:rsid w:val="001C013D"/>
    <w:rsid w:val="001C0B4F"/>
    <w:rsid w:val="001C0B84"/>
    <w:rsid w:val="001C23FA"/>
    <w:rsid w:val="001C2BF0"/>
    <w:rsid w:val="001C3269"/>
    <w:rsid w:val="001C364E"/>
    <w:rsid w:val="001C3D59"/>
    <w:rsid w:val="001C65E7"/>
    <w:rsid w:val="001D1AB1"/>
    <w:rsid w:val="001D1DB4"/>
    <w:rsid w:val="001D212D"/>
    <w:rsid w:val="001D2DE7"/>
    <w:rsid w:val="001D3C55"/>
    <w:rsid w:val="001D3E4A"/>
    <w:rsid w:val="001D40F5"/>
    <w:rsid w:val="001D5B0C"/>
    <w:rsid w:val="001D6F16"/>
    <w:rsid w:val="001D7030"/>
    <w:rsid w:val="001E0351"/>
    <w:rsid w:val="001E117D"/>
    <w:rsid w:val="001E3394"/>
    <w:rsid w:val="001E4BE5"/>
    <w:rsid w:val="001E5C91"/>
    <w:rsid w:val="001E6ADE"/>
    <w:rsid w:val="001E7FC1"/>
    <w:rsid w:val="001F0337"/>
    <w:rsid w:val="001F2560"/>
    <w:rsid w:val="001F2F80"/>
    <w:rsid w:val="001F43F3"/>
    <w:rsid w:val="001F4E44"/>
    <w:rsid w:val="001F590E"/>
    <w:rsid w:val="001F60ED"/>
    <w:rsid w:val="001F7505"/>
    <w:rsid w:val="00200CC1"/>
    <w:rsid w:val="00201763"/>
    <w:rsid w:val="00202D66"/>
    <w:rsid w:val="00203402"/>
    <w:rsid w:val="00207A6F"/>
    <w:rsid w:val="00211078"/>
    <w:rsid w:val="00211327"/>
    <w:rsid w:val="00211F7F"/>
    <w:rsid w:val="00212A6F"/>
    <w:rsid w:val="00212E22"/>
    <w:rsid w:val="002138DD"/>
    <w:rsid w:val="002155E0"/>
    <w:rsid w:val="0021569B"/>
    <w:rsid w:val="002167B8"/>
    <w:rsid w:val="00216E87"/>
    <w:rsid w:val="0022076F"/>
    <w:rsid w:val="00221E61"/>
    <w:rsid w:val="0022263B"/>
    <w:rsid w:val="0022280B"/>
    <w:rsid w:val="00222E56"/>
    <w:rsid w:val="00222FC9"/>
    <w:rsid w:val="002233D3"/>
    <w:rsid w:val="00225ED3"/>
    <w:rsid w:val="00226992"/>
    <w:rsid w:val="00226C26"/>
    <w:rsid w:val="00227C3D"/>
    <w:rsid w:val="00230347"/>
    <w:rsid w:val="00230699"/>
    <w:rsid w:val="002314CE"/>
    <w:rsid w:val="00234B4A"/>
    <w:rsid w:val="00234CD1"/>
    <w:rsid w:val="002400F5"/>
    <w:rsid w:val="0024032F"/>
    <w:rsid w:val="002412B5"/>
    <w:rsid w:val="002413CA"/>
    <w:rsid w:val="00241A73"/>
    <w:rsid w:val="00242E02"/>
    <w:rsid w:val="00242EB6"/>
    <w:rsid w:val="00242FCB"/>
    <w:rsid w:val="002439CD"/>
    <w:rsid w:val="002440AA"/>
    <w:rsid w:val="0024486C"/>
    <w:rsid w:val="00246327"/>
    <w:rsid w:val="00247A45"/>
    <w:rsid w:val="00250172"/>
    <w:rsid w:val="002520CA"/>
    <w:rsid w:val="002574F9"/>
    <w:rsid w:val="002579CE"/>
    <w:rsid w:val="00260783"/>
    <w:rsid w:val="00260B71"/>
    <w:rsid w:val="00261B01"/>
    <w:rsid w:val="0026206E"/>
    <w:rsid w:val="00262B61"/>
    <w:rsid w:val="00262EE2"/>
    <w:rsid w:val="00264ED9"/>
    <w:rsid w:val="002650D9"/>
    <w:rsid w:val="0026513B"/>
    <w:rsid w:val="002651F4"/>
    <w:rsid w:val="00265274"/>
    <w:rsid w:val="00266292"/>
    <w:rsid w:val="002662F7"/>
    <w:rsid w:val="00271B98"/>
    <w:rsid w:val="002727F2"/>
    <w:rsid w:val="00273032"/>
    <w:rsid w:val="00273093"/>
    <w:rsid w:val="0027580C"/>
    <w:rsid w:val="00276811"/>
    <w:rsid w:val="00281DF7"/>
    <w:rsid w:val="00282699"/>
    <w:rsid w:val="00283981"/>
    <w:rsid w:val="00284CA8"/>
    <w:rsid w:val="00284D11"/>
    <w:rsid w:val="00284F7F"/>
    <w:rsid w:val="00285AE8"/>
    <w:rsid w:val="00286AEA"/>
    <w:rsid w:val="00286F9E"/>
    <w:rsid w:val="0028726B"/>
    <w:rsid w:val="00287E99"/>
    <w:rsid w:val="00290D24"/>
    <w:rsid w:val="00290FBD"/>
    <w:rsid w:val="002926DF"/>
    <w:rsid w:val="00292DD4"/>
    <w:rsid w:val="00294C77"/>
    <w:rsid w:val="00296090"/>
    <w:rsid w:val="00296697"/>
    <w:rsid w:val="00296806"/>
    <w:rsid w:val="00296D91"/>
    <w:rsid w:val="00297C48"/>
    <w:rsid w:val="002A060F"/>
    <w:rsid w:val="002A08B3"/>
    <w:rsid w:val="002A0E52"/>
    <w:rsid w:val="002A1439"/>
    <w:rsid w:val="002A1E03"/>
    <w:rsid w:val="002A25FA"/>
    <w:rsid w:val="002A2C41"/>
    <w:rsid w:val="002A3D2F"/>
    <w:rsid w:val="002A4C24"/>
    <w:rsid w:val="002A5F0C"/>
    <w:rsid w:val="002A6EC6"/>
    <w:rsid w:val="002A72FC"/>
    <w:rsid w:val="002B0436"/>
    <w:rsid w:val="002B0472"/>
    <w:rsid w:val="002B11DE"/>
    <w:rsid w:val="002B1797"/>
    <w:rsid w:val="002B1B85"/>
    <w:rsid w:val="002B2234"/>
    <w:rsid w:val="002B2AFE"/>
    <w:rsid w:val="002B3015"/>
    <w:rsid w:val="002B4145"/>
    <w:rsid w:val="002B44D2"/>
    <w:rsid w:val="002B5B81"/>
    <w:rsid w:val="002B5E69"/>
    <w:rsid w:val="002B6440"/>
    <w:rsid w:val="002B6B12"/>
    <w:rsid w:val="002B7B1C"/>
    <w:rsid w:val="002C087F"/>
    <w:rsid w:val="002C15EA"/>
    <w:rsid w:val="002C1978"/>
    <w:rsid w:val="002C2735"/>
    <w:rsid w:val="002C301A"/>
    <w:rsid w:val="002C4152"/>
    <w:rsid w:val="002C4753"/>
    <w:rsid w:val="002C52AC"/>
    <w:rsid w:val="002C5949"/>
    <w:rsid w:val="002D0035"/>
    <w:rsid w:val="002D0EA7"/>
    <w:rsid w:val="002D20D9"/>
    <w:rsid w:val="002D35B1"/>
    <w:rsid w:val="002D440E"/>
    <w:rsid w:val="002D4B5B"/>
    <w:rsid w:val="002D6744"/>
    <w:rsid w:val="002D6870"/>
    <w:rsid w:val="002D696A"/>
    <w:rsid w:val="002D75E9"/>
    <w:rsid w:val="002E00F8"/>
    <w:rsid w:val="002E0223"/>
    <w:rsid w:val="002E374C"/>
    <w:rsid w:val="002E3B6E"/>
    <w:rsid w:val="002E3CE8"/>
    <w:rsid w:val="002E3D41"/>
    <w:rsid w:val="002E575D"/>
    <w:rsid w:val="002E6140"/>
    <w:rsid w:val="002E6303"/>
    <w:rsid w:val="002E6985"/>
    <w:rsid w:val="002E71B6"/>
    <w:rsid w:val="002E72F5"/>
    <w:rsid w:val="002F0C89"/>
    <w:rsid w:val="002F1F81"/>
    <w:rsid w:val="002F359A"/>
    <w:rsid w:val="002F3918"/>
    <w:rsid w:val="002F77C8"/>
    <w:rsid w:val="00300A62"/>
    <w:rsid w:val="00303707"/>
    <w:rsid w:val="0030422B"/>
    <w:rsid w:val="003042C1"/>
    <w:rsid w:val="00304A8F"/>
    <w:rsid w:val="00304C1D"/>
    <w:rsid w:val="00304F22"/>
    <w:rsid w:val="00306C7C"/>
    <w:rsid w:val="00307A05"/>
    <w:rsid w:val="00310217"/>
    <w:rsid w:val="003116A2"/>
    <w:rsid w:val="00312341"/>
    <w:rsid w:val="0031252F"/>
    <w:rsid w:val="00314457"/>
    <w:rsid w:val="00315E34"/>
    <w:rsid w:val="0031645A"/>
    <w:rsid w:val="0031787F"/>
    <w:rsid w:val="00320094"/>
    <w:rsid w:val="003207FC"/>
    <w:rsid w:val="00320936"/>
    <w:rsid w:val="00321021"/>
    <w:rsid w:val="0032105B"/>
    <w:rsid w:val="00321C28"/>
    <w:rsid w:val="0032219F"/>
    <w:rsid w:val="00322C83"/>
    <w:rsid w:val="00322EDD"/>
    <w:rsid w:val="003237FB"/>
    <w:rsid w:val="00323958"/>
    <w:rsid w:val="00323D3D"/>
    <w:rsid w:val="00324B9F"/>
    <w:rsid w:val="00324BB0"/>
    <w:rsid w:val="00324BD5"/>
    <w:rsid w:val="00325F88"/>
    <w:rsid w:val="00326C6B"/>
    <w:rsid w:val="00327127"/>
    <w:rsid w:val="0032757A"/>
    <w:rsid w:val="00327D1A"/>
    <w:rsid w:val="00332320"/>
    <w:rsid w:val="00332939"/>
    <w:rsid w:val="00332A25"/>
    <w:rsid w:val="00332A54"/>
    <w:rsid w:val="00332A67"/>
    <w:rsid w:val="003337D8"/>
    <w:rsid w:val="0033494C"/>
    <w:rsid w:val="00334C90"/>
    <w:rsid w:val="00335EA8"/>
    <w:rsid w:val="0033608A"/>
    <w:rsid w:val="0033641A"/>
    <w:rsid w:val="003402B6"/>
    <w:rsid w:val="00342218"/>
    <w:rsid w:val="00342EB3"/>
    <w:rsid w:val="003431EB"/>
    <w:rsid w:val="003453A4"/>
    <w:rsid w:val="003457D7"/>
    <w:rsid w:val="00345959"/>
    <w:rsid w:val="00346B44"/>
    <w:rsid w:val="0034767F"/>
    <w:rsid w:val="00347D72"/>
    <w:rsid w:val="00350CCE"/>
    <w:rsid w:val="003513C8"/>
    <w:rsid w:val="00353959"/>
    <w:rsid w:val="00354919"/>
    <w:rsid w:val="00354F10"/>
    <w:rsid w:val="003564F0"/>
    <w:rsid w:val="00357611"/>
    <w:rsid w:val="00357A65"/>
    <w:rsid w:val="00357AFB"/>
    <w:rsid w:val="00360530"/>
    <w:rsid w:val="003627DE"/>
    <w:rsid w:val="00362EE0"/>
    <w:rsid w:val="00363016"/>
    <w:rsid w:val="003638B4"/>
    <w:rsid w:val="003639E6"/>
    <w:rsid w:val="00367237"/>
    <w:rsid w:val="0037077F"/>
    <w:rsid w:val="00372411"/>
    <w:rsid w:val="00373882"/>
    <w:rsid w:val="0037448F"/>
    <w:rsid w:val="003744CA"/>
    <w:rsid w:val="003750AC"/>
    <w:rsid w:val="0037524C"/>
    <w:rsid w:val="003768E5"/>
    <w:rsid w:val="0037729E"/>
    <w:rsid w:val="00377B56"/>
    <w:rsid w:val="00381554"/>
    <w:rsid w:val="003815F4"/>
    <w:rsid w:val="00382390"/>
    <w:rsid w:val="00383F2E"/>
    <w:rsid w:val="0038410A"/>
    <w:rsid w:val="003843DB"/>
    <w:rsid w:val="003849E2"/>
    <w:rsid w:val="00384D18"/>
    <w:rsid w:val="00385E91"/>
    <w:rsid w:val="0038601E"/>
    <w:rsid w:val="003876E9"/>
    <w:rsid w:val="00391AA9"/>
    <w:rsid w:val="00392586"/>
    <w:rsid w:val="00393761"/>
    <w:rsid w:val="003953D4"/>
    <w:rsid w:val="00397500"/>
    <w:rsid w:val="00397C2D"/>
    <w:rsid w:val="00397D18"/>
    <w:rsid w:val="003A0AD0"/>
    <w:rsid w:val="003A139B"/>
    <w:rsid w:val="003A1B36"/>
    <w:rsid w:val="003A25B8"/>
    <w:rsid w:val="003A3452"/>
    <w:rsid w:val="003A4792"/>
    <w:rsid w:val="003A4C31"/>
    <w:rsid w:val="003A6735"/>
    <w:rsid w:val="003A6A33"/>
    <w:rsid w:val="003A77DA"/>
    <w:rsid w:val="003B0C2D"/>
    <w:rsid w:val="003B1454"/>
    <w:rsid w:val="003B18B6"/>
    <w:rsid w:val="003B1A4C"/>
    <w:rsid w:val="003B1F9A"/>
    <w:rsid w:val="003B2361"/>
    <w:rsid w:val="003B33FE"/>
    <w:rsid w:val="003B4300"/>
    <w:rsid w:val="003B4D10"/>
    <w:rsid w:val="003B69FB"/>
    <w:rsid w:val="003B6D42"/>
    <w:rsid w:val="003B6FC7"/>
    <w:rsid w:val="003B74E4"/>
    <w:rsid w:val="003C0124"/>
    <w:rsid w:val="003C043E"/>
    <w:rsid w:val="003C1C25"/>
    <w:rsid w:val="003C425A"/>
    <w:rsid w:val="003C4B7E"/>
    <w:rsid w:val="003C59E0"/>
    <w:rsid w:val="003C6079"/>
    <w:rsid w:val="003C66FA"/>
    <w:rsid w:val="003C6C8D"/>
    <w:rsid w:val="003C6FB0"/>
    <w:rsid w:val="003C7300"/>
    <w:rsid w:val="003C758E"/>
    <w:rsid w:val="003C763F"/>
    <w:rsid w:val="003D03EA"/>
    <w:rsid w:val="003D2E26"/>
    <w:rsid w:val="003D3174"/>
    <w:rsid w:val="003D3CCA"/>
    <w:rsid w:val="003D3F36"/>
    <w:rsid w:val="003D47B4"/>
    <w:rsid w:val="003D4EB4"/>
    <w:rsid w:val="003D4F95"/>
    <w:rsid w:val="003D5DAF"/>
    <w:rsid w:val="003D5F42"/>
    <w:rsid w:val="003D60A9"/>
    <w:rsid w:val="003D612A"/>
    <w:rsid w:val="003D6223"/>
    <w:rsid w:val="003D6A3A"/>
    <w:rsid w:val="003E047F"/>
    <w:rsid w:val="003E0849"/>
    <w:rsid w:val="003E191F"/>
    <w:rsid w:val="003E2BEB"/>
    <w:rsid w:val="003E2E1C"/>
    <w:rsid w:val="003E3394"/>
    <w:rsid w:val="003E4EDC"/>
    <w:rsid w:val="003E50F5"/>
    <w:rsid w:val="003E54FE"/>
    <w:rsid w:val="003F1E57"/>
    <w:rsid w:val="003F23F8"/>
    <w:rsid w:val="003F2669"/>
    <w:rsid w:val="003F29C1"/>
    <w:rsid w:val="003F42C7"/>
    <w:rsid w:val="003F468F"/>
    <w:rsid w:val="003F4C97"/>
    <w:rsid w:val="003F5092"/>
    <w:rsid w:val="003F62B5"/>
    <w:rsid w:val="003F62CF"/>
    <w:rsid w:val="003F7FE6"/>
    <w:rsid w:val="00400193"/>
    <w:rsid w:val="0040103E"/>
    <w:rsid w:val="00401337"/>
    <w:rsid w:val="00401F87"/>
    <w:rsid w:val="00402994"/>
    <w:rsid w:val="004029CF"/>
    <w:rsid w:val="00402D1D"/>
    <w:rsid w:val="00407735"/>
    <w:rsid w:val="004078B9"/>
    <w:rsid w:val="00411654"/>
    <w:rsid w:val="00411F82"/>
    <w:rsid w:val="00415F50"/>
    <w:rsid w:val="0041638F"/>
    <w:rsid w:val="004170F6"/>
    <w:rsid w:val="004212E7"/>
    <w:rsid w:val="00421A4D"/>
    <w:rsid w:val="00422A69"/>
    <w:rsid w:val="0042421A"/>
    <w:rsid w:val="0042446D"/>
    <w:rsid w:val="00424C18"/>
    <w:rsid w:val="00427774"/>
    <w:rsid w:val="00427BF8"/>
    <w:rsid w:val="00430580"/>
    <w:rsid w:val="004313A7"/>
    <w:rsid w:val="00431A5C"/>
    <w:rsid w:val="00431C02"/>
    <w:rsid w:val="00432B4A"/>
    <w:rsid w:val="0043404D"/>
    <w:rsid w:val="00436B82"/>
    <w:rsid w:val="00437395"/>
    <w:rsid w:val="004401C7"/>
    <w:rsid w:val="00440700"/>
    <w:rsid w:val="0044076B"/>
    <w:rsid w:val="0044135A"/>
    <w:rsid w:val="004417FA"/>
    <w:rsid w:val="00441A8B"/>
    <w:rsid w:val="004420A9"/>
    <w:rsid w:val="00442B0F"/>
    <w:rsid w:val="004436B4"/>
    <w:rsid w:val="00445047"/>
    <w:rsid w:val="00446DA6"/>
    <w:rsid w:val="004470D2"/>
    <w:rsid w:val="004477C2"/>
    <w:rsid w:val="004501AE"/>
    <w:rsid w:val="00450649"/>
    <w:rsid w:val="0045271F"/>
    <w:rsid w:val="004550D9"/>
    <w:rsid w:val="00455144"/>
    <w:rsid w:val="0045609E"/>
    <w:rsid w:val="004573DF"/>
    <w:rsid w:val="00460304"/>
    <w:rsid w:val="00460559"/>
    <w:rsid w:val="00461BDE"/>
    <w:rsid w:val="004628FF"/>
    <w:rsid w:val="00463E39"/>
    <w:rsid w:val="00464224"/>
    <w:rsid w:val="004657FC"/>
    <w:rsid w:val="00466210"/>
    <w:rsid w:val="00467BE9"/>
    <w:rsid w:val="004700B5"/>
    <w:rsid w:val="004712DB"/>
    <w:rsid w:val="004716FD"/>
    <w:rsid w:val="00471D75"/>
    <w:rsid w:val="004722FA"/>
    <w:rsid w:val="00472D1F"/>
    <w:rsid w:val="004733F6"/>
    <w:rsid w:val="00474A3A"/>
    <w:rsid w:val="00474A79"/>
    <w:rsid w:val="00474E69"/>
    <w:rsid w:val="00475671"/>
    <w:rsid w:val="0047614A"/>
    <w:rsid w:val="00476524"/>
    <w:rsid w:val="00476B05"/>
    <w:rsid w:val="00477EFC"/>
    <w:rsid w:val="004815D6"/>
    <w:rsid w:val="0048227C"/>
    <w:rsid w:val="00482D0F"/>
    <w:rsid w:val="00483062"/>
    <w:rsid w:val="00483EDF"/>
    <w:rsid w:val="00483F13"/>
    <w:rsid w:val="00484EFF"/>
    <w:rsid w:val="004875F8"/>
    <w:rsid w:val="00490E03"/>
    <w:rsid w:val="00492B21"/>
    <w:rsid w:val="00492F88"/>
    <w:rsid w:val="00493BA8"/>
    <w:rsid w:val="004942C8"/>
    <w:rsid w:val="00494717"/>
    <w:rsid w:val="00494F4F"/>
    <w:rsid w:val="00495E1F"/>
    <w:rsid w:val="0049621B"/>
    <w:rsid w:val="004968D1"/>
    <w:rsid w:val="004A0D17"/>
    <w:rsid w:val="004A2ACA"/>
    <w:rsid w:val="004A2E81"/>
    <w:rsid w:val="004A311F"/>
    <w:rsid w:val="004A3305"/>
    <w:rsid w:val="004A3DDA"/>
    <w:rsid w:val="004A5B9E"/>
    <w:rsid w:val="004A5CF4"/>
    <w:rsid w:val="004A69F6"/>
    <w:rsid w:val="004A6AEE"/>
    <w:rsid w:val="004A7B44"/>
    <w:rsid w:val="004B0936"/>
    <w:rsid w:val="004B148D"/>
    <w:rsid w:val="004B1BA4"/>
    <w:rsid w:val="004B1ED2"/>
    <w:rsid w:val="004B298F"/>
    <w:rsid w:val="004B49AE"/>
    <w:rsid w:val="004B4A40"/>
    <w:rsid w:val="004B7E27"/>
    <w:rsid w:val="004C1895"/>
    <w:rsid w:val="004C23D2"/>
    <w:rsid w:val="004C348C"/>
    <w:rsid w:val="004C3E99"/>
    <w:rsid w:val="004C6B17"/>
    <w:rsid w:val="004C6D40"/>
    <w:rsid w:val="004D0683"/>
    <w:rsid w:val="004D0F47"/>
    <w:rsid w:val="004D1923"/>
    <w:rsid w:val="004D2DD3"/>
    <w:rsid w:val="004D3EDD"/>
    <w:rsid w:val="004D507F"/>
    <w:rsid w:val="004D50DD"/>
    <w:rsid w:val="004D5B08"/>
    <w:rsid w:val="004D6C8D"/>
    <w:rsid w:val="004D7711"/>
    <w:rsid w:val="004D7A31"/>
    <w:rsid w:val="004E0604"/>
    <w:rsid w:val="004E07D3"/>
    <w:rsid w:val="004E23CC"/>
    <w:rsid w:val="004E2B0A"/>
    <w:rsid w:val="004E4803"/>
    <w:rsid w:val="004E497C"/>
    <w:rsid w:val="004E5048"/>
    <w:rsid w:val="004E584D"/>
    <w:rsid w:val="004E59AA"/>
    <w:rsid w:val="004E668F"/>
    <w:rsid w:val="004E67B9"/>
    <w:rsid w:val="004E6906"/>
    <w:rsid w:val="004F0C3C"/>
    <w:rsid w:val="004F13A9"/>
    <w:rsid w:val="004F1F24"/>
    <w:rsid w:val="004F43BC"/>
    <w:rsid w:val="004F492A"/>
    <w:rsid w:val="004F63FC"/>
    <w:rsid w:val="004F75C3"/>
    <w:rsid w:val="00500599"/>
    <w:rsid w:val="00501812"/>
    <w:rsid w:val="00501A4C"/>
    <w:rsid w:val="005028E0"/>
    <w:rsid w:val="0050322B"/>
    <w:rsid w:val="005039CD"/>
    <w:rsid w:val="00504306"/>
    <w:rsid w:val="0050497E"/>
    <w:rsid w:val="0050562F"/>
    <w:rsid w:val="00505977"/>
    <w:rsid w:val="00505A92"/>
    <w:rsid w:val="005067E3"/>
    <w:rsid w:val="00506EDA"/>
    <w:rsid w:val="005071C2"/>
    <w:rsid w:val="005116B3"/>
    <w:rsid w:val="00511C58"/>
    <w:rsid w:val="005123BF"/>
    <w:rsid w:val="005135D9"/>
    <w:rsid w:val="00513DB5"/>
    <w:rsid w:val="005140B7"/>
    <w:rsid w:val="00515B9C"/>
    <w:rsid w:val="005203F1"/>
    <w:rsid w:val="005206C8"/>
    <w:rsid w:val="005209F7"/>
    <w:rsid w:val="00521212"/>
    <w:rsid w:val="00521974"/>
    <w:rsid w:val="00521A37"/>
    <w:rsid w:val="00521A3D"/>
    <w:rsid w:val="00521BC3"/>
    <w:rsid w:val="00521F50"/>
    <w:rsid w:val="005256FC"/>
    <w:rsid w:val="005260D6"/>
    <w:rsid w:val="00526CC8"/>
    <w:rsid w:val="00527729"/>
    <w:rsid w:val="00527B57"/>
    <w:rsid w:val="00531F73"/>
    <w:rsid w:val="00533632"/>
    <w:rsid w:val="00533D2F"/>
    <w:rsid w:val="00533E00"/>
    <w:rsid w:val="00533FE8"/>
    <w:rsid w:val="00534B2A"/>
    <w:rsid w:val="0053510F"/>
    <w:rsid w:val="005358B1"/>
    <w:rsid w:val="00536343"/>
    <w:rsid w:val="0053773B"/>
    <w:rsid w:val="00541339"/>
    <w:rsid w:val="005416A7"/>
    <w:rsid w:val="00541E6E"/>
    <w:rsid w:val="00541ECD"/>
    <w:rsid w:val="0054251F"/>
    <w:rsid w:val="00543B74"/>
    <w:rsid w:val="00544FB7"/>
    <w:rsid w:val="00550CFB"/>
    <w:rsid w:val="00550F40"/>
    <w:rsid w:val="005520D8"/>
    <w:rsid w:val="00552CDC"/>
    <w:rsid w:val="005533BC"/>
    <w:rsid w:val="0055643F"/>
    <w:rsid w:val="00556CF1"/>
    <w:rsid w:val="00556E49"/>
    <w:rsid w:val="00561AE5"/>
    <w:rsid w:val="00562055"/>
    <w:rsid w:val="00564A74"/>
    <w:rsid w:val="00564F88"/>
    <w:rsid w:val="005664CC"/>
    <w:rsid w:val="00566DCE"/>
    <w:rsid w:val="00567186"/>
    <w:rsid w:val="005711A6"/>
    <w:rsid w:val="0057123A"/>
    <w:rsid w:val="00572FE5"/>
    <w:rsid w:val="005731B7"/>
    <w:rsid w:val="005734C2"/>
    <w:rsid w:val="00573E4D"/>
    <w:rsid w:val="005757FE"/>
    <w:rsid w:val="00575D05"/>
    <w:rsid w:val="005762A7"/>
    <w:rsid w:val="0058057D"/>
    <w:rsid w:val="005828C3"/>
    <w:rsid w:val="00582A3E"/>
    <w:rsid w:val="00582D3F"/>
    <w:rsid w:val="0058423F"/>
    <w:rsid w:val="005878F7"/>
    <w:rsid w:val="00587E37"/>
    <w:rsid w:val="0059067C"/>
    <w:rsid w:val="0059075A"/>
    <w:rsid w:val="0059157A"/>
    <w:rsid w:val="005916D7"/>
    <w:rsid w:val="00596464"/>
    <w:rsid w:val="005966D4"/>
    <w:rsid w:val="0059710B"/>
    <w:rsid w:val="005A2AEF"/>
    <w:rsid w:val="005A3C7F"/>
    <w:rsid w:val="005A6159"/>
    <w:rsid w:val="005A698C"/>
    <w:rsid w:val="005A7750"/>
    <w:rsid w:val="005A7BB3"/>
    <w:rsid w:val="005B0772"/>
    <w:rsid w:val="005B1FEB"/>
    <w:rsid w:val="005B22F0"/>
    <w:rsid w:val="005B4411"/>
    <w:rsid w:val="005B630A"/>
    <w:rsid w:val="005C02D8"/>
    <w:rsid w:val="005C0D7D"/>
    <w:rsid w:val="005C13CD"/>
    <w:rsid w:val="005C14BD"/>
    <w:rsid w:val="005C196B"/>
    <w:rsid w:val="005C2F67"/>
    <w:rsid w:val="005C34F9"/>
    <w:rsid w:val="005C4DE6"/>
    <w:rsid w:val="005C577E"/>
    <w:rsid w:val="005C7031"/>
    <w:rsid w:val="005C7565"/>
    <w:rsid w:val="005C7710"/>
    <w:rsid w:val="005C7B5D"/>
    <w:rsid w:val="005D1D5A"/>
    <w:rsid w:val="005D230C"/>
    <w:rsid w:val="005D2934"/>
    <w:rsid w:val="005D46D8"/>
    <w:rsid w:val="005D4BCF"/>
    <w:rsid w:val="005D5835"/>
    <w:rsid w:val="005D5992"/>
    <w:rsid w:val="005D5B8E"/>
    <w:rsid w:val="005D789E"/>
    <w:rsid w:val="005D7DB0"/>
    <w:rsid w:val="005D7F38"/>
    <w:rsid w:val="005E0799"/>
    <w:rsid w:val="005E0A61"/>
    <w:rsid w:val="005E0D63"/>
    <w:rsid w:val="005E115E"/>
    <w:rsid w:val="005E1D1E"/>
    <w:rsid w:val="005E4031"/>
    <w:rsid w:val="005E540A"/>
    <w:rsid w:val="005E620F"/>
    <w:rsid w:val="005E6EB3"/>
    <w:rsid w:val="005E6F3A"/>
    <w:rsid w:val="005F09AD"/>
    <w:rsid w:val="005F11DF"/>
    <w:rsid w:val="005F1EA9"/>
    <w:rsid w:val="005F1F3D"/>
    <w:rsid w:val="005F27E2"/>
    <w:rsid w:val="005F2B8E"/>
    <w:rsid w:val="005F2C48"/>
    <w:rsid w:val="005F2E2D"/>
    <w:rsid w:val="005F3182"/>
    <w:rsid w:val="005F5A80"/>
    <w:rsid w:val="005F5E6B"/>
    <w:rsid w:val="005F6A4E"/>
    <w:rsid w:val="005F6CCC"/>
    <w:rsid w:val="005F7FD8"/>
    <w:rsid w:val="00600D5C"/>
    <w:rsid w:val="0060146F"/>
    <w:rsid w:val="00601D19"/>
    <w:rsid w:val="00602A7C"/>
    <w:rsid w:val="006044FF"/>
    <w:rsid w:val="0060484B"/>
    <w:rsid w:val="006051FF"/>
    <w:rsid w:val="00606832"/>
    <w:rsid w:val="00607CC5"/>
    <w:rsid w:val="006109D8"/>
    <w:rsid w:val="00611143"/>
    <w:rsid w:val="006111C4"/>
    <w:rsid w:val="006127DE"/>
    <w:rsid w:val="006135D3"/>
    <w:rsid w:val="00613E03"/>
    <w:rsid w:val="006145B6"/>
    <w:rsid w:val="00614F6B"/>
    <w:rsid w:val="0061727D"/>
    <w:rsid w:val="00617958"/>
    <w:rsid w:val="006232C8"/>
    <w:rsid w:val="00623E67"/>
    <w:rsid w:val="006255CD"/>
    <w:rsid w:val="00625B77"/>
    <w:rsid w:val="00625E5B"/>
    <w:rsid w:val="00626BD1"/>
    <w:rsid w:val="006319E3"/>
    <w:rsid w:val="00632CCE"/>
    <w:rsid w:val="00633014"/>
    <w:rsid w:val="00633332"/>
    <w:rsid w:val="00633882"/>
    <w:rsid w:val="0063437B"/>
    <w:rsid w:val="0063467F"/>
    <w:rsid w:val="00634948"/>
    <w:rsid w:val="00635586"/>
    <w:rsid w:val="0063564F"/>
    <w:rsid w:val="00636FBD"/>
    <w:rsid w:val="00637458"/>
    <w:rsid w:val="0064144A"/>
    <w:rsid w:val="00646F3A"/>
    <w:rsid w:val="00647316"/>
    <w:rsid w:val="00647D55"/>
    <w:rsid w:val="00650698"/>
    <w:rsid w:val="006510FD"/>
    <w:rsid w:val="00652884"/>
    <w:rsid w:val="00654166"/>
    <w:rsid w:val="00654D2E"/>
    <w:rsid w:val="00654EA6"/>
    <w:rsid w:val="0065544D"/>
    <w:rsid w:val="00655460"/>
    <w:rsid w:val="00655E21"/>
    <w:rsid w:val="0065702D"/>
    <w:rsid w:val="00660624"/>
    <w:rsid w:val="006624D6"/>
    <w:rsid w:val="0066338E"/>
    <w:rsid w:val="006670D3"/>
    <w:rsid w:val="006673CA"/>
    <w:rsid w:val="00670DB1"/>
    <w:rsid w:val="00671BFE"/>
    <w:rsid w:val="00672336"/>
    <w:rsid w:val="006726D5"/>
    <w:rsid w:val="00673C26"/>
    <w:rsid w:val="00673FC8"/>
    <w:rsid w:val="00674571"/>
    <w:rsid w:val="00674708"/>
    <w:rsid w:val="00674A5B"/>
    <w:rsid w:val="00675755"/>
    <w:rsid w:val="006812AF"/>
    <w:rsid w:val="0068157C"/>
    <w:rsid w:val="00681F04"/>
    <w:rsid w:val="00682527"/>
    <w:rsid w:val="0068327D"/>
    <w:rsid w:val="006836F9"/>
    <w:rsid w:val="00683DE7"/>
    <w:rsid w:val="006840A7"/>
    <w:rsid w:val="0068627A"/>
    <w:rsid w:val="006863A7"/>
    <w:rsid w:val="0068741D"/>
    <w:rsid w:val="00687461"/>
    <w:rsid w:val="00687791"/>
    <w:rsid w:val="00690E21"/>
    <w:rsid w:val="006929FE"/>
    <w:rsid w:val="00692C33"/>
    <w:rsid w:val="00692D54"/>
    <w:rsid w:val="00692FD9"/>
    <w:rsid w:val="00693338"/>
    <w:rsid w:val="00694465"/>
    <w:rsid w:val="00694AF0"/>
    <w:rsid w:val="00694BB4"/>
    <w:rsid w:val="00694DE3"/>
    <w:rsid w:val="00697D5A"/>
    <w:rsid w:val="006A0558"/>
    <w:rsid w:val="006A0698"/>
    <w:rsid w:val="006A25DA"/>
    <w:rsid w:val="006A2F59"/>
    <w:rsid w:val="006A43C7"/>
    <w:rsid w:val="006A4686"/>
    <w:rsid w:val="006A4D40"/>
    <w:rsid w:val="006A6058"/>
    <w:rsid w:val="006A6986"/>
    <w:rsid w:val="006A71F6"/>
    <w:rsid w:val="006B0E9E"/>
    <w:rsid w:val="006B14B8"/>
    <w:rsid w:val="006B1CD5"/>
    <w:rsid w:val="006B1F19"/>
    <w:rsid w:val="006B39B9"/>
    <w:rsid w:val="006B4C77"/>
    <w:rsid w:val="006B533F"/>
    <w:rsid w:val="006B5679"/>
    <w:rsid w:val="006B5AE4"/>
    <w:rsid w:val="006B7C37"/>
    <w:rsid w:val="006C0943"/>
    <w:rsid w:val="006C10C8"/>
    <w:rsid w:val="006C2B81"/>
    <w:rsid w:val="006C3C6D"/>
    <w:rsid w:val="006C46C0"/>
    <w:rsid w:val="006C521E"/>
    <w:rsid w:val="006C5D1A"/>
    <w:rsid w:val="006C6499"/>
    <w:rsid w:val="006C6F58"/>
    <w:rsid w:val="006C6FA5"/>
    <w:rsid w:val="006C77BB"/>
    <w:rsid w:val="006C7876"/>
    <w:rsid w:val="006C788C"/>
    <w:rsid w:val="006C7EEC"/>
    <w:rsid w:val="006D0A0D"/>
    <w:rsid w:val="006D1507"/>
    <w:rsid w:val="006D1D38"/>
    <w:rsid w:val="006D20DC"/>
    <w:rsid w:val="006D3BCA"/>
    <w:rsid w:val="006D3D65"/>
    <w:rsid w:val="006D4054"/>
    <w:rsid w:val="006D5D15"/>
    <w:rsid w:val="006D633C"/>
    <w:rsid w:val="006D63CB"/>
    <w:rsid w:val="006D663B"/>
    <w:rsid w:val="006D670B"/>
    <w:rsid w:val="006D7790"/>
    <w:rsid w:val="006E01DE"/>
    <w:rsid w:val="006E02EC"/>
    <w:rsid w:val="006E23F6"/>
    <w:rsid w:val="006E2BD8"/>
    <w:rsid w:val="006E2E50"/>
    <w:rsid w:val="006E504B"/>
    <w:rsid w:val="006E70FA"/>
    <w:rsid w:val="006E7636"/>
    <w:rsid w:val="006E7F78"/>
    <w:rsid w:val="006F08B9"/>
    <w:rsid w:val="006F17E2"/>
    <w:rsid w:val="006F2DD9"/>
    <w:rsid w:val="006F45DA"/>
    <w:rsid w:val="006F51D0"/>
    <w:rsid w:val="006F6DCF"/>
    <w:rsid w:val="006F7343"/>
    <w:rsid w:val="0070279F"/>
    <w:rsid w:val="007029B6"/>
    <w:rsid w:val="00702C2F"/>
    <w:rsid w:val="00702D89"/>
    <w:rsid w:val="00703057"/>
    <w:rsid w:val="00703D63"/>
    <w:rsid w:val="00703FDA"/>
    <w:rsid w:val="00705CD4"/>
    <w:rsid w:val="0070624D"/>
    <w:rsid w:val="00706A79"/>
    <w:rsid w:val="00707906"/>
    <w:rsid w:val="007103FC"/>
    <w:rsid w:val="0071101D"/>
    <w:rsid w:val="007116B6"/>
    <w:rsid w:val="00711880"/>
    <w:rsid w:val="00713CA6"/>
    <w:rsid w:val="00715D29"/>
    <w:rsid w:val="0071615B"/>
    <w:rsid w:val="00716DE0"/>
    <w:rsid w:val="0072040E"/>
    <w:rsid w:val="007211B1"/>
    <w:rsid w:val="00724030"/>
    <w:rsid w:val="00724F3D"/>
    <w:rsid w:val="00725B62"/>
    <w:rsid w:val="007275B6"/>
    <w:rsid w:val="00727703"/>
    <w:rsid w:val="007302D5"/>
    <w:rsid w:val="00733FD7"/>
    <w:rsid w:val="007347E4"/>
    <w:rsid w:val="00734888"/>
    <w:rsid w:val="00734FEF"/>
    <w:rsid w:val="00736E08"/>
    <w:rsid w:val="0073733E"/>
    <w:rsid w:val="007454E5"/>
    <w:rsid w:val="00746187"/>
    <w:rsid w:val="007502F3"/>
    <w:rsid w:val="007505B6"/>
    <w:rsid w:val="00751A59"/>
    <w:rsid w:val="00751FAC"/>
    <w:rsid w:val="007527D6"/>
    <w:rsid w:val="00752DAC"/>
    <w:rsid w:val="00753213"/>
    <w:rsid w:val="007554B0"/>
    <w:rsid w:val="0075730C"/>
    <w:rsid w:val="00757E3A"/>
    <w:rsid w:val="007600E0"/>
    <w:rsid w:val="00760DE9"/>
    <w:rsid w:val="007611CD"/>
    <w:rsid w:val="0076254F"/>
    <w:rsid w:val="00762990"/>
    <w:rsid w:val="00762FF2"/>
    <w:rsid w:val="00763982"/>
    <w:rsid w:val="00764D9C"/>
    <w:rsid w:val="0076783B"/>
    <w:rsid w:val="00770FBE"/>
    <w:rsid w:val="00771A5A"/>
    <w:rsid w:val="0077245A"/>
    <w:rsid w:val="007731D8"/>
    <w:rsid w:val="00773CA2"/>
    <w:rsid w:val="00773CE5"/>
    <w:rsid w:val="0077402D"/>
    <w:rsid w:val="00774D61"/>
    <w:rsid w:val="00774D62"/>
    <w:rsid w:val="00775896"/>
    <w:rsid w:val="007758FD"/>
    <w:rsid w:val="00775EB2"/>
    <w:rsid w:val="007764D2"/>
    <w:rsid w:val="00777CB1"/>
    <w:rsid w:val="007801F5"/>
    <w:rsid w:val="00780345"/>
    <w:rsid w:val="00781653"/>
    <w:rsid w:val="007830C0"/>
    <w:rsid w:val="00783CA4"/>
    <w:rsid w:val="00783CAA"/>
    <w:rsid w:val="007842FB"/>
    <w:rsid w:val="00784644"/>
    <w:rsid w:val="00785127"/>
    <w:rsid w:val="00785360"/>
    <w:rsid w:val="00785540"/>
    <w:rsid w:val="00785705"/>
    <w:rsid w:val="00785882"/>
    <w:rsid w:val="00786124"/>
    <w:rsid w:val="007862D7"/>
    <w:rsid w:val="00790C3E"/>
    <w:rsid w:val="00792A2F"/>
    <w:rsid w:val="0079514B"/>
    <w:rsid w:val="00795FAF"/>
    <w:rsid w:val="007A11BD"/>
    <w:rsid w:val="007A2DC1"/>
    <w:rsid w:val="007A3E0B"/>
    <w:rsid w:val="007A3E77"/>
    <w:rsid w:val="007A5AAA"/>
    <w:rsid w:val="007A758A"/>
    <w:rsid w:val="007B08F3"/>
    <w:rsid w:val="007B0BAB"/>
    <w:rsid w:val="007B0D8F"/>
    <w:rsid w:val="007B1C71"/>
    <w:rsid w:val="007B3C4A"/>
    <w:rsid w:val="007B5D32"/>
    <w:rsid w:val="007B7481"/>
    <w:rsid w:val="007B74AB"/>
    <w:rsid w:val="007C0412"/>
    <w:rsid w:val="007C4094"/>
    <w:rsid w:val="007C5D21"/>
    <w:rsid w:val="007C73A0"/>
    <w:rsid w:val="007C763C"/>
    <w:rsid w:val="007D1C31"/>
    <w:rsid w:val="007D3319"/>
    <w:rsid w:val="007D335D"/>
    <w:rsid w:val="007D3642"/>
    <w:rsid w:val="007D4EB8"/>
    <w:rsid w:val="007D5898"/>
    <w:rsid w:val="007D6267"/>
    <w:rsid w:val="007D6B06"/>
    <w:rsid w:val="007E0193"/>
    <w:rsid w:val="007E04C5"/>
    <w:rsid w:val="007E0567"/>
    <w:rsid w:val="007E0DB2"/>
    <w:rsid w:val="007E0E31"/>
    <w:rsid w:val="007E1184"/>
    <w:rsid w:val="007E1352"/>
    <w:rsid w:val="007E1F14"/>
    <w:rsid w:val="007E2298"/>
    <w:rsid w:val="007E2664"/>
    <w:rsid w:val="007E2F9C"/>
    <w:rsid w:val="007E3314"/>
    <w:rsid w:val="007E4B03"/>
    <w:rsid w:val="007E6A56"/>
    <w:rsid w:val="007E716F"/>
    <w:rsid w:val="007F0167"/>
    <w:rsid w:val="007F04F4"/>
    <w:rsid w:val="007F25A3"/>
    <w:rsid w:val="007F275E"/>
    <w:rsid w:val="007F28BB"/>
    <w:rsid w:val="007F3132"/>
    <w:rsid w:val="007F324B"/>
    <w:rsid w:val="007F36F4"/>
    <w:rsid w:val="007F3898"/>
    <w:rsid w:val="007F4A26"/>
    <w:rsid w:val="007F57B9"/>
    <w:rsid w:val="007F6485"/>
    <w:rsid w:val="007F70CD"/>
    <w:rsid w:val="007F76E9"/>
    <w:rsid w:val="007F7BFB"/>
    <w:rsid w:val="00801F17"/>
    <w:rsid w:val="008021BD"/>
    <w:rsid w:val="0080273B"/>
    <w:rsid w:val="00802DC2"/>
    <w:rsid w:val="00803B35"/>
    <w:rsid w:val="0080553C"/>
    <w:rsid w:val="00805B46"/>
    <w:rsid w:val="008063BF"/>
    <w:rsid w:val="0081004B"/>
    <w:rsid w:val="008119BB"/>
    <w:rsid w:val="008127B9"/>
    <w:rsid w:val="00814191"/>
    <w:rsid w:val="0081438B"/>
    <w:rsid w:val="00814632"/>
    <w:rsid w:val="0081537D"/>
    <w:rsid w:val="008156F5"/>
    <w:rsid w:val="0081668A"/>
    <w:rsid w:val="00816E06"/>
    <w:rsid w:val="008179EE"/>
    <w:rsid w:val="008205A7"/>
    <w:rsid w:val="008223FB"/>
    <w:rsid w:val="008235B1"/>
    <w:rsid w:val="00825D7C"/>
    <w:rsid w:val="00825DC2"/>
    <w:rsid w:val="00826CD5"/>
    <w:rsid w:val="00826EF3"/>
    <w:rsid w:val="0082708E"/>
    <w:rsid w:val="00827A72"/>
    <w:rsid w:val="00830977"/>
    <w:rsid w:val="00830A13"/>
    <w:rsid w:val="0083126D"/>
    <w:rsid w:val="008321D9"/>
    <w:rsid w:val="0083283E"/>
    <w:rsid w:val="0083335F"/>
    <w:rsid w:val="008335A8"/>
    <w:rsid w:val="00834AD3"/>
    <w:rsid w:val="00834DE5"/>
    <w:rsid w:val="00835284"/>
    <w:rsid w:val="00840304"/>
    <w:rsid w:val="00842153"/>
    <w:rsid w:val="00843795"/>
    <w:rsid w:val="0084551C"/>
    <w:rsid w:val="00847F0F"/>
    <w:rsid w:val="00852448"/>
    <w:rsid w:val="008540F0"/>
    <w:rsid w:val="008562A0"/>
    <w:rsid w:val="00857074"/>
    <w:rsid w:val="00860BA6"/>
    <w:rsid w:val="00860D63"/>
    <w:rsid w:val="00861137"/>
    <w:rsid w:val="00862119"/>
    <w:rsid w:val="00864535"/>
    <w:rsid w:val="008667F0"/>
    <w:rsid w:val="0086798B"/>
    <w:rsid w:val="008706A0"/>
    <w:rsid w:val="008707CF"/>
    <w:rsid w:val="00872C2A"/>
    <w:rsid w:val="0087427F"/>
    <w:rsid w:val="00874865"/>
    <w:rsid w:val="0087508D"/>
    <w:rsid w:val="0087524B"/>
    <w:rsid w:val="008752CA"/>
    <w:rsid w:val="00875393"/>
    <w:rsid w:val="00875D6D"/>
    <w:rsid w:val="008770E5"/>
    <w:rsid w:val="008802BF"/>
    <w:rsid w:val="00880EE7"/>
    <w:rsid w:val="0088237D"/>
    <w:rsid w:val="0088258A"/>
    <w:rsid w:val="00882B10"/>
    <w:rsid w:val="00884D73"/>
    <w:rsid w:val="00884EDE"/>
    <w:rsid w:val="00885939"/>
    <w:rsid w:val="00886200"/>
    <w:rsid w:val="00886332"/>
    <w:rsid w:val="0088757B"/>
    <w:rsid w:val="0088797D"/>
    <w:rsid w:val="0089077C"/>
    <w:rsid w:val="00891047"/>
    <w:rsid w:val="0089152C"/>
    <w:rsid w:val="00892D89"/>
    <w:rsid w:val="00892F61"/>
    <w:rsid w:val="00893B8A"/>
    <w:rsid w:val="00894293"/>
    <w:rsid w:val="00895898"/>
    <w:rsid w:val="00895E30"/>
    <w:rsid w:val="008960A6"/>
    <w:rsid w:val="0089665A"/>
    <w:rsid w:val="00896D71"/>
    <w:rsid w:val="00897B0C"/>
    <w:rsid w:val="008A0964"/>
    <w:rsid w:val="008A0C4A"/>
    <w:rsid w:val="008A26D9"/>
    <w:rsid w:val="008A278B"/>
    <w:rsid w:val="008A2B30"/>
    <w:rsid w:val="008A3AA7"/>
    <w:rsid w:val="008A3C4A"/>
    <w:rsid w:val="008A455C"/>
    <w:rsid w:val="008A5AE9"/>
    <w:rsid w:val="008A648A"/>
    <w:rsid w:val="008A7009"/>
    <w:rsid w:val="008A7CF0"/>
    <w:rsid w:val="008B073D"/>
    <w:rsid w:val="008B188C"/>
    <w:rsid w:val="008B18FF"/>
    <w:rsid w:val="008B52D7"/>
    <w:rsid w:val="008B54CA"/>
    <w:rsid w:val="008B57F2"/>
    <w:rsid w:val="008B657E"/>
    <w:rsid w:val="008B6867"/>
    <w:rsid w:val="008B6991"/>
    <w:rsid w:val="008B7665"/>
    <w:rsid w:val="008C046A"/>
    <w:rsid w:val="008C0C29"/>
    <w:rsid w:val="008C7F4B"/>
    <w:rsid w:val="008D2898"/>
    <w:rsid w:val="008D28A2"/>
    <w:rsid w:val="008D2B2D"/>
    <w:rsid w:val="008D2D83"/>
    <w:rsid w:val="008D617E"/>
    <w:rsid w:val="008D7D3B"/>
    <w:rsid w:val="008E119E"/>
    <w:rsid w:val="008E1531"/>
    <w:rsid w:val="008E24D9"/>
    <w:rsid w:val="008E2986"/>
    <w:rsid w:val="008E2C60"/>
    <w:rsid w:val="008E2FED"/>
    <w:rsid w:val="008E431C"/>
    <w:rsid w:val="008E48C4"/>
    <w:rsid w:val="008E5389"/>
    <w:rsid w:val="008E6E3A"/>
    <w:rsid w:val="008F15F3"/>
    <w:rsid w:val="008F2245"/>
    <w:rsid w:val="008F2641"/>
    <w:rsid w:val="008F3204"/>
    <w:rsid w:val="008F3616"/>
    <w:rsid w:val="008F3638"/>
    <w:rsid w:val="008F4441"/>
    <w:rsid w:val="008F4694"/>
    <w:rsid w:val="008F5346"/>
    <w:rsid w:val="008F6139"/>
    <w:rsid w:val="008F615E"/>
    <w:rsid w:val="008F6964"/>
    <w:rsid w:val="008F6C3C"/>
    <w:rsid w:val="008F6F31"/>
    <w:rsid w:val="008F74DF"/>
    <w:rsid w:val="008F7E05"/>
    <w:rsid w:val="00901007"/>
    <w:rsid w:val="009014EF"/>
    <w:rsid w:val="00901ED6"/>
    <w:rsid w:val="009024FA"/>
    <w:rsid w:val="0090252D"/>
    <w:rsid w:val="0090339B"/>
    <w:rsid w:val="009034B4"/>
    <w:rsid w:val="00903B7A"/>
    <w:rsid w:val="00903DA5"/>
    <w:rsid w:val="0090573A"/>
    <w:rsid w:val="00905FA7"/>
    <w:rsid w:val="00906D1B"/>
    <w:rsid w:val="00906F75"/>
    <w:rsid w:val="00907511"/>
    <w:rsid w:val="00907638"/>
    <w:rsid w:val="0091010B"/>
    <w:rsid w:val="00912465"/>
    <w:rsid w:val="009127BA"/>
    <w:rsid w:val="009143A0"/>
    <w:rsid w:val="00914D4C"/>
    <w:rsid w:val="00920460"/>
    <w:rsid w:val="00920A7E"/>
    <w:rsid w:val="00921FC2"/>
    <w:rsid w:val="009227A6"/>
    <w:rsid w:val="00923404"/>
    <w:rsid w:val="009255B9"/>
    <w:rsid w:val="00926858"/>
    <w:rsid w:val="0093054B"/>
    <w:rsid w:val="00930703"/>
    <w:rsid w:val="009317DD"/>
    <w:rsid w:val="009320D1"/>
    <w:rsid w:val="0093250E"/>
    <w:rsid w:val="0093262A"/>
    <w:rsid w:val="00933A75"/>
    <w:rsid w:val="00933B31"/>
    <w:rsid w:val="00933EC1"/>
    <w:rsid w:val="00933F58"/>
    <w:rsid w:val="00933F94"/>
    <w:rsid w:val="0093418C"/>
    <w:rsid w:val="00935DD5"/>
    <w:rsid w:val="00936260"/>
    <w:rsid w:val="009365CF"/>
    <w:rsid w:val="00937540"/>
    <w:rsid w:val="00937F39"/>
    <w:rsid w:val="00940788"/>
    <w:rsid w:val="00940A2B"/>
    <w:rsid w:val="0094108F"/>
    <w:rsid w:val="00941240"/>
    <w:rsid w:val="009415FC"/>
    <w:rsid w:val="00942C32"/>
    <w:rsid w:val="009441E7"/>
    <w:rsid w:val="00944BA9"/>
    <w:rsid w:val="00945F4D"/>
    <w:rsid w:val="0094652D"/>
    <w:rsid w:val="00947876"/>
    <w:rsid w:val="00950ADE"/>
    <w:rsid w:val="00951D9D"/>
    <w:rsid w:val="0095200D"/>
    <w:rsid w:val="00952578"/>
    <w:rsid w:val="00952D21"/>
    <w:rsid w:val="0095308B"/>
    <w:rsid w:val="009530DB"/>
    <w:rsid w:val="00953676"/>
    <w:rsid w:val="00954B27"/>
    <w:rsid w:val="00956B79"/>
    <w:rsid w:val="00956DF8"/>
    <w:rsid w:val="009577AD"/>
    <w:rsid w:val="00957F9D"/>
    <w:rsid w:val="00960CD8"/>
    <w:rsid w:val="00961F59"/>
    <w:rsid w:val="00963117"/>
    <w:rsid w:val="0096399E"/>
    <w:rsid w:val="00965E96"/>
    <w:rsid w:val="00966AC9"/>
    <w:rsid w:val="009705EE"/>
    <w:rsid w:val="009712BA"/>
    <w:rsid w:val="00972330"/>
    <w:rsid w:val="0097394C"/>
    <w:rsid w:val="00973C01"/>
    <w:rsid w:val="00974594"/>
    <w:rsid w:val="00974AA6"/>
    <w:rsid w:val="00975622"/>
    <w:rsid w:val="0097699E"/>
    <w:rsid w:val="00976CCF"/>
    <w:rsid w:val="00977078"/>
    <w:rsid w:val="00977927"/>
    <w:rsid w:val="009804A8"/>
    <w:rsid w:val="00980AA6"/>
    <w:rsid w:val="0098135C"/>
    <w:rsid w:val="0098156A"/>
    <w:rsid w:val="009823F7"/>
    <w:rsid w:val="009838FE"/>
    <w:rsid w:val="00985670"/>
    <w:rsid w:val="009863A2"/>
    <w:rsid w:val="00986550"/>
    <w:rsid w:val="009877E0"/>
    <w:rsid w:val="00990738"/>
    <w:rsid w:val="00990DAA"/>
    <w:rsid w:val="00991260"/>
    <w:rsid w:val="0099144E"/>
    <w:rsid w:val="00991980"/>
    <w:rsid w:val="00991BAC"/>
    <w:rsid w:val="00993DDE"/>
    <w:rsid w:val="00994420"/>
    <w:rsid w:val="00994B60"/>
    <w:rsid w:val="0099545C"/>
    <w:rsid w:val="009978F7"/>
    <w:rsid w:val="009A0387"/>
    <w:rsid w:val="009A1E60"/>
    <w:rsid w:val="009A235F"/>
    <w:rsid w:val="009A352C"/>
    <w:rsid w:val="009A3FCA"/>
    <w:rsid w:val="009A40BA"/>
    <w:rsid w:val="009A56AF"/>
    <w:rsid w:val="009A6187"/>
    <w:rsid w:val="009A6EA0"/>
    <w:rsid w:val="009A70D0"/>
    <w:rsid w:val="009A77B4"/>
    <w:rsid w:val="009B0038"/>
    <w:rsid w:val="009B10AC"/>
    <w:rsid w:val="009B2FD1"/>
    <w:rsid w:val="009B2FD4"/>
    <w:rsid w:val="009B34C9"/>
    <w:rsid w:val="009B3FDD"/>
    <w:rsid w:val="009B5377"/>
    <w:rsid w:val="009B6015"/>
    <w:rsid w:val="009B6E36"/>
    <w:rsid w:val="009B6F21"/>
    <w:rsid w:val="009B7EA0"/>
    <w:rsid w:val="009C0323"/>
    <w:rsid w:val="009C087A"/>
    <w:rsid w:val="009C099F"/>
    <w:rsid w:val="009C1335"/>
    <w:rsid w:val="009C1A80"/>
    <w:rsid w:val="009C1AB2"/>
    <w:rsid w:val="009C22E5"/>
    <w:rsid w:val="009C2BCE"/>
    <w:rsid w:val="009C46C0"/>
    <w:rsid w:val="009C4C33"/>
    <w:rsid w:val="009C51C9"/>
    <w:rsid w:val="009C5ABA"/>
    <w:rsid w:val="009C6326"/>
    <w:rsid w:val="009C6E51"/>
    <w:rsid w:val="009C70C7"/>
    <w:rsid w:val="009C7251"/>
    <w:rsid w:val="009D064D"/>
    <w:rsid w:val="009D1396"/>
    <w:rsid w:val="009D1B1C"/>
    <w:rsid w:val="009D1E1D"/>
    <w:rsid w:val="009D288E"/>
    <w:rsid w:val="009D333C"/>
    <w:rsid w:val="009D4395"/>
    <w:rsid w:val="009D4BF7"/>
    <w:rsid w:val="009D504A"/>
    <w:rsid w:val="009D5198"/>
    <w:rsid w:val="009E0E5B"/>
    <w:rsid w:val="009E1086"/>
    <w:rsid w:val="009E2E91"/>
    <w:rsid w:val="009E34DB"/>
    <w:rsid w:val="009E44B0"/>
    <w:rsid w:val="009E51A3"/>
    <w:rsid w:val="009E6844"/>
    <w:rsid w:val="009F0BAB"/>
    <w:rsid w:val="009F12C2"/>
    <w:rsid w:val="009F16BD"/>
    <w:rsid w:val="009F2657"/>
    <w:rsid w:val="009F4263"/>
    <w:rsid w:val="009F5388"/>
    <w:rsid w:val="009F683A"/>
    <w:rsid w:val="009F6AA2"/>
    <w:rsid w:val="009F72BC"/>
    <w:rsid w:val="00A012CB"/>
    <w:rsid w:val="00A02CE3"/>
    <w:rsid w:val="00A03FD9"/>
    <w:rsid w:val="00A05E8C"/>
    <w:rsid w:val="00A05EAC"/>
    <w:rsid w:val="00A062C7"/>
    <w:rsid w:val="00A064EF"/>
    <w:rsid w:val="00A06D26"/>
    <w:rsid w:val="00A1024B"/>
    <w:rsid w:val="00A107C9"/>
    <w:rsid w:val="00A119B0"/>
    <w:rsid w:val="00A12085"/>
    <w:rsid w:val="00A12677"/>
    <w:rsid w:val="00A139F5"/>
    <w:rsid w:val="00A13B58"/>
    <w:rsid w:val="00A13CB9"/>
    <w:rsid w:val="00A140DA"/>
    <w:rsid w:val="00A145FF"/>
    <w:rsid w:val="00A166BC"/>
    <w:rsid w:val="00A16CDF"/>
    <w:rsid w:val="00A17319"/>
    <w:rsid w:val="00A178FA"/>
    <w:rsid w:val="00A20345"/>
    <w:rsid w:val="00A20E77"/>
    <w:rsid w:val="00A212B2"/>
    <w:rsid w:val="00A215C4"/>
    <w:rsid w:val="00A219FA"/>
    <w:rsid w:val="00A22217"/>
    <w:rsid w:val="00A22B02"/>
    <w:rsid w:val="00A241B1"/>
    <w:rsid w:val="00A2518C"/>
    <w:rsid w:val="00A25898"/>
    <w:rsid w:val="00A258B3"/>
    <w:rsid w:val="00A27749"/>
    <w:rsid w:val="00A305D4"/>
    <w:rsid w:val="00A30A55"/>
    <w:rsid w:val="00A31A60"/>
    <w:rsid w:val="00A31AC9"/>
    <w:rsid w:val="00A31C8C"/>
    <w:rsid w:val="00A325CB"/>
    <w:rsid w:val="00A3273B"/>
    <w:rsid w:val="00A34416"/>
    <w:rsid w:val="00A3489A"/>
    <w:rsid w:val="00A36254"/>
    <w:rsid w:val="00A365F4"/>
    <w:rsid w:val="00A36CBA"/>
    <w:rsid w:val="00A37950"/>
    <w:rsid w:val="00A40C0F"/>
    <w:rsid w:val="00A40D40"/>
    <w:rsid w:val="00A4600B"/>
    <w:rsid w:val="00A46164"/>
    <w:rsid w:val="00A47D80"/>
    <w:rsid w:val="00A5010A"/>
    <w:rsid w:val="00A517AB"/>
    <w:rsid w:val="00A51E94"/>
    <w:rsid w:val="00A528D8"/>
    <w:rsid w:val="00A529D6"/>
    <w:rsid w:val="00A53132"/>
    <w:rsid w:val="00A55A05"/>
    <w:rsid w:val="00A55CA7"/>
    <w:rsid w:val="00A563F2"/>
    <w:rsid w:val="00A564BA"/>
    <w:rsid w:val="00A566E8"/>
    <w:rsid w:val="00A56EB5"/>
    <w:rsid w:val="00A571DC"/>
    <w:rsid w:val="00A57435"/>
    <w:rsid w:val="00A60645"/>
    <w:rsid w:val="00A61095"/>
    <w:rsid w:val="00A63893"/>
    <w:rsid w:val="00A656F8"/>
    <w:rsid w:val="00A65B90"/>
    <w:rsid w:val="00A66E8F"/>
    <w:rsid w:val="00A672EA"/>
    <w:rsid w:val="00A71709"/>
    <w:rsid w:val="00A72084"/>
    <w:rsid w:val="00A72341"/>
    <w:rsid w:val="00A72BCA"/>
    <w:rsid w:val="00A731F9"/>
    <w:rsid w:val="00A76F38"/>
    <w:rsid w:val="00A77A42"/>
    <w:rsid w:val="00A810F9"/>
    <w:rsid w:val="00A84095"/>
    <w:rsid w:val="00A8595F"/>
    <w:rsid w:val="00A86AF8"/>
    <w:rsid w:val="00A86DDA"/>
    <w:rsid w:val="00A86EAA"/>
    <w:rsid w:val="00A86ECC"/>
    <w:rsid w:val="00A86FCC"/>
    <w:rsid w:val="00A9012A"/>
    <w:rsid w:val="00A91B28"/>
    <w:rsid w:val="00A91DCC"/>
    <w:rsid w:val="00A93D4E"/>
    <w:rsid w:val="00A95936"/>
    <w:rsid w:val="00A97694"/>
    <w:rsid w:val="00AA1166"/>
    <w:rsid w:val="00AA2A86"/>
    <w:rsid w:val="00AA2E9B"/>
    <w:rsid w:val="00AA4478"/>
    <w:rsid w:val="00AA62EC"/>
    <w:rsid w:val="00AA710D"/>
    <w:rsid w:val="00AB1674"/>
    <w:rsid w:val="00AB1889"/>
    <w:rsid w:val="00AB1D39"/>
    <w:rsid w:val="00AB2F6D"/>
    <w:rsid w:val="00AB3E7F"/>
    <w:rsid w:val="00AB436F"/>
    <w:rsid w:val="00AB520C"/>
    <w:rsid w:val="00AB5D35"/>
    <w:rsid w:val="00AB6184"/>
    <w:rsid w:val="00AB678D"/>
    <w:rsid w:val="00AB6AD5"/>
    <w:rsid w:val="00AB6D25"/>
    <w:rsid w:val="00AB6FFC"/>
    <w:rsid w:val="00AB7D66"/>
    <w:rsid w:val="00AC0BBF"/>
    <w:rsid w:val="00AC0E82"/>
    <w:rsid w:val="00AC1180"/>
    <w:rsid w:val="00AC213B"/>
    <w:rsid w:val="00AC2753"/>
    <w:rsid w:val="00AC576C"/>
    <w:rsid w:val="00AC5B86"/>
    <w:rsid w:val="00AC6E12"/>
    <w:rsid w:val="00AD0033"/>
    <w:rsid w:val="00AD006F"/>
    <w:rsid w:val="00AD0863"/>
    <w:rsid w:val="00AD1605"/>
    <w:rsid w:val="00AD1C4D"/>
    <w:rsid w:val="00AD29B6"/>
    <w:rsid w:val="00AD49E7"/>
    <w:rsid w:val="00AD60A7"/>
    <w:rsid w:val="00AD66DA"/>
    <w:rsid w:val="00AD6802"/>
    <w:rsid w:val="00AE1FD1"/>
    <w:rsid w:val="00AE2D4B"/>
    <w:rsid w:val="00AE2F21"/>
    <w:rsid w:val="00AE4012"/>
    <w:rsid w:val="00AE4ABC"/>
    <w:rsid w:val="00AE4C2E"/>
    <w:rsid w:val="00AE4F99"/>
    <w:rsid w:val="00AE4FB0"/>
    <w:rsid w:val="00AE5B4E"/>
    <w:rsid w:val="00AE6784"/>
    <w:rsid w:val="00AF0D2A"/>
    <w:rsid w:val="00AF0F9C"/>
    <w:rsid w:val="00AF4429"/>
    <w:rsid w:val="00AF56E8"/>
    <w:rsid w:val="00AF6EB2"/>
    <w:rsid w:val="00B00099"/>
    <w:rsid w:val="00B01976"/>
    <w:rsid w:val="00B01B2A"/>
    <w:rsid w:val="00B0297A"/>
    <w:rsid w:val="00B038E8"/>
    <w:rsid w:val="00B04699"/>
    <w:rsid w:val="00B04B9A"/>
    <w:rsid w:val="00B04E85"/>
    <w:rsid w:val="00B060EF"/>
    <w:rsid w:val="00B06F47"/>
    <w:rsid w:val="00B071EF"/>
    <w:rsid w:val="00B10DE1"/>
    <w:rsid w:val="00B11698"/>
    <w:rsid w:val="00B118D1"/>
    <w:rsid w:val="00B11B69"/>
    <w:rsid w:val="00B11BB2"/>
    <w:rsid w:val="00B12AEA"/>
    <w:rsid w:val="00B12CF3"/>
    <w:rsid w:val="00B13879"/>
    <w:rsid w:val="00B1437C"/>
    <w:rsid w:val="00B1469D"/>
    <w:rsid w:val="00B14952"/>
    <w:rsid w:val="00B14A84"/>
    <w:rsid w:val="00B172CC"/>
    <w:rsid w:val="00B17824"/>
    <w:rsid w:val="00B20166"/>
    <w:rsid w:val="00B21244"/>
    <w:rsid w:val="00B21D78"/>
    <w:rsid w:val="00B22CE7"/>
    <w:rsid w:val="00B22FDD"/>
    <w:rsid w:val="00B23663"/>
    <w:rsid w:val="00B26284"/>
    <w:rsid w:val="00B26CBA"/>
    <w:rsid w:val="00B26E28"/>
    <w:rsid w:val="00B27471"/>
    <w:rsid w:val="00B27DFD"/>
    <w:rsid w:val="00B27FA9"/>
    <w:rsid w:val="00B30DB9"/>
    <w:rsid w:val="00B31E5A"/>
    <w:rsid w:val="00B339FB"/>
    <w:rsid w:val="00B33ED6"/>
    <w:rsid w:val="00B36F4B"/>
    <w:rsid w:val="00B37BD2"/>
    <w:rsid w:val="00B37F13"/>
    <w:rsid w:val="00B412A8"/>
    <w:rsid w:val="00B4519C"/>
    <w:rsid w:val="00B45533"/>
    <w:rsid w:val="00B46C60"/>
    <w:rsid w:val="00B4735A"/>
    <w:rsid w:val="00B4789E"/>
    <w:rsid w:val="00B51295"/>
    <w:rsid w:val="00B525F3"/>
    <w:rsid w:val="00B5372D"/>
    <w:rsid w:val="00B541D2"/>
    <w:rsid w:val="00B55329"/>
    <w:rsid w:val="00B5591A"/>
    <w:rsid w:val="00B55C93"/>
    <w:rsid w:val="00B56291"/>
    <w:rsid w:val="00B56D6C"/>
    <w:rsid w:val="00B61381"/>
    <w:rsid w:val="00B6377A"/>
    <w:rsid w:val="00B63EFD"/>
    <w:rsid w:val="00B646AB"/>
    <w:rsid w:val="00B64875"/>
    <w:rsid w:val="00B653AB"/>
    <w:rsid w:val="00B65F9E"/>
    <w:rsid w:val="00B66990"/>
    <w:rsid w:val="00B66B19"/>
    <w:rsid w:val="00B71955"/>
    <w:rsid w:val="00B72F4F"/>
    <w:rsid w:val="00B730D5"/>
    <w:rsid w:val="00B74EC0"/>
    <w:rsid w:val="00B800D0"/>
    <w:rsid w:val="00B81676"/>
    <w:rsid w:val="00B82C5B"/>
    <w:rsid w:val="00B82E07"/>
    <w:rsid w:val="00B84ED0"/>
    <w:rsid w:val="00B85578"/>
    <w:rsid w:val="00B86250"/>
    <w:rsid w:val="00B86D16"/>
    <w:rsid w:val="00B914E9"/>
    <w:rsid w:val="00B924B1"/>
    <w:rsid w:val="00B929EA"/>
    <w:rsid w:val="00B92CB2"/>
    <w:rsid w:val="00B92D7C"/>
    <w:rsid w:val="00B9309C"/>
    <w:rsid w:val="00B942B3"/>
    <w:rsid w:val="00B956EE"/>
    <w:rsid w:val="00B96807"/>
    <w:rsid w:val="00B9714F"/>
    <w:rsid w:val="00B97537"/>
    <w:rsid w:val="00BA0232"/>
    <w:rsid w:val="00BA0380"/>
    <w:rsid w:val="00BA07C5"/>
    <w:rsid w:val="00BA2BA1"/>
    <w:rsid w:val="00BA2CC9"/>
    <w:rsid w:val="00BA2EBA"/>
    <w:rsid w:val="00BA331C"/>
    <w:rsid w:val="00BA3562"/>
    <w:rsid w:val="00BA3B45"/>
    <w:rsid w:val="00BA5071"/>
    <w:rsid w:val="00BA56A1"/>
    <w:rsid w:val="00BA65CA"/>
    <w:rsid w:val="00BA6CA9"/>
    <w:rsid w:val="00BA6DD5"/>
    <w:rsid w:val="00BA6E7A"/>
    <w:rsid w:val="00BB0F8E"/>
    <w:rsid w:val="00BB17FA"/>
    <w:rsid w:val="00BB1970"/>
    <w:rsid w:val="00BB1E25"/>
    <w:rsid w:val="00BB22F2"/>
    <w:rsid w:val="00BB2737"/>
    <w:rsid w:val="00BB40E7"/>
    <w:rsid w:val="00BB4F09"/>
    <w:rsid w:val="00BB5D82"/>
    <w:rsid w:val="00BB62F5"/>
    <w:rsid w:val="00BB78DB"/>
    <w:rsid w:val="00BC1678"/>
    <w:rsid w:val="00BC16CA"/>
    <w:rsid w:val="00BC2360"/>
    <w:rsid w:val="00BC312C"/>
    <w:rsid w:val="00BC31E3"/>
    <w:rsid w:val="00BC3AB4"/>
    <w:rsid w:val="00BC4006"/>
    <w:rsid w:val="00BC616E"/>
    <w:rsid w:val="00BC721A"/>
    <w:rsid w:val="00BD029E"/>
    <w:rsid w:val="00BD0818"/>
    <w:rsid w:val="00BD0BE3"/>
    <w:rsid w:val="00BD4E33"/>
    <w:rsid w:val="00BD4EEF"/>
    <w:rsid w:val="00BD54FB"/>
    <w:rsid w:val="00BD5800"/>
    <w:rsid w:val="00BD5E02"/>
    <w:rsid w:val="00BD77C8"/>
    <w:rsid w:val="00BE1396"/>
    <w:rsid w:val="00BE18F4"/>
    <w:rsid w:val="00BE69A1"/>
    <w:rsid w:val="00BF0788"/>
    <w:rsid w:val="00BF0A8B"/>
    <w:rsid w:val="00BF168C"/>
    <w:rsid w:val="00BF2D56"/>
    <w:rsid w:val="00BF2E38"/>
    <w:rsid w:val="00BF2F0A"/>
    <w:rsid w:val="00BF3D54"/>
    <w:rsid w:val="00BF5D23"/>
    <w:rsid w:val="00BF6020"/>
    <w:rsid w:val="00BF6E08"/>
    <w:rsid w:val="00BF7687"/>
    <w:rsid w:val="00C010C7"/>
    <w:rsid w:val="00C0187E"/>
    <w:rsid w:val="00C01B88"/>
    <w:rsid w:val="00C030DE"/>
    <w:rsid w:val="00C03634"/>
    <w:rsid w:val="00C0464D"/>
    <w:rsid w:val="00C04D28"/>
    <w:rsid w:val="00C0602E"/>
    <w:rsid w:val="00C068AD"/>
    <w:rsid w:val="00C1042C"/>
    <w:rsid w:val="00C10821"/>
    <w:rsid w:val="00C1087A"/>
    <w:rsid w:val="00C10E05"/>
    <w:rsid w:val="00C11850"/>
    <w:rsid w:val="00C1268F"/>
    <w:rsid w:val="00C13E53"/>
    <w:rsid w:val="00C16714"/>
    <w:rsid w:val="00C16E19"/>
    <w:rsid w:val="00C17D01"/>
    <w:rsid w:val="00C17DFA"/>
    <w:rsid w:val="00C201DA"/>
    <w:rsid w:val="00C212CA"/>
    <w:rsid w:val="00C214B7"/>
    <w:rsid w:val="00C21932"/>
    <w:rsid w:val="00C22105"/>
    <w:rsid w:val="00C2292C"/>
    <w:rsid w:val="00C23114"/>
    <w:rsid w:val="00C237C6"/>
    <w:rsid w:val="00C244B6"/>
    <w:rsid w:val="00C25C16"/>
    <w:rsid w:val="00C26D31"/>
    <w:rsid w:val="00C2730E"/>
    <w:rsid w:val="00C30737"/>
    <w:rsid w:val="00C32628"/>
    <w:rsid w:val="00C32F5B"/>
    <w:rsid w:val="00C336A9"/>
    <w:rsid w:val="00C338D8"/>
    <w:rsid w:val="00C33A8D"/>
    <w:rsid w:val="00C341AE"/>
    <w:rsid w:val="00C3702F"/>
    <w:rsid w:val="00C40075"/>
    <w:rsid w:val="00C4028E"/>
    <w:rsid w:val="00C4244B"/>
    <w:rsid w:val="00C424DA"/>
    <w:rsid w:val="00C4254F"/>
    <w:rsid w:val="00C43298"/>
    <w:rsid w:val="00C441E0"/>
    <w:rsid w:val="00C44200"/>
    <w:rsid w:val="00C4500A"/>
    <w:rsid w:val="00C4527D"/>
    <w:rsid w:val="00C45652"/>
    <w:rsid w:val="00C471BB"/>
    <w:rsid w:val="00C504C3"/>
    <w:rsid w:val="00C50705"/>
    <w:rsid w:val="00C5176F"/>
    <w:rsid w:val="00C51790"/>
    <w:rsid w:val="00C519F3"/>
    <w:rsid w:val="00C52028"/>
    <w:rsid w:val="00C52D1F"/>
    <w:rsid w:val="00C52EFA"/>
    <w:rsid w:val="00C534A1"/>
    <w:rsid w:val="00C53EBB"/>
    <w:rsid w:val="00C54A56"/>
    <w:rsid w:val="00C55878"/>
    <w:rsid w:val="00C562F3"/>
    <w:rsid w:val="00C6033B"/>
    <w:rsid w:val="00C61E79"/>
    <w:rsid w:val="00C6243F"/>
    <w:rsid w:val="00C625EC"/>
    <w:rsid w:val="00C64466"/>
    <w:rsid w:val="00C64A37"/>
    <w:rsid w:val="00C65B7D"/>
    <w:rsid w:val="00C6617C"/>
    <w:rsid w:val="00C67546"/>
    <w:rsid w:val="00C70317"/>
    <w:rsid w:val="00C708CB"/>
    <w:rsid w:val="00C71091"/>
    <w:rsid w:val="00C7158E"/>
    <w:rsid w:val="00C7250B"/>
    <w:rsid w:val="00C7267A"/>
    <w:rsid w:val="00C730E2"/>
    <w:rsid w:val="00C7346B"/>
    <w:rsid w:val="00C73A6C"/>
    <w:rsid w:val="00C73B85"/>
    <w:rsid w:val="00C752A3"/>
    <w:rsid w:val="00C75340"/>
    <w:rsid w:val="00C7566A"/>
    <w:rsid w:val="00C76AC8"/>
    <w:rsid w:val="00C7771A"/>
    <w:rsid w:val="00C77C0E"/>
    <w:rsid w:val="00C821D3"/>
    <w:rsid w:val="00C85FC0"/>
    <w:rsid w:val="00C90428"/>
    <w:rsid w:val="00C9090F"/>
    <w:rsid w:val="00C91687"/>
    <w:rsid w:val="00C924A8"/>
    <w:rsid w:val="00C9332A"/>
    <w:rsid w:val="00C94162"/>
    <w:rsid w:val="00C945FE"/>
    <w:rsid w:val="00C960DA"/>
    <w:rsid w:val="00C96FAA"/>
    <w:rsid w:val="00C97392"/>
    <w:rsid w:val="00C978E4"/>
    <w:rsid w:val="00C97A04"/>
    <w:rsid w:val="00C97EC9"/>
    <w:rsid w:val="00CA107B"/>
    <w:rsid w:val="00CA29DE"/>
    <w:rsid w:val="00CA331F"/>
    <w:rsid w:val="00CA37A4"/>
    <w:rsid w:val="00CA4102"/>
    <w:rsid w:val="00CA484D"/>
    <w:rsid w:val="00CA4FB6"/>
    <w:rsid w:val="00CA7650"/>
    <w:rsid w:val="00CA7CCF"/>
    <w:rsid w:val="00CB209B"/>
    <w:rsid w:val="00CB2843"/>
    <w:rsid w:val="00CB2BBC"/>
    <w:rsid w:val="00CB4012"/>
    <w:rsid w:val="00CB5E24"/>
    <w:rsid w:val="00CB6763"/>
    <w:rsid w:val="00CB6B70"/>
    <w:rsid w:val="00CB7248"/>
    <w:rsid w:val="00CB7456"/>
    <w:rsid w:val="00CB7485"/>
    <w:rsid w:val="00CC3509"/>
    <w:rsid w:val="00CC3BB5"/>
    <w:rsid w:val="00CC4178"/>
    <w:rsid w:val="00CC5F3B"/>
    <w:rsid w:val="00CC69AE"/>
    <w:rsid w:val="00CC739E"/>
    <w:rsid w:val="00CD0740"/>
    <w:rsid w:val="00CD1236"/>
    <w:rsid w:val="00CD16C1"/>
    <w:rsid w:val="00CD2A8E"/>
    <w:rsid w:val="00CD41F1"/>
    <w:rsid w:val="00CD4A0A"/>
    <w:rsid w:val="00CD5555"/>
    <w:rsid w:val="00CD556F"/>
    <w:rsid w:val="00CD5816"/>
    <w:rsid w:val="00CD58B7"/>
    <w:rsid w:val="00CD749A"/>
    <w:rsid w:val="00CD76EE"/>
    <w:rsid w:val="00CE3297"/>
    <w:rsid w:val="00CE3326"/>
    <w:rsid w:val="00CE3E9B"/>
    <w:rsid w:val="00CE4A9C"/>
    <w:rsid w:val="00CE70B9"/>
    <w:rsid w:val="00CE755A"/>
    <w:rsid w:val="00CE7934"/>
    <w:rsid w:val="00CF0072"/>
    <w:rsid w:val="00CF1BC8"/>
    <w:rsid w:val="00CF2552"/>
    <w:rsid w:val="00CF34B7"/>
    <w:rsid w:val="00CF4099"/>
    <w:rsid w:val="00CF49D0"/>
    <w:rsid w:val="00CF6F1A"/>
    <w:rsid w:val="00CF7AD5"/>
    <w:rsid w:val="00CF7F84"/>
    <w:rsid w:val="00D00796"/>
    <w:rsid w:val="00D011D1"/>
    <w:rsid w:val="00D01E6C"/>
    <w:rsid w:val="00D02248"/>
    <w:rsid w:val="00D03AE3"/>
    <w:rsid w:val="00D04BE9"/>
    <w:rsid w:val="00D04F5A"/>
    <w:rsid w:val="00D06BA6"/>
    <w:rsid w:val="00D06E6A"/>
    <w:rsid w:val="00D06F69"/>
    <w:rsid w:val="00D1039B"/>
    <w:rsid w:val="00D10591"/>
    <w:rsid w:val="00D10D36"/>
    <w:rsid w:val="00D119F1"/>
    <w:rsid w:val="00D1288C"/>
    <w:rsid w:val="00D13CC2"/>
    <w:rsid w:val="00D1732D"/>
    <w:rsid w:val="00D217A4"/>
    <w:rsid w:val="00D22660"/>
    <w:rsid w:val="00D237AE"/>
    <w:rsid w:val="00D244D7"/>
    <w:rsid w:val="00D244F6"/>
    <w:rsid w:val="00D24A99"/>
    <w:rsid w:val="00D24F57"/>
    <w:rsid w:val="00D25EA0"/>
    <w:rsid w:val="00D26146"/>
    <w:rsid w:val="00D261A2"/>
    <w:rsid w:val="00D26F88"/>
    <w:rsid w:val="00D27A55"/>
    <w:rsid w:val="00D304C0"/>
    <w:rsid w:val="00D3099D"/>
    <w:rsid w:val="00D30F4A"/>
    <w:rsid w:val="00D31990"/>
    <w:rsid w:val="00D328AD"/>
    <w:rsid w:val="00D32DCA"/>
    <w:rsid w:val="00D33D38"/>
    <w:rsid w:val="00D340D2"/>
    <w:rsid w:val="00D353A5"/>
    <w:rsid w:val="00D355B4"/>
    <w:rsid w:val="00D36A84"/>
    <w:rsid w:val="00D37C49"/>
    <w:rsid w:val="00D410F9"/>
    <w:rsid w:val="00D41B07"/>
    <w:rsid w:val="00D41D34"/>
    <w:rsid w:val="00D43603"/>
    <w:rsid w:val="00D444E6"/>
    <w:rsid w:val="00D4488C"/>
    <w:rsid w:val="00D44FF9"/>
    <w:rsid w:val="00D467D5"/>
    <w:rsid w:val="00D468FC"/>
    <w:rsid w:val="00D46F4B"/>
    <w:rsid w:val="00D505E6"/>
    <w:rsid w:val="00D51E5E"/>
    <w:rsid w:val="00D5213F"/>
    <w:rsid w:val="00D52D11"/>
    <w:rsid w:val="00D5343E"/>
    <w:rsid w:val="00D53B7B"/>
    <w:rsid w:val="00D5687B"/>
    <w:rsid w:val="00D604A9"/>
    <w:rsid w:val="00D616D2"/>
    <w:rsid w:val="00D61771"/>
    <w:rsid w:val="00D61847"/>
    <w:rsid w:val="00D622A2"/>
    <w:rsid w:val="00D6231E"/>
    <w:rsid w:val="00D63247"/>
    <w:rsid w:val="00D63B5F"/>
    <w:rsid w:val="00D641BC"/>
    <w:rsid w:val="00D64D40"/>
    <w:rsid w:val="00D64DFD"/>
    <w:rsid w:val="00D65C9B"/>
    <w:rsid w:val="00D67AB6"/>
    <w:rsid w:val="00D70EF7"/>
    <w:rsid w:val="00D71B29"/>
    <w:rsid w:val="00D71E97"/>
    <w:rsid w:val="00D73824"/>
    <w:rsid w:val="00D7474B"/>
    <w:rsid w:val="00D75766"/>
    <w:rsid w:val="00D763AB"/>
    <w:rsid w:val="00D77BE4"/>
    <w:rsid w:val="00D80DDB"/>
    <w:rsid w:val="00D81499"/>
    <w:rsid w:val="00D81D1B"/>
    <w:rsid w:val="00D8397C"/>
    <w:rsid w:val="00D84642"/>
    <w:rsid w:val="00D8494E"/>
    <w:rsid w:val="00D856F5"/>
    <w:rsid w:val="00D8716C"/>
    <w:rsid w:val="00D901C1"/>
    <w:rsid w:val="00D902A6"/>
    <w:rsid w:val="00D913A1"/>
    <w:rsid w:val="00D945DB"/>
    <w:rsid w:val="00D94EED"/>
    <w:rsid w:val="00D96026"/>
    <w:rsid w:val="00D97805"/>
    <w:rsid w:val="00DA1644"/>
    <w:rsid w:val="00DA1921"/>
    <w:rsid w:val="00DA1982"/>
    <w:rsid w:val="00DA1A33"/>
    <w:rsid w:val="00DA1ADF"/>
    <w:rsid w:val="00DA2277"/>
    <w:rsid w:val="00DA44D1"/>
    <w:rsid w:val="00DA6AA1"/>
    <w:rsid w:val="00DA7178"/>
    <w:rsid w:val="00DA7912"/>
    <w:rsid w:val="00DA7C1C"/>
    <w:rsid w:val="00DB01CF"/>
    <w:rsid w:val="00DB0D26"/>
    <w:rsid w:val="00DB147A"/>
    <w:rsid w:val="00DB1B7A"/>
    <w:rsid w:val="00DB1D8F"/>
    <w:rsid w:val="00DB2564"/>
    <w:rsid w:val="00DB3316"/>
    <w:rsid w:val="00DB37D2"/>
    <w:rsid w:val="00DB37FB"/>
    <w:rsid w:val="00DB4202"/>
    <w:rsid w:val="00DB4ED6"/>
    <w:rsid w:val="00DB6A71"/>
    <w:rsid w:val="00DB7017"/>
    <w:rsid w:val="00DB78BB"/>
    <w:rsid w:val="00DB7CF8"/>
    <w:rsid w:val="00DC0779"/>
    <w:rsid w:val="00DC1AC0"/>
    <w:rsid w:val="00DC28C6"/>
    <w:rsid w:val="00DC2C5D"/>
    <w:rsid w:val="00DC2F55"/>
    <w:rsid w:val="00DC40F1"/>
    <w:rsid w:val="00DC537B"/>
    <w:rsid w:val="00DC6708"/>
    <w:rsid w:val="00DD008A"/>
    <w:rsid w:val="00DD32AB"/>
    <w:rsid w:val="00DD4AF4"/>
    <w:rsid w:val="00DD67D1"/>
    <w:rsid w:val="00DD72AA"/>
    <w:rsid w:val="00DD75CE"/>
    <w:rsid w:val="00DD7B3E"/>
    <w:rsid w:val="00DE01E4"/>
    <w:rsid w:val="00DE2889"/>
    <w:rsid w:val="00DE35D4"/>
    <w:rsid w:val="00DE392E"/>
    <w:rsid w:val="00DE5CEF"/>
    <w:rsid w:val="00DE63B5"/>
    <w:rsid w:val="00DE6AAB"/>
    <w:rsid w:val="00DF1506"/>
    <w:rsid w:val="00DF19E9"/>
    <w:rsid w:val="00DF20E4"/>
    <w:rsid w:val="00DF2ED5"/>
    <w:rsid w:val="00DF50E2"/>
    <w:rsid w:val="00DF6523"/>
    <w:rsid w:val="00DF67FC"/>
    <w:rsid w:val="00DF68D3"/>
    <w:rsid w:val="00DF72AB"/>
    <w:rsid w:val="00DF7F9A"/>
    <w:rsid w:val="00E0029A"/>
    <w:rsid w:val="00E01167"/>
    <w:rsid w:val="00E01436"/>
    <w:rsid w:val="00E03B00"/>
    <w:rsid w:val="00E044A1"/>
    <w:rsid w:val="00E045BD"/>
    <w:rsid w:val="00E04C9B"/>
    <w:rsid w:val="00E05430"/>
    <w:rsid w:val="00E0657E"/>
    <w:rsid w:val="00E06CB2"/>
    <w:rsid w:val="00E10714"/>
    <w:rsid w:val="00E108A8"/>
    <w:rsid w:val="00E11217"/>
    <w:rsid w:val="00E11554"/>
    <w:rsid w:val="00E127EB"/>
    <w:rsid w:val="00E13E32"/>
    <w:rsid w:val="00E17B77"/>
    <w:rsid w:val="00E20190"/>
    <w:rsid w:val="00E22461"/>
    <w:rsid w:val="00E22528"/>
    <w:rsid w:val="00E23337"/>
    <w:rsid w:val="00E23987"/>
    <w:rsid w:val="00E240FE"/>
    <w:rsid w:val="00E259EA"/>
    <w:rsid w:val="00E26767"/>
    <w:rsid w:val="00E27012"/>
    <w:rsid w:val="00E31FA7"/>
    <w:rsid w:val="00E32061"/>
    <w:rsid w:val="00E32421"/>
    <w:rsid w:val="00E32B0E"/>
    <w:rsid w:val="00E33004"/>
    <w:rsid w:val="00E33CAC"/>
    <w:rsid w:val="00E33F53"/>
    <w:rsid w:val="00E34426"/>
    <w:rsid w:val="00E36370"/>
    <w:rsid w:val="00E36A24"/>
    <w:rsid w:val="00E375BC"/>
    <w:rsid w:val="00E37E07"/>
    <w:rsid w:val="00E408D3"/>
    <w:rsid w:val="00E4124F"/>
    <w:rsid w:val="00E41430"/>
    <w:rsid w:val="00E41D0C"/>
    <w:rsid w:val="00E41F9D"/>
    <w:rsid w:val="00E42DF5"/>
    <w:rsid w:val="00E42FF9"/>
    <w:rsid w:val="00E450F7"/>
    <w:rsid w:val="00E46AA5"/>
    <w:rsid w:val="00E4714C"/>
    <w:rsid w:val="00E5006E"/>
    <w:rsid w:val="00E51AEB"/>
    <w:rsid w:val="00E522A7"/>
    <w:rsid w:val="00E52E6F"/>
    <w:rsid w:val="00E53FB8"/>
    <w:rsid w:val="00E54452"/>
    <w:rsid w:val="00E55686"/>
    <w:rsid w:val="00E55AFD"/>
    <w:rsid w:val="00E5650A"/>
    <w:rsid w:val="00E61407"/>
    <w:rsid w:val="00E61D2C"/>
    <w:rsid w:val="00E629C6"/>
    <w:rsid w:val="00E62D8A"/>
    <w:rsid w:val="00E632AD"/>
    <w:rsid w:val="00E63765"/>
    <w:rsid w:val="00E647BE"/>
    <w:rsid w:val="00E664C5"/>
    <w:rsid w:val="00E671A2"/>
    <w:rsid w:val="00E67ADB"/>
    <w:rsid w:val="00E717F6"/>
    <w:rsid w:val="00E71AEC"/>
    <w:rsid w:val="00E71BA1"/>
    <w:rsid w:val="00E71E3B"/>
    <w:rsid w:val="00E7297F"/>
    <w:rsid w:val="00E75E51"/>
    <w:rsid w:val="00E76D26"/>
    <w:rsid w:val="00E7798C"/>
    <w:rsid w:val="00E8128F"/>
    <w:rsid w:val="00E81BB3"/>
    <w:rsid w:val="00E82128"/>
    <w:rsid w:val="00E826E4"/>
    <w:rsid w:val="00E8284F"/>
    <w:rsid w:val="00E829A9"/>
    <w:rsid w:val="00E8363B"/>
    <w:rsid w:val="00E84EE4"/>
    <w:rsid w:val="00E85DBC"/>
    <w:rsid w:val="00E8667C"/>
    <w:rsid w:val="00E86B59"/>
    <w:rsid w:val="00E873C4"/>
    <w:rsid w:val="00E8747B"/>
    <w:rsid w:val="00E912E3"/>
    <w:rsid w:val="00E91FA1"/>
    <w:rsid w:val="00E93D2F"/>
    <w:rsid w:val="00E94531"/>
    <w:rsid w:val="00E95110"/>
    <w:rsid w:val="00E95607"/>
    <w:rsid w:val="00E95940"/>
    <w:rsid w:val="00EA0C45"/>
    <w:rsid w:val="00EA13B1"/>
    <w:rsid w:val="00EA2819"/>
    <w:rsid w:val="00EA3A97"/>
    <w:rsid w:val="00EA4EB7"/>
    <w:rsid w:val="00EA6277"/>
    <w:rsid w:val="00EA64F9"/>
    <w:rsid w:val="00EA6C6B"/>
    <w:rsid w:val="00EA75E7"/>
    <w:rsid w:val="00EB11CD"/>
    <w:rsid w:val="00EB1390"/>
    <w:rsid w:val="00EB2A4D"/>
    <w:rsid w:val="00EB2C71"/>
    <w:rsid w:val="00EB4340"/>
    <w:rsid w:val="00EB556D"/>
    <w:rsid w:val="00EB5A7D"/>
    <w:rsid w:val="00EB6B30"/>
    <w:rsid w:val="00EB76F1"/>
    <w:rsid w:val="00EB7901"/>
    <w:rsid w:val="00EC001A"/>
    <w:rsid w:val="00EC0F11"/>
    <w:rsid w:val="00EC1615"/>
    <w:rsid w:val="00EC1934"/>
    <w:rsid w:val="00EC2033"/>
    <w:rsid w:val="00EC27B0"/>
    <w:rsid w:val="00EC32BB"/>
    <w:rsid w:val="00EC7A9B"/>
    <w:rsid w:val="00ED05DC"/>
    <w:rsid w:val="00ED07C7"/>
    <w:rsid w:val="00ED0AB4"/>
    <w:rsid w:val="00ED48F8"/>
    <w:rsid w:val="00ED4F01"/>
    <w:rsid w:val="00ED55C0"/>
    <w:rsid w:val="00ED682B"/>
    <w:rsid w:val="00EE2354"/>
    <w:rsid w:val="00EE3087"/>
    <w:rsid w:val="00EE347A"/>
    <w:rsid w:val="00EE4132"/>
    <w:rsid w:val="00EE41D5"/>
    <w:rsid w:val="00EE52E2"/>
    <w:rsid w:val="00EE5AAC"/>
    <w:rsid w:val="00EE63BD"/>
    <w:rsid w:val="00EE70D6"/>
    <w:rsid w:val="00EE739F"/>
    <w:rsid w:val="00EE7914"/>
    <w:rsid w:val="00EF28CA"/>
    <w:rsid w:val="00EF3520"/>
    <w:rsid w:val="00EF3714"/>
    <w:rsid w:val="00EF3840"/>
    <w:rsid w:val="00EF4008"/>
    <w:rsid w:val="00EF42DB"/>
    <w:rsid w:val="00EF42ED"/>
    <w:rsid w:val="00EF46A1"/>
    <w:rsid w:val="00EF496C"/>
    <w:rsid w:val="00EF5E11"/>
    <w:rsid w:val="00EF609F"/>
    <w:rsid w:val="00EF6A9C"/>
    <w:rsid w:val="00EF72B5"/>
    <w:rsid w:val="00F0064F"/>
    <w:rsid w:val="00F019E8"/>
    <w:rsid w:val="00F01CED"/>
    <w:rsid w:val="00F02848"/>
    <w:rsid w:val="00F037A4"/>
    <w:rsid w:val="00F0397F"/>
    <w:rsid w:val="00F03B0C"/>
    <w:rsid w:val="00F06D8F"/>
    <w:rsid w:val="00F11D84"/>
    <w:rsid w:val="00F120A6"/>
    <w:rsid w:val="00F128F2"/>
    <w:rsid w:val="00F12BCA"/>
    <w:rsid w:val="00F12EB8"/>
    <w:rsid w:val="00F13611"/>
    <w:rsid w:val="00F13855"/>
    <w:rsid w:val="00F14E66"/>
    <w:rsid w:val="00F14EF7"/>
    <w:rsid w:val="00F203D8"/>
    <w:rsid w:val="00F21633"/>
    <w:rsid w:val="00F22792"/>
    <w:rsid w:val="00F23108"/>
    <w:rsid w:val="00F236CD"/>
    <w:rsid w:val="00F274AF"/>
    <w:rsid w:val="00F27C8F"/>
    <w:rsid w:val="00F27CAF"/>
    <w:rsid w:val="00F30925"/>
    <w:rsid w:val="00F31B7A"/>
    <w:rsid w:val="00F3249F"/>
    <w:rsid w:val="00F32749"/>
    <w:rsid w:val="00F354AD"/>
    <w:rsid w:val="00F35E1A"/>
    <w:rsid w:val="00F36205"/>
    <w:rsid w:val="00F363EC"/>
    <w:rsid w:val="00F367EB"/>
    <w:rsid w:val="00F37172"/>
    <w:rsid w:val="00F37821"/>
    <w:rsid w:val="00F413A0"/>
    <w:rsid w:val="00F42313"/>
    <w:rsid w:val="00F42DEC"/>
    <w:rsid w:val="00F433AD"/>
    <w:rsid w:val="00F4414D"/>
    <w:rsid w:val="00F4477E"/>
    <w:rsid w:val="00F44903"/>
    <w:rsid w:val="00F461C5"/>
    <w:rsid w:val="00F46F5C"/>
    <w:rsid w:val="00F479CD"/>
    <w:rsid w:val="00F517A9"/>
    <w:rsid w:val="00F5255B"/>
    <w:rsid w:val="00F55B3A"/>
    <w:rsid w:val="00F6162B"/>
    <w:rsid w:val="00F61A2D"/>
    <w:rsid w:val="00F62F42"/>
    <w:rsid w:val="00F6328B"/>
    <w:rsid w:val="00F647D1"/>
    <w:rsid w:val="00F64E3E"/>
    <w:rsid w:val="00F65E7B"/>
    <w:rsid w:val="00F66C04"/>
    <w:rsid w:val="00F67D8F"/>
    <w:rsid w:val="00F67ED7"/>
    <w:rsid w:val="00F70787"/>
    <w:rsid w:val="00F70C29"/>
    <w:rsid w:val="00F71505"/>
    <w:rsid w:val="00F71C0A"/>
    <w:rsid w:val="00F73145"/>
    <w:rsid w:val="00F7354E"/>
    <w:rsid w:val="00F73A86"/>
    <w:rsid w:val="00F74BCF"/>
    <w:rsid w:val="00F75B41"/>
    <w:rsid w:val="00F75D7E"/>
    <w:rsid w:val="00F76E61"/>
    <w:rsid w:val="00F8009F"/>
    <w:rsid w:val="00F802BE"/>
    <w:rsid w:val="00F80BBF"/>
    <w:rsid w:val="00F80E93"/>
    <w:rsid w:val="00F82B68"/>
    <w:rsid w:val="00F86024"/>
    <w:rsid w:val="00F8611A"/>
    <w:rsid w:val="00F86E0E"/>
    <w:rsid w:val="00F87B2C"/>
    <w:rsid w:val="00F91151"/>
    <w:rsid w:val="00F91B66"/>
    <w:rsid w:val="00F9411A"/>
    <w:rsid w:val="00F94F79"/>
    <w:rsid w:val="00F95ACA"/>
    <w:rsid w:val="00F95CD2"/>
    <w:rsid w:val="00F961BB"/>
    <w:rsid w:val="00F97368"/>
    <w:rsid w:val="00FA025A"/>
    <w:rsid w:val="00FA13FD"/>
    <w:rsid w:val="00FA1758"/>
    <w:rsid w:val="00FA1ADD"/>
    <w:rsid w:val="00FA1CA9"/>
    <w:rsid w:val="00FA31C7"/>
    <w:rsid w:val="00FA3A0F"/>
    <w:rsid w:val="00FA40AC"/>
    <w:rsid w:val="00FA5128"/>
    <w:rsid w:val="00FA6CAB"/>
    <w:rsid w:val="00FA7215"/>
    <w:rsid w:val="00FA769E"/>
    <w:rsid w:val="00FB0943"/>
    <w:rsid w:val="00FB42D4"/>
    <w:rsid w:val="00FB44CD"/>
    <w:rsid w:val="00FB4F7E"/>
    <w:rsid w:val="00FB526D"/>
    <w:rsid w:val="00FB5906"/>
    <w:rsid w:val="00FB59DE"/>
    <w:rsid w:val="00FB5B02"/>
    <w:rsid w:val="00FB701C"/>
    <w:rsid w:val="00FB762F"/>
    <w:rsid w:val="00FC061C"/>
    <w:rsid w:val="00FC1CC0"/>
    <w:rsid w:val="00FC2330"/>
    <w:rsid w:val="00FC2AED"/>
    <w:rsid w:val="00FC3797"/>
    <w:rsid w:val="00FC5A30"/>
    <w:rsid w:val="00FC69C3"/>
    <w:rsid w:val="00FC6D97"/>
    <w:rsid w:val="00FC6E7E"/>
    <w:rsid w:val="00FC6ED0"/>
    <w:rsid w:val="00FD0499"/>
    <w:rsid w:val="00FD0CA4"/>
    <w:rsid w:val="00FD13FE"/>
    <w:rsid w:val="00FD258E"/>
    <w:rsid w:val="00FD33FC"/>
    <w:rsid w:val="00FD376B"/>
    <w:rsid w:val="00FD3856"/>
    <w:rsid w:val="00FD4CA6"/>
    <w:rsid w:val="00FD5EA7"/>
    <w:rsid w:val="00FD678E"/>
    <w:rsid w:val="00FE02D2"/>
    <w:rsid w:val="00FE052F"/>
    <w:rsid w:val="00FE07F0"/>
    <w:rsid w:val="00FE0E1C"/>
    <w:rsid w:val="00FE12EE"/>
    <w:rsid w:val="00FE1BC1"/>
    <w:rsid w:val="00FE2487"/>
    <w:rsid w:val="00FE38FD"/>
    <w:rsid w:val="00FE4F24"/>
    <w:rsid w:val="00FE5689"/>
    <w:rsid w:val="00FE6DCD"/>
    <w:rsid w:val="00FE7187"/>
    <w:rsid w:val="00FF0615"/>
    <w:rsid w:val="00FF08C3"/>
    <w:rsid w:val="00FF08F9"/>
    <w:rsid w:val="00FF0D37"/>
    <w:rsid w:val="00FF11A5"/>
    <w:rsid w:val="00FF1CE7"/>
    <w:rsid w:val="00FF2706"/>
    <w:rsid w:val="00FF4509"/>
    <w:rsid w:val="00FF4F84"/>
    <w:rsid w:val="00FF5840"/>
    <w:rsid w:val="00FF66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94DB2"/>
  <w15:docId w15:val="{169A97CB-9E30-4439-83D4-ACEAA936F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001559"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000E3B"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001559"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001559"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001559"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000E3B"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001559" w:themeColor="accent1" w:themeShade="BF"/>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001559"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qFormat/>
    <w:rsid w:val="00633014"/>
    <w:rPr>
      <w:b/>
      <w:noProof/>
      <w:szCs w:val="19"/>
      <w:lang w:eastAsia="pl-PL"/>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6288FF" w:themeColor="accent1" w:themeTint="66"/>
        <w:left w:val="single" w:sz="4" w:space="0" w:color="6288FF" w:themeColor="accent1" w:themeTint="66"/>
        <w:bottom w:val="single" w:sz="4" w:space="0" w:color="6288FF" w:themeColor="accent1" w:themeTint="66"/>
        <w:right w:val="single" w:sz="4" w:space="0" w:color="6288FF" w:themeColor="accent1" w:themeTint="66"/>
        <w:insideH w:val="single" w:sz="4" w:space="0" w:color="6288FF" w:themeColor="accent1" w:themeTint="66"/>
        <w:insideV w:val="single" w:sz="4" w:space="0" w:color="6288FF" w:themeColor="accent1" w:themeTint="66"/>
      </w:tblBorders>
    </w:tblPr>
    <w:tblStylePr w:type="firstRow">
      <w:rPr>
        <w:b/>
        <w:bCs/>
      </w:rPr>
      <w:tblPr/>
      <w:tcPr>
        <w:tcBorders>
          <w:bottom w:val="single" w:sz="12" w:space="0" w:color="144DFF" w:themeColor="accent1" w:themeTint="99"/>
        </w:tcBorders>
      </w:tcPr>
    </w:tblStylePr>
    <w:tblStylePr w:type="lastRow">
      <w:rPr>
        <w:b/>
        <w:bCs/>
      </w:rPr>
      <w:tblPr/>
      <w:tcPr>
        <w:tcBorders>
          <w:top w:val="double" w:sz="2" w:space="0" w:color="144DFF"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uiPriority w:val="99"/>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3A4C31"/>
    <w:rPr>
      <w:color w:val="605D5C" w:themeColor="followedHyperlink"/>
      <w:u w:val="single"/>
    </w:rPr>
  </w:style>
  <w:style w:type="paragraph" w:styleId="NormalnyWeb">
    <w:name w:val="Normal (Web)"/>
    <w:basedOn w:val="Normalny"/>
    <w:uiPriority w:val="99"/>
    <w:semiHidden/>
    <w:unhideWhenUsed/>
    <w:rsid w:val="00C1042C"/>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styleId="Poprawka">
    <w:name w:val="Revision"/>
    <w:hidden/>
    <w:uiPriority w:val="99"/>
    <w:semiHidden/>
    <w:rsid w:val="00A05E8C"/>
    <w:pPr>
      <w:spacing w:after="0" w:line="240" w:lineRule="auto"/>
    </w:pPr>
    <w:rPr>
      <w:rFonts w:ascii="Fira Sans" w:hAnsi="Fira Sans"/>
      <w:sz w:val="19"/>
    </w:rPr>
  </w:style>
  <w:style w:type="character" w:styleId="Odwoaniedokomentarza">
    <w:name w:val="annotation reference"/>
    <w:basedOn w:val="Domylnaczcionkaakapitu"/>
    <w:uiPriority w:val="99"/>
    <w:semiHidden/>
    <w:unhideWhenUsed/>
    <w:rsid w:val="006F7343"/>
    <w:rPr>
      <w:sz w:val="16"/>
      <w:szCs w:val="16"/>
    </w:rPr>
  </w:style>
  <w:style w:type="paragraph" w:styleId="Tekstkomentarza">
    <w:name w:val="annotation text"/>
    <w:basedOn w:val="Normalny"/>
    <w:link w:val="TekstkomentarzaZnak"/>
    <w:uiPriority w:val="99"/>
    <w:semiHidden/>
    <w:unhideWhenUsed/>
    <w:rsid w:val="006F734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F734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6F7343"/>
    <w:rPr>
      <w:b/>
      <w:bCs/>
    </w:rPr>
  </w:style>
  <w:style w:type="character" w:customStyle="1" w:styleId="TematkomentarzaZnak">
    <w:name w:val="Temat komentarza Znak"/>
    <w:basedOn w:val="TekstkomentarzaZnak"/>
    <w:link w:val="Tematkomentarza"/>
    <w:uiPriority w:val="99"/>
    <w:semiHidden/>
    <w:rsid w:val="006F7343"/>
    <w:rPr>
      <w:rFonts w:ascii="Fira Sans" w:hAnsi="Fira Sans"/>
      <w:b/>
      <w:bCs/>
      <w:sz w:val="20"/>
      <w:szCs w:val="20"/>
    </w:rPr>
  </w:style>
  <w:style w:type="character" w:styleId="Uwydatnienie">
    <w:name w:val="Emphasis"/>
    <w:basedOn w:val="Domylnaczcionkaakapitu"/>
    <w:uiPriority w:val="20"/>
    <w:qFormat/>
    <w:rsid w:val="007E6A56"/>
    <w:rPr>
      <w:b/>
      <w:bCs/>
      <w:i w:val="0"/>
      <w:iCs w:val="0"/>
    </w:rPr>
  </w:style>
  <w:style w:type="character" w:customStyle="1" w:styleId="st">
    <w:name w:val="st"/>
    <w:basedOn w:val="Domylnaczcionkaakapitu"/>
    <w:rsid w:val="007E6A56"/>
  </w:style>
  <w:style w:type="character" w:customStyle="1" w:styleId="tlid-translation">
    <w:name w:val="tlid-translation"/>
    <w:basedOn w:val="Domylnaczcionkaakapitu"/>
    <w:rsid w:val="00BB40E7"/>
  </w:style>
  <w:style w:type="character" w:customStyle="1" w:styleId="gt-card-ttl-txt">
    <w:name w:val="gt-card-ttl-txt"/>
    <w:basedOn w:val="Domylnaczcionkaakapitu"/>
    <w:rsid w:val="00BB40E7"/>
  </w:style>
  <w:style w:type="paragraph" w:styleId="HTML-wstpniesformatowany">
    <w:name w:val="HTML Preformatted"/>
    <w:basedOn w:val="Normalny"/>
    <w:link w:val="HTML-wstpniesformatowanyZnak"/>
    <w:uiPriority w:val="99"/>
    <w:unhideWhenUsed/>
    <w:rsid w:val="00BB4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B40E7"/>
    <w:rPr>
      <w:rFonts w:ascii="Courier New" w:eastAsia="Times New Roman" w:hAnsi="Courier New" w:cs="Courier New"/>
      <w:sz w:val="20"/>
      <w:szCs w:val="20"/>
      <w:lang w:eastAsia="pl-PL"/>
    </w:rPr>
  </w:style>
  <w:style w:type="table" w:customStyle="1" w:styleId="Siatkatabelijasna2">
    <w:name w:val="Siatka tabeli — jasna2"/>
    <w:basedOn w:val="Standardowy"/>
    <w:uiPriority w:val="40"/>
    <w:rsid w:val="001446F6"/>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ytu">
    <w:name w:val="Title"/>
    <w:basedOn w:val="Normalny"/>
    <w:next w:val="Normalny"/>
    <w:link w:val="TytuZnak"/>
    <w:uiPriority w:val="10"/>
    <w:qFormat/>
    <w:rsid w:val="00F82B68"/>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82B68"/>
    <w:rPr>
      <w:rFonts w:asciiTheme="majorHAnsi" w:eastAsiaTheme="majorEastAsia" w:hAnsiTheme="majorHAnsi" w:cstheme="majorBidi"/>
      <w:spacing w:val="-10"/>
      <w:kern w:val="28"/>
      <w:sz w:val="56"/>
      <w:szCs w:val="56"/>
    </w:rPr>
  </w:style>
  <w:style w:type="character" w:customStyle="1" w:styleId="IkonawskanikaZnak">
    <w:name w:val="Ikona wskaźnika Znak"/>
    <w:basedOn w:val="Domylnaczcionkaakapitu"/>
    <w:link w:val="Ikonawskanika"/>
    <w:locked/>
    <w:rsid w:val="00BF6020"/>
    <w:rPr>
      <w:rFonts w:ascii="Fira Sans SemiBold" w:hAnsi="Fira Sans SemiBold"/>
      <w:color w:val="66AFDE"/>
      <w:sz w:val="60"/>
      <w:szCs w:val="60"/>
    </w:rPr>
  </w:style>
  <w:style w:type="paragraph" w:customStyle="1" w:styleId="Ikonawskanika">
    <w:name w:val="Ikona wskaźnika"/>
    <w:basedOn w:val="Normalny"/>
    <w:link w:val="IkonawskanikaZnak"/>
    <w:qFormat/>
    <w:rsid w:val="00BF6020"/>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Nierozpoznanawzmianka1">
    <w:name w:val="Nierozpoznana wzmianka1"/>
    <w:basedOn w:val="Domylnaczcionkaakapitu"/>
    <w:uiPriority w:val="99"/>
    <w:semiHidden/>
    <w:unhideWhenUsed/>
    <w:rsid w:val="00FE1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55984113">
      <w:bodyDiv w:val="1"/>
      <w:marLeft w:val="0"/>
      <w:marRight w:val="0"/>
      <w:marTop w:val="0"/>
      <w:marBottom w:val="0"/>
      <w:divBdr>
        <w:top w:val="none" w:sz="0" w:space="0" w:color="auto"/>
        <w:left w:val="none" w:sz="0" w:space="0" w:color="auto"/>
        <w:bottom w:val="none" w:sz="0" w:space="0" w:color="auto"/>
        <w:right w:val="none" w:sz="0" w:space="0" w:color="auto"/>
      </w:divBdr>
    </w:div>
    <w:div w:id="800464663">
      <w:bodyDiv w:val="1"/>
      <w:marLeft w:val="0"/>
      <w:marRight w:val="0"/>
      <w:marTop w:val="0"/>
      <w:marBottom w:val="0"/>
      <w:divBdr>
        <w:top w:val="none" w:sz="0" w:space="0" w:color="auto"/>
        <w:left w:val="none" w:sz="0" w:space="0" w:color="auto"/>
        <w:bottom w:val="none" w:sz="0" w:space="0" w:color="auto"/>
        <w:right w:val="none" w:sz="0" w:space="0" w:color="auto"/>
      </w:divBdr>
    </w:div>
    <w:div w:id="914977141">
      <w:bodyDiv w:val="1"/>
      <w:marLeft w:val="0"/>
      <w:marRight w:val="0"/>
      <w:marTop w:val="0"/>
      <w:marBottom w:val="0"/>
      <w:divBdr>
        <w:top w:val="none" w:sz="0" w:space="0" w:color="auto"/>
        <w:left w:val="none" w:sz="0" w:space="0" w:color="auto"/>
        <w:bottom w:val="none" w:sz="0" w:space="0" w:color="auto"/>
        <w:right w:val="none" w:sz="0" w:space="0" w:color="auto"/>
      </w:divBdr>
    </w:div>
    <w:div w:id="1214657054">
      <w:bodyDiv w:val="1"/>
      <w:marLeft w:val="0"/>
      <w:marRight w:val="0"/>
      <w:marTop w:val="0"/>
      <w:marBottom w:val="0"/>
      <w:divBdr>
        <w:top w:val="none" w:sz="0" w:space="0" w:color="auto"/>
        <w:left w:val="none" w:sz="0" w:space="0" w:color="auto"/>
        <w:bottom w:val="none" w:sz="0" w:space="0" w:color="auto"/>
        <w:right w:val="none" w:sz="0" w:space="0" w:color="auto"/>
      </w:divBdr>
    </w:div>
    <w:div w:id="1221164857">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8231047">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image" Target="media/image8.png"/><Relationship Id="rId47" Type="http://schemas.openxmlformats.org/officeDocument/2006/relationships/hyperlink" Target="https://youtube.com/@glownyurzadstatystycznygus?si=IgHa1awoYniiJyQI" TargetMode="External"/><Relationship Id="rId63" Type="http://schemas.openxmlformats.org/officeDocument/2006/relationships/hyperlink" Target="https://stat.gov.pl/en/metainformation/glossary/terms-used-in-official-statistics/601,term.html" TargetMode="External"/><Relationship Id="rId68" Type="http://schemas.openxmlformats.org/officeDocument/2006/relationships/fontTable" Target="fontTable.xml"/><Relationship Id="rId89" Type="http://schemas.microsoft.com/office/2016/09/relationships/commentsIds" Target="commentsIds.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7.xml"/><Relationship Id="rId29" Type="http://schemas.openxmlformats.org/officeDocument/2006/relationships/chart" Target="charts/chart18.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hyperlink" Target="mailto:obslugaprasowa@stat.gov.pl" TargetMode="External"/><Relationship Id="rId40" Type="http://schemas.openxmlformats.org/officeDocument/2006/relationships/image" Target="media/image7.png"/><Relationship Id="rId45" Type="http://schemas.openxmlformats.org/officeDocument/2006/relationships/hyperlink" Target="https://www.instagram.com/gus_stat/?next" TargetMode="External"/><Relationship Id="rId53" Type="http://schemas.openxmlformats.org/officeDocument/2006/relationships/hyperlink" Target="https://dbw.stat.gov.pl/en/dashboard/211" TargetMode="External"/><Relationship Id="rId58" Type="http://schemas.openxmlformats.org/officeDocument/2006/relationships/hyperlink" Target="https://stat.gov.pl/en/metainformation/glossary/terms-used-in-official-statistics/2585,term.html" TargetMode="External"/><Relationship Id="rId66" Type="http://schemas.openxmlformats.org/officeDocument/2006/relationships/header" Target="header3.xml"/><Relationship Id="rId5" Type="http://schemas.openxmlformats.org/officeDocument/2006/relationships/styles" Target="styles.xml"/><Relationship Id="rId61" Type="http://schemas.openxmlformats.org/officeDocument/2006/relationships/hyperlink" Target="https://stat.gov.pl/en/metainformation/glossary/terms-used-in-official-statistics/3590,term.html" TargetMode="External"/><Relationship Id="rId1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eader" Target="header2.xml"/><Relationship Id="rId43" Type="http://schemas.openxmlformats.org/officeDocument/2006/relationships/hyperlink" Target="https://www.facebook.com/GlownyUrzadStatystyczny" TargetMode="External"/><Relationship Id="rId48" Type="http://schemas.openxmlformats.org/officeDocument/2006/relationships/hyperlink" Target="https://www.linkedin.com/company/glownyurzadstatystyczny/" TargetMode="External"/><Relationship Id="rId56" Type="http://schemas.openxmlformats.org/officeDocument/2006/relationships/hyperlink" Target="https://stat.gov.pl/en/metainformation/glossary/terms-used-in-official-statistics/63,term.html" TargetMode="External"/><Relationship Id="rId64" Type="http://schemas.openxmlformats.org/officeDocument/2006/relationships/hyperlink" Target="https://stat.gov.pl/en/metainformation/glossary/terms-used-in-official-statistics/873,term.html"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stat.gov.pl/en/topics/living-conditions/living-conditions/the-situation-of-households-in-2024-on-the-basis-of-results-of-the-household-budget-survey,12,24.html" TargetMode="External"/><Relationship Id="rId3" Type="http://schemas.openxmlformats.org/officeDocument/2006/relationships/customXml" Target="../customXml/item3.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hyperlink" Target="https://stat.gov.pl/en/metainformation/glossary/terms-used-in-official-statistics/2858,term.html" TargetMode="External"/><Relationship Id="rId67" Type="http://schemas.openxmlformats.org/officeDocument/2006/relationships/footer" Target="footer3.xml"/><Relationship Id="rId20" Type="http://schemas.openxmlformats.org/officeDocument/2006/relationships/image" Target="media/image4.jpeg"/><Relationship Id="rId41" Type="http://schemas.openxmlformats.org/officeDocument/2006/relationships/hyperlink" Target="https://x.com/StatPoland" TargetMode="External"/><Relationship Id="rId54" Type="http://schemas.openxmlformats.org/officeDocument/2006/relationships/hyperlink" Target="https://stat.gov.pl/en/metainformation/glossary/terms-used-in-official-statistics/28,term.html" TargetMode="External"/><Relationship Id="rId62" Type="http://schemas.openxmlformats.org/officeDocument/2006/relationships/hyperlink" Target="https://stat.gov.pl/en/metainformation/glossary/terms-used-in-official-statistics/3580,term.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footer" Target="footer2.xml"/><Relationship Id="rId49" Type="http://schemas.openxmlformats.org/officeDocument/2006/relationships/image" Target="media/image11.png"/><Relationship Id="rId57" Type="http://schemas.openxmlformats.org/officeDocument/2006/relationships/hyperlink" Target="https://stat.gov.pl/en/metainformation/glossary/terms-used-in-official-statistics/103,term.html" TargetMode="External"/><Relationship Id="rId10" Type="http://schemas.openxmlformats.org/officeDocument/2006/relationships/chart" Target="charts/chart1.xml"/><Relationship Id="rId31" Type="http://schemas.openxmlformats.org/officeDocument/2006/relationships/chart" Target="charts/chart20.xml"/><Relationship Id="rId44" Type="http://schemas.openxmlformats.org/officeDocument/2006/relationships/image" Target="media/image9.png"/><Relationship Id="rId52" Type="http://schemas.openxmlformats.org/officeDocument/2006/relationships/hyperlink" Target="https://bdl.stat.gov.pl/BDL/metadane/podgrupy/10?back=True" TargetMode="External"/><Relationship Id="rId60" Type="http://schemas.openxmlformats.org/officeDocument/2006/relationships/hyperlink" Target="https://stat.gov.pl/en/metainformation/glossary/terms-used-in-official-statistics/468,term.html" TargetMode="External"/><Relationship Id="rId65" Type="http://schemas.openxmlformats.org/officeDocument/2006/relationships/hyperlink" Target="https://stat.gov.pl/en/metainformation/glossary/terms-used-in-official-statistics/3583,term.htm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s://new.stat.gov.pl/en" TargetMode="External"/><Relationship Id="rId34" Type="http://schemas.openxmlformats.org/officeDocument/2006/relationships/footer" Target="footer1.xml"/><Relationship Id="rId50" Type="http://schemas.openxmlformats.org/officeDocument/2006/relationships/hyperlink" Target="https://stat.gov.pl/en/topics/living-conditions/living-conditions/household-budget-survey-in-2024,2,20.html" TargetMode="External"/><Relationship Id="rId55" Type="http://schemas.openxmlformats.org/officeDocument/2006/relationships/hyperlink" Target="https://stat.gov.pl/en/metainformation/glossary/terms-used-in-official-statistics/62,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oleObject" Target="file:///\\vmfgus09\BS\BS-06\P%20U%20B%20L%20I%20K%20A%20C%20J%20E\Informacja%20sygnalna%20z%20BBGD\2025\BGD%20Notatka_Publikacja%20za%202025%20wykresy.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vmfgus09\BS\BS-06\P%20U%20B%20L%20I%20K%20A%20C%20J%20E\Informacja%20sygnalna%20z%20BBGD\2025\BGD%20Notatka_Publikacja%20za%202025%20wykresy.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0.xml"/></Relationships>
</file>

<file path=word/charts/_rels/chart21.xml.rels><?xml version="1.0" encoding="UTF-8" standalone="yes"?>
<Relationships xmlns="http://schemas.openxmlformats.org/package/2006/relationships"><Relationship Id="rId3" Type="http://schemas.openxmlformats.org/officeDocument/2006/relationships/oleObject" Target="file:///\\vmfgus09\BS\BS-06\P%20U%20B%20L%20I%20K%20A%20C%20J%20E\Informacja%20sygnalna%20z%20BBGD\2025\BGD%20Notatka_Publikacja%20za%202025%20wykresy.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vmfgus09\BS\BS-06\P%20U%20B%20L%20I%20K%20A%20C%20J%20E\Informacja%20sygnalna%20z%20BBGD\2025\BGD%20Notatka_Publikacja%20za%202025%20wykresy.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19316858389733924"/>
          <c:w val="0.92008928571428572"/>
          <c:h val="0.55940896853768651"/>
        </c:manualLayout>
      </c:layout>
      <c:barChart>
        <c:barDir val="col"/>
        <c:grouping val="clustered"/>
        <c:varyColors val="0"/>
        <c:ser>
          <c:idx val="0"/>
          <c:order val="0"/>
          <c:tx>
            <c:strRef>
              <c:f>'1 dochody,wydatki lata'!$C$7</c:f>
              <c:strCache>
                <c:ptCount val="1"/>
                <c:pt idx="0">
                  <c:v>Available income</c:v>
                </c:pt>
              </c:strCache>
            </c:strRef>
          </c:tx>
          <c:spPr>
            <a:solidFill>
              <a:srgbClr val="334A92"/>
            </a:solidFill>
            <a:scene3d>
              <a:camera prst="orthographicFront"/>
              <a:lightRig rig="threePt" dir="t"/>
            </a:scene3d>
          </c:spPr>
          <c:invertIfNegative val="0"/>
          <c:dPt>
            <c:idx val="0"/>
            <c:invertIfNegative val="0"/>
            <c:bubble3D val="0"/>
            <c:spPr>
              <a:solidFill>
                <a:srgbClr val="334A92"/>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1-B42E-4FA1-B775-F67D66307F9D}"/>
              </c:ext>
            </c:extLst>
          </c:dPt>
          <c:dPt>
            <c:idx val="10"/>
            <c:invertIfNegative val="0"/>
            <c:bubble3D val="0"/>
            <c:extLst xmlns:c16r2="http://schemas.microsoft.com/office/drawing/2015/06/chart">
              <c:ext xmlns:c16="http://schemas.microsoft.com/office/drawing/2014/chart" uri="{C3380CC4-5D6E-409C-BE32-E72D297353CC}">
                <c16:uniqueId val="{00000002-B42E-4FA1-B775-F67D66307F9D}"/>
              </c:ext>
            </c:extLst>
          </c:dPt>
          <c:dPt>
            <c:idx val="11"/>
            <c:invertIfNegative val="0"/>
            <c:bubble3D val="0"/>
            <c:extLst xmlns:c16r2="http://schemas.microsoft.com/office/drawing/2015/06/chart">
              <c:ext xmlns:c16="http://schemas.microsoft.com/office/drawing/2014/chart" uri="{C3380CC4-5D6E-409C-BE32-E72D297353CC}">
                <c16:uniqueId val="{00000003-B42E-4FA1-B775-F67D66307F9D}"/>
              </c:ext>
            </c:extLst>
          </c:dPt>
          <c:dPt>
            <c:idx val="12"/>
            <c:invertIfNegative val="0"/>
            <c:bubble3D val="0"/>
            <c:extLst xmlns:c16r2="http://schemas.microsoft.com/office/drawing/2015/06/chart">
              <c:ext xmlns:c16="http://schemas.microsoft.com/office/drawing/2014/chart" uri="{C3380CC4-5D6E-409C-BE32-E72D297353CC}">
                <c16:uniqueId val="{00000004-B42E-4FA1-B775-F67D66307F9D}"/>
              </c:ext>
            </c:extLst>
          </c:dPt>
          <c:dPt>
            <c:idx val="13"/>
            <c:invertIfNegative val="0"/>
            <c:bubble3D val="0"/>
            <c:extLst xmlns:c16r2="http://schemas.microsoft.com/office/drawing/2015/06/chart">
              <c:ext xmlns:c16="http://schemas.microsoft.com/office/drawing/2014/chart" uri="{C3380CC4-5D6E-409C-BE32-E72D297353CC}">
                <c16:uniqueId val="{00000005-B42E-4FA1-B775-F67D66307F9D}"/>
              </c:ext>
            </c:extLst>
          </c:dPt>
          <c:dLbls>
            <c:numFmt formatCode="0" sourceLinked="0"/>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 dochody,wydatki lata'!$B$16:$B$29</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strCache>
            </c:strRef>
          </c:cat>
          <c:val>
            <c:numRef>
              <c:f>'1 dochody,wydatki lata'!$C$16:$C$29</c:f>
              <c:numCache>
                <c:formatCode>0.00</c:formatCode>
                <c:ptCount val="14"/>
                <c:pt idx="0" formatCode="General">
                  <c:v>1278.43</c:v>
                </c:pt>
                <c:pt idx="1">
                  <c:v>1299.07</c:v>
                </c:pt>
                <c:pt idx="2">
                  <c:v>1340.44</c:v>
                </c:pt>
                <c:pt idx="3">
                  <c:v>1386.16</c:v>
                </c:pt>
                <c:pt idx="4">
                  <c:v>1474.56</c:v>
                </c:pt>
                <c:pt idx="5">
                  <c:v>1598.13</c:v>
                </c:pt>
                <c:pt idx="6" formatCode="General">
                  <c:v>1693.46</c:v>
                </c:pt>
                <c:pt idx="7" formatCode="General">
                  <c:v>1819.14</c:v>
                </c:pt>
                <c:pt idx="8" formatCode="General">
                  <c:v>1919.21</c:v>
                </c:pt>
                <c:pt idx="9">
                  <c:v>2103.1999999999998</c:v>
                </c:pt>
                <c:pt idx="10">
                  <c:v>2355.2199999999998</c:v>
                </c:pt>
                <c:pt idx="11">
                  <c:v>2678.3</c:v>
                </c:pt>
                <c:pt idx="12">
                  <c:v>3167.17</c:v>
                </c:pt>
                <c:pt idx="13">
                  <c:v>3500.21</c:v>
                </c:pt>
              </c:numCache>
            </c:numRef>
          </c:val>
          <c:extLst xmlns:c16r2="http://schemas.microsoft.com/office/drawing/2015/06/chart">
            <c:ext xmlns:c16="http://schemas.microsoft.com/office/drawing/2014/chart" uri="{C3380CC4-5D6E-409C-BE32-E72D297353CC}">
              <c16:uniqueId val="{00000006-B42E-4FA1-B775-F67D66307F9D}"/>
            </c:ext>
          </c:extLst>
        </c:ser>
        <c:ser>
          <c:idx val="1"/>
          <c:order val="1"/>
          <c:tx>
            <c:strRef>
              <c:f>'1 dochody,wydatki lata'!$D$7</c:f>
              <c:strCache>
                <c:ptCount val="1"/>
                <c:pt idx="0">
                  <c:v>Expenditure</c:v>
                </c:pt>
              </c:strCache>
            </c:strRef>
          </c:tx>
          <c:spPr>
            <a:solidFill>
              <a:srgbClr val="66B58D"/>
            </a:solidFill>
            <a:ln>
              <a:noFill/>
            </a:ln>
          </c:spPr>
          <c:invertIfNegative val="0"/>
          <c:dPt>
            <c:idx val="10"/>
            <c:invertIfNegative val="0"/>
            <c:bubble3D val="0"/>
            <c:extLst xmlns:c16r2="http://schemas.microsoft.com/office/drawing/2015/06/chart">
              <c:ext xmlns:c16="http://schemas.microsoft.com/office/drawing/2014/chart" uri="{C3380CC4-5D6E-409C-BE32-E72D297353CC}">
                <c16:uniqueId val="{00000007-B42E-4FA1-B775-F67D66307F9D}"/>
              </c:ext>
            </c:extLst>
          </c:dPt>
          <c:dPt>
            <c:idx val="11"/>
            <c:invertIfNegative val="0"/>
            <c:bubble3D val="0"/>
            <c:extLst xmlns:c16r2="http://schemas.microsoft.com/office/drawing/2015/06/chart">
              <c:ext xmlns:c16="http://schemas.microsoft.com/office/drawing/2014/chart" uri="{C3380CC4-5D6E-409C-BE32-E72D297353CC}">
                <c16:uniqueId val="{00000008-B42E-4FA1-B775-F67D66307F9D}"/>
              </c:ext>
            </c:extLst>
          </c:dPt>
          <c:dPt>
            <c:idx val="12"/>
            <c:invertIfNegative val="0"/>
            <c:bubble3D val="0"/>
            <c:extLst xmlns:c16r2="http://schemas.microsoft.com/office/drawing/2015/06/chart">
              <c:ext xmlns:c16="http://schemas.microsoft.com/office/drawing/2014/chart" uri="{C3380CC4-5D6E-409C-BE32-E72D297353CC}">
                <c16:uniqueId val="{00000009-B42E-4FA1-B775-F67D66307F9D}"/>
              </c:ext>
            </c:extLst>
          </c:dPt>
          <c:dPt>
            <c:idx val="13"/>
            <c:invertIfNegative val="0"/>
            <c:bubble3D val="0"/>
            <c:extLst xmlns:c16r2="http://schemas.microsoft.com/office/drawing/2015/06/chart">
              <c:ext xmlns:c16="http://schemas.microsoft.com/office/drawing/2014/chart" uri="{C3380CC4-5D6E-409C-BE32-E72D297353CC}">
                <c16:uniqueId val="{0000000A-B42E-4FA1-B775-F67D66307F9D}"/>
              </c:ext>
            </c:extLst>
          </c:dPt>
          <c:dLbls>
            <c:numFmt formatCode="0" sourceLinked="0"/>
            <c:spPr>
              <a:noFill/>
              <a:ln>
                <a:noFill/>
              </a:ln>
              <a:effectLst/>
            </c:spPr>
            <c:txPr>
              <a:bodyPr wrap="square" lIns="38100" tIns="19050" rIns="38100" bIns="19050" anchor="ctr">
                <a:spAutoFit/>
              </a:bodyPr>
              <a:lstStyle/>
              <a:p>
                <a:pPr>
                  <a:defRPr sz="800" kern="0" spc="-20" baseline="0">
                    <a:solidFill>
                      <a:sysClr val="windowText" lastClr="000000"/>
                    </a:solidFill>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 dochody,wydatki lata'!$B$16:$B$29</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strCache>
            </c:strRef>
          </c:cat>
          <c:val>
            <c:numRef>
              <c:f>'1 dochody,wydatki lata'!$D$16:$D$29</c:f>
              <c:numCache>
                <c:formatCode>0.00</c:formatCode>
                <c:ptCount val="14"/>
                <c:pt idx="0">
                  <c:v>1058.9100000000001</c:v>
                </c:pt>
                <c:pt idx="1">
                  <c:v>1061.7</c:v>
                </c:pt>
                <c:pt idx="2">
                  <c:v>1078.74</c:v>
                </c:pt>
                <c:pt idx="3">
                  <c:v>1091.19</c:v>
                </c:pt>
                <c:pt idx="4">
                  <c:v>1131.6400000000001</c:v>
                </c:pt>
                <c:pt idx="5">
                  <c:v>1176.44</c:v>
                </c:pt>
                <c:pt idx="6" formatCode="General">
                  <c:v>1186.8599999999999</c:v>
                </c:pt>
                <c:pt idx="7" formatCode="General">
                  <c:v>1251.73</c:v>
                </c:pt>
                <c:pt idx="8" formatCode="General">
                  <c:v>1209.58</c:v>
                </c:pt>
                <c:pt idx="9">
                  <c:v>1299.96</c:v>
                </c:pt>
                <c:pt idx="10">
                  <c:v>1495.28</c:v>
                </c:pt>
                <c:pt idx="11">
                  <c:v>1636.29</c:v>
                </c:pt>
                <c:pt idx="12">
                  <c:v>1878.49</c:v>
                </c:pt>
                <c:pt idx="13">
                  <c:v>2015.42</c:v>
                </c:pt>
              </c:numCache>
            </c:numRef>
          </c:val>
          <c:extLst xmlns:c16r2="http://schemas.microsoft.com/office/drawing/2015/06/chart">
            <c:ext xmlns:c16="http://schemas.microsoft.com/office/drawing/2014/chart" uri="{C3380CC4-5D6E-409C-BE32-E72D297353CC}">
              <c16:uniqueId val="{0000000B-B42E-4FA1-B775-F67D66307F9D}"/>
            </c:ext>
          </c:extLst>
        </c:ser>
        <c:ser>
          <c:idx val="2"/>
          <c:order val="2"/>
          <c:tx>
            <c:strRef>
              <c:f>'1 dochody,wydatki lata'!$E$7</c:f>
              <c:strCache>
                <c:ptCount val="1"/>
                <c:pt idx="0">
                  <c:v>The share of expenditure in available income  </c:v>
                </c:pt>
              </c:strCache>
            </c:strRef>
          </c:tx>
          <c:spPr>
            <a:solidFill>
              <a:srgbClr val="4D4D4D">
                <a:lumMod val="20000"/>
                <a:lumOff val="80000"/>
              </a:srgbClr>
            </a:solidFill>
            <a:ln w="3175">
              <a:solidFill>
                <a:sysClr val="window" lastClr="FFFFFF">
                  <a:lumMod val="75000"/>
                </a:sysClr>
              </a:solidFill>
            </a:ln>
          </c:spPr>
          <c:invertIfNegative val="0"/>
          <c:dPt>
            <c:idx val="0"/>
            <c:invertIfNegative val="0"/>
            <c:bubble3D val="0"/>
            <c:spPr>
              <a:noFill/>
              <a:ln w="3175">
                <a:noFill/>
              </a:ln>
            </c:spPr>
            <c:extLst xmlns:c16r2="http://schemas.microsoft.com/office/drawing/2015/06/chart">
              <c:ext xmlns:c16="http://schemas.microsoft.com/office/drawing/2014/chart" uri="{C3380CC4-5D6E-409C-BE32-E72D297353CC}">
                <c16:uniqueId val="{0000000D-B42E-4FA1-B775-F67D66307F9D}"/>
              </c:ext>
            </c:extLst>
          </c:dPt>
          <c:dPt>
            <c:idx val="1"/>
            <c:invertIfNegative val="0"/>
            <c:bubble3D val="0"/>
            <c:spPr>
              <a:noFill/>
              <a:ln w="3175">
                <a:noFill/>
              </a:ln>
            </c:spPr>
            <c:extLst xmlns:c16r2="http://schemas.microsoft.com/office/drawing/2015/06/chart">
              <c:ext xmlns:c16="http://schemas.microsoft.com/office/drawing/2014/chart" uri="{C3380CC4-5D6E-409C-BE32-E72D297353CC}">
                <c16:uniqueId val="{0000000F-B42E-4FA1-B775-F67D66307F9D}"/>
              </c:ext>
            </c:extLst>
          </c:dPt>
          <c:dPt>
            <c:idx val="2"/>
            <c:invertIfNegative val="0"/>
            <c:bubble3D val="0"/>
            <c:spPr>
              <a:noFill/>
              <a:ln w="3175">
                <a:noFill/>
              </a:ln>
            </c:spPr>
            <c:extLst xmlns:c16r2="http://schemas.microsoft.com/office/drawing/2015/06/chart">
              <c:ext xmlns:c16="http://schemas.microsoft.com/office/drawing/2014/chart" uri="{C3380CC4-5D6E-409C-BE32-E72D297353CC}">
                <c16:uniqueId val="{00000011-B42E-4FA1-B775-F67D66307F9D}"/>
              </c:ext>
            </c:extLst>
          </c:dPt>
          <c:dPt>
            <c:idx val="3"/>
            <c:invertIfNegative val="0"/>
            <c:bubble3D val="0"/>
            <c:spPr>
              <a:noFill/>
              <a:ln w="3175">
                <a:noFill/>
              </a:ln>
            </c:spPr>
            <c:extLst xmlns:c16r2="http://schemas.microsoft.com/office/drawing/2015/06/chart">
              <c:ext xmlns:c16="http://schemas.microsoft.com/office/drawing/2014/chart" uri="{C3380CC4-5D6E-409C-BE32-E72D297353CC}">
                <c16:uniqueId val="{00000013-B42E-4FA1-B775-F67D66307F9D}"/>
              </c:ext>
            </c:extLst>
          </c:dPt>
          <c:dPt>
            <c:idx val="4"/>
            <c:invertIfNegative val="0"/>
            <c:bubble3D val="0"/>
            <c:spPr>
              <a:noFill/>
              <a:ln w="3175">
                <a:noFill/>
              </a:ln>
            </c:spPr>
            <c:extLst xmlns:c16r2="http://schemas.microsoft.com/office/drawing/2015/06/chart">
              <c:ext xmlns:c16="http://schemas.microsoft.com/office/drawing/2014/chart" uri="{C3380CC4-5D6E-409C-BE32-E72D297353CC}">
                <c16:uniqueId val="{00000015-B42E-4FA1-B775-F67D66307F9D}"/>
              </c:ext>
            </c:extLst>
          </c:dPt>
          <c:dPt>
            <c:idx val="5"/>
            <c:invertIfNegative val="0"/>
            <c:bubble3D val="0"/>
            <c:spPr>
              <a:noFill/>
              <a:ln w="3175">
                <a:noFill/>
              </a:ln>
            </c:spPr>
            <c:extLst xmlns:c16r2="http://schemas.microsoft.com/office/drawing/2015/06/chart">
              <c:ext xmlns:c16="http://schemas.microsoft.com/office/drawing/2014/chart" uri="{C3380CC4-5D6E-409C-BE32-E72D297353CC}">
                <c16:uniqueId val="{00000017-B42E-4FA1-B775-F67D66307F9D}"/>
              </c:ext>
            </c:extLst>
          </c:dPt>
          <c:dPt>
            <c:idx val="6"/>
            <c:invertIfNegative val="0"/>
            <c:bubble3D val="0"/>
            <c:spPr>
              <a:noFill/>
              <a:ln w="3175">
                <a:noFill/>
              </a:ln>
            </c:spPr>
            <c:extLst xmlns:c16r2="http://schemas.microsoft.com/office/drawing/2015/06/chart">
              <c:ext xmlns:c16="http://schemas.microsoft.com/office/drawing/2014/chart" uri="{C3380CC4-5D6E-409C-BE32-E72D297353CC}">
                <c16:uniqueId val="{00000019-B42E-4FA1-B775-F67D66307F9D}"/>
              </c:ext>
            </c:extLst>
          </c:dPt>
          <c:dPt>
            <c:idx val="7"/>
            <c:invertIfNegative val="0"/>
            <c:bubble3D val="0"/>
            <c:spPr>
              <a:noFill/>
              <a:ln w="3175">
                <a:noFill/>
              </a:ln>
            </c:spPr>
            <c:extLst xmlns:c16r2="http://schemas.microsoft.com/office/drawing/2015/06/chart">
              <c:ext xmlns:c16="http://schemas.microsoft.com/office/drawing/2014/chart" uri="{C3380CC4-5D6E-409C-BE32-E72D297353CC}">
                <c16:uniqueId val="{0000001B-B42E-4FA1-B775-F67D66307F9D}"/>
              </c:ext>
            </c:extLst>
          </c:dPt>
          <c:dPt>
            <c:idx val="8"/>
            <c:invertIfNegative val="0"/>
            <c:bubble3D val="0"/>
            <c:spPr>
              <a:noFill/>
              <a:ln w="3175">
                <a:noFill/>
              </a:ln>
            </c:spPr>
            <c:extLst xmlns:c16r2="http://schemas.microsoft.com/office/drawing/2015/06/chart">
              <c:ext xmlns:c16="http://schemas.microsoft.com/office/drawing/2014/chart" uri="{C3380CC4-5D6E-409C-BE32-E72D297353CC}">
                <c16:uniqueId val="{0000001D-B42E-4FA1-B775-F67D66307F9D}"/>
              </c:ext>
            </c:extLst>
          </c:dPt>
          <c:dPt>
            <c:idx val="9"/>
            <c:invertIfNegative val="0"/>
            <c:bubble3D val="0"/>
            <c:spPr>
              <a:noFill/>
              <a:ln w="3175">
                <a:noFill/>
              </a:ln>
            </c:spPr>
            <c:extLst xmlns:c16r2="http://schemas.microsoft.com/office/drawing/2015/06/chart">
              <c:ext xmlns:c16="http://schemas.microsoft.com/office/drawing/2014/chart" uri="{C3380CC4-5D6E-409C-BE32-E72D297353CC}">
                <c16:uniqueId val="{0000001F-B42E-4FA1-B775-F67D66307F9D}"/>
              </c:ext>
            </c:extLst>
          </c:dPt>
          <c:dPt>
            <c:idx val="10"/>
            <c:invertIfNegative val="0"/>
            <c:bubble3D val="0"/>
            <c:spPr>
              <a:noFill/>
              <a:ln w="3175">
                <a:noFill/>
              </a:ln>
            </c:spPr>
            <c:extLst xmlns:c16r2="http://schemas.microsoft.com/office/drawing/2015/06/chart">
              <c:ext xmlns:c16="http://schemas.microsoft.com/office/drawing/2014/chart" uri="{C3380CC4-5D6E-409C-BE32-E72D297353CC}">
                <c16:uniqueId val="{00000021-B42E-4FA1-B775-F67D66307F9D}"/>
              </c:ext>
            </c:extLst>
          </c:dPt>
          <c:dPt>
            <c:idx val="11"/>
            <c:invertIfNegative val="0"/>
            <c:bubble3D val="0"/>
            <c:spPr>
              <a:noFill/>
              <a:ln w="3175">
                <a:noFill/>
              </a:ln>
            </c:spPr>
            <c:extLst xmlns:c16r2="http://schemas.microsoft.com/office/drawing/2015/06/chart">
              <c:ext xmlns:c16="http://schemas.microsoft.com/office/drawing/2014/chart" uri="{C3380CC4-5D6E-409C-BE32-E72D297353CC}">
                <c16:uniqueId val="{00000023-B42E-4FA1-B775-F67D66307F9D}"/>
              </c:ext>
            </c:extLst>
          </c:dPt>
          <c:dPt>
            <c:idx val="12"/>
            <c:invertIfNegative val="0"/>
            <c:bubble3D val="0"/>
            <c:spPr>
              <a:noFill/>
              <a:ln w="3175">
                <a:noFill/>
              </a:ln>
            </c:spPr>
            <c:extLst xmlns:c16r2="http://schemas.microsoft.com/office/drawing/2015/06/chart">
              <c:ext xmlns:c16="http://schemas.microsoft.com/office/drawing/2014/chart" uri="{C3380CC4-5D6E-409C-BE32-E72D297353CC}">
                <c16:uniqueId val="{00000025-B42E-4FA1-B775-F67D66307F9D}"/>
              </c:ext>
            </c:extLst>
          </c:dPt>
          <c:dPt>
            <c:idx val="13"/>
            <c:invertIfNegative val="0"/>
            <c:bubble3D val="0"/>
            <c:spPr>
              <a:noFill/>
              <a:ln w="3175">
                <a:noFill/>
              </a:ln>
            </c:spPr>
            <c:extLst xmlns:c16r2="http://schemas.microsoft.com/office/drawing/2015/06/chart">
              <c:ext xmlns:c16="http://schemas.microsoft.com/office/drawing/2014/chart" uri="{C3380CC4-5D6E-409C-BE32-E72D297353CC}">
                <c16:uniqueId val="{00000027-B42E-4FA1-B775-F67D66307F9D}"/>
              </c:ext>
            </c:extLst>
          </c:dPt>
          <c:dPt>
            <c:idx val="14"/>
            <c:invertIfNegative val="0"/>
            <c:bubble3D val="0"/>
            <c:spPr>
              <a:noFill/>
              <a:ln w="3175">
                <a:noFill/>
              </a:ln>
            </c:spPr>
            <c:extLst xmlns:c16r2="http://schemas.microsoft.com/office/drawing/2015/06/chart">
              <c:ext xmlns:c16="http://schemas.microsoft.com/office/drawing/2014/chart" uri="{C3380CC4-5D6E-409C-BE32-E72D297353CC}">
                <c16:uniqueId val="{00000029-B42E-4FA1-B775-F67D66307F9D}"/>
              </c:ext>
            </c:extLst>
          </c:dPt>
          <c:dPt>
            <c:idx val="15"/>
            <c:invertIfNegative val="0"/>
            <c:bubble3D val="0"/>
            <c:spPr>
              <a:noFill/>
              <a:ln w="3175">
                <a:noFill/>
              </a:ln>
            </c:spPr>
            <c:extLst xmlns:c16r2="http://schemas.microsoft.com/office/drawing/2015/06/chart">
              <c:ext xmlns:c16="http://schemas.microsoft.com/office/drawing/2014/chart" uri="{C3380CC4-5D6E-409C-BE32-E72D297353CC}">
                <c16:uniqueId val="{0000002B-B42E-4FA1-B775-F67D66307F9D}"/>
              </c:ext>
            </c:extLst>
          </c:dPt>
          <c:dPt>
            <c:idx val="16"/>
            <c:invertIfNegative val="0"/>
            <c:bubble3D val="0"/>
            <c:spPr>
              <a:noFill/>
              <a:ln w="3175">
                <a:noFill/>
              </a:ln>
            </c:spPr>
            <c:extLst xmlns:c16r2="http://schemas.microsoft.com/office/drawing/2015/06/chart">
              <c:ext xmlns:c16="http://schemas.microsoft.com/office/drawing/2014/chart" uri="{C3380CC4-5D6E-409C-BE32-E72D297353CC}">
                <c16:uniqueId val="{0000002D-B42E-4FA1-B775-F67D66307F9D}"/>
              </c:ext>
            </c:extLst>
          </c:dPt>
          <c:dPt>
            <c:idx val="17"/>
            <c:invertIfNegative val="0"/>
            <c:bubble3D val="0"/>
            <c:spPr>
              <a:noFill/>
              <a:ln w="3175">
                <a:noFill/>
              </a:ln>
            </c:spPr>
            <c:extLst xmlns:c16r2="http://schemas.microsoft.com/office/drawing/2015/06/chart">
              <c:ext xmlns:c16="http://schemas.microsoft.com/office/drawing/2014/chart" uri="{C3380CC4-5D6E-409C-BE32-E72D297353CC}">
                <c16:uniqueId val="{0000002F-B42E-4FA1-B775-F67D66307F9D}"/>
              </c:ext>
            </c:extLst>
          </c:dPt>
          <c:dLbls>
            <c:spPr>
              <a:solidFill>
                <a:sysClr val="window" lastClr="FFFFFF">
                  <a:lumMod val="85000"/>
                </a:sysClr>
              </a:solidFill>
              <a:ln w="6350">
                <a:solidFill>
                  <a:sysClr val="window" lastClr="FFFFFF">
                    <a:lumMod val="65000"/>
                  </a:sysClr>
                </a:solidFill>
              </a:ln>
            </c:spPr>
            <c:txPr>
              <a:bodyPr lIns="18000" tIns="18000" rIns="18000" bIns="18000"/>
              <a:lstStyle/>
              <a:p>
                <a:pPr>
                  <a:defRPr sz="750" spc="-40" baseline="0">
                    <a:latin typeface="Fira Sans" panose="020B0503050000020004" pitchFamily="34" charset="0"/>
                    <a:ea typeface="Fira Sans" panose="020B05030500000200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strRef>
              <c:f>'1 dochody,wydatki lata'!$B$16:$B$29</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strCache>
            </c:strRef>
          </c:cat>
          <c:val>
            <c:numRef>
              <c:f>'1 dochody,wydatki lata'!$E$16:$E$29</c:f>
              <c:numCache>
                <c:formatCode>0.0%</c:formatCode>
                <c:ptCount val="14"/>
                <c:pt idx="0">
                  <c:v>0.82828938620026127</c:v>
                </c:pt>
                <c:pt idx="1">
                  <c:v>0.81727697506677865</c:v>
                </c:pt>
                <c:pt idx="2">
                  <c:v>0.80476559935543546</c:v>
                </c:pt>
                <c:pt idx="3">
                  <c:v>0.78720349743175388</c:v>
                </c:pt>
                <c:pt idx="4">
                  <c:v>0.76744249131944453</c:v>
                </c:pt>
                <c:pt idx="5">
                  <c:v>0.73613535819989606</c:v>
                </c:pt>
                <c:pt idx="6">
                  <c:v>0.70084914907939955</c:v>
                </c:pt>
                <c:pt idx="7">
                  <c:v>0.68808887716173572</c:v>
                </c:pt>
                <c:pt idx="8">
                  <c:v>0.63024890449716287</c:v>
                </c:pt>
                <c:pt idx="9">
                  <c:v>0.61808672499049078</c:v>
                </c:pt>
                <c:pt idx="10">
                  <c:v>0.63487911957269394</c:v>
                </c:pt>
                <c:pt idx="11">
                  <c:v>0.61094350894223948</c:v>
                </c:pt>
                <c:pt idx="12">
                  <c:v>0.59311309465548101</c:v>
                </c:pt>
                <c:pt idx="13">
                  <c:v>0.57579973773002191</c:v>
                </c:pt>
              </c:numCache>
            </c:numRef>
          </c:val>
          <c:extLst xmlns:c16r2="http://schemas.microsoft.com/office/drawing/2015/06/chart">
            <c:ext xmlns:c16="http://schemas.microsoft.com/office/drawing/2014/chart" uri="{C3380CC4-5D6E-409C-BE32-E72D297353CC}">
              <c16:uniqueId val="{00000030-B42E-4FA1-B775-F67D66307F9D}"/>
            </c:ext>
          </c:extLst>
        </c:ser>
        <c:dLbls>
          <c:showLegendKey val="0"/>
          <c:showVal val="0"/>
          <c:showCatName val="0"/>
          <c:showSerName val="0"/>
          <c:showPercent val="0"/>
          <c:showBubbleSize val="0"/>
        </c:dLbls>
        <c:gapWidth val="20"/>
        <c:overlap val="80"/>
        <c:axId val="-1110470128"/>
        <c:axId val="-1110476656"/>
      </c:barChart>
      <c:catAx>
        <c:axId val="-1110470128"/>
        <c:scaling>
          <c:orientation val="minMax"/>
        </c:scaling>
        <c:delete val="0"/>
        <c:axPos val="b"/>
        <c:numFmt formatCode="General" sourceLinked="1"/>
        <c:majorTickMark val="out"/>
        <c:minorTickMark val="none"/>
        <c:tickLblPos val="nextTo"/>
        <c:spPr>
          <a:ln w="9525">
            <a:solidFill>
              <a:sysClr val="windowText" lastClr="000000"/>
            </a:solidFill>
          </a:ln>
        </c:spPr>
        <c:txPr>
          <a:bodyPr/>
          <a:lstStyle/>
          <a:p>
            <a:pPr>
              <a:defRPr sz="800"/>
            </a:pPr>
            <a:endParaRPr lang="pl-PL"/>
          </a:p>
        </c:txPr>
        <c:crossAx val="-1110476656"/>
        <c:crosses val="autoZero"/>
        <c:auto val="1"/>
        <c:lblAlgn val="ctr"/>
        <c:lblOffset val="100"/>
        <c:noMultiLvlLbl val="0"/>
      </c:catAx>
      <c:valAx>
        <c:axId val="-1110476656"/>
        <c:scaling>
          <c:orientation val="minMax"/>
          <c:max val="4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10470128"/>
        <c:crosses val="autoZero"/>
        <c:crossBetween val="between"/>
        <c:majorUnit val="1000"/>
      </c:valAx>
    </c:plotArea>
    <c:legend>
      <c:legendPos val="r"/>
      <c:layout>
        <c:manualLayout>
          <c:xMode val="edge"/>
          <c:yMode val="edge"/>
          <c:x val="6.1517077936845847E-2"/>
          <c:y val="0.11670408180445725"/>
          <c:w val="0.92112358212568168"/>
          <c:h val="7.5411800360307771E-2"/>
        </c:manualLayout>
      </c:layout>
      <c:overlay val="0"/>
      <c:spPr>
        <a:noFill/>
        <a:ln w="6350">
          <a:noFill/>
        </a:ln>
      </c:spPr>
      <c:txPr>
        <a:bodyPr/>
        <a:lstStyle/>
        <a:p>
          <a:pPr rtl="0">
            <a:defRPr/>
          </a:pPr>
          <a:endParaRPr lang="pl-PL"/>
        </a:p>
      </c:tx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401242936860488E-2"/>
          <c:y val="0.27403557087738273"/>
          <c:w val="0.94791300027622971"/>
          <c:h val="0.55433558886188095"/>
        </c:manualLayout>
      </c:layout>
      <c:barChart>
        <c:barDir val="col"/>
        <c:grouping val="clustered"/>
        <c:varyColors val="0"/>
        <c:ser>
          <c:idx val="0"/>
          <c:order val="0"/>
          <c:tx>
            <c:strRef>
              <c:f>'34 spożycie kwintyle'!$B$12</c:f>
              <c:strCache>
                <c:ptCount val="1"/>
                <c:pt idx="0">
                  <c:v>first quintile group</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kwintyle'!$C$12:$I$12</c:f>
              <c:numCache>
                <c:formatCode>0.00</c:formatCode>
                <c:ptCount val="7"/>
                <c:pt idx="0">
                  <c:v>4.6399999999999997</c:v>
                </c:pt>
                <c:pt idx="1">
                  <c:v>4.5</c:v>
                </c:pt>
                <c:pt idx="2">
                  <c:v>6.46</c:v>
                </c:pt>
                <c:pt idx="3">
                  <c:v>3.1</c:v>
                </c:pt>
                <c:pt idx="4">
                  <c:v>0.91</c:v>
                </c:pt>
                <c:pt idx="5">
                  <c:v>0.65</c:v>
                </c:pt>
                <c:pt idx="6">
                  <c:v>5.26</c:v>
                </c:pt>
              </c:numCache>
            </c:numRef>
          </c:val>
          <c:extLst xmlns:c16r2="http://schemas.microsoft.com/office/drawing/2015/06/chart">
            <c:ext xmlns:c16="http://schemas.microsoft.com/office/drawing/2014/chart" uri="{C3380CC4-5D6E-409C-BE32-E72D297353CC}">
              <c16:uniqueId val="{00000000-833E-4A37-A340-22FCC81C3528}"/>
            </c:ext>
          </c:extLst>
        </c:ser>
        <c:ser>
          <c:idx val="2"/>
          <c:order val="2"/>
          <c:tx>
            <c:strRef>
              <c:f>'34 spożycie kwintyle'!$B$14</c:f>
              <c:strCache>
                <c:ptCount val="1"/>
                <c:pt idx="0">
                  <c:v>fifth quintile group</c:v>
                </c:pt>
              </c:strCache>
            </c:strRef>
          </c:tx>
          <c:spPr>
            <a:solidFill>
              <a:srgbClr val="339D67"/>
            </a:solidFill>
            <a:scene3d>
              <a:camera prst="orthographicFront"/>
              <a:lightRig rig="threePt" dir="t"/>
            </a:scene3d>
          </c:spPr>
          <c:invertIfNegative val="0"/>
          <c:dLbls>
            <c:dLbl>
              <c:idx val="2"/>
              <c:layout>
                <c:manualLayout>
                  <c:x val="0"/>
                  <c:y val="8.932559178204554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3E-4A37-A340-22FCC81C3528}"/>
                </c:ext>
                <c:ext xmlns:c15="http://schemas.microsoft.com/office/drawing/2012/chart" uri="{CE6537A1-D6FC-4f65-9D91-7224C49458BB}">
                  <c15:layout/>
                </c:ext>
              </c:extLst>
            </c:dLbl>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kwintyle'!$C$14:$I$14</c:f>
              <c:numCache>
                <c:formatCode>0.00</c:formatCode>
                <c:ptCount val="7"/>
                <c:pt idx="0">
                  <c:v>5.12</c:v>
                </c:pt>
                <c:pt idx="1">
                  <c:v>4.9000000000000004</c:v>
                </c:pt>
                <c:pt idx="2">
                  <c:v>7.71</c:v>
                </c:pt>
                <c:pt idx="3">
                  <c:v>4.9400000000000004</c:v>
                </c:pt>
                <c:pt idx="4">
                  <c:v>1.37</c:v>
                </c:pt>
                <c:pt idx="5">
                  <c:v>0.56999999999999995</c:v>
                </c:pt>
                <c:pt idx="6">
                  <c:v>6.98</c:v>
                </c:pt>
              </c:numCache>
            </c:numRef>
          </c:val>
          <c:extLst xmlns:c16r2="http://schemas.microsoft.com/office/drawing/2015/06/chart">
            <c:ext xmlns:c16="http://schemas.microsoft.com/office/drawing/2014/chart" uri="{C3380CC4-5D6E-409C-BE32-E72D297353CC}">
              <c16:uniqueId val="{00000002-833E-4A37-A340-22FCC81C3528}"/>
            </c:ext>
          </c:extLst>
        </c:ser>
        <c:dLbls>
          <c:showLegendKey val="0"/>
          <c:showVal val="0"/>
          <c:showCatName val="0"/>
          <c:showSerName val="0"/>
          <c:showPercent val="0"/>
          <c:showBubbleSize val="0"/>
        </c:dLbls>
        <c:gapWidth val="60"/>
        <c:axId val="-1078487104"/>
        <c:axId val="-1078482208"/>
      </c:barChart>
      <c:barChart>
        <c:barDir val="col"/>
        <c:grouping val="clustered"/>
        <c:varyColors val="0"/>
        <c:ser>
          <c:idx val="1"/>
          <c:order val="1"/>
          <c:tx>
            <c:strRef>
              <c:f>'34 spożycie kwintyle'!$B$13</c:f>
              <c:strCache>
                <c:ptCount val="1"/>
                <c:pt idx="0">
                  <c:v>of which bread</c:v>
                </c:pt>
              </c:strCache>
            </c:strRef>
          </c:tx>
          <c:spPr>
            <a:solidFill>
              <a:sysClr val="window" lastClr="FFFFFF">
                <a:lumMod val="65000"/>
              </a:sysClr>
            </a:solidFill>
            <a:scene3d>
              <a:camera prst="orthographicFront"/>
              <a:lightRig rig="threePt" dir="t"/>
            </a:scene3d>
          </c:spPr>
          <c:invertIfNegative val="0"/>
          <c:dPt>
            <c:idx val="0"/>
            <c:invertIfNegative val="0"/>
            <c:bubble3D val="0"/>
            <c:spPr>
              <a:solidFill>
                <a:sysClr val="window" lastClr="FFFFFF">
                  <a:lumMod val="65000"/>
                </a:sysClr>
              </a:solidFill>
              <a:ln w="6350">
                <a:solidFill>
                  <a:sysClr val="window" lastClr="FFFFFF">
                    <a:lumMod val="50000"/>
                  </a:sysClr>
                </a:solidFill>
              </a:ln>
              <a:scene3d>
                <a:camera prst="orthographicFront"/>
                <a:lightRig rig="threePt" dir="t"/>
              </a:scene3d>
            </c:spPr>
            <c:extLst xmlns:c16r2="http://schemas.microsoft.com/office/drawing/2015/06/chart">
              <c:ext xmlns:c16="http://schemas.microsoft.com/office/drawing/2014/chart" uri="{C3380CC4-5D6E-409C-BE32-E72D297353CC}">
                <c16:uniqueId val="{00000004-833E-4A37-A340-22FCC81C3528}"/>
              </c:ext>
            </c:extLst>
          </c:dPt>
          <c:dPt>
            <c:idx val="2"/>
            <c:invertIfNegative val="0"/>
            <c:bubble3D val="0"/>
            <c:spPr>
              <a:solidFill>
                <a:sysClr val="windowText" lastClr="000000">
                  <a:lumMod val="65000"/>
                  <a:lumOff val="35000"/>
                </a:sysClr>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6-833E-4A37-A340-22FCC81C3528}"/>
              </c:ext>
            </c:extLst>
          </c:dPt>
          <c:dLbls>
            <c:dLbl>
              <c:idx val="0"/>
              <c:numFmt formatCode="#,##0.0" sourceLinked="0"/>
              <c:spPr/>
              <c:txPr>
                <a:bodyPr/>
                <a:lstStyle/>
                <a:p>
                  <a:pPr>
                    <a:defRPr/>
                  </a:pPr>
                  <a:endParaRPr lang="pl-PL"/>
                </a:p>
              </c:txPr>
              <c:dLblPos val="inEnd"/>
              <c:showLegendKey val="0"/>
              <c:showVal val="1"/>
              <c:showCatName val="0"/>
              <c:showSerName val="0"/>
              <c:showPercent val="0"/>
              <c:showBubbleSize val="0"/>
            </c:dLbl>
            <c:dLbl>
              <c:idx val="1"/>
              <c:delete val="1"/>
              <c:extLst xmlns:c16r2="http://schemas.microsoft.com/office/drawing/2015/06/chart">
                <c:ext xmlns:c16="http://schemas.microsoft.com/office/drawing/2014/chart" uri="{C3380CC4-5D6E-409C-BE32-E72D297353CC}">
                  <c16:uniqueId val="{00000007-833E-4A37-A340-22FCC81C3528}"/>
                </c:ext>
                <c:ext xmlns:c15="http://schemas.microsoft.com/office/drawing/2012/chart" uri="{CE6537A1-D6FC-4f65-9D91-7224C49458BB}"/>
              </c:extLst>
            </c:dLbl>
            <c:dLbl>
              <c:idx val="2"/>
              <c:numFmt formatCode="#,##0.0" sourceLinked="0"/>
              <c:spPr/>
              <c:txPr>
                <a:bodyPr/>
                <a:lstStyle/>
                <a:p>
                  <a:pPr>
                    <a:defRPr>
                      <a:solidFill>
                        <a:schemeClr val="bg1"/>
                      </a:solidFill>
                    </a:defRPr>
                  </a:pPr>
                  <a:endParaRPr lang="pl-PL"/>
                </a:p>
              </c:txPr>
              <c:dLblPos val="inEnd"/>
              <c:showLegendKey val="0"/>
              <c:showVal val="1"/>
              <c:showCatName val="0"/>
              <c:showSerName val="0"/>
              <c:showPercent val="0"/>
              <c:showBubbleSize val="0"/>
            </c:dLbl>
            <c:dLbl>
              <c:idx val="3"/>
              <c:delete val="1"/>
              <c:extLst xmlns:c16r2="http://schemas.microsoft.com/office/drawing/2015/06/chart">
                <c:ext xmlns:c16="http://schemas.microsoft.com/office/drawing/2014/chart" uri="{C3380CC4-5D6E-409C-BE32-E72D297353CC}">
                  <c16:uniqueId val="{00000008-833E-4A37-A340-22FCC81C352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833E-4A37-A340-22FCC81C352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A-833E-4A37-A340-22FCC81C352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B-833E-4A37-A340-22FCC81C3528}"/>
                </c:ext>
                <c:ext xmlns:c15="http://schemas.microsoft.com/office/drawing/2012/chart" uri="{CE6537A1-D6FC-4f65-9D91-7224C49458BB}"/>
              </c:extLst>
            </c:dLbl>
            <c:numFmt formatCode="#,##0.0" sourceLinked="0"/>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kwintyle'!$C$13:$I$13</c:f>
              <c:numCache>
                <c:formatCode>General</c:formatCode>
                <c:ptCount val="7"/>
                <c:pt idx="0" formatCode="0.00">
                  <c:v>2.38</c:v>
                </c:pt>
                <c:pt idx="2" formatCode="0.00">
                  <c:v>2.4</c:v>
                </c:pt>
              </c:numCache>
            </c:numRef>
          </c:val>
          <c:extLst xmlns:c16r2="http://schemas.microsoft.com/office/drawing/2015/06/chart">
            <c:ext xmlns:c16="http://schemas.microsoft.com/office/drawing/2014/chart" uri="{C3380CC4-5D6E-409C-BE32-E72D297353CC}">
              <c16:uniqueId val="{0000000C-833E-4A37-A340-22FCC81C3528}"/>
            </c:ext>
          </c:extLst>
        </c:ser>
        <c:ser>
          <c:idx val="3"/>
          <c:order val="3"/>
          <c:tx>
            <c:strRef>
              <c:f>'34 spożycie kwintyle'!$B$15</c:f>
              <c:strCache>
                <c:ptCount val="1"/>
                <c:pt idx="0">
                  <c:v>of which potatoes</c:v>
                </c:pt>
              </c:strCache>
            </c:strRef>
          </c:tx>
          <c:spPr>
            <a:solidFill>
              <a:sysClr val="windowText" lastClr="000000">
                <a:lumMod val="65000"/>
                <a:lumOff val="35000"/>
              </a:sysClr>
            </a:solidFill>
            <a:scene3d>
              <a:camera prst="orthographicFront"/>
              <a:lightRig rig="threePt" dir="t"/>
            </a:scene3d>
          </c:spPr>
          <c:invertIfNegative val="0"/>
          <c:dPt>
            <c:idx val="0"/>
            <c:invertIfNegative val="0"/>
            <c:bubble3D val="0"/>
            <c:spPr>
              <a:solidFill>
                <a:sysClr val="window" lastClr="FFFFFF">
                  <a:lumMod val="65000"/>
                </a:sysClr>
              </a:solidFill>
              <a:ln w="6350">
                <a:solidFill>
                  <a:sysClr val="window" lastClr="FFFFFF">
                    <a:lumMod val="50000"/>
                  </a:sysClr>
                </a:solidFill>
              </a:ln>
              <a:scene3d>
                <a:camera prst="orthographicFront"/>
                <a:lightRig rig="threePt" dir="t"/>
              </a:scene3d>
            </c:spPr>
            <c:extLst xmlns:c16r2="http://schemas.microsoft.com/office/drawing/2015/06/chart">
              <c:ext xmlns:c16="http://schemas.microsoft.com/office/drawing/2014/chart" uri="{C3380CC4-5D6E-409C-BE32-E72D297353CC}">
                <c16:uniqueId val="{0000000E-833E-4A37-A340-22FCC81C3528}"/>
              </c:ext>
            </c:extLst>
          </c:dPt>
          <c:dPt>
            <c:idx val="2"/>
            <c:invertIfNegative val="0"/>
            <c:bubble3D val="0"/>
            <c:spPr>
              <a:solidFill>
                <a:sysClr val="windowText" lastClr="000000">
                  <a:lumMod val="65000"/>
                  <a:lumOff val="35000"/>
                </a:sysClr>
              </a:solidFill>
              <a:ln>
                <a:solidFill>
                  <a:sysClr val="window" lastClr="FFFFFF">
                    <a:lumMod val="50000"/>
                  </a:sysClr>
                </a:solidFill>
              </a:ln>
              <a:scene3d>
                <a:camera prst="orthographicFront"/>
                <a:lightRig rig="threePt" dir="t"/>
              </a:scene3d>
            </c:spPr>
            <c:extLst xmlns:c16r2="http://schemas.microsoft.com/office/drawing/2015/06/chart">
              <c:ext xmlns:c16="http://schemas.microsoft.com/office/drawing/2014/chart" uri="{C3380CC4-5D6E-409C-BE32-E72D297353CC}">
                <c16:uniqueId val="{0000000F-833E-4A37-A340-22FCC81C3528}"/>
              </c:ext>
            </c:extLst>
          </c:dPt>
          <c:dLbls>
            <c:dLbl>
              <c:idx val="0"/>
              <c:numFmt formatCode="#,##0.0" sourceLinked="0"/>
              <c:spPr/>
              <c:txPr>
                <a:bodyPr/>
                <a:lstStyle/>
                <a:p>
                  <a:pPr>
                    <a:defRPr>
                      <a:solidFill>
                        <a:sysClr val="windowText" lastClr="000000"/>
                      </a:solidFill>
                    </a:defRPr>
                  </a:pPr>
                  <a:endParaRPr lang="pl-PL"/>
                </a:p>
              </c:txPr>
              <c:dLblPos val="inEnd"/>
              <c:showLegendKey val="0"/>
              <c:showVal val="1"/>
              <c:showCatName val="0"/>
              <c:showSerName val="0"/>
              <c:showPercent val="0"/>
              <c:showBubbleSize val="0"/>
            </c:dLbl>
            <c:dLbl>
              <c:idx val="1"/>
              <c:delete val="1"/>
              <c:extLst xmlns:c16r2="http://schemas.microsoft.com/office/drawing/2015/06/chart">
                <c:ext xmlns:c16="http://schemas.microsoft.com/office/drawing/2014/chart" uri="{C3380CC4-5D6E-409C-BE32-E72D297353CC}">
                  <c16:uniqueId val="{00000010-833E-4A37-A340-22FCC81C3528}"/>
                </c:ext>
                <c:ext xmlns:c15="http://schemas.microsoft.com/office/drawing/2012/chart" uri="{CE6537A1-D6FC-4f65-9D91-7224C49458BB}"/>
              </c:extLst>
            </c:dLbl>
            <c:dLbl>
              <c:idx val="2"/>
              <c:numFmt formatCode="#,##0.0" sourceLinked="0"/>
              <c:spPr/>
              <c:txPr>
                <a:bodyPr/>
                <a:lstStyle/>
                <a:p>
                  <a:pPr>
                    <a:defRPr>
                      <a:solidFill>
                        <a:schemeClr val="bg1"/>
                      </a:solidFill>
                    </a:defRPr>
                  </a:pPr>
                  <a:endParaRPr lang="pl-PL"/>
                </a:p>
              </c:txPr>
              <c:dLblPos val="inEnd"/>
              <c:showLegendKey val="0"/>
              <c:showVal val="1"/>
              <c:showCatName val="0"/>
              <c:showSerName val="0"/>
              <c:showPercent val="0"/>
              <c:showBubbleSize val="0"/>
            </c:dLbl>
            <c:dLbl>
              <c:idx val="3"/>
              <c:delete val="1"/>
              <c:extLst xmlns:c16r2="http://schemas.microsoft.com/office/drawing/2015/06/chart">
                <c:ext xmlns:c16="http://schemas.microsoft.com/office/drawing/2014/chart" uri="{C3380CC4-5D6E-409C-BE32-E72D297353CC}">
                  <c16:uniqueId val="{00000011-833E-4A37-A340-22FCC81C352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2-833E-4A37-A340-22FCC81C352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3-833E-4A37-A340-22FCC81C352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4-833E-4A37-A340-22FCC81C3528}"/>
                </c:ex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a:solidFill>
                      <a:schemeClr val="bg1"/>
                    </a:solidFill>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'34 spożycie kwintyle'!$C$11:$I$11</c:f>
              <c:strCache>
                <c:ptCount val="7"/>
                <c:pt idx="0">
                  <c:v>bread and cereals</c:v>
                </c:pt>
                <c:pt idx="1">
                  <c:v>meat</c:v>
                </c:pt>
                <c:pt idx="2">
                  <c:v>vegetables</c:v>
                </c:pt>
                <c:pt idx="3">
                  <c:v>fruit</c:v>
                </c:pt>
                <c:pt idx="4">
                  <c:v>cheese and curd</c:v>
                </c:pt>
                <c:pt idx="5">
                  <c:v>sugar</c:v>
                </c:pt>
                <c:pt idx="6">
                  <c:v>mineral and spring waters
(in l)</c:v>
                </c:pt>
              </c:strCache>
            </c:strRef>
          </c:cat>
          <c:val>
            <c:numRef>
              <c:f>'34 spożycie kwintyle'!$C$15:$I$15</c:f>
              <c:numCache>
                <c:formatCode>General</c:formatCode>
                <c:ptCount val="7"/>
                <c:pt idx="0" formatCode="0.00">
                  <c:v>2.4900000000000002</c:v>
                </c:pt>
                <c:pt idx="2" formatCode="0.00">
                  <c:v>2.1800000000000002</c:v>
                </c:pt>
              </c:numCache>
            </c:numRef>
          </c:val>
          <c:extLst xmlns:c16r2="http://schemas.microsoft.com/office/drawing/2015/06/chart">
            <c:ext xmlns:c16="http://schemas.microsoft.com/office/drawing/2014/chart" uri="{C3380CC4-5D6E-409C-BE32-E72D297353CC}">
              <c16:uniqueId val="{00000015-833E-4A37-A340-22FCC81C3528}"/>
            </c:ext>
          </c:extLst>
        </c:ser>
        <c:dLbls>
          <c:showLegendKey val="0"/>
          <c:showVal val="0"/>
          <c:showCatName val="0"/>
          <c:showSerName val="0"/>
          <c:showPercent val="0"/>
          <c:showBubbleSize val="0"/>
        </c:dLbls>
        <c:gapWidth val="130"/>
        <c:overlap val="-45"/>
        <c:axId val="-1078491456"/>
        <c:axId val="-1078493088"/>
      </c:barChart>
      <c:catAx>
        <c:axId val="-1078487104"/>
        <c:scaling>
          <c:orientation val="minMax"/>
        </c:scaling>
        <c:delete val="0"/>
        <c:axPos val="b"/>
        <c:numFmt formatCode="General" sourceLinked="1"/>
        <c:majorTickMark val="out"/>
        <c:minorTickMark val="none"/>
        <c:tickLblPos val="nextTo"/>
        <c:spPr>
          <a:ln w="9525">
            <a:solidFill>
              <a:sysClr val="windowText" lastClr="000000"/>
            </a:solidFill>
          </a:ln>
        </c:spPr>
        <c:txPr>
          <a:bodyPr/>
          <a:lstStyle/>
          <a:p>
            <a:pPr>
              <a:defRPr sz="800" spc="-20" baseline="0"/>
            </a:pPr>
            <a:endParaRPr lang="pl-PL"/>
          </a:p>
        </c:txPr>
        <c:crossAx val="-1078482208"/>
        <c:crosses val="autoZero"/>
        <c:auto val="1"/>
        <c:lblAlgn val="ctr"/>
        <c:lblOffset val="100"/>
        <c:noMultiLvlLbl val="0"/>
      </c:catAx>
      <c:valAx>
        <c:axId val="-1078482208"/>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078487104"/>
        <c:crosses val="autoZero"/>
        <c:crossBetween val="between"/>
        <c:majorUnit val="2"/>
      </c:valAx>
      <c:valAx>
        <c:axId val="-1078493088"/>
        <c:scaling>
          <c:orientation val="minMax"/>
          <c:max val="12"/>
        </c:scaling>
        <c:delete val="1"/>
        <c:axPos val="r"/>
        <c:numFmt formatCode="0.00" sourceLinked="1"/>
        <c:majorTickMark val="out"/>
        <c:minorTickMark val="none"/>
        <c:tickLblPos val="none"/>
        <c:crossAx val="-1078491456"/>
        <c:crosses val="max"/>
        <c:crossBetween val="between"/>
      </c:valAx>
      <c:catAx>
        <c:axId val="-1078491456"/>
        <c:scaling>
          <c:orientation val="minMax"/>
        </c:scaling>
        <c:delete val="1"/>
        <c:axPos val="b"/>
        <c:numFmt formatCode="General" sourceLinked="1"/>
        <c:majorTickMark val="out"/>
        <c:minorTickMark val="none"/>
        <c:tickLblPos val="none"/>
        <c:crossAx val="-1078493088"/>
        <c:crosses val="autoZero"/>
        <c:auto val="1"/>
        <c:lblAlgn val="ctr"/>
        <c:lblOffset val="100"/>
        <c:noMultiLvlLbl val="0"/>
      </c:catAx>
    </c:plotArea>
    <c:legend>
      <c:legendPos val="r"/>
      <c:layout>
        <c:manualLayout>
          <c:xMode val="edge"/>
          <c:yMode val="edge"/>
          <c:x val="0.36816953291771964"/>
          <c:y val="0.15643934338716134"/>
          <c:w val="0.63013931551601787"/>
          <c:h val="0.11035980613869749"/>
        </c:manualLayout>
      </c:layout>
      <c:overlay val="0"/>
      <c:spPr>
        <a:no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896610961933961E-2"/>
          <c:y val="0.26467946761901534"/>
          <c:w val="0.94580564934031819"/>
          <c:h val="0.5552349455593063"/>
        </c:manualLayout>
      </c:layout>
      <c:barChart>
        <c:barDir val="col"/>
        <c:grouping val="clustered"/>
        <c:varyColors val="0"/>
        <c:ser>
          <c:idx val="0"/>
          <c:order val="0"/>
          <c:tx>
            <c:strRef>
              <c:f>'35 spożycie miasto wieś'!$C$14</c:f>
              <c:strCache>
                <c:ptCount val="1"/>
                <c:pt idx="0">
                  <c:v>Urban areas</c:v>
                </c:pt>
              </c:strCache>
            </c:strRef>
          </c:tx>
          <c:spPr>
            <a:solidFill>
              <a:srgbClr val="99CEB3"/>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'35 spożycie miasto wieś'!$B$15:$B$21</c:f>
              <c:strCache>
                <c:ptCount val="7"/>
                <c:pt idx="0">
                  <c:v>bread and cereals</c:v>
                </c:pt>
                <c:pt idx="1">
                  <c:v>meat</c:v>
                </c:pt>
                <c:pt idx="2">
                  <c:v>vegetables</c:v>
                </c:pt>
                <c:pt idx="3">
                  <c:v>fruit</c:v>
                </c:pt>
                <c:pt idx="4">
                  <c:v>cheese and curd</c:v>
                </c:pt>
                <c:pt idx="5">
                  <c:v>sugar</c:v>
                </c:pt>
                <c:pt idx="6">
                  <c:v>mineral and spring waters
(in l)</c:v>
                </c:pt>
              </c:strCache>
            </c:strRef>
          </c:cat>
          <c:val>
            <c:numRef>
              <c:f>'35 spożycie miasto wieś'!$C$15:$C$21</c:f>
              <c:numCache>
                <c:formatCode>0.00</c:formatCode>
                <c:ptCount val="7"/>
                <c:pt idx="0">
                  <c:v>4.8</c:v>
                </c:pt>
                <c:pt idx="1">
                  <c:v>4.72</c:v>
                </c:pt>
                <c:pt idx="2">
                  <c:v>7.22</c:v>
                </c:pt>
                <c:pt idx="3">
                  <c:v>4.2699999999999996</c:v>
                </c:pt>
                <c:pt idx="4">
                  <c:v>1.17</c:v>
                </c:pt>
                <c:pt idx="5">
                  <c:v>0.54</c:v>
                </c:pt>
                <c:pt idx="6">
                  <c:v>5.98</c:v>
                </c:pt>
              </c:numCache>
            </c:numRef>
          </c:val>
          <c:extLst xmlns:c16r2="http://schemas.microsoft.com/office/drawing/2015/06/chart">
            <c:ext xmlns:c16="http://schemas.microsoft.com/office/drawing/2014/chart" uri="{C3380CC4-5D6E-409C-BE32-E72D297353CC}">
              <c16:uniqueId val="{00000000-C971-4430-9B2D-A81CF9D5E6C0}"/>
            </c:ext>
          </c:extLst>
        </c:ser>
        <c:ser>
          <c:idx val="2"/>
          <c:order val="2"/>
          <c:tx>
            <c:strRef>
              <c:f>'35 spożycie miasto wieś'!$E$14</c:f>
              <c:strCache>
                <c:ptCount val="1"/>
                <c:pt idx="0">
                  <c:v>Rural areas</c:v>
                </c:pt>
              </c:strCache>
            </c:strRef>
          </c:tx>
          <c:spPr>
            <a:solidFill>
              <a:srgbClr val="339D67"/>
            </a:solidFill>
            <a:scene3d>
              <a:camera prst="orthographicFront"/>
              <a:lightRig rig="threePt" dir="t"/>
            </a:scene3d>
          </c:spPr>
          <c:invertIfNegative val="0"/>
          <c:dLbls>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'35 spożycie miasto wieś'!$B$15:$B$21</c:f>
              <c:strCache>
                <c:ptCount val="7"/>
                <c:pt idx="0">
                  <c:v>bread and cereals</c:v>
                </c:pt>
                <c:pt idx="1">
                  <c:v>meat</c:v>
                </c:pt>
                <c:pt idx="2">
                  <c:v>vegetables</c:v>
                </c:pt>
                <c:pt idx="3">
                  <c:v>fruit</c:v>
                </c:pt>
                <c:pt idx="4">
                  <c:v>cheese and curd</c:v>
                </c:pt>
                <c:pt idx="5">
                  <c:v>sugar</c:v>
                </c:pt>
                <c:pt idx="6">
                  <c:v>mineral and spring waters
(in l)</c:v>
                </c:pt>
              </c:strCache>
            </c:strRef>
          </c:cat>
          <c:val>
            <c:numRef>
              <c:f>'35 spożycie miasto wieś'!$E$15:$E$21</c:f>
              <c:numCache>
                <c:formatCode>0.00</c:formatCode>
                <c:ptCount val="7"/>
                <c:pt idx="0">
                  <c:v>5.28</c:v>
                </c:pt>
                <c:pt idx="1">
                  <c:v>5.42</c:v>
                </c:pt>
                <c:pt idx="2">
                  <c:v>7.06</c:v>
                </c:pt>
                <c:pt idx="3">
                  <c:v>3.49</c:v>
                </c:pt>
                <c:pt idx="4">
                  <c:v>1</c:v>
                </c:pt>
                <c:pt idx="5">
                  <c:v>0.8</c:v>
                </c:pt>
                <c:pt idx="6">
                  <c:v>6.27</c:v>
                </c:pt>
              </c:numCache>
            </c:numRef>
          </c:val>
          <c:extLst xmlns:c16r2="http://schemas.microsoft.com/office/drawing/2015/06/chart">
            <c:ext xmlns:c16="http://schemas.microsoft.com/office/drawing/2014/chart" uri="{C3380CC4-5D6E-409C-BE32-E72D297353CC}">
              <c16:uniqueId val="{00000001-C971-4430-9B2D-A81CF9D5E6C0}"/>
            </c:ext>
          </c:extLst>
        </c:ser>
        <c:dLbls>
          <c:showLegendKey val="0"/>
          <c:showVal val="0"/>
          <c:showCatName val="0"/>
          <c:showSerName val="0"/>
          <c:showPercent val="0"/>
          <c:showBubbleSize val="0"/>
        </c:dLbls>
        <c:gapWidth val="60"/>
        <c:axId val="-1078490912"/>
        <c:axId val="-1078494720"/>
      </c:barChart>
      <c:barChart>
        <c:barDir val="col"/>
        <c:grouping val="clustered"/>
        <c:varyColors val="0"/>
        <c:ser>
          <c:idx val="1"/>
          <c:order val="1"/>
          <c:tx>
            <c:strRef>
              <c:f>'35 spożycie miasto wieś'!$D$14</c:f>
              <c:strCache>
                <c:ptCount val="1"/>
                <c:pt idx="0">
                  <c:v>of which bread</c:v>
                </c:pt>
              </c:strCache>
            </c:strRef>
          </c:tx>
          <c:spPr>
            <a:solidFill>
              <a:sysClr val="window" lastClr="FFFFFF">
                <a:lumMod val="65000"/>
              </a:sysClr>
            </a:solidFill>
            <a:scene3d>
              <a:camera prst="orthographicFront"/>
              <a:lightRig rig="threePt" dir="t"/>
            </a:scene3d>
          </c:spPr>
          <c:invertIfNegative val="0"/>
          <c:dPt>
            <c:idx val="0"/>
            <c:invertIfNegative val="0"/>
            <c:bubble3D val="0"/>
            <c:spPr>
              <a:solidFill>
                <a:sysClr val="window" lastClr="FFFFFF">
                  <a:lumMod val="65000"/>
                </a:sysClr>
              </a:solidFill>
              <a:ln w="6350">
                <a:solidFill>
                  <a:sysClr val="window" lastClr="FFFFFF">
                    <a:lumMod val="50000"/>
                  </a:sysClr>
                </a:solidFill>
              </a:ln>
              <a:scene3d>
                <a:camera prst="orthographicFront"/>
                <a:lightRig rig="threePt" dir="t"/>
              </a:scene3d>
            </c:spPr>
            <c:extLst xmlns:c16r2="http://schemas.microsoft.com/office/drawing/2015/06/chart">
              <c:ext xmlns:c16="http://schemas.microsoft.com/office/drawing/2014/chart" uri="{C3380CC4-5D6E-409C-BE32-E72D297353CC}">
                <c16:uniqueId val="{00000003-C971-4430-9B2D-A81CF9D5E6C0}"/>
              </c:ext>
            </c:extLst>
          </c:dPt>
          <c:dPt>
            <c:idx val="2"/>
            <c:invertIfNegative val="0"/>
            <c:bubble3D val="0"/>
            <c:spPr>
              <a:solidFill>
                <a:sysClr val="windowText" lastClr="000000">
                  <a:lumMod val="65000"/>
                  <a:lumOff val="35000"/>
                </a:sysClr>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5-C971-4430-9B2D-A81CF9D5E6C0}"/>
              </c:ext>
            </c:extLst>
          </c:dPt>
          <c:dLbls>
            <c:dLbl>
              <c:idx val="0"/>
              <c:numFmt formatCode="#,##0.0" sourceLinked="0"/>
              <c:spPr/>
              <c:txPr>
                <a:bodyPr/>
                <a:lstStyle/>
                <a:p>
                  <a:pPr>
                    <a:defRPr/>
                  </a:pPr>
                  <a:endParaRPr lang="pl-PL"/>
                </a:p>
              </c:txPr>
              <c:dLblPos val="inEnd"/>
              <c:showLegendKey val="0"/>
              <c:showVal val="1"/>
              <c:showCatName val="0"/>
              <c:showSerName val="0"/>
              <c:showPercent val="0"/>
              <c:showBubbleSize val="0"/>
            </c:dLbl>
            <c:dLbl>
              <c:idx val="1"/>
              <c:delete val="1"/>
              <c:extLst xmlns:c16r2="http://schemas.microsoft.com/office/drawing/2015/06/chart">
                <c:ext xmlns:c16="http://schemas.microsoft.com/office/drawing/2014/chart" uri="{C3380CC4-5D6E-409C-BE32-E72D297353CC}">
                  <c16:uniqueId val="{00000006-C971-4430-9B2D-A81CF9D5E6C0}"/>
                </c:ext>
                <c:ext xmlns:c15="http://schemas.microsoft.com/office/drawing/2012/chart" uri="{CE6537A1-D6FC-4f65-9D91-7224C49458BB}"/>
              </c:extLst>
            </c:dLbl>
            <c:dLbl>
              <c:idx val="2"/>
              <c:numFmt formatCode="#,##0.0" sourceLinked="0"/>
              <c:spPr/>
              <c:txPr>
                <a:bodyPr/>
                <a:lstStyle/>
                <a:p>
                  <a:pPr>
                    <a:defRPr>
                      <a:solidFill>
                        <a:schemeClr val="bg1"/>
                      </a:solidFill>
                    </a:defRPr>
                  </a:pPr>
                  <a:endParaRPr lang="pl-PL"/>
                </a:p>
              </c:txPr>
              <c:dLblPos val="inEnd"/>
              <c:showLegendKey val="0"/>
              <c:showVal val="1"/>
              <c:showCatName val="0"/>
              <c:showSerName val="0"/>
              <c:showPercent val="0"/>
              <c:showBubbleSize val="0"/>
            </c:dLbl>
            <c:dLbl>
              <c:idx val="3"/>
              <c:delete val="1"/>
              <c:extLst xmlns:c16r2="http://schemas.microsoft.com/office/drawing/2015/06/chart">
                <c:ext xmlns:c16="http://schemas.microsoft.com/office/drawing/2014/chart" uri="{C3380CC4-5D6E-409C-BE32-E72D297353CC}">
                  <c16:uniqueId val="{00000007-C971-4430-9B2D-A81CF9D5E6C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8-C971-4430-9B2D-A81CF9D5E6C0}"/>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C971-4430-9B2D-A81CF9D5E6C0}"/>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A-C971-4430-9B2D-A81CF9D5E6C0}"/>
                </c:ext>
                <c:ext xmlns:c15="http://schemas.microsoft.com/office/drawing/2012/chart" uri="{CE6537A1-D6FC-4f65-9D91-7224C49458BB}"/>
              </c:extLst>
            </c:dLbl>
            <c:numFmt formatCode="#,##0.0" sourceLinked="0"/>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'35 spożycie miasto wieś'!$B$15:$B$21</c:f>
              <c:strCache>
                <c:ptCount val="7"/>
                <c:pt idx="0">
                  <c:v>bread and cereals</c:v>
                </c:pt>
                <c:pt idx="1">
                  <c:v>meat</c:v>
                </c:pt>
                <c:pt idx="2">
                  <c:v>vegetables</c:v>
                </c:pt>
                <c:pt idx="3">
                  <c:v>fruit</c:v>
                </c:pt>
                <c:pt idx="4">
                  <c:v>cheese and curd</c:v>
                </c:pt>
                <c:pt idx="5">
                  <c:v>sugar</c:v>
                </c:pt>
                <c:pt idx="6">
                  <c:v>mineral and spring waters
(in l)</c:v>
                </c:pt>
              </c:strCache>
            </c:strRef>
          </c:cat>
          <c:val>
            <c:numRef>
              <c:f>'35 spożycie miasto wieś'!$D$15:$D$21</c:f>
              <c:numCache>
                <c:formatCode>General</c:formatCode>
                <c:ptCount val="7"/>
                <c:pt idx="0" formatCode="0.00">
                  <c:v>2.36</c:v>
                </c:pt>
                <c:pt idx="2" formatCode="0.00">
                  <c:v>2.2200000000000002</c:v>
                </c:pt>
              </c:numCache>
            </c:numRef>
          </c:val>
          <c:extLst xmlns:c16r2="http://schemas.microsoft.com/office/drawing/2015/06/chart">
            <c:ext xmlns:c16="http://schemas.microsoft.com/office/drawing/2014/chart" uri="{C3380CC4-5D6E-409C-BE32-E72D297353CC}">
              <c16:uniqueId val="{0000000B-C971-4430-9B2D-A81CF9D5E6C0}"/>
            </c:ext>
          </c:extLst>
        </c:ser>
        <c:ser>
          <c:idx val="3"/>
          <c:order val="3"/>
          <c:tx>
            <c:strRef>
              <c:f>'35 spożycie miasto wieś'!$F$14</c:f>
              <c:strCache>
                <c:ptCount val="1"/>
                <c:pt idx="0">
                  <c:v>of which potatoes</c:v>
                </c:pt>
              </c:strCache>
            </c:strRef>
          </c:tx>
          <c:spPr>
            <a:solidFill>
              <a:sysClr val="windowText" lastClr="000000">
                <a:lumMod val="65000"/>
                <a:lumOff val="35000"/>
              </a:sysClr>
            </a:solidFill>
            <a:scene3d>
              <a:camera prst="orthographicFront"/>
              <a:lightRig rig="threePt" dir="t"/>
            </a:scene3d>
          </c:spPr>
          <c:invertIfNegative val="0"/>
          <c:dPt>
            <c:idx val="0"/>
            <c:invertIfNegative val="0"/>
            <c:bubble3D val="0"/>
            <c:spPr>
              <a:solidFill>
                <a:sysClr val="window" lastClr="FFFFFF">
                  <a:lumMod val="65000"/>
                </a:sysClr>
              </a:solidFill>
              <a:ln w="6350">
                <a:solidFill>
                  <a:sysClr val="window" lastClr="FFFFFF">
                    <a:lumMod val="50000"/>
                  </a:sysClr>
                </a:solidFill>
              </a:ln>
              <a:scene3d>
                <a:camera prst="orthographicFront"/>
                <a:lightRig rig="threePt" dir="t"/>
              </a:scene3d>
            </c:spPr>
            <c:extLst xmlns:c16r2="http://schemas.microsoft.com/office/drawing/2015/06/chart">
              <c:ext xmlns:c16="http://schemas.microsoft.com/office/drawing/2014/chart" uri="{C3380CC4-5D6E-409C-BE32-E72D297353CC}">
                <c16:uniqueId val="{0000000D-C971-4430-9B2D-A81CF9D5E6C0}"/>
              </c:ext>
            </c:extLst>
          </c:dPt>
          <c:dPt>
            <c:idx val="2"/>
            <c:invertIfNegative val="0"/>
            <c:bubble3D val="0"/>
            <c:spPr>
              <a:solidFill>
                <a:sysClr val="windowText" lastClr="000000">
                  <a:lumMod val="65000"/>
                  <a:lumOff val="35000"/>
                </a:sysClr>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E-C971-4430-9B2D-A81CF9D5E6C0}"/>
              </c:ext>
            </c:extLst>
          </c:dPt>
          <c:dLbls>
            <c:dLbl>
              <c:idx val="0"/>
              <c:numFmt formatCode="#,##0.0" sourceLinked="0"/>
              <c:spPr/>
              <c:txPr>
                <a:bodyPr/>
                <a:lstStyle/>
                <a:p>
                  <a:pPr>
                    <a:defRPr>
                      <a:solidFill>
                        <a:sysClr val="windowText" lastClr="000000"/>
                      </a:solidFill>
                    </a:defRPr>
                  </a:pPr>
                  <a:endParaRPr lang="pl-PL"/>
                </a:p>
              </c:txPr>
              <c:dLblPos val="inEnd"/>
              <c:showLegendKey val="0"/>
              <c:showVal val="1"/>
              <c:showCatName val="0"/>
              <c:showSerName val="0"/>
              <c:showPercent val="0"/>
              <c:showBubbleSize val="0"/>
            </c:dLbl>
            <c:dLbl>
              <c:idx val="1"/>
              <c:delete val="1"/>
              <c:extLst xmlns:c16r2="http://schemas.microsoft.com/office/drawing/2015/06/chart">
                <c:ext xmlns:c16="http://schemas.microsoft.com/office/drawing/2014/chart" uri="{C3380CC4-5D6E-409C-BE32-E72D297353CC}">
                  <c16:uniqueId val="{0000000F-C971-4430-9B2D-A81CF9D5E6C0}"/>
                </c:ext>
                <c:ext xmlns:c15="http://schemas.microsoft.com/office/drawing/2012/chart" uri="{CE6537A1-D6FC-4f65-9D91-7224C49458BB}"/>
              </c:extLst>
            </c:dLbl>
            <c:dLbl>
              <c:idx val="2"/>
              <c:numFmt formatCode="#,##0.0" sourceLinked="0"/>
              <c:spPr/>
              <c:txPr>
                <a:bodyPr/>
                <a:lstStyle/>
                <a:p>
                  <a:pPr>
                    <a:defRPr>
                      <a:solidFill>
                        <a:schemeClr val="bg1"/>
                      </a:solidFill>
                    </a:defRPr>
                  </a:pPr>
                  <a:endParaRPr lang="pl-PL"/>
                </a:p>
              </c:txPr>
              <c:dLblPos val="inEnd"/>
              <c:showLegendKey val="0"/>
              <c:showVal val="1"/>
              <c:showCatName val="0"/>
              <c:showSerName val="0"/>
              <c:showPercent val="0"/>
              <c:showBubbleSize val="0"/>
            </c:dLbl>
            <c:dLbl>
              <c:idx val="3"/>
              <c:delete val="1"/>
              <c:extLst xmlns:c16r2="http://schemas.microsoft.com/office/drawing/2015/06/chart">
                <c:ext xmlns:c16="http://schemas.microsoft.com/office/drawing/2014/chart" uri="{C3380CC4-5D6E-409C-BE32-E72D297353CC}">
                  <c16:uniqueId val="{00000010-C971-4430-9B2D-A81CF9D5E6C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1-C971-4430-9B2D-A81CF9D5E6C0}"/>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2-C971-4430-9B2D-A81CF9D5E6C0}"/>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3-C971-4430-9B2D-A81CF9D5E6C0}"/>
                </c:ex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a:solidFill>
                      <a:schemeClr val="bg1"/>
                    </a:solidFill>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'35 spożycie miasto wieś'!$B$15:$B$21</c:f>
              <c:strCache>
                <c:ptCount val="7"/>
                <c:pt idx="0">
                  <c:v>bread and cereals</c:v>
                </c:pt>
                <c:pt idx="1">
                  <c:v>meat</c:v>
                </c:pt>
                <c:pt idx="2">
                  <c:v>vegetables</c:v>
                </c:pt>
                <c:pt idx="3">
                  <c:v>fruit</c:v>
                </c:pt>
                <c:pt idx="4">
                  <c:v>cheese and curd</c:v>
                </c:pt>
                <c:pt idx="5">
                  <c:v>sugar</c:v>
                </c:pt>
                <c:pt idx="6">
                  <c:v>mineral and spring waters
(in l)</c:v>
                </c:pt>
              </c:strCache>
            </c:strRef>
          </c:cat>
          <c:val>
            <c:numRef>
              <c:f>'35 spożycie miasto wieś'!$F$15:$F$21</c:f>
              <c:numCache>
                <c:formatCode>General</c:formatCode>
                <c:ptCount val="7"/>
                <c:pt idx="0" formatCode="0.00">
                  <c:v>2.74</c:v>
                </c:pt>
                <c:pt idx="2" formatCode="0.00">
                  <c:v>2.57</c:v>
                </c:pt>
              </c:numCache>
            </c:numRef>
          </c:val>
          <c:extLst xmlns:c16r2="http://schemas.microsoft.com/office/drawing/2015/06/chart">
            <c:ext xmlns:c16="http://schemas.microsoft.com/office/drawing/2014/chart" uri="{C3380CC4-5D6E-409C-BE32-E72D297353CC}">
              <c16:uniqueId val="{00000014-C971-4430-9B2D-A81CF9D5E6C0}"/>
            </c:ext>
          </c:extLst>
        </c:ser>
        <c:dLbls>
          <c:showLegendKey val="0"/>
          <c:showVal val="0"/>
          <c:showCatName val="0"/>
          <c:showSerName val="0"/>
          <c:showPercent val="0"/>
          <c:showBubbleSize val="0"/>
        </c:dLbls>
        <c:gapWidth val="130"/>
        <c:overlap val="-45"/>
        <c:axId val="-1078486560"/>
        <c:axId val="-1078481120"/>
      </c:barChart>
      <c:catAx>
        <c:axId val="-1078490912"/>
        <c:scaling>
          <c:orientation val="minMax"/>
        </c:scaling>
        <c:delete val="0"/>
        <c:axPos val="b"/>
        <c:numFmt formatCode="General" sourceLinked="1"/>
        <c:majorTickMark val="out"/>
        <c:minorTickMark val="none"/>
        <c:tickLblPos val="nextTo"/>
        <c:spPr>
          <a:ln w="9525">
            <a:solidFill>
              <a:sysClr val="windowText" lastClr="000000"/>
            </a:solidFill>
          </a:ln>
        </c:spPr>
        <c:txPr>
          <a:bodyPr/>
          <a:lstStyle/>
          <a:p>
            <a:pPr>
              <a:defRPr sz="800" spc="-10" baseline="0"/>
            </a:pPr>
            <a:endParaRPr lang="pl-PL"/>
          </a:p>
        </c:txPr>
        <c:crossAx val="-1078494720"/>
        <c:crosses val="autoZero"/>
        <c:auto val="1"/>
        <c:lblAlgn val="ctr"/>
        <c:lblOffset val="100"/>
        <c:noMultiLvlLbl val="0"/>
      </c:catAx>
      <c:valAx>
        <c:axId val="-1078494720"/>
        <c:scaling>
          <c:orientation val="minMax"/>
          <c:max val="1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078490912"/>
        <c:crosses val="autoZero"/>
        <c:crossBetween val="between"/>
        <c:majorUnit val="2"/>
      </c:valAx>
      <c:valAx>
        <c:axId val="-1078481120"/>
        <c:scaling>
          <c:orientation val="minMax"/>
          <c:max val="12"/>
        </c:scaling>
        <c:delete val="1"/>
        <c:axPos val="r"/>
        <c:numFmt formatCode="0.00" sourceLinked="1"/>
        <c:majorTickMark val="out"/>
        <c:minorTickMark val="none"/>
        <c:tickLblPos val="none"/>
        <c:crossAx val="-1078486560"/>
        <c:crosses val="max"/>
        <c:crossBetween val="between"/>
      </c:valAx>
      <c:catAx>
        <c:axId val="-1078486560"/>
        <c:scaling>
          <c:orientation val="minMax"/>
        </c:scaling>
        <c:delete val="1"/>
        <c:axPos val="b"/>
        <c:numFmt formatCode="General" sourceLinked="1"/>
        <c:majorTickMark val="out"/>
        <c:minorTickMark val="none"/>
        <c:tickLblPos val="none"/>
        <c:crossAx val="-1078481120"/>
        <c:crosses val="autoZero"/>
        <c:auto val="1"/>
        <c:lblAlgn val="ctr"/>
        <c:lblOffset val="100"/>
        <c:noMultiLvlLbl val="0"/>
      </c:catAx>
    </c:plotArea>
    <c:legend>
      <c:legendPos val="r"/>
      <c:layout>
        <c:manualLayout>
          <c:xMode val="edge"/>
          <c:yMode val="edge"/>
          <c:x val="0.37352624525504419"/>
          <c:y val="0.15093289767854529"/>
          <c:w val="0.62385962446401155"/>
          <c:h val="0.10459382414883391"/>
        </c:manualLayout>
      </c:layout>
      <c:overlay val="0"/>
      <c:spPr>
        <a:noFill/>
        <a:ln w="6350">
          <a:noFill/>
        </a:ln>
      </c:sp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013728302549544E-2"/>
          <c:y val="0.25195082573441208"/>
          <c:w val="0.91803058831108364"/>
          <c:h val="0.60884812078902506"/>
        </c:manualLayout>
      </c:layout>
      <c:barChart>
        <c:barDir val="col"/>
        <c:grouping val="clustered"/>
        <c:varyColors val="0"/>
        <c:ser>
          <c:idx val="0"/>
          <c:order val="0"/>
          <c:tx>
            <c:strRef>
              <c:f>'37 wyposażenie kwintyl I i V'!$C$19</c:f>
              <c:strCache>
                <c:ptCount val="1"/>
                <c:pt idx="0">
                  <c:v>first quintile group</c:v>
                </c:pt>
              </c:strCache>
            </c:strRef>
          </c:tx>
          <c:spPr>
            <a:solidFill>
              <a:srgbClr val="99A4C8"/>
            </a:solidFill>
            <a:scene3d>
              <a:camera prst="orthographicFront"/>
              <a:lightRig rig="threePt" dir="t"/>
            </a:scene3d>
          </c:spPr>
          <c:invertIfNegative val="0"/>
          <c:dLbls>
            <c:numFmt formatCode="0.0%" sourceLinked="0"/>
            <c:spPr>
              <a:noFill/>
              <a:ln>
                <a:noFill/>
              </a:ln>
              <a:effectLst/>
            </c:spPr>
            <c:txPr>
              <a:bodyPr rot="0" vert="horz"/>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'37 wyposażenie kwintyl I i V'!$B$20:$B$24</c:f>
              <c:strCache>
                <c:ptCount val="5"/>
                <c:pt idx="0">
                  <c:v>access to the Internet</c:v>
                </c:pt>
                <c:pt idx="1">
                  <c:v>smartphone</c:v>
                </c:pt>
                <c:pt idx="2">
                  <c:v>TV set</c:v>
                </c:pt>
                <c:pt idx="3">
                  <c:v>dishwasher</c:v>
                </c:pt>
                <c:pt idx="4">
                  <c:v>passenger car</c:v>
                </c:pt>
              </c:strCache>
            </c:strRef>
          </c:cat>
          <c:val>
            <c:numRef>
              <c:f>'37 wyposażenie kwintyl I i V'!$C$20:$C$24</c:f>
              <c:numCache>
                <c:formatCode>0.0%</c:formatCode>
                <c:ptCount val="5"/>
                <c:pt idx="0">
                  <c:v>0.89700000000000002</c:v>
                </c:pt>
                <c:pt idx="1">
                  <c:v>0.89599999999999991</c:v>
                </c:pt>
                <c:pt idx="2">
                  <c:v>0.94299999999999995</c:v>
                </c:pt>
                <c:pt idx="3">
                  <c:v>0.52200000000000002</c:v>
                </c:pt>
                <c:pt idx="4">
                  <c:v>0.70599999999999996</c:v>
                </c:pt>
              </c:numCache>
            </c:numRef>
          </c:val>
          <c:extLst xmlns:c16r2="http://schemas.microsoft.com/office/drawing/2015/06/chart">
            <c:ext xmlns:c16="http://schemas.microsoft.com/office/drawing/2014/chart" uri="{C3380CC4-5D6E-409C-BE32-E72D297353CC}">
              <c16:uniqueId val="{00000003-83F9-4C43-8C12-340F2656A5F6}"/>
            </c:ext>
          </c:extLst>
        </c:ser>
        <c:ser>
          <c:idx val="1"/>
          <c:order val="1"/>
          <c:tx>
            <c:strRef>
              <c:f>'37 wyposażenie kwintyl I i V'!$D$19</c:f>
              <c:strCache>
                <c:ptCount val="1"/>
                <c:pt idx="0">
                  <c:v>fifth quintile group</c:v>
                </c:pt>
              </c:strCache>
            </c:strRef>
          </c:tx>
          <c:spPr>
            <a:solidFill>
              <a:srgbClr val="6677AD"/>
            </a:solidFill>
            <a:ln w="3175">
              <a:noFill/>
            </a:ln>
            <a:scene3d>
              <a:camera prst="orthographicFront"/>
              <a:lightRig rig="threePt" dir="t"/>
            </a:scene3d>
          </c:spPr>
          <c:invertIfNegative val="0"/>
          <c:dPt>
            <c:idx val="1"/>
            <c:invertIfNegative val="0"/>
            <c:bubble3D val="0"/>
            <c:extLst xmlns:c16r2="http://schemas.microsoft.com/office/drawing/2015/06/chart">
              <c:ext xmlns:c16="http://schemas.microsoft.com/office/drawing/2014/chart" uri="{C3380CC4-5D6E-409C-BE32-E72D297353CC}">
                <c16:uniqueId val="{00000000-3DEC-40FD-B5A0-013FF43D3949}"/>
              </c:ext>
            </c:extLst>
          </c:dPt>
          <c:dPt>
            <c:idx val="3"/>
            <c:invertIfNegative val="0"/>
            <c:bubble3D val="0"/>
            <c:extLst xmlns:c16r2="http://schemas.microsoft.com/office/drawing/2015/06/chart">
              <c:ext xmlns:c16="http://schemas.microsoft.com/office/drawing/2014/chart" uri="{C3380CC4-5D6E-409C-BE32-E72D297353CC}">
                <c16:uniqueId val="{00000001-3DEC-40FD-B5A0-013FF43D3949}"/>
              </c:ext>
            </c:extLst>
          </c:dPt>
          <c:dLbls>
            <c:numFmt formatCode="0.0%" sourceLinked="0"/>
            <c:spPr>
              <a:noFill/>
              <a:ln>
                <a:noFill/>
              </a:ln>
              <a:effectLst/>
            </c:spPr>
            <c:txPr>
              <a:bodyPr rot="0" vert="horz"/>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'37 wyposażenie kwintyl I i V'!$B$20:$B$24</c:f>
              <c:strCache>
                <c:ptCount val="5"/>
                <c:pt idx="0">
                  <c:v>access to the Internet</c:v>
                </c:pt>
                <c:pt idx="1">
                  <c:v>smartphone</c:v>
                </c:pt>
                <c:pt idx="2">
                  <c:v>TV set</c:v>
                </c:pt>
                <c:pt idx="3">
                  <c:v>dishwasher</c:v>
                </c:pt>
                <c:pt idx="4">
                  <c:v>passenger car</c:v>
                </c:pt>
              </c:strCache>
            </c:strRef>
          </c:cat>
          <c:val>
            <c:numRef>
              <c:f>'37 wyposażenie kwintyl I i V'!$D$20:$D$24</c:f>
              <c:numCache>
                <c:formatCode>0.0%</c:formatCode>
                <c:ptCount val="5"/>
                <c:pt idx="0">
                  <c:v>0.97</c:v>
                </c:pt>
                <c:pt idx="1">
                  <c:v>0.95799999999999996</c:v>
                </c:pt>
                <c:pt idx="2">
                  <c:v>0.91</c:v>
                </c:pt>
                <c:pt idx="3">
                  <c:v>0.75</c:v>
                </c:pt>
                <c:pt idx="4">
                  <c:v>0.82</c:v>
                </c:pt>
              </c:numCache>
            </c:numRef>
          </c:val>
          <c:extLst xmlns:c16r2="http://schemas.microsoft.com/office/drawing/2015/06/chart">
            <c:ext xmlns:c16="http://schemas.microsoft.com/office/drawing/2014/chart" uri="{C3380CC4-5D6E-409C-BE32-E72D297353CC}">
              <c16:uniqueId val="{00000009-83F9-4C43-8C12-340F2656A5F6}"/>
            </c:ext>
          </c:extLst>
        </c:ser>
        <c:dLbls>
          <c:showLegendKey val="0"/>
          <c:showVal val="0"/>
          <c:showCatName val="0"/>
          <c:showSerName val="0"/>
          <c:showPercent val="0"/>
          <c:showBubbleSize val="0"/>
        </c:dLbls>
        <c:gapWidth val="70"/>
        <c:axId val="-1078495264"/>
        <c:axId val="-1078483840"/>
      </c:barChart>
      <c:catAx>
        <c:axId val="-1078495264"/>
        <c:scaling>
          <c:orientation val="minMax"/>
        </c:scaling>
        <c:delete val="0"/>
        <c:axPos val="b"/>
        <c:numFmt formatCode="General" sourceLinked="1"/>
        <c:majorTickMark val="out"/>
        <c:minorTickMark val="none"/>
        <c:tickLblPos val="nextTo"/>
        <c:spPr>
          <a:ln w="9525">
            <a:solidFill>
              <a:sysClr val="windowText" lastClr="000000"/>
            </a:solidFill>
          </a:ln>
        </c:spPr>
        <c:crossAx val="-1078483840"/>
        <c:crosses val="autoZero"/>
        <c:auto val="1"/>
        <c:lblAlgn val="ctr"/>
        <c:lblOffset val="100"/>
        <c:noMultiLvlLbl val="0"/>
      </c:catAx>
      <c:valAx>
        <c:axId val="-1078483840"/>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crossAx val="-1078495264"/>
        <c:crosses val="autoZero"/>
        <c:crossBetween val="between"/>
        <c:majorUnit val="0.2"/>
      </c:valAx>
    </c:plotArea>
    <c:legend>
      <c:legendPos val="r"/>
      <c:layout>
        <c:manualLayout>
          <c:xMode val="edge"/>
          <c:yMode val="edge"/>
          <c:x val="0.52697867954307864"/>
          <c:y val="0.10207646724571799"/>
          <c:w val="0.46918455572376622"/>
          <c:h val="8.344328093008993E-2"/>
        </c:manualLayout>
      </c:layout>
      <c:overlay val="0"/>
      <c:spPr>
        <a:solidFill>
          <a:schemeClr val="bg1"/>
        </a:solidFill>
        <a:ln w="6350">
          <a:noFill/>
        </a:ln>
      </c:spPr>
    </c:legend>
    <c:plotVisOnly val="1"/>
    <c:dispBlanksAs val="gap"/>
    <c:showDLblsOverMax val="0"/>
  </c:chart>
  <c:spPr>
    <a:ln>
      <a:noFill/>
    </a:ln>
  </c:spPr>
  <c:txPr>
    <a:bodyPr/>
    <a:lstStyle/>
    <a:p>
      <a:pPr>
        <a:spcBef>
          <a:spcPts val="1200"/>
        </a:spcBef>
        <a:spcAft>
          <a:spcPts val="1200"/>
        </a:spcAft>
        <a:defRPr sz="900">
          <a:solidFill>
            <a:sysClr val="windowText" lastClr="000000"/>
          </a:solidFill>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013728302549544E-2"/>
          <c:y val="0.21858980976603193"/>
          <c:w val="0.9179991586213494"/>
          <c:h val="0.63802577121244819"/>
        </c:manualLayout>
      </c:layout>
      <c:barChart>
        <c:barDir val="col"/>
        <c:grouping val="clustered"/>
        <c:varyColors val="0"/>
        <c:ser>
          <c:idx val="0"/>
          <c:order val="0"/>
          <c:tx>
            <c:strRef>
              <c:f>'38 wyposażenie miasto wieś'!$C$19</c:f>
              <c:strCache>
                <c:ptCount val="1"/>
                <c:pt idx="0">
                  <c:v>Urban areas</c:v>
                </c:pt>
              </c:strCache>
            </c:strRef>
          </c:tx>
          <c:spPr>
            <a:solidFill>
              <a:srgbClr val="99A4C8"/>
            </a:solidFill>
            <a:scene3d>
              <a:camera prst="orthographicFront"/>
              <a:lightRig rig="threePt" dir="t"/>
            </a:scene3d>
          </c:spPr>
          <c:invertIfNegative val="0"/>
          <c:dLbls>
            <c:numFmt formatCode="0.0%" sourceLinked="0"/>
            <c:spPr>
              <a:noFill/>
              <a:ln>
                <a:noFill/>
              </a:ln>
              <a:effectLst/>
            </c:spPr>
            <c:txPr>
              <a:bodyPr rot="0" vert="horz"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'38 wyposażenie miasto wieś'!$B$20:$B$24</c:f>
              <c:strCache>
                <c:ptCount val="5"/>
                <c:pt idx="0">
                  <c:v>access to the Internet</c:v>
                </c:pt>
                <c:pt idx="1">
                  <c:v>smartphone</c:v>
                </c:pt>
                <c:pt idx="2">
                  <c:v>TV set</c:v>
                </c:pt>
                <c:pt idx="3">
                  <c:v>dishwasher</c:v>
                </c:pt>
                <c:pt idx="4">
                  <c:v>passenger car</c:v>
                </c:pt>
              </c:strCache>
            </c:strRef>
          </c:cat>
          <c:val>
            <c:numRef>
              <c:f>'38 wyposażenie miasto wieś'!$C$20:$C$24</c:f>
              <c:numCache>
                <c:formatCode>0.0%</c:formatCode>
                <c:ptCount val="5"/>
                <c:pt idx="0">
                  <c:v>0.91299999999999992</c:v>
                </c:pt>
                <c:pt idx="1">
                  <c:v>0.91400000000000003</c:v>
                </c:pt>
                <c:pt idx="2">
                  <c:v>0.93599999999999994</c:v>
                </c:pt>
                <c:pt idx="3">
                  <c:v>0.60199999999999998</c:v>
                </c:pt>
                <c:pt idx="4">
                  <c:v>0.67700000000000005</c:v>
                </c:pt>
              </c:numCache>
            </c:numRef>
          </c:val>
          <c:extLst xmlns:c16r2="http://schemas.microsoft.com/office/drawing/2015/06/chart">
            <c:ext xmlns:c16="http://schemas.microsoft.com/office/drawing/2014/chart" uri="{C3380CC4-5D6E-409C-BE32-E72D297353CC}">
              <c16:uniqueId val="{00000003-0341-420C-803E-6BF3DB669A51}"/>
            </c:ext>
          </c:extLst>
        </c:ser>
        <c:ser>
          <c:idx val="1"/>
          <c:order val="1"/>
          <c:tx>
            <c:strRef>
              <c:f>'38 wyposażenie miasto wieś'!$D$19</c:f>
              <c:strCache>
                <c:ptCount val="1"/>
                <c:pt idx="0">
                  <c:v>Rural areas</c:v>
                </c:pt>
              </c:strCache>
            </c:strRef>
          </c:tx>
          <c:spPr>
            <a:solidFill>
              <a:srgbClr val="6677AD"/>
            </a:solidFill>
            <a:ln w="3175">
              <a:noFill/>
            </a:ln>
            <a:scene3d>
              <a:camera prst="orthographicFront"/>
              <a:lightRig rig="threePt" dir="t"/>
            </a:scene3d>
          </c:spPr>
          <c:invertIfNegative val="0"/>
          <c:dPt>
            <c:idx val="1"/>
            <c:invertIfNegative val="0"/>
            <c:bubble3D val="0"/>
            <c:extLst xmlns:c16r2="http://schemas.microsoft.com/office/drawing/2015/06/chart">
              <c:ext xmlns:c16="http://schemas.microsoft.com/office/drawing/2014/chart" uri="{C3380CC4-5D6E-409C-BE32-E72D297353CC}">
                <c16:uniqueId val="{00000000-8712-4AC7-95FE-3A6E2041F728}"/>
              </c:ext>
            </c:extLst>
          </c:dPt>
          <c:dPt>
            <c:idx val="3"/>
            <c:invertIfNegative val="0"/>
            <c:bubble3D val="0"/>
            <c:extLst xmlns:c16r2="http://schemas.microsoft.com/office/drawing/2015/06/chart">
              <c:ext xmlns:c16="http://schemas.microsoft.com/office/drawing/2014/chart" uri="{C3380CC4-5D6E-409C-BE32-E72D297353CC}">
                <c16:uniqueId val="{00000001-8712-4AC7-95FE-3A6E2041F728}"/>
              </c:ext>
            </c:extLst>
          </c:dPt>
          <c:dLbls>
            <c:numFmt formatCode="0.0%" sourceLinked="0"/>
            <c:spPr>
              <a:noFill/>
              <a:ln>
                <a:noFill/>
              </a:ln>
              <a:effectLst/>
            </c:spPr>
            <c:txPr>
              <a:bodyPr rot="0" vert="horz"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'38 wyposażenie miasto wieś'!$B$20:$B$24</c:f>
              <c:strCache>
                <c:ptCount val="5"/>
                <c:pt idx="0">
                  <c:v>access to the Internet</c:v>
                </c:pt>
                <c:pt idx="1">
                  <c:v>smartphone</c:v>
                </c:pt>
                <c:pt idx="2">
                  <c:v>TV set</c:v>
                </c:pt>
                <c:pt idx="3">
                  <c:v>dishwasher</c:v>
                </c:pt>
                <c:pt idx="4">
                  <c:v>passenger car</c:v>
                </c:pt>
              </c:strCache>
            </c:strRef>
          </c:cat>
          <c:val>
            <c:numRef>
              <c:f>'38 wyposażenie miasto wieś'!$D$20:$D$24</c:f>
              <c:numCache>
                <c:formatCode>0.0%</c:formatCode>
                <c:ptCount val="5"/>
                <c:pt idx="0">
                  <c:v>0.90500000000000003</c:v>
                </c:pt>
                <c:pt idx="1">
                  <c:v>0.89900000000000002</c:v>
                </c:pt>
                <c:pt idx="2">
                  <c:v>0.97799999999999998</c:v>
                </c:pt>
                <c:pt idx="3">
                  <c:v>0.63100000000000001</c:v>
                </c:pt>
                <c:pt idx="4">
                  <c:v>0.871</c:v>
                </c:pt>
              </c:numCache>
            </c:numRef>
          </c:val>
          <c:extLst xmlns:c16r2="http://schemas.microsoft.com/office/drawing/2015/06/chart">
            <c:ext xmlns:c16="http://schemas.microsoft.com/office/drawing/2014/chart" uri="{C3380CC4-5D6E-409C-BE32-E72D297353CC}">
              <c16:uniqueId val="{00000009-0341-420C-803E-6BF3DB669A51}"/>
            </c:ext>
          </c:extLst>
        </c:ser>
        <c:dLbls>
          <c:showLegendKey val="0"/>
          <c:showVal val="0"/>
          <c:showCatName val="0"/>
          <c:showSerName val="0"/>
          <c:showPercent val="0"/>
          <c:showBubbleSize val="0"/>
        </c:dLbls>
        <c:gapWidth val="70"/>
        <c:axId val="-1078490368"/>
        <c:axId val="-1078489824"/>
      </c:barChart>
      <c:catAx>
        <c:axId val="-1078490368"/>
        <c:scaling>
          <c:orientation val="minMax"/>
        </c:scaling>
        <c:delete val="0"/>
        <c:axPos val="b"/>
        <c:numFmt formatCode="General" sourceLinked="1"/>
        <c:majorTickMark val="out"/>
        <c:minorTickMark val="none"/>
        <c:tickLblPos val="nextTo"/>
        <c:spPr>
          <a:ln w="9525">
            <a:solidFill>
              <a:sysClr val="windowText" lastClr="000000"/>
            </a:solidFill>
          </a:ln>
        </c:spPr>
        <c:txPr>
          <a:bodyPr/>
          <a:lstStyle/>
          <a:p>
            <a:pPr>
              <a:defRPr sz="900" spc="-10" baseline="0"/>
            </a:pPr>
            <a:endParaRPr lang="pl-PL"/>
          </a:p>
        </c:txPr>
        <c:crossAx val="-1078489824"/>
        <c:crosses val="autoZero"/>
        <c:auto val="1"/>
        <c:lblAlgn val="ctr"/>
        <c:lblOffset val="100"/>
        <c:noMultiLvlLbl val="0"/>
      </c:catAx>
      <c:valAx>
        <c:axId val="-1078489824"/>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078490368"/>
        <c:crosses val="autoZero"/>
        <c:crossBetween val="between"/>
        <c:majorUnit val="0.2"/>
      </c:valAx>
    </c:plotArea>
    <c:legend>
      <c:legendPos val="r"/>
      <c:layout>
        <c:manualLayout>
          <c:xMode val="edge"/>
          <c:yMode val="edge"/>
          <c:x val="0.63814549213330485"/>
          <c:y val="0.10312877159723333"/>
          <c:w val="0.35252379432489123"/>
          <c:h val="8.9633515715183992E-2"/>
        </c:manualLayout>
      </c:layout>
      <c:overlay val="0"/>
      <c:spPr>
        <a:solidFill>
          <a:schemeClr val="bg1"/>
        </a:solidFill>
        <a:ln w="6350">
          <a:noFill/>
        </a:ln>
      </c:spPr>
      <c:txPr>
        <a:bodyPr/>
        <a:lstStyle/>
        <a:p>
          <a:pPr>
            <a:defRPr sz="900"/>
          </a:pPr>
          <a:endParaRPr lang="pl-PL"/>
        </a:p>
      </c:txPr>
    </c:legend>
    <c:plotVisOnly val="1"/>
    <c:dispBlanksAs val="gap"/>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74E-2"/>
          <c:y val="0.25719861679433897"/>
          <c:w val="0.91803234525026134"/>
          <c:h val="0.56410324896633512"/>
        </c:manualLayout>
      </c:layout>
      <c:barChart>
        <c:barDir val="col"/>
        <c:grouping val="clustered"/>
        <c:varyColors val="0"/>
        <c:ser>
          <c:idx val="0"/>
          <c:order val="0"/>
          <c:tx>
            <c:strRef>
              <c:f>'46 w. sanit-tech. miasto wieś'!$C$13</c:f>
              <c:strCache>
                <c:ptCount val="1"/>
                <c:pt idx="0">
                  <c:v>Urban areas</c:v>
                </c:pt>
              </c:strCache>
            </c:strRef>
          </c:tx>
          <c:spPr>
            <a:solidFill>
              <a:srgbClr val="99CEB3"/>
            </a:solidFill>
            <a:ln>
              <a:noFill/>
            </a:ln>
            <a:scene3d>
              <a:camera prst="orthographicFront"/>
              <a:lightRig rig="threePt" dir="t"/>
            </a:scene3d>
          </c:spPr>
          <c:invertIfNegative val="0"/>
          <c:dLbls>
            <c:dLbl>
              <c:idx val="0"/>
              <c:layout>
                <c:manualLayout>
                  <c:x val="0"/>
                  <c:y val="-4.43043053348206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93C-44D2-AB5A-D55B5628F010}"/>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5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'46 w. sanit-tech. miasto wieś'!$B$14:$B$19</c:f>
              <c:strCache>
                <c:ptCount val="6"/>
                <c:pt idx="0">
                  <c:v>water supply</c:v>
                </c:pt>
                <c:pt idx="1">
                  <c:v>flushing toilet</c:v>
                </c:pt>
                <c:pt idx="2">
                  <c:v>bathroom</c:v>
                </c:pt>
                <c:pt idx="3">
                  <c:v>hot running water</c:v>
                </c:pt>
                <c:pt idx="4">
                  <c:v>gas (from network or cylinder)</c:v>
                </c:pt>
                <c:pt idx="5">
                  <c:v>central heating</c:v>
                </c:pt>
              </c:strCache>
            </c:strRef>
          </c:cat>
          <c:val>
            <c:numRef>
              <c:f>'46 w. sanit-tech. miasto wieś'!$C$14:$C$19</c:f>
              <c:numCache>
                <c:formatCode>0.0%</c:formatCode>
                <c:ptCount val="6"/>
                <c:pt idx="0">
                  <c:v>0.99959999999999993</c:v>
                </c:pt>
                <c:pt idx="1">
                  <c:v>0.99629999999999996</c:v>
                </c:pt>
                <c:pt idx="2">
                  <c:v>0.99439999999999995</c:v>
                </c:pt>
                <c:pt idx="3">
                  <c:v>0.99680000000000002</c:v>
                </c:pt>
                <c:pt idx="4">
                  <c:v>0.79459999999999997</c:v>
                </c:pt>
                <c:pt idx="5">
                  <c:v>0.88390000000000002</c:v>
                </c:pt>
              </c:numCache>
            </c:numRef>
          </c:val>
          <c:extLst xmlns:c16r2="http://schemas.microsoft.com/office/drawing/2015/06/chart">
            <c:ext xmlns:c16="http://schemas.microsoft.com/office/drawing/2014/chart" uri="{C3380CC4-5D6E-409C-BE32-E72D297353CC}">
              <c16:uniqueId val="{00000001-993C-44D2-AB5A-D55B5628F010}"/>
            </c:ext>
          </c:extLst>
        </c:ser>
        <c:ser>
          <c:idx val="1"/>
          <c:order val="1"/>
          <c:tx>
            <c:strRef>
              <c:f>'46 w. sanit-tech. miasto wieś'!$D$13</c:f>
              <c:strCache>
                <c:ptCount val="1"/>
                <c:pt idx="0">
                  <c:v>Rural areas</c:v>
                </c:pt>
              </c:strCache>
            </c:strRef>
          </c:tx>
          <c:spPr>
            <a:solidFill>
              <a:srgbClr val="339D67"/>
            </a:solidFill>
            <a:scene3d>
              <a:camera prst="orthographicFront"/>
              <a:lightRig rig="threePt" dir="t"/>
            </a:scene3d>
          </c:spPr>
          <c:invertIfNegative val="0"/>
          <c:dLbls>
            <c:dLbl>
              <c:idx val="0"/>
              <c:layout>
                <c:manualLayout>
                  <c:x val="7.4358656586937435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93C-44D2-AB5A-D55B5628F010}"/>
                </c:ext>
                <c:ext xmlns:c15="http://schemas.microsoft.com/office/drawing/2012/chart" uri="{CE6537A1-D6FC-4f65-9D91-7224C49458BB}">
                  <c15:layout/>
                </c:ext>
              </c:extLst>
            </c:dLbl>
            <c:dLbl>
              <c:idx val="2"/>
              <c:layout>
                <c:manualLayout>
                  <c:x val="4.957243772462510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93C-44D2-AB5A-D55B5628F010}"/>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5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'46 w. sanit-tech. miasto wieś'!$B$14:$B$19</c:f>
              <c:strCache>
                <c:ptCount val="6"/>
                <c:pt idx="0">
                  <c:v>water supply</c:v>
                </c:pt>
                <c:pt idx="1">
                  <c:v>flushing toilet</c:v>
                </c:pt>
                <c:pt idx="2">
                  <c:v>bathroom</c:v>
                </c:pt>
                <c:pt idx="3">
                  <c:v>hot running water</c:v>
                </c:pt>
                <c:pt idx="4">
                  <c:v>gas (from network or cylinder)</c:v>
                </c:pt>
                <c:pt idx="5">
                  <c:v>central heating</c:v>
                </c:pt>
              </c:strCache>
            </c:strRef>
          </c:cat>
          <c:val>
            <c:numRef>
              <c:f>'46 w. sanit-tech. miasto wieś'!$D$14:$D$19</c:f>
              <c:numCache>
                <c:formatCode>0.0%</c:formatCode>
                <c:ptCount val="6"/>
                <c:pt idx="0">
                  <c:v>0.99900000000000011</c:v>
                </c:pt>
                <c:pt idx="1">
                  <c:v>0.98959999999999992</c:v>
                </c:pt>
                <c:pt idx="2">
                  <c:v>0.98790000000000011</c:v>
                </c:pt>
                <c:pt idx="3">
                  <c:v>0.99239999999999995</c:v>
                </c:pt>
                <c:pt idx="4">
                  <c:v>0.84699999999999998</c:v>
                </c:pt>
                <c:pt idx="5">
                  <c:v>0.84989999999999999</c:v>
                </c:pt>
              </c:numCache>
            </c:numRef>
          </c:val>
          <c:extLst xmlns:c16r2="http://schemas.microsoft.com/office/drawing/2015/06/chart">
            <c:ext xmlns:c16="http://schemas.microsoft.com/office/drawing/2014/chart" uri="{C3380CC4-5D6E-409C-BE32-E72D297353CC}">
              <c16:uniqueId val="{00000004-993C-44D2-AB5A-D55B5628F010}"/>
            </c:ext>
          </c:extLst>
        </c:ser>
        <c:dLbls>
          <c:showLegendKey val="0"/>
          <c:showVal val="0"/>
          <c:showCatName val="0"/>
          <c:showSerName val="0"/>
          <c:showPercent val="0"/>
          <c:showBubbleSize val="0"/>
        </c:dLbls>
        <c:gapWidth val="45"/>
        <c:axId val="-1078489280"/>
        <c:axId val="-1078488736"/>
      </c:barChart>
      <c:catAx>
        <c:axId val="-1078489280"/>
        <c:scaling>
          <c:orientation val="minMax"/>
        </c:scaling>
        <c:delete val="0"/>
        <c:axPos val="b"/>
        <c:numFmt formatCode="General" sourceLinked="1"/>
        <c:majorTickMark val="out"/>
        <c:minorTickMark val="none"/>
        <c:tickLblPos val="nextTo"/>
        <c:spPr>
          <a:ln w="9525">
            <a:solidFill>
              <a:sysClr val="windowText" lastClr="000000"/>
            </a:solidFill>
          </a:ln>
        </c:spPr>
        <c:crossAx val="-1078488736"/>
        <c:crosses val="autoZero"/>
        <c:auto val="1"/>
        <c:lblAlgn val="ctr"/>
        <c:lblOffset val="100"/>
        <c:noMultiLvlLbl val="0"/>
      </c:catAx>
      <c:valAx>
        <c:axId val="-1078488736"/>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078489280"/>
        <c:crosses val="autoZero"/>
        <c:crossBetween val="between"/>
        <c:majorUnit val="0.2"/>
        <c:minorUnit val="0.1"/>
      </c:valAx>
      <c:spPr>
        <a:noFill/>
        <a:ln w="25400">
          <a:noFill/>
        </a:ln>
      </c:spPr>
    </c:plotArea>
    <c:legend>
      <c:legendPos val="r"/>
      <c:layout>
        <c:manualLayout>
          <c:xMode val="edge"/>
          <c:yMode val="edge"/>
          <c:x val="0.65125264882982958"/>
          <c:y val="9.8130844408182788E-2"/>
          <c:w val="0.34472946427613022"/>
          <c:h val="9.7283306312927947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10975190601174E-2"/>
          <c:y val="0.27744036461721872"/>
          <c:w val="0.90460464476153946"/>
          <c:h val="0.5278842592592593"/>
        </c:manualLayout>
      </c:layout>
      <c:barChart>
        <c:barDir val="col"/>
        <c:grouping val="clustered"/>
        <c:varyColors val="0"/>
        <c:ser>
          <c:idx val="0"/>
          <c:order val="0"/>
          <c:tx>
            <c:strRef>
              <c:f>'47 w.sanit-tech kwintyle'!$C$13</c:f>
              <c:strCache>
                <c:ptCount val="1"/>
                <c:pt idx="0">
                  <c:v>first quintile group</c:v>
                </c:pt>
              </c:strCache>
            </c:strRef>
          </c:tx>
          <c:spPr>
            <a:solidFill>
              <a:srgbClr val="99CEB3"/>
            </a:solidFill>
            <a:ln>
              <a:noFill/>
            </a:ln>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85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'47 w.sanit-tech kwintyle'!$B$14:$B$19</c:f>
              <c:strCache>
                <c:ptCount val="6"/>
                <c:pt idx="0">
                  <c:v>water supply</c:v>
                </c:pt>
                <c:pt idx="1">
                  <c:v>flushing toilet</c:v>
                </c:pt>
                <c:pt idx="2">
                  <c:v>bathroom</c:v>
                </c:pt>
                <c:pt idx="3">
                  <c:v>hot running water</c:v>
                </c:pt>
                <c:pt idx="4">
                  <c:v>gas (from network or cylinder)</c:v>
                </c:pt>
                <c:pt idx="5">
                  <c:v>central heating</c:v>
                </c:pt>
              </c:strCache>
            </c:strRef>
          </c:cat>
          <c:val>
            <c:numRef>
              <c:f>'47 w.sanit-tech kwintyle'!$C$14:$C$19</c:f>
              <c:numCache>
                <c:formatCode>0.0%</c:formatCode>
                <c:ptCount val="6"/>
                <c:pt idx="0">
                  <c:v>0.99900000000000011</c:v>
                </c:pt>
                <c:pt idx="1">
                  <c:v>0.98510000000000009</c:v>
                </c:pt>
                <c:pt idx="2">
                  <c:v>0.97900000000000009</c:v>
                </c:pt>
                <c:pt idx="3">
                  <c:v>0.98939999999999995</c:v>
                </c:pt>
                <c:pt idx="4">
                  <c:v>0.8236</c:v>
                </c:pt>
                <c:pt idx="5">
                  <c:v>0.85239999999999994</c:v>
                </c:pt>
              </c:numCache>
            </c:numRef>
          </c:val>
          <c:extLst xmlns:c16r2="http://schemas.microsoft.com/office/drawing/2015/06/chart">
            <c:ext xmlns:c16="http://schemas.microsoft.com/office/drawing/2014/chart" uri="{C3380CC4-5D6E-409C-BE32-E72D297353CC}">
              <c16:uniqueId val="{00000000-3A62-489D-99E2-7EE87A96F2AA}"/>
            </c:ext>
          </c:extLst>
        </c:ser>
        <c:ser>
          <c:idx val="1"/>
          <c:order val="1"/>
          <c:tx>
            <c:strRef>
              <c:f>'47 w.sanit-tech kwintyle'!$D$13</c:f>
              <c:strCache>
                <c:ptCount val="1"/>
                <c:pt idx="0">
                  <c:v>fifth quintile group</c:v>
                </c:pt>
              </c:strCache>
            </c:strRef>
          </c:tx>
          <c:spPr>
            <a:solidFill>
              <a:srgbClr val="339D67"/>
            </a:solidFill>
            <a:scene3d>
              <a:camera prst="orthographicFront"/>
              <a:lightRig rig="threePt" dir="t"/>
            </a:scene3d>
          </c:spPr>
          <c:invertIfNegative val="0"/>
          <c:dLbls>
            <c:dLbl>
              <c:idx val="0"/>
              <c:layout>
                <c:manualLayout>
                  <c:x val="7.4349442379182153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62-489D-99E2-7EE87A96F2A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85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'47 w.sanit-tech kwintyle'!$B$14:$B$19</c:f>
              <c:strCache>
                <c:ptCount val="6"/>
                <c:pt idx="0">
                  <c:v>water supply</c:v>
                </c:pt>
                <c:pt idx="1">
                  <c:v>flushing toilet</c:v>
                </c:pt>
                <c:pt idx="2">
                  <c:v>bathroom</c:v>
                </c:pt>
                <c:pt idx="3">
                  <c:v>hot running water</c:v>
                </c:pt>
                <c:pt idx="4">
                  <c:v>gas (from network or cylinder)</c:v>
                </c:pt>
                <c:pt idx="5">
                  <c:v>central heating</c:v>
                </c:pt>
              </c:strCache>
            </c:strRef>
          </c:cat>
          <c:val>
            <c:numRef>
              <c:f>'47 w.sanit-tech kwintyle'!$D$14:$D$19</c:f>
              <c:numCache>
                <c:formatCode>0.0%</c:formatCode>
                <c:ptCount val="6"/>
                <c:pt idx="0">
                  <c:v>0.99980000000000002</c:v>
                </c:pt>
                <c:pt idx="1">
                  <c:v>0.99860000000000004</c:v>
                </c:pt>
                <c:pt idx="2">
                  <c:v>0.99829999999999997</c:v>
                </c:pt>
                <c:pt idx="3">
                  <c:v>0.99900000000000011</c:v>
                </c:pt>
                <c:pt idx="4">
                  <c:v>0.72250000000000003</c:v>
                </c:pt>
                <c:pt idx="5">
                  <c:v>0.90300000000000002</c:v>
                </c:pt>
              </c:numCache>
            </c:numRef>
          </c:val>
          <c:extLst xmlns:c16r2="http://schemas.microsoft.com/office/drawing/2015/06/chart">
            <c:ext xmlns:c16="http://schemas.microsoft.com/office/drawing/2014/chart" uri="{C3380CC4-5D6E-409C-BE32-E72D297353CC}">
              <c16:uniqueId val="{00000002-3A62-489D-99E2-7EE87A96F2AA}"/>
            </c:ext>
          </c:extLst>
        </c:ser>
        <c:dLbls>
          <c:showLegendKey val="0"/>
          <c:showVal val="0"/>
          <c:showCatName val="0"/>
          <c:showSerName val="0"/>
          <c:showPercent val="0"/>
          <c:showBubbleSize val="0"/>
        </c:dLbls>
        <c:gapWidth val="45"/>
        <c:axId val="-1078483296"/>
        <c:axId val="-1078488192"/>
      </c:barChart>
      <c:catAx>
        <c:axId val="-1078483296"/>
        <c:scaling>
          <c:orientation val="minMax"/>
        </c:scaling>
        <c:delete val="0"/>
        <c:axPos val="b"/>
        <c:numFmt formatCode="General" sourceLinked="1"/>
        <c:majorTickMark val="out"/>
        <c:minorTickMark val="none"/>
        <c:tickLblPos val="nextTo"/>
        <c:spPr>
          <a:ln w="9525">
            <a:solidFill>
              <a:sysClr val="windowText" lastClr="000000"/>
            </a:solidFill>
          </a:ln>
        </c:spPr>
        <c:crossAx val="-1078488192"/>
        <c:crosses val="autoZero"/>
        <c:auto val="1"/>
        <c:lblAlgn val="ctr"/>
        <c:lblOffset val="100"/>
        <c:noMultiLvlLbl val="0"/>
      </c:catAx>
      <c:valAx>
        <c:axId val="-1078488192"/>
        <c:scaling>
          <c:orientation val="minMax"/>
          <c:max val="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078483296"/>
        <c:crosses val="autoZero"/>
        <c:crossBetween val="between"/>
        <c:majorUnit val="0.2"/>
        <c:minorUnit val="0.1"/>
      </c:valAx>
      <c:spPr>
        <a:noFill/>
        <a:ln w="25400">
          <a:noFill/>
        </a:ln>
      </c:spPr>
    </c:plotArea>
    <c:legend>
      <c:legendPos val="r"/>
      <c:layout>
        <c:manualLayout>
          <c:xMode val="edge"/>
          <c:yMode val="edge"/>
          <c:x val="0.42669239606484666"/>
          <c:y val="0.10309193150766828"/>
          <c:w val="0.57093170974446039"/>
          <c:h val="8.5017760430032022E-2"/>
        </c:manualLayout>
      </c:layout>
      <c:overlay val="0"/>
      <c:spPr>
        <a:solidFill>
          <a:schemeClr val="bg1"/>
        </a:solidFill>
        <a:ln w="6350">
          <a:noFill/>
        </a:ln>
      </c:spPr>
      <c:txPr>
        <a:bodyPr/>
        <a:lstStyle/>
        <a:p>
          <a:pPr>
            <a:defRPr sz="900" spc="-10" baseline="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989963972986084"/>
          <c:y val="0.16555025318804847"/>
          <c:w val="0.806830003445553"/>
          <c:h val="0.7741467165089212"/>
        </c:manualLayout>
      </c:layout>
      <c:barChart>
        <c:barDir val="bar"/>
        <c:grouping val="clustered"/>
        <c:varyColors val="0"/>
        <c:ser>
          <c:idx val="1"/>
          <c:order val="0"/>
          <c:tx>
            <c:strRef>
              <c:f>'49 ocena syt. mat. gr. społ-ek.'!$B$20</c:f>
              <c:strCache>
                <c:ptCount val="1"/>
                <c:pt idx="0">
                  <c:v>good + rather good</c:v>
                </c:pt>
              </c:strCache>
            </c:strRef>
          </c:tx>
          <c:spPr>
            <a:solidFill>
              <a:srgbClr val="334A92"/>
            </a:solidFill>
            <a:ln w="3175">
              <a:noFill/>
            </a:ln>
            <a:effectLst/>
            <a:scene3d>
              <a:camera prst="orthographicFront"/>
              <a:lightRig rig="threePt" dir="t"/>
            </a:scene3d>
          </c:spPr>
          <c:invertIfNegative val="0"/>
          <c:dLbls>
            <c:spPr>
              <a:noFill/>
              <a:ln>
                <a:noFill/>
              </a:ln>
              <a:effectLst/>
            </c:spPr>
            <c:txPr>
              <a:bodyPr rot="0" vert="horz"/>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'49 ocena syt. mat. gr. społ-ek.'!$C$19:$H$19</c:f>
              <c:strCache>
                <c:ptCount val="6"/>
                <c:pt idx="0">
                  <c:v>Total</c:v>
                </c:pt>
                <c:pt idx="1">
                  <c:v>employees</c:v>
                </c:pt>
                <c:pt idx="2">
                  <c:v>farmers</c:v>
                </c:pt>
                <c:pt idx="3">
                  <c:v>self-employed</c:v>
                </c:pt>
                <c:pt idx="4">
                  <c:v>retirees</c:v>
                </c:pt>
                <c:pt idx="5">
                  <c:v>pensioners</c:v>
                </c:pt>
              </c:strCache>
            </c:strRef>
          </c:cat>
          <c:val>
            <c:numRef>
              <c:f>'49 ocena syt. mat. gr. społ-ek.'!$C$20:$H$20</c:f>
              <c:numCache>
                <c:formatCode>0.0%</c:formatCode>
                <c:ptCount val="6"/>
                <c:pt idx="0">
                  <c:v>0.59195219029030721</c:v>
                </c:pt>
                <c:pt idx="1">
                  <c:v>0.65861520944525698</c:v>
                </c:pt>
                <c:pt idx="2">
                  <c:v>0.54131401453580708</c:v>
                </c:pt>
                <c:pt idx="3">
                  <c:v>0.78881574914300578</c:v>
                </c:pt>
                <c:pt idx="4">
                  <c:v>0.47548791169296428</c:v>
                </c:pt>
                <c:pt idx="5">
                  <c:v>0.26034134504588774</c:v>
                </c:pt>
              </c:numCache>
            </c:numRef>
          </c:val>
          <c:extLst xmlns:c16r2="http://schemas.microsoft.com/office/drawing/2015/06/chart">
            <c:ext xmlns:c16="http://schemas.microsoft.com/office/drawing/2014/chart" uri="{C3380CC4-5D6E-409C-BE32-E72D297353CC}">
              <c16:uniqueId val="{00000000-1B86-4AB8-9353-F040CD8010B9}"/>
            </c:ext>
          </c:extLst>
        </c:ser>
        <c:ser>
          <c:idx val="0"/>
          <c:order val="1"/>
          <c:tx>
            <c:strRef>
              <c:f>'49 ocena syt. mat. gr. społ-ek.'!$B$21</c:f>
              <c:strCache>
                <c:ptCount val="1"/>
                <c:pt idx="0">
                  <c:v>neither good nor bad</c:v>
                </c:pt>
              </c:strCache>
            </c:strRef>
          </c:tx>
          <c:spPr>
            <a:solidFill>
              <a:srgbClr val="6677AD"/>
            </a:solidFill>
            <a:ln w="3175">
              <a:noFill/>
            </a:ln>
            <a:effectLst/>
            <a:scene3d>
              <a:camera prst="orthographicFront"/>
              <a:lightRig rig="threePt" dir="t"/>
            </a:scene3d>
          </c:spPr>
          <c:invertIfNegative val="0"/>
          <c:dLbls>
            <c:spPr>
              <a:noFill/>
              <a:ln>
                <a:noFill/>
              </a:ln>
              <a:effectLst/>
            </c:spPr>
            <c:txPr>
              <a:bodyPr rot="0" vert="horz"/>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'49 ocena syt. mat. gr. społ-ek.'!$C$19:$H$19</c:f>
              <c:strCache>
                <c:ptCount val="6"/>
                <c:pt idx="0">
                  <c:v>Total</c:v>
                </c:pt>
                <c:pt idx="1">
                  <c:v>employees</c:v>
                </c:pt>
                <c:pt idx="2">
                  <c:v>farmers</c:v>
                </c:pt>
                <c:pt idx="3">
                  <c:v>self-employed</c:v>
                </c:pt>
                <c:pt idx="4">
                  <c:v>retirees</c:v>
                </c:pt>
                <c:pt idx="5">
                  <c:v>pensioners</c:v>
                </c:pt>
              </c:strCache>
            </c:strRef>
          </c:cat>
          <c:val>
            <c:numRef>
              <c:f>'49 ocena syt. mat. gr. społ-ek.'!$C$21:$H$21</c:f>
              <c:numCache>
                <c:formatCode>0.0%</c:formatCode>
                <c:ptCount val="6"/>
                <c:pt idx="0">
                  <c:v>0.36550919211537802</c:v>
                </c:pt>
                <c:pt idx="1">
                  <c:v>0.31784020688169462</c:v>
                </c:pt>
                <c:pt idx="2">
                  <c:v>0.42254030977336848</c:v>
                </c:pt>
                <c:pt idx="3">
                  <c:v>0.20190684319615351</c:v>
                </c:pt>
                <c:pt idx="4">
                  <c:v>0.46872961964719789</c:v>
                </c:pt>
                <c:pt idx="5">
                  <c:v>0.5359361231987203</c:v>
                </c:pt>
              </c:numCache>
            </c:numRef>
          </c:val>
          <c:extLst xmlns:c16r2="http://schemas.microsoft.com/office/drawing/2015/06/chart">
            <c:ext xmlns:c16="http://schemas.microsoft.com/office/drawing/2014/chart" uri="{C3380CC4-5D6E-409C-BE32-E72D297353CC}">
              <c16:uniqueId val="{00000001-1B86-4AB8-9353-F040CD8010B9}"/>
            </c:ext>
          </c:extLst>
        </c:ser>
        <c:ser>
          <c:idx val="3"/>
          <c:order val="2"/>
          <c:tx>
            <c:strRef>
              <c:f>'49 ocena syt. mat. gr. społ-ek.'!$B$22</c:f>
              <c:strCache>
                <c:ptCount val="1"/>
                <c:pt idx="0">
                  <c:v>bad + rather bad</c:v>
                </c:pt>
              </c:strCache>
            </c:strRef>
          </c:tx>
          <c:spPr>
            <a:solidFill>
              <a:srgbClr val="99A4C8"/>
            </a:solidFill>
            <a:ln w="3175">
              <a:noFill/>
            </a:ln>
            <a:effectLst/>
            <a:scene3d>
              <a:camera prst="orthographicFront"/>
              <a:lightRig rig="threePt" dir="t"/>
            </a:scene3d>
          </c:spPr>
          <c:invertIfNegative val="0"/>
          <c:dLbls>
            <c:spPr>
              <a:noFill/>
              <a:ln>
                <a:noFill/>
              </a:ln>
              <a:effectLst/>
            </c:spPr>
            <c:txPr>
              <a:bodyPr rot="0" vert="horz"/>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'49 ocena syt. mat. gr. społ-ek.'!$C$19:$H$19</c:f>
              <c:strCache>
                <c:ptCount val="6"/>
                <c:pt idx="0">
                  <c:v>Total</c:v>
                </c:pt>
                <c:pt idx="1">
                  <c:v>employees</c:v>
                </c:pt>
                <c:pt idx="2">
                  <c:v>farmers</c:v>
                </c:pt>
                <c:pt idx="3">
                  <c:v>self-employed</c:v>
                </c:pt>
                <c:pt idx="4">
                  <c:v>retirees</c:v>
                </c:pt>
                <c:pt idx="5">
                  <c:v>pensioners</c:v>
                </c:pt>
              </c:strCache>
            </c:strRef>
          </c:cat>
          <c:val>
            <c:numRef>
              <c:f>'49 ocena syt. mat. gr. społ-ek.'!$C$22:$H$22</c:f>
              <c:numCache>
                <c:formatCode>0.0%</c:formatCode>
                <c:ptCount val="6"/>
                <c:pt idx="0">
                  <c:v>4.2438695088722181E-2</c:v>
                </c:pt>
                <c:pt idx="1">
                  <c:v>2.3444583673048434E-2</c:v>
                </c:pt>
                <c:pt idx="2">
                  <c:v>3.6145675690824504E-2</c:v>
                </c:pt>
                <c:pt idx="3">
                  <c:v>9.278236074775955E-3</c:v>
                </c:pt>
                <c:pt idx="4">
                  <c:v>5.5682993335050772E-2</c:v>
                </c:pt>
                <c:pt idx="5">
                  <c:v>0.20372253175539198</c:v>
                </c:pt>
              </c:numCache>
            </c:numRef>
          </c:val>
          <c:extLst xmlns:c16r2="http://schemas.microsoft.com/office/drawing/2015/06/chart">
            <c:ext xmlns:c16="http://schemas.microsoft.com/office/drawing/2014/chart" uri="{C3380CC4-5D6E-409C-BE32-E72D297353CC}">
              <c16:uniqueId val="{00000002-1B86-4AB8-9353-F040CD8010B9}"/>
            </c:ext>
          </c:extLst>
        </c:ser>
        <c:dLbls>
          <c:showLegendKey val="0"/>
          <c:showVal val="0"/>
          <c:showCatName val="0"/>
          <c:showSerName val="0"/>
          <c:showPercent val="0"/>
          <c:showBubbleSize val="0"/>
        </c:dLbls>
        <c:gapWidth val="57"/>
        <c:axId val="-1078486016"/>
        <c:axId val="-1078485472"/>
      </c:barChart>
      <c:catAx>
        <c:axId val="-1078486016"/>
        <c:scaling>
          <c:orientation val="maxMin"/>
        </c:scaling>
        <c:delete val="0"/>
        <c:axPos val="l"/>
        <c:numFmt formatCode="General" sourceLinked="1"/>
        <c:majorTickMark val="out"/>
        <c:minorTickMark val="none"/>
        <c:tickLblPos val="nextTo"/>
        <c:spPr>
          <a:ln w="9525">
            <a:solidFill>
              <a:sysClr val="windowText" lastClr="000000"/>
            </a:solidFill>
          </a:ln>
        </c:spPr>
        <c:crossAx val="-1078485472"/>
        <c:crosses val="autoZero"/>
        <c:auto val="1"/>
        <c:lblAlgn val="ctr"/>
        <c:lblOffset val="100"/>
        <c:noMultiLvlLbl val="0"/>
      </c:catAx>
      <c:valAx>
        <c:axId val="-1078485472"/>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078486016"/>
        <c:crosses val="max"/>
        <c:crossBetween val="between"/>
        <c:majorUnit val="0.2"/>
        <c:minorUnit val="0.1"/>
      </c:valAx>
    </c:plotArea>
    <c:legend>
      <c:legendPos val="r"/>
      <c:layout>
        <c:manualLayout>
          <c:xMode val="edge"/>
          <c:yMode val="edge"/>
          <c:x val="0.24042697526327245"/>
          <c:y val="8.6554521593891667E-2"/>
          <c:w val="0.75740261920588303"/>
          <c:h val="7.0388663538269836E-2"/>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941205006495794"/>
          <c:y val="0.14436811867359309"/>
          <c:w val="0.71922198828902439"/>
          <c:h val="0.78981674026651716"/>
        </c:manualLayout>
      </c:layout>
      <c:barChart>
        <c:barDir val="bar"/>
        <c:grouping val="clustered"/>
        <c:varyColors val="0"/>
        <c:ser>
          <c:idx val="2"/>
          <c:order val="0"/>
          <c:tx>
            <c:strRef>
              <c:f>'50 ocena syt. mat. miasto wieś'!$B$19</c:f>
              <c:strCache>
                <c:ptCount val="1"/>
                <c:pt idx="0">
                  <c:v>good + rather good</c:v>
                </c:pt>
              </c:strCache>
            </c:strRef>
          </c:tx>
          <c:spPr>
            <a:solidFill>
              <a:srgbClr val="334A92"/>
            </a:solidFill>
            <a:ln w="3175">
              <a:noFill/>
            </a:ln>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'50 ocena syt. mat. miasto wieś'!$C$18:$I$18</c:f>
              <c:strCache>
                <c:ptCount val="7"/>
                <c:pt idx="0">
                  <c:v>Total</c:v>
                </c:pt>
                <c:pt idx="1">
                  <c:v>Urban 
areas in total</c:v>
                </c:pt>
                <c:pt idx="2">
                  <c:v>Towns below 20
thousand</c:v>
                </c:pt>
                <c:pt idx="3">
                  <c:v>Towns 20–99 thousand</c:v>
                </c:pt>
                <c:pt idx="4">
                  <c:v>Towns and cities 100–499 thousand</c:v>
                </c:pt>
                <c:pt idx="5">
                  <c:v>Cities 500 thousand or over</c:v>
                </c:pt>
                <c:pt idx="6">
                  <c:v>Rural areas</c:v>
                </c:pt>
              </c:strCache>
            </c:strRef>
          </c:cat>
          <c:val>
            <c:numRef>
              <c:f>'50 ocena syt. mat. miasto wieś'!$C$19:$I$19</c:f>
              <c:numCache>
                <c:formatCode>0.0%</c:formatCode>
                <c:ptCount val="7"/>
                <c:pt idx="0">
                  <c:v>0.59195214441732658</c:v>
                </c:pt>
                <c:pt idx="1">
                  <c:v>0.61332704416467498</c:v>
                </c:pt>
                <c:pt idx="2">
                  <c:v>0.50982807625224846</c:v>
                </c:pt>
                <c:pt idx="3">
                  <c:v>0.58942808910424482</c:v>
                </c:pt>
                <c:pt idx="4">
                  <c:v>0.59916617321526788</c:v>
                </c:pt>
                <c:pt idx="5">
                  <c:v>0.74643963966883464</c:v>
                </c:pt>
                <c:pt idx="6">
                  <c:v>0.54976081814781497</c:v>
                </c:pt>
              </c:numCache>
            </c:numRef>
          </c:val>
          <c:extLst xmlns:c16r2="http://schemas.microsoft.com/office/drawing/2015/06/chart">
            <c:ext xmlns:c16="http://schemas.microsoft.com/office/drawing/2014/chart" uri="{C3380CC4-5D6E-409C-BE32-E72D297353CC}">
              <c16:uniqueId val="{00000000-F3AC-492D-BB88-0B4BF9F8C799}"/>
            </c:ext>
          </c:extLst>
        </c:ser>
        <c:ser>
          <c:idx val="1"/>
          <c:order val="1"/>
          <c:tx>
            <c:strRef>
              <c:f>'50 ocena syt. mat. miasto wieś'!$B$20</c:f>
              <c:strCache>
                <c:ptCount val="1"/>
                <c:pt idx="0">
                  <c:v>neither good nor bad</c:v>
                </c:pt>
              </c:strCache>
            </c:strRef>
          </c:tx>
          <c:spPr>
            <a:solidFill>
              <a:srgbClr val="6677AD"/>
            </a:solidFill>
            <a:ln w="3175">
              <a:noFill/>
            </a:ln>
            <a:scene3d>
              <a:camera prst="orthographicFront"/>
              <a:lightRig rig="threePt" dir="t"/>
            </a:scene3d>
          </c:spPr>
          <c:invertIfNegative val="0"/>
          <c:dLbls>
            <c:numFmt formatCode="0.0%" sourceLinked="0"/>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'50 ocena syt. mat. miasto wieś'!$C$18:$I$18</c:f>
              <c:strCache>
                <c:ptCount val="7"/>
                <c:pt idx="0">
                  <c:v>Total</c:v>
                </c:pt>
                <c:pt idx="1">
                  <c:v>Urban 
areas in total</c:v>
                </c:pt>
                <c:pt idx="2">
                  <c:v>Towns below 20
thousand</c:v>
                </c:pt>
                <c:pt idx="3">
                  <c:v>Towns 20–99 thousand</c:v>
                </c:pt>
                <c:pt idx="4">
                  <c:v>Towns and cities 100–499 thousand</c:v>
                </c:pt>
                <c:pt idx="5">
                  <c:v>Cities 500 thousand or over</c:v>
                </c:pt>
                <c:pt idx="6">
                  <c:v>Rural areas</c:v>
                </c:pt>
              </c:strCache>
            </c:strRef>
          </c:cat>
          <c:val>
            <c:numRef>
              <c:f>'50 ocena syt. mat. miasto wieś'!$C$20:$I$20</c:f>
              <c:numCache>
                <c:formatCode>0.0%</c:formatCode>
                <c:ptCount val="7"/>
                <c:pt idx="0">
                  <c:v>0.36550916379046194</c:v>
                </c:pt>
                <c:pt idx="1">
                  <c:v>0.34359327915152266</c:v>
                </c:pt>
                <c:pt idx="2">
                  <c:v>0.43904128945876603</c:v>
                </c:pt>
                <c:pt idx="3">
                  <c:v>0.36977964729878998</c:v>
                </c:pt>
                <c:pt idx="4">
                  <c:v>0.35578716435245644</c:v>
                </c:pt>
                <c:pt idx="5">
                  <c:v>0.21661611415210832</c:v>
                </c:pt>
                <c:pt idx="6">
                  <c:v>0.40876831889623055</c:v>
                </c:pt>
              </c:numCache>
            </c:numRef>
          </c:val>
          <c:extLst xmlns:c16r2="http://schemas.microsoft.com/office/drawing/2015/06/chart">
            <c:ext xmlns:c16="http://schemas.microsoft.com/office/drawing/2014/chart" uri="{C3380CC4-5D6E-409C-BE32-E72D297353CC}">
              <c16:uniqueId val="{00000001-F3AC-492D-BB88-0B4BF9F8C799}"/>
            </c:ext>
          </c:extLst>
        </c:ser>
        <c:ser>
          <c:idx val="0"/>
          <c:order val="2"/>
          <c:tx>
            <c:strRef>
              <c:f>'50 ocena syt. mat. miasto wieś'!$B$21</c:f>
              <c:strCache>
                <c:ptCount val="1"/>
                <c:pt idx="0">
                  <c:v>bad + rather bad</c:v>
                </c:pt>
              </c:strCache>
            </c:strRef>
          </c:tx>
          <c:spPr>
            <a:solidFill>
              <a:srgbClr val="99A4C8"/>
            </a:solidFill>
            <a:ln w="3175">
              <a:noFill/>
            </a:ln>
            <a:scene3d>
              <a:camera prst="orthographicFront"/>
              <a:lightRig rig="threePt" dir="t"/>
            </a:scene3d>
          </c:spPr>
          <c:invertIfNegative val="0"/>
          <c:dLbls>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'50 ocena syt. mat. miasto wieś'!$C$18:$I$18</c:f>
              <c:strCache>
                <c:ptCount val="7"/>
                <c:pt idx="0">
                  <c:v>Total</c:v>
                </c:pt>
                <c:pt idx="1">
                  <c:v>Urban 
areas in total</c:v>
                </c:pt>
                <c:pt idx="2">
                  <c:v>Towns below 20
thousand</c:v>
                </c:pt>
                <c:pt idx="3">
                  <c:v>Towns 20–99 thousand</c:v>
                </c:pt>
                <c:pt idx="4">
                  <c:v>Towns and cities 100–499 thousand</c:v>
                </c:pt>
                <c:pt idx="5">
                  <c:v>Cities 500 thousand or over</c:v>
                </c:pt>
                <c:pt idx="6">
                  <c:v>Rural areas</c:v>
                </c:pt>
              </c:strCache>
            </c:strRef>
          </c:cat>
          <c:val>
            <c:numRef>
              <c:f>'50 ocena syt. mat. miasto wieś'!$C$21:$I$21</c:f>
              <c:numCache>
                <c:formatCode>0.0%</c:formatCode>
                <c:ptCount val="7"/>
                <c:pt idx="0">
                  <c:v>4.2438691792211471E-2</c:v>
                </c:pt>
                <c:pt idx="1">
                  <c:v>4.3079676683802318E-2</c:v>
                </c:pt>
                <c:pt idx="2">
                  <c:v>5.1130634288985517E-2</c:v>
                </c:pt>
                <c:pt idx="3">
                  <c:v>4.059226359696521E-2</c:v>
                </c:pt>
                <c:pt idx="4">
                  <c:v>4.5046662432275716E-2</c:v>
                </c:pt>
                <c:pt idx="5">
                  <c:v>3.6844246179056989E-2</c:v>
                </c:pt>
                <c:pt idx="6">
                  <c:v>4.1470862955954452E-2</c:v>
                </c:pt>
              </c:numCache>
            </c:numRef>
          </c:val>
          <c:extLst xmlns:c16r2="http://schemas.microsoft.com/office/drawing/2015/06/chart">
            <c:ext xmlns:c16="http://schemas.microsoft.com/office/drawing/2014/chart" uri="{C3380CC4-5D6E-409C-BE32-E72D297353CC}">
              <c16:uniqueId val="{00000002-F3AC-492D-BB88-0B4BF9F8C799}"/>
            </c:ext>
          </c:extLst>
        </c:ser>
        <c:dLbls>
          <c:showLegendKey val="0"/>
          <c:showVal val="0"/>
          <c:showCatName val="0"/>
          <c:showSerName val="0"/>
          <c:showPercent val="0"/>
          <c:showBubbleSize val="0"/>
        </c:dLbls>
        <c:gapWidth val="65"/>
        <c:axId val="-1078482752"/>
        <c:axId val="-1078481664"/>
      </c:barChart>
      <c:catAx>
        <c:axId val="-1078482752"/>
        <c:scaling>
          <c:orientation val="maxMin"/>
        </c:scaling>
        <c:delete val="0"/>
        <c:axPos val="l"/>
        <c:numFmt formatCode="General" sourceLinked="1"/>
        <c:majorTickMark val="out"/>
        <c:minorTickMark val="none"/>
        <c:tickLblPos val="nextTo"/>
        <c:spPr>
          <a:ln w="9525">
            <a:solidFill>
              <a:sysClr val="windowText" lastClr="000000"/>
            </a:solidFill>
          </a:ln>
        </c:spPr>
        <c:crossAx val="-1078481664"/>
        <c:crossesAt val="0"/>
        <c:auto val="1"/>
        <c:lblAlgn val="ctr"/>
        <c:lblOffset val="100"/>
        <c:noMultiLvlLbl val="0"/>
      </c:catAx>
      <c:valAx>
        <c:axId val="-1078481664"/>
        <c:scaling>
          <c:orientation val="minMax"/>
          <c:max val="1"/>
          <c:min val="0"/>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078482752"/>
        <c:crosses val="max"/>
        <c:crossBetween val="between"/>
        <c:majorUnit val="0.2"/>
        <c:minorUnit val="5.0000000000000024E-2"/>
      </c:valAx>
    </c:plotArea>
    <c:legend>
      <c:legendPos val="r"/>
      <c:layout>
        <c:manualLayout>
          <c:xMode val="edge"/>
          <c:yMode val="edge"/>
          <c:x val="0.15590512138009524"/>
          <c:y val="7.6781129361797137E-2"/>
          <c:w val="0.82431584300381922"/>
          <c:h val="6.8082422533004269E-2"/>
        </c:manualLayout>
      </c:layout>
      <c:overlay val="0"/>
      <c:spPr>
        <a:solidFill>
          <a:schemeClr val="bg1"/>
        </a:solidFill>
        <a:ln>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cs typeface="Arial" panose="020B0604020202020204" pitchFamily="34" charset="0"/>
        </a:defRPr>
      </a:pPr>
      <a:endParaRPr lang="pl-PL"/>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45043235344933"/>
          <c:y val="0.13240584795321636"/>
          <c:w val="0.76618341078506869"/>
          <c:h val="0.80175872739853937"/>
        </c:manualLayout>
      </c:layout>
      <c:barChart>
        <c:barDir val="bar"/>
        <c:grouping val="clustered"/>
        <c:varyColors val="0"/>
        <c:ser>
          <c:idx val="0"/>
          <c:order val="0"/>
          <c:spPr>
            <a:solidFill>
              <a:srgbClr val="334A92"/>
            </a:solidFill>
            <a:ln w="38100"/>
            <a:scene3d>
              <a:camera prst="orthographicFront"/>
              <a:lightRig rig="threePt" dir="t"/>
            </a:scene3d>
          </c:spPr>
          <c:invertIfNegative val="0"/>
          <c:dPt>
            <c:idx val="0"/>
            <c:invertIfNegative val="0"/>
            <c:bubble3D val="0"/>
            <c:extLst xmlns:c16r2="http://schemas.microsoft.com/office/drawing/2015/06/chart">
              <c:ext xmlns:c16="http://schemas.microsoft.com/office/drawing/2014/chart" uri="{C3380CC4-5D6E-409C-BE32-E72D297353CC}">
                <c16:uniqueId val="{00000000-B47E-452B-B180-0EF2F999839E}"/>
              </c:ext>
            </c:extLst>
          </c:dPt>
          <c:dPt>
            <c:idx val="1"/>
            <c:invertIfNegative val="0"/>
            <c:bubble3D val="0"/>
            <c:extLst xmlns:c16r2="http://schemas.microsoft.com/office/drawing/2015/06/chart">
              <c:ext xmlns:c16="http://schemas.microsoft.com/office/drawing/2014/chart" uri="{C3380CC4-5D6E-409C-BE32-E72D297353CC}">
                <c16:uniqueId val="{00000001-B47E-452B-B180-0EF2F999839E}"/>
              </c:ext>
            </c:extLst>
          </c:dPt>
          <c:dPt>
            <c:idx val="2"/>
            <c:invertIfNegative val="0"/>
            <c:bubble3D val="0"/>
            <c:extLst xmlns:c16r2="http://schemas.microsoft.com/office/drawing/2015/06/chart">
              <c:ext xmlns:c16="http://schemas.microsoft.com/office/drawing/2014/chart" uri="{C3380CC4-5D6E-409C-BE32-E72D297353CC}">
                <c16:uniqueId val="{00000002-B47E-452B-B180-0EF2F999839E}"/>
              </c:ext>
            </c:extLst>
          </c:dPt>
          <c:dPt>
            <c:idx val="3"/>
            <c:invertIfNegative val="0"/>
            <c:bubble3D val="0"/>
            <c:extLst xmlns:c16r2="http://schemas.microsoft.com/office/drawing/2015/06/chart">
              <c:ext xmlns:c16="http://schemas.microsoft.com/office/drawing/2014/chart" uri="{C3380CC4-5D6E-409C-BE32-E72D297353CC}">
                <c16:uniqueId val="{00000003-B47E-452B-B180-0EF2F999839E}"/>
              </c:ext>
            </c:extLst>
          </c:dPt>
          <c:dPt>
            <c:idx val="4"/>
            <c:invertIfNegative val="0"/>
            <c:bubble3D val="0"/>
            <c:extLst xmlns:c16r2="http://schemas.microsoft.com/office/drawing/2015/06/chart">
              <c:ext xmlns:c16="http://schemas.microsoft.com/office/drawing/2014/chart" uri="{C3380CC4-5D6E-409C-BE32-E72D297353CC}">
                <c16:uniqueId val="{00000004-B47E-452B-B180-0EF2F999839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multiLvlStrRef>
              <c:f>'57 pomoc Ukr. kwartały'!$B$8:$Q$9</c:f>
              <c:multiLvlStrCache>
                <c:ptCount val="16"/>
                <c:lvl>
                  <c:pt idx="0">
                    <c:v>1st quarter</c:v>
                  </c:pt>
                  <c:pt idx="1">
                    <c:v>2nd quarter</c:v>
                  </c:pt>
                  <c:pt idx="2">
                    <c:v>3rd quarter</c:v>
                  </c:pt>
                  <c:pt idx="3">
                    <c:v>4th quarter</c:v>
                  </c:pt>
                  <c:pt idx="4">
                    <c:v>1st quarter</c:v>
                  </c:pt>
                  <c:pt idx="5">
                    <c:v>2nd quarter</c:v>
                  </c:pt>
                  <c:pt idx="6">
                    <c:v>3rd quarter</c:v>
                  </c:pt>
                  <c:pt idx="7">
                    <c:v>4th quarter</c:v>
                  </c:pt>
                  <c:pt idx="8">
                    <c:v>1st quarter</c:v>
                  </c:pt>
                  <c:pt idx="9">
                    <c:v>2nd quarter</c:v>
                  </c:pt>
                  <c:pt idx="10">
                    <c:v>3rd quarter</c:v>
                  </c:pt>
                  <c:pt idx="11">
                    <c:v>4th quarter</c:v>
                  </c:pt>
                  <c:pt idx="12">
                    <c:v>1st quarter</c:v>
                  </c:pt>
                  <c:pt idx="13">
                    <c:v>2nd quarter</c:v>
                  </c:pt>
                  <c:pt idx="14">
                    <c:v>3rd quarter</c:v>
                  </c:pt>
                  <c:pt idx="15">
                    <c:v>4th quarter</c:v>
                  </c:pt>
                </c:lvl>
                <c:lvl>
                  <c:pt idx="0">
                    <c:v>2022</c:v>
                  </c:pt>
                  <c:pt idx="4">
                    <c:v>2023</c:v>
                  </c:pt>
                  <c:pt idx="8">
                    <c:v>2024</c:v>
                  </c:pt>
                  <c:pt idx="12">
                    <c:v>2025</c:v>
                  </c:pt>
                </c:lvl>
              </c:multiLvlStrCache>
            </c:multiLvlStrRef>
          </c:cat>
          <c:val>
            <c:numRef>
              <c:f>'57 pomoc Ukr. kwartały'!$B$10:$Q$10</c:f>
              <c:numCache>
                <c:formatCode>0.0%</c:formatCode>
                <c:ptCount val="16"/>
                <c:pt idx="0">
                  <c:v>0.69299999999999995</c:v>
                </c:pt>
                <c:pt idx="1">
                  <c:v>0.52900000000000003</c:v>
                </c:pt>
                <c:pt idx="2">
                  <c:v>0.27600000000000002</c:v>
                </c:pt>
                <c:pt idx="3">
                  <c:v>0.23300000000000001</c:v>
                </c:pt>
                <c:pt idx="4">
                  <c:v>0.222</c:v>
                </c:pt>
                <c:pt idx="5">
                  <c:v>0.19899999999999998</c:v>
                </c:pt>
                <c:pt idx="6">
                  <c:v>0.12300000000000001</c:v>
                </c:pt>
                <c:pt idx="7">
                  <c:v>9.3000000000000013E-2</c:v>
                </c:pt>
                <c:pt idx="8">
                  <c:v>8.900000000000001E-2</c:v>
                </c:pt>
                <c:pt idx="9">
                  <c:v>8.1000000000000003E-2</c:v>
                </c:pt>
                <c:pt idx="10">
                  <c:v>7.2000000000000008E-2</c:v>
                </c:pt>
                <c:pt idx="11">
                  <c:v>0.06</c:v>
                </c:pt>
                <c:pt idx="12">
                  <c:v>4.4999999999999998E-2</c:v>
                </c:pt>
                <c:pt idx="13">
                  <c:v>3.5000000000000003E-2</c:v>
                </c:pt>
                <c:pt idx="14">
                  <c:v>2.8999999999999998E-2</c:v>
                </c:pt>
                <c:pt idx="15">
                  <c:v>3.6000000000000004E-2</c:v>
                </c:pt>
              </c:numCache>
            </c:numRef>
          </c:val>
          <c:extLst xmlns:c16r2="http://schemas.microsoft.com/office/drawing/2015/06/chart">
            <c:ext xmlns:c16="http://schemas.microsoft.com/office/drawing/2014/chart" uri="{C3380CC4-5D6E-409C-BE32-E72D297353CC}">
              <c16:uniqueId val="{00000005-B47E-452B-B180-0EF2F999839E}"/>
            </c:ext>
          </c:extLst>
        </c:ser>
        <c:dLbls>
          <c:showLegendKey val="0"/>
          <c:showVal val="1"/>
          <c:showCatName val="0"/>
          <c:showSerName val="0"/>
          <c:showPercent val="0"/>
          <c:showBubbleSize val="0"/>
        </c:dLbls>
        <c:gapWidth val="70"/>
        <c:axId val="-1076743152"/>
        <c:axId val="-1076740976"/>
      </c:barChart>
      <c:catAx>
        <c:axId val="-1076743152"/>
        <c:scaling>
          <c:orientation val="maxMin"/>
        </c:scaling>
        <c:delete val="0"/>
        <c:axPos val="l"/>
        <c:numFmt formatCode="General" sourceLinked="1"/>
        <c:majorTickMark val="out"/>
        <c:minorTickMark val="none"/>
        <c:tickLblPos val="nextTo"/>
        <c:spPr>
          <a:ln w="9525">
            <a:solidFill>
              <a:sysClr val="windowText" lastClr="000000"/>
            </a:solidFill>
          </a:ln>
        </c:spPr>
        <c:txPr>
          <a:bodyPr/>
          <a:lstStyle/>
          <a:p>
            <a:pPr>
              <a:defRPr sz="900" spc="-20" baseline="0"/>
            </a:pPr>
            <a:endParaRPr lang="pl-PL"/>
          </a:p>
        </c:txPr>
        <c:crossAx val="-1076740976"/>
        <c:crosses val="autoZero"/>
        <c:auto val="1"/>
        <c:lblAlgn val="ctr"/>
        <c:lblOffset val="100"/>
        <c:noMultiLvlLbl val="0"/>
      </c:catAx>
      <c:valAx>
        <c:axId val="-1076740976"/>
        <c:scaling>
          <c:orientation val="minMax"/>
          <c:max val="1"/>
          <c:min val="0"/>
        </c:scaling>
        <c:delete val="0"/>
        <c:axPos val="b"/>
        <c:majorGridlines>
          <c:spPr>
            <a:ln w="6350">
              <a:solidFill>
                <a:sysClr val="window" lastClr="FFFFFF">
                  <a:lumMod val="50000"/>
                  <a:alpha val="76000"/>
                </a:sysClr>
              </a:solidFill>
            </a:ln>
          </c:spPr>
        </c:majorGridlines>
        <c:numFmt formatCode="0%" sourceLinked="0"/>
        <c:majorTickMark val="out"/>
        <c:minorTickMark val="none"/>
        <c:tickLblPos val="nextTo"/>
        <c:spPr>
          <a:ln>
            <a:noFill/>
          </a:ln>
        </c:spPr>
        <c:txPr>
          <a:bodyPr/>
          <a:lstStyle/>
          <a:p>
            <a:pPr>
              <a:defRPr sz="900"/>
            </a:pPr>
            <a:endParaRPr lang="pl-PL"/>
          </a:p>
        </c:txPr>
        <c:crossAx val="-1076743152"/>
        <c:crosses val="max"/>
        <c:crossBetween val="between"/>
        <c:majorUnit val="0.2"/>
        <c:minorUnit val="0.2"/>
      </c:valAx>
    </c:plotArea>
    <c:plotVisOnly val="1"/>
    <c:dispBlanksAs val="gap"/>
    <c:showDLblsOverMax val="0"/>
  </c:chart>
  <c:spPr>
    <a:ln>
      <a:noFill/>
    </a:ln>
  </c:spPr>
  <c:txPr>
    <a:bodyPr/>
    <a:lstStyle/>
    <a:p>
      <a:pPr>
        <a:defRPr>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4682242908554E-2"/>
          <c:y val="0.16585367636844836"/>
          <c:w val="0.92747530768397335"/>
          <c:h val="0.65472696832116029"/>
        </c:manualLayout>
      </c:layout>
      <c:barChart>
        <c:barDir val="col"/>
        <c:grouping val="clustered"/>
        <c:varyColors val="0"/>
        <c:ser>
          <c:idx val="0"/>
          <c:order val="0"/>
          <c:tx>
            <c:strRef>
              <c:f>'58 pomoc Ukr. gr. społ-ek'!$C$13</c:f>
              <c:strCache>
                <c:ptCount val="1"/>
              </c:strCache>
            </c:strRef>
          </c:tx>
          <c:spPr>
            <a:solidFill>
              <a:srgbClr val="334A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'58 pomoc Ukr. gr. społ-ek'!$B$14:$B$19</c:f>
              <c:strCache>
                <c:ptCount val="4"/>
                <c:pt idx="0">
                  <c:v>Poland</c:v>
                </c:pt>
                <c:pt idx="1">
                  <c:v>employees</c:v>
                </c:pt>
                <c:pt idx="2">
                  <c:v>self-employed</c:v>
                </c:pt>
                <c:pt idx="3">
                  <c:v>retirees</c:v>
                </c:pt>
              </c:strCache>
            </c:strRef>
          </c:cat>
          <c:val>
            <c:numRef>
              <c:f>'58 pomoc Ukr. gr. społ-ek'!$C$14:$C$19</c:f>
              <c:numCache>
                <c:formatCode>0.0%</c:formatCode>
                <c:ptCount val="4"/>
                <c:pt idx="0">
                  <c:v>3.6000000000000004E-2</c:v>
                </c:pt>
                <c:pt idx="1">
                  <c:v>4.2000000000000003E-2</c:v>
                </c:pt>
                <c:pt idx="2">
                  <c:v>3.9E-2</c:v>
                </c:pt>
                <c:pt idx="3">
                  <c:v>3.1E-2</c:v>
                </c:pt>
              </c:numCache>
            </c:numRef>
          </c:val>
          <c:extLst xmlns:c16r2="http://schemas.microsoft.com/office/drawing/2015/06/chart">
            <c:ext xmlns:c16="http://schemas.microsoft.com/office/drawing/2014/chart" uri="{C3380CC4-5D6E-409C-BE32-E72D297353CC}">
              <c16:uniqueId val="{00000000-D067-4697-A66B-F63D1CA7F325}"/>
            </c:ext>
          </c:extLst>
        </c:ser>
        <c:dLbls>
          <c:dLblPos val="outEnd"/>
          <c:showLegendKey val="0"/>
          <c:showVal val="1"/>
          <c:showCatName val="0"/>
          <c:showSerName val="0"/>
          <c:showPercent val="0"/>
          <c:showBubbleSize val="0"/>
        </c:dLbls>
        <c:gapWidth val="100"/>
        <c:axId val="-1076750768"/>
        <c:axId val="-1076746416"/>
      </c:barChart>
      <c:catAx>
        <c:axId val="-107675076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076746416"/>
        <c:crosses val="autoZero"/>
        <c:auto val="1"/>
        <c:lblAlgn val="ctr"/>
        <c:lblOffset val="100"/>
        <c:noMultiLvlLbl val="0"/>
      </c:catAx>
      <c:valAx>
        <c:axId val="-1076746416"/>
        <c:scaling>
          <c:orientation val="minMax"/>
          <c:max val="0.1"/>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076750768"/>
        <c:crosses val="autoZero"/>
        <c:crossBetween val="between"/>
        <c:majorUnit val="5.000000000000001E-2"/>
        <c:minorUnit val="5.000000000000001E-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8914745031871022E-2"/>
          <c:y val="0.23958961505650719"/>
          <c:w val="0.92008928571428572"/>
          <c:h val="0.68514536354096678"/>
        </c:manualLayout>
      </c:layout>
      <c:barChart>
        <c:barDir val="col"/>
        <c:grouping val="clustered"/>
        <c:varyColors val="0"/>
        <c:ser>
          <c:idx val="0"/>
          <c:order val="0"/>
          <c:tx>
            <c:strRef>
              <c:f>'4 dochody,wydatki gr. społ-ek.'!$B$10</c:f>
              <c:strCache>
                <c:ptCount val="1"/>
                <c:pt idx="0">
                  <c:v>Available income </c:v>
                </c:pt>
              </c:strCache>
            </c:strRef>
          </c:tx>
          <c:spPr>
            <a:solidFill>
              <a:srgbClr val="334A92"/>
            </a:solidFill>
            <a:scene3d>
              <a:camera prst="orthographicFront"/>
              <a:lightRig rig="threePt" dir="t"/>
            </a:scene3d>
          </c:spPr>
          <c:invertIfNegative val="0"/>
          <c:dPt>
            <c:idx val="22"/>
            <c:invertIfNegative val="0"/>
            <c:bubble3D val="0"/>
            <c:spPr>
              <a:solidFill>
                <a:srgbClr val="334A92"/>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1-8B2D-483E-AC05-A2BBDF864BDB}"/>
              </c:ext>
            </c:extLst>
          </c:dPt>
          <c:dLbls>
            <c:dLbl>
              <c:idx val="40"/>
              <c:layout>
                <c:manualLayout>
                  <c:x val="0"/>
                  <c:y val="7.702405728163871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626-4B3B-8C2F-249528B18AE9}"/>
                </c:ex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 dochody,wydatki gr. społ-ek.'!$C$9:$H$9</c:f>
              <c:strCache>
                <c:ptCount val="6"/>
                <c:pt idx="0">
                  <c:v>Total</c:v>
                </c:pt>
                <c:pt idx="1">
                  <c:v>employees</c:v>
                </c:pt>
                <c:pt idx="2">
                  <c:v>farmers</c:v>
                </c:pt>
                <c:pt idx="3">
                  <c:v>self-employed</c:v>
                </c:pt>
                <c:pt idx="4">
                  <c:v>retirees</c:v>
                </c:pt>
                <c:pt idx="5">
                  <c:v>pensioners</c:v>
                </c:pt>
              </c:strCache>
            </c:strRef>
          </c:cat>
          <c:val>
            <c:numRef>
              <c:f>'4 dochody,wydatki gr. społ-ek.'!$C$10:$H$10</c:f>
              <c:numCache>
                <c:formatCode>0.00</c:formatCode>
                <c:ptCount val="6"/>
                <c:pt idx="0">
                  <c:v>3500.21</c:v>
                </c:pt>
                <c:pt idx="1">
                  <c:v>3491.4</c:v>
                </c:pt>
                <c:pt idx="2">
                  <c:v>4158.5200000000004</c:v>
                </c:pt>
                <c:pt idx="3">
                  <c:v>4197.9399999999996</c:v>
                </c:pt>
                <c:pt idx="4">
                  <c:v>3259.76</c:v>
                </c:pt>
                <c:pt idx="5">
                  <c:v>2541.46</c:v>
                </c:pt>
              </c:numCache>
            </c:numRef>
          </c:val>
          <c:extLst xmlns:c16r2="http://schemas.microsoft.com/office/drawing/2015/06/chart">
            <c:ext xmlns:c16="http://schemas.microsoft.com/office/drawing/2014/chart" uri="{C3380CC4-5D6E-409C-BE32-E72D297353CC}">
              <c16:uniqueId val="{00000002-9146-481E-A3D3-ADEB64C7EE40}"/>
            </c:ext>
          </c:extLst>
        </c:ser>
        <c:ser>
          <c:idx val="1"/>
          <c:order val="1"/>
          <c:tx>
            <c:strRef>
              <c:f>'4 dochody,wydatki gr. społ-ek.'!$B$11</c:f>
              <c:strCache>
                <c:ptCount val="1"/>
                <c:pt idx="0">
                  <c:v>Expenditure</c:v>
                </c:pt>
              </c:strCache>
            </c:strRef>
          </c:tx>
          <c:spPr>
            <a:solidFill>
              <a:srgbClr val="66B58D"/>
            </a:solidFill>
            <a:scene3d>
              <a:camera prst="orthographicFront"/>
              <a:lightRig rig="threePt" dir="t"/>
            </a:scene3d>
          </c:spPr>
          <c:invertIfNegative val="0"/>
          <c:dPt>
            <c:idx val="22"/>
            <c:invertIfNegative val="0"/>
            <c:bubble3D val="0"/>
            <c:spPr>
              <a:solidFill>
                <a:srgbClr val="66B58D"/>
              </a:solidFill>
              <a:ln>
                <a:noFill/>
              </a:ln>
              <a:scene3d>
                <a:camera prst="orthographicFront"/>
                <a:lightRig rig="threePt" dir="t"/>
              </a:scene3d>
            </c:spPr>
            <c:extLst xmlns:c16r2="http://schemas.microsoft.com/office/drawing/2015/06/chart">
              <c:ext xmlns:c16="http://schemas.microsoft.com/office/drawing/2014/chart" uri="{C3380CC4-5D6E-409C-BE32-E72D297353CC}">
                <c16:uniqueId val="{00000003-8B2D-483E-AC05-A2BBDF864BDB}"/>
              </c:ext>
            </c:extLst>
          </c:dPt>
          <c:dLbls>
            <c:numFmt formatCode="0" sourceLinked="0"/>
            <c:spPr>
              <a:noFill/>
              <a:ln>
                <a:noFill/>
              </a:ln>
              <a:effectLst/>
            </c:spPr>
            <c:txPr>
              <a:bodyPr wrap="square" lIns="38100" tIns="19050" rIns="38100" bIns="19050" anchor="ctr">
                <a:spAutoFit/>
              </a:bodyPr>
              <a:lstStyle/>
              <a:p>
                <a:pPr>
                  <a:defRPr sz="900"/>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'4 dochody,wydatki gr. społ-ek.'!$C$9:$H$9</c:f>
              <c:strCache>
                <c:ptCount val="6"/>
                <c:pt idx="0">
                  <c:v>Total</c:v>
                </c:pt>
                <c:pt idx="1">
                  <c:v>employees</c:v>
                </c:pt>
                <c:pt idx="2">
                  <c:v>farmers</c:v>
                </c:pt>
                <c:pt idx="3">
                  <c:v>self-employed</c:v>
                </c:pt>
                <c:pt idx="4">
                  <c:v>retirees</c:v>
                </c:pt>
                <c:pt idx="5">
                  <c:v>pensioners</c:v>
                </c:pt>
              </c:strCache>
            </c:strRef>
          </c:cat>
          <c:val>
            <c:numRef>
              <c:f>'4 dochody,wydatki gr. społ-ek.'!$C$11:$H$11</c:f>
              <c:numCache>
                <c:formatCode>0.00</c:formatCode>
                <c:ptCount val="6"/>
                <c:pt idx="0">
                  <c:v>2015.42</c:v>
                </c:pt>
                <c:pt idx="1">
                  <c:v>2006.64</c:v>
                </c:pt>
                <c:pt idx="2">
                  <c:v>1359.02</c:v>
                </c:pt>
                <c:pt idx="3">
                  <c:v>2270.1</c:v>
                </c:pt>
                <c:pt idx="4">
                  <c:v>2140.08</c:v>
                </c:pt>
                <c:pt idx="5">
                  <c:v>1831.73</c:v>
                </c:pt>
              </c:numCache>
            </c:numRef>
          </c:val>
          <c:extLst xmlns:c16r2="http://schemas.microsoft.com/office/drawing/2015/06/chart">
            <c:ext xmlns:c16="http://schemas.microsoft.com/office/drawing/2014/chart" uri="{C3380CC4-5D6E-409C-BE32-E72D297353CC}">
              <c16:uniqueId val="{00000005-9146-481E-A3D3-ADEB64C7EE40}"/>
            </c:ext>
          </c:extLst>
        </c:ser>
        <c:dLbls>
          <c:showLegendKey val="0"/>
          <c:showVal val="0"/>
          <c:showCatName val="0"/>
          <c:showSerName val="0"/>
          <c:showPercent val="0"/>
          <c:showBubbleSize val="0"/>
        </c:dLbls>
        <c:gapWidth val="50"/>
        <c:overlap val="80"/>
        <c:axId val="-1110465776"/>
        <c:axId val="-1110479920"/>
      </c:barChart>
      <c:barChart>
        <c:barDir val="col"/>
        <c:grouping val="clustered"/>
        <c:varyColors val="0"/>
        <c:ser>
          <c:idx val="2"/>
          <c:order val="2"/>
          <c:tx>
            <c:strRef>
              <c:f>'4 dochody,wydatki gr. społ-ek.'!$B$12</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5-51AF-41E7-A6EA-0BA7EF5F8EB7}"/>
              </c:ext>
            </c:extLst>
          </c:dPt>
          <c:dPt>
            <c:idx val="1"/>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7-51AF-41E7-A6EA-0BA7EF5F8EB7}"/>
              </c:ext>
            </c:extLst>
          </c:dPt>
          <c:dPt>
            <c:idx val="2"/>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9-51AF-41E7-A6EA-0BA7EF5F8EB7}"/>
              </c:ext>
            </c:extLst>
          </c:dPt>
          <c:dPt>
            <c:idx val="3"/>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B-51AF-41E7-A6EA-0BA7EF5F8EB7}"/>
              </c:ext>
            </c:extLst>
          </c:dPt>
          <c:dPt>
            <c:idx val="4"/>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D-51AF-41E7-A6EA-0BA7EF5F8EB7}"/>
              </c:ext>
            </c:extLst>
          </c:dPt>
          <c:dPt>
            <c:idx val="5"/>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F-51AF-41E7-A6EA-0BA7EF5F8EB7}"/>
              </c:ext>
            </c:extLst>
          </c:dPt>
          <c:dPt>
            <c:idx val="22"/>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C-2626-4B3B-8C2F-249528B18AE9}"/>
              </c:ext>
            </c:extLst>
          </c:dPt>
          <c:dPt>
            <c:idx val="28"/>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4-2626-4B3B-8C2F-249528B18AE9}"/>
              </c:ext>
            </c:extLst>
          </c:dPt>
          <c:dPt>
            <c:idx val="32"/>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C-2626-4B3B-8C2F-249528B18AE9}"/>
              </c:ext>
            </c:extLst>
          </c:dPt>
          <c:dPt>
            <c:idx val="34"/>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B-8B2D-483E-AC05-A2BBDF864BDB}"/>
              </c:ext>
            </c:extLst>
          </c:dPt>
          <c:dPt>
            <c:idx val="36"/>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D-8B2D-483E-AC05-A2BBDF864BDB}"/>
              </c:ext>
            </c:extLst>
          </c:dPt>
          <c:dPt>
            <c:idx val="38"/>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F-8B2D-483E-AC05-A2BBDF864BDB}"/>
              </c:ext>
            </c:extLst>
          </c:dPt>
          <c:dPt>
            <c:idx val="39"/>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1-8B2D-483E-AC05-A2BBDF864BDB}"/>
              </c:ext>
            </c:extLst>
          </c:dPt>
          <c:dPt>
            <c:idx val="40"/>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3-8B2D-483E-AC05-A2BBDF864BDB}"/>
              </c:ext>
            </c:extLst>
          </c:dPt>
          <c:dPt>
            <c:idx val="41"/>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5-8B2D-483E-AC05-A2BBDF864BDB}"/>
              </c:ext>
            </c:extLst>
          </c:dPt>
          <c:dPt>
            <c:idx val="42"/>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7-8B2D-483E-AC05-A2BBDF864BDB}"/>
              </c:ext>
            </c:extLst>
          </c:dPt>
          <c:dPt>
            <c:idx val="43"/>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9-8B2D-483E-AC05-A2BBDF864BDB}"/>
              </c:ext>
            </c:extLst>
          </c:dPt>
          <c:dPt>
            <c:idx val="44"/>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B-8B2D-483E-AC05-A2BBDF864BDB}"/>
              </c:ext>
            </c:extLst>
          </c:dPt>
          <c:dLbls>
            <c:numFmt formatCode="0.0%" sourceLinked="0"/>
            <c:spPr>
              <a:solidFill>
                <a:srgbClr val="4D4D4D">
                  <a:lumMod val="20000"/>
                  <a:lumOff val="80000"/>
                </a:srgbClr>
              </a:solidFill>
              <a:ln w="6350">
                <a:solidFill>
                  <a:sysClr val="window" lastClr="FFFFFF">
                    <a:lumMod val="65000"/>
                  </a:sysClr>
                </a:solidFill>
              </a:ln>
              <a:effectLst/>
            </c:spPr>
            <c:txPr>
              <a:bodyPr wrap="square" lIns="18000" tIns="19050" rIns="18000" bIns="19050" anchor="ctr">
                <a:spAutoFit/>
              </a:bodyPr>
              <a:lstStyle/>
              <a:p>
                <a:pPr>
                  <a:defRPr sz="900" spc="-30" baseline="0"/>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strRef>
              <c:f>'4 dochody,wydatki gr. społ-ek.'!$C$9:$H$9</c:f>
              <c:strCache>
                <c:ptCount val="6"/>
                <c:pt idx="0">
                  <c:v>Total</c:v>
                </c:pt>
                <c:pt idx="1">
                  <c:v>employees</c:v>
                </c:pt>
                <c:pt idx="2">
                  <c:v>farmers</c:v>
                </c:pt>
                <c:pt idx="3">
                  <c:v>self-employed</c:v>
                </c:pt>
                <c:pt idx="4">
                  <c:v>retirees</c:v>
                </c:pt>
                <c:pt idx="5">
                  <c:v>pensioners</c:v>
                </c:pt>
              </c:strCache>
            </c:strRef>
          </c:cat>
          <c:val>
            <c:numRef>
              <c:f>'4 dochody,wydatki gr. społ-ek.'!$C$12:$H$12</c:f>
              <c:numCache>
                <c:formatCode>0.0%</c:formatCode>
                <c:ptCount val="6"/>
                <c:pt idx="0">
                  <c:v>0.57579973773002191</c:v>
                </c:pt>
                <c:pt idx="1">
                  <c:v>0.57473792747894825</c:v>
                </c:pt>
                <c:pt idx="2">
                  <c:v>0.32680376672470007</c:v>
                </c:pt>
                <c:pt idx="3">
                  <c:v>0.54076523247116448</c:v>
                </c:pt>
                <c:pt idx="4">
                  <c:v>0.65651459003116786</c:v>
                </c:pt>
                <c:pt idx="5">
                  <c:v>0.72073926011033029</c:v>
                </c:pt>
              </c:numCache>
            </c:numRef>
          </c:val>
          <c:extLst xmlns:c16r2="http://schemas.microsoft.com/office/drawing/2015/06/chart">
            <c:ext xmlns:c16="http://schemas.microsoft.com/office/drawing/2014/chart" uri="{C3380CC4-5D6E-409C-BE32-E72D297353CC}">
              <c16:uniqueId val="{0000001E-9146-481E-A3D3-ADEB64C7EE40}"/>
            </c:ext>
          </c:extLst>
        </c:ser>
        <c:dLbls>
          <c:showLegendKey val="0"/>
          <c:showVal val="0"/>
          <c:showCatName val="0"/>
          <c:showSerName val="0"/>
          <c:showPercent val="0"/>
          <c:showBubbleSize val="0"/>
        </c:dLbls>
        <c:gapWidth val="500"/>
        <c:overlap val="-100"/>
        <c:axId val="-1110473392"/>
        <c:axId val="-1110474480"/>
      </c:barChart>
      <c:catAx>
        <c:axId val="-1110465776"/>
        <c:scaling>
          <c:orientation val="minMax"/>
        </c:scaling>
        <c:delete val="0"/>
        <c:axPos val="b"/>
        <c:numFmt formatCode="General" sourceLinked="1"/>
        <c:majorTickMark val="out"/>
        <c:minorTickMark val="none"/>
        <c:tickLblPos val="nextTo"/>
        <c:spPr>
          <a:ln w="9525">
            <a:solidFill>
              <a:sysClr val="windowText" lastClr="000000"/>
            </a:solidFill>
          </a:ln>
        </c:spPr>
        <c:crossAx val="-1110479920"/>
        <c:crosses val="autoZero"/>
        <c:auto val="1"/>
        <c:lblAlgn val="ctr"/>
        <c:lblOffset val="100"/>
        <c:noMultiLvlLbl val="0"/>
      </c:catAx>
      <c:valAx>
        <c:axId val="-1110479920"/>
        <c:scaling>
          <c:orientation val="minMax"/>
          <c:max val="5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10465776"/>
        <c:crosses val="autoZero"/>
        <c:crossBetween val="between"/>
        <c:majorUnit val="1000"/>
      </c:valAx>
      <c:valAx>
        <c:axId val="-1110474480"/>
        <c:scaling>
          <c:orientation val="minMax"/>
          <c:max val="1"/>
          <c:min val="0.60000000000000064"/>
        </c:scaling>
        <c:delete val="1"/>
        <c:axPos val="r"/>
        <c:numFmt formatCode="0.0%" sourceLinked="1"/>
        <c:majorTickMark val="none"/>
        <c:minorTickMark val="none"/>
        <c:tickLblPos val="none"/>
        <c:crossAx val="-1110473392"/>
        <c:crosses val="max"/>
        <c:crossBetween val="between"/>
      </c:valAx>
      <c:catAx>
        <c:axId val="-1110473392"/>
        <c:scaling>
          <c:orientation val="minMax"/>
        </c:scaling>
        <c:delete val="1"/>
        <c:axPos val="b"/>
        <c:numFmt formatCode="General" sourceLinked="1"/>
        <c:majorTickMark val="out"/>
        <c:minorTickMark val="none"/>
        <c:tickLblPos val="none"/>
        <c:crossAx val="-1110474480"/>
        <c:crosses val="autoZero"/>
        <c:auto val="1"/>
        <c:lblAlgn val="ctr"/>
        <c:lblOffset val="100"/>
        <c:noMultiLvlLbl val="0"/>
      </c:catAx>
    </c:plotArea>
    <c:legend>
      <c:legendPos val="r"/>
      <c:layout>
        <c:manualLayout>
          <c:xMode val="edge"/>
          <c:yMode val="edge"/>
          <c:x val="6.7069786600215328E-2"/>
          <c:y val="0.15150710560465336"/>
          <c:w val="0.92993765184556387"/>
          <c:h val="7.9591728886238208E-2"/>
        </c:manualLayout>
      </c:layout>
      <c:overlay val="0"/>
      <c:spPr>
        <a:solidFill>
          <a:sysClr val="window" lastClr="FFFFFF"/>
        </a:solidFill>
        <a:ln w="6350">
          <a:noFill/>
        </a:ln>
      </c:spPr>
    </c:legend>
    <c:plotVisOnly val="1"/>
    <c:dispBlanksAs val="gap"/>
    <c:showDLblsOverMax val="0"/>
  </c:chart>
  <c:spPr>
    <a:ln>
      <a:noFill/>
    </a:ln>
  </c:spPr>
  <c:txPr>
    <a:bodyPr/>
    <a:lstStyle/>
    <a:p>
      <a:pPr algn="ct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04682242908554E-2"/>
          <c:y val="0.18923643718847072"/>
          <c:w val="0.92499607128878325"/>
          <c:h val="0.7207534308740694"/>
        </c:manualLayout>
      </c:layout>
      <c:barChart>
        <c:barDir val="col"/>
        <c:grouping val="clustered"/>
        <c:varyColors val="0"/>
        <c:ser>
          <c:idx val="0"/>
          <c:order val="0"/>
          <c:tx>
            <c:strRef>
              <c:f>'59 pomoc Ukr. kwintyle'!$C$13</c:f>
              <c:strCache>
                <c:ptCount val="1"/>
              </c:strCache>
            </c:strRef>
          </c:tx>
          <c:spPr>
            <a:solidFill>
              <a:srgbClr val="334A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'59 pomoc Ukr. kwintyle'!$B$14:$B$19</c:f>
              <c:strCache>
                <c:ptCount val="6"/>
                <c:pt idx="0">
                  <c:v>Poland</c:v>
                </c:pt>
                <c:pt idx="1">
                  <c:v>first</c:v>
                </c:pt>
                <c:pt idx="2">
                  <c:v>second</c:v>
                </c:pt>
                <c:pt idx="3">
                  <c:v>third</c:v>
                </c:pt>
                <c:pt idx="4">
                  <c:v>fourth</c:v>
                </c:pt>
                <c:pt idx="5">
                  <c:v>fifth</c:v>
                </c:pt>
              </c:strCache>
            </c:strRef>
          </c:cat>
          <c:val>
            <c:numRef>
              <c:f>'59 pomoc Ukr. kwintyle'!$C$14:$C$19</c:f>
              <c:numCache>
                <c:formatCode>0.0%</c:formatCode>
                <c:ptCount val="6"/>
                <c:pt idx="0">
                  <c:v>3.6000000000000004E-2</c:v>
                </c:pt>
                <c:pt idx="1">
                  <c:v>2.7999999999999997E-2</c:v>
                </c:pt>
                <c:pt idx="2">
                  <c:v>2.8999999999999998E-2</c:v>
                </c:pt>
                <c:pt idx="3">
                  <c:v>2.8999999999999998E-2</c:v>
                </c:pt>
                <c:pt idx="4">
                  <c:v>3.9E-2</c:v>
                </c:pt>
                <c:pt idx="5">
                  <c:v>4.8000000000000001E-2</c:v>
                </c:pt>
              </c:numCache>
            </c:numRef>
          </c:val>
          <c:extLst xmlns:c16r2="http://schemas.microsoft.com/office/drawing/2015/06/chart">
            <c:ext xmlns:c16="http://schemas.microsoft.com/office/drawing/2014/chart" uri="{C3380CC4-5D6E-409C-BE32-E72D297353CC}">
              <c16:uniqueId val="{00000000-D2E6-44BB-8992-115F0DCEC09A}"/>
            </c:ext>
          </c:extLst>
        </c:ser>
        <c:dLbls>
          <c:dLblPos val="outEnd"/>
          <c:showLegendKey val="0"/>
          <c:showVal val="1"/>
          <c:showCatName val="0"/>
          <c:showSerName val="0"/>
          <c:showPercent val="0"/>
          <c:showBubbleSize val="0"/>
        </c:dLbls>
        <c:gapWidth val="100"/>
        <c:axId val="-1076745328"/>
        <c:axId val="-1076745872"/>
      </c:barChart>
      <c:catAx>
        <c:axId val="-107674532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076745872"/>
        <c:crosses val="autoZero"/>
        <c:auto val="1"/>
        <c:lblAlgn val="ctr"/>
        <c:lblOffset val="100"/>
        <c:noMultiLvlLbl val="0"/>
      </c:catAx>
      <c:valAx>
        <c:axId val="-1076745872"/>
        <c:scaling>
          <c:orientation val="minMax"/>
          <c:max val="0.1"/>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076745328"/>
        <c:crosses val="autoZero"/>
        <c:crossBetween val="between"/>
        <c:majorUnit val="5.000000000000001E-2"/>
        <c:minorUnit val="5.000000000000001E-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005295219466112E-2"/>
          <c:y val="0.17374957678250524"/>
          <c:w val="0.9175583621032124"/>
          <c:h val="0.57126789991053517"/>
        </c:manualLayout>
      </c:layout>
      <c:barChart>
        <c:barDir val="col"/>
        <c:grouping val="clustered"/>
        <c:varyColors val="0"/>
        <c:ser>
          <c:idx val="0"/>
          <c:order val="0"/>
          <c:tx>
            <c:strRef>
              <c:f>'60 pomoc Ukr. klm'!$C$14</c:f>
              <c:strCache>
                <c:ptCount val="1"/>
              </c:strCache>
            </c:strRef>
          </c:tx>
          <c:spPr>
            <a:solidFill>
              <a:srgbClr val="334A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'60 pomoc Ukr. klm'!$B$15:$B$21</c:f>
              <c:strCache>
                <c:ptCount val="7"/>
                <c:pt idx="0">
                  <c:v>Poland</c:v>
                </c:pt>
                <c:pt idx="1">
                  <c:v>Urban areas 
in total</c:v>
                </c:pt>
                <c:pt idx="2">
                  <c:v>Cities 
500 thousand 
or over</c:v>
                </c:pt>
                <c:pt idx="3">
                  <c:v>Towns 
and cities 
100-499 
thousand</c:v>
                </c:pt>
                <c:pt idx="4">
                  <c:v>Towns 
20-99 
thousand</c:v>
                </c:pt>
                <c:pt idx="5">
                  <c:v>Towns 
below 20 
thousand</c:v>
                </c:pt>
                <c:pt idx="6">
                  <c:v>Rural areas</c:v>
                </c:pt>
              </c:strCache>
            </c:strRef>
          </c:cat>
          <c:val>
            <c:numRef>
              <c:f>'60 pomoc Ukr. klm'!$C$15:$C$21</c:f>
              <c:numCache>
                <c:formatCode>0.0%</c:formatCode>
                <c:ptCount val="7"/>
                <c:pt idx="0">
                  <c:v>3.6000000000000004E-2</c:v>
                </c:pt>
                <c:pt idx="1">
                  <c:v>4.4000000000000004E-2</c:v>
                </c:pt>
                <c:pt idx="2">
                  <c:v>6.7000000000000004E-2</c:v>
                </c:pt>
                <c:pt idx="3">
                  <c:v>4.5999999999999999E-2</c:v>
                </c:pt>
                <c:pt idx="4">
                  <c:v>3.6000000000000004E-2</c:v>
                </c:pt>
                <c:pt idx="5">
                  <c:v>2.3E-2</c:v>
                </c:pt>
                <c:pt idx="6">
                  <c:v>2.1000000000000001E-2</c:v>
                </c:pt>
              </c:numCache>
            </c:numRef>
          </c:val>
          <c:extLst xmlns:c16r2="http://schemas.microsoft.com/office/drawing/2015/06/chart">
            <c:ext xmlns:c16="http://schemas.microsoft.com/office/drawing/2014/chart" uri="{C3380CC4-5D6E-409C-BE32-E72D297353CC}">
              <c16:uniqueId val="{00000000-2EBC-484F-818E-A3EEAF873955}"/>
            </c:ext>
          </c:extLst>
        </c:ser>
        <c:dLbls>
          <c:dLblPos val="outEnd"/>
          <c:showLegendKey val="0"/>
          <c:showVal val="1"/>
          <c:showCatName val="0"/>
          <c:showSerName val="0"/>
          <c:showPercent val="0"/>
          <c:showBubbleSize val="0"/>
        </c:dLbls>
        <c:gapWidth val="100"/>
        <c:axId val="-1076746960"/>
        <c:axId val="-1076748048"/>
      </c:barChart>
      <c:catAx>
        <c:axId val="-107674696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076748048"/>
        <c:crosses val="autoZero"/>
        <c:auto val="1"/>
        <c:lblAlgn val="ctr"/>
        <c:lblOffset val="100"/>
        <c:noMultiLvlLbl val="0"/>
      </c:catAx>
      <c:valAx>
        <c:axId val="-1076748048"/>
        <c:scaling>
          <c:orientation val="minMax"/>
          <c:max val="0.1"/>
        </c:scaling>
        <c:delete val="0"/>
        <c:axPos val="l"/>
        <c:majorGridlines>
          <c:spPr>
            <a:ln w="6350" cap="flat" cmpd="sng" algn="ctr">
              <a:solidFill>
                <a:schemeClr val="bg1">
                  <a:lumMod val="6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076746960"/>
        <c:crosses val="autoZero"/>
        <c:crossBetween val="between"/>
        <c:majorUnit val="5.000000000000001E-2"/>
        <c:minorUnit val="5.000000000000001E-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725659292588453E-2"/>
          <c:y val="0.25184207808487985"/>
          <c:w val="0.91432281902262214"/>
          <c:h val="0.64955145532181602"/>
        </c:manualLayout>
      </c:layout>
      <c:barChart>
        <c:barDir val="col"/>
        <c:grouping val="clustered"/>
        <c:varyColors val="0"/>
        <c:ser>
          <c:idx val="0"/>
          <c:order val="0"/>
          <c:tx>
            <c:strRef>
              <c:f>'3 wskaź. doch,wyd gosp. ogó (S)'!$B$11</c:f>
              <c:strCache>
                <c:ptCount val="1"/>
                <c:pt idx="0">
                  <c:v>Available income </c:v>
                </c:pt>
              </c:strCache>
            </c:strRef>
          </c:tx>
          <c:spPr>
            <a:solidFill>
              <a:srgbClr val="334A92"/>
            </a:solidFill>
            <a:scene3d>
              <a:camera prst="orthographicFront"/>
              <a:lightRig rig="threePt" dir="t"/>
            </a:scene3d>
          </c:spPr>
          <c:invertIfNegative val="0"/>
          <c:dLbls>
            <c:dLbl>
              <c:idx val="2"/>
              <c:layout>
                <c:manualLayout>
                  <c:x val="-2.4792363951903723E-3"/>
                  <c:y val="4.522840343735866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57-4A41-B566-86132F018A8E}"/>
                </c:ext>
                <c:ext xmlns:c15="http://schemas.microsoft.com/office/drawing/2012/chart" uri="{CE6537A1-D6FC-4f65-9D91-7224C49458BB}">
                  <c15:layout/>
                </c:ext>
              </c:extLst>
            </c:dLbl>
            <c:dLbl>
              <c:idx val="3"/>
              <c:layout>
                <c:manualLayout>
                  <c:x val="-9.08997593713866E-17"/>
                  <c:y val="-1.720867208672086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 wskaź. doch,wyd gosp. ogó (S)'!$C$10:$G$10</c:f>
              <c:strCache>
                <c:ptCount val="5"/>
                <c:pt idx="0">
                  <c:v>employees</c:v>
                </c:pt>
                <c:pt idx="1">
                  <c:v>farmers</c:v>
                </c:pt>
                <c:pt idx="2">
                  <c:v>self-employed</c:v>
                </c:pt>
                <c:pt idx="3">
                  <c:v>retirees</c:v>
                </c:pt>
                <c:pt idx="4">
                  <c:v>pensioners</c:v>
                </c:pt>
              </c:strCache>
            </c:strRef>
          </c:cat>
          <c:val>
            <c:numRef>
              <c:f>'3 wskaź. doch,wyd gosp. ogó (S)'!$C$11:$G$11</c:f>
              <c:numCache>
                <c:formatCode>0.0%</c:formatCode>
                <c:ptCount val="5"/>
                <c:pt idx="0">
                  <c:v>0.997</c:v>
                </c:pt>
                <c:pt idx="1">
                  <c:v>1.1879999999999999</c:v>
                </c:pt>
                <c:pt idx="2">
                  <c:v>1.1990000000000001</c:v>
                </c:pt>
                <c:pt idx="3">
                  <c:v>0.93100000000000005</c:v>
                </c:pt>
                <c:pt idx="4">
                  <c:v>0.72599999999999998</c:v>
                </c:pt>
              </c:numCache>
            </c:numRef>
          </c:val>
          <c:extLst xmlns:c16r2="http://schemas.microsoft.com/office/drawing/2015/06/chart">
            <c:ext xmlns:c16="http://schemas.microsoft.com/office/drawing/2014/chart" uri="{C3380CC4-5D6E-409C-BE32-E72D297353CC}">
              <c16:uniqueId val="{00000001-3C57-4A41-B566-86132F018A8E}"/>
            </c:ext>
          </c:extLst>
        </c:ser>
        <c:ser>
          <c:idx val="1"/>
          <c:order val="1"/>
          <c:tx>
            <c:strRef>
              <c:f>'3 wskaź. doch,wyd gosp. ogó (S)'!$B$12</c:f>
              <c:strCache>
                <c:ptCount val="1"/>
                <c:pt idx="0">
                  <c:v>Expenditure</c:v>
                </c:pt>
              </c:strCache>
            </c:strRef>
          </c:tx>
          <c:spPr>
            <a:solidFill>
              <a:srgbClr val="66B68E"/>
            </a:solidFill>
            <a:scene3d>
              <a:camera prst="orthographicFront"/>
              <a:lightRig rig="threePt" dir="t"/>
            </a:scene3d>
          </c:spPr>
          <c:invertIfNegative val="0"/>
          <c:dLbls>
            <c:dLbl>
              <c:idx val="4"/>
              <c:layout>
                <c:manualLayout>
                  <c:x val="4.9582259701725622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'3 wskaź. doch,wyd gosp. ogó (S)'!$C$10:$G$10</c:f>
              <c:strCache>
                <c:ptCount val="5"/>
                <c:pt idx="0">
                  <c:v>employees</c:v>
                </c:pt>
                <c:pt idx="1">
                  <c:v>farmers</c:v>
                </c:pt>
                <c:pt idx="2">
                  <c:v>self-employed</c:v>
                </c:pt>
                <c:pt idx="3">
                  <c:v>retirees</c:v>
                </c:pt>
                <c:pt idx="4">
                  <c:v>pensioners</c:v>
                </c:pt>
              </c:strCache>
            </c:strRef>
          </c:cat>
          <c:val>
            <c:numRef>
              <c:f>'3 wskaź. doch,wyd gosp. ogó (S)'!$C$12:$G$12</c:f>
              <c:numCache>
                <c:formatCode>0.0%</c:formatCode>
                <c:ptCount val="5"/>
                <c:pt idx="0">
                  <c:v>0.996</c:v>
                </c:pt>
                <c:pt idx="1">
                  <c:v>0.67400000000000004</c:v>
                </c:pt>
                <c:pt idx="2">
                  <c:v>1.1259999999999999</c:v>
                </c:pt>
                <c:pt idx="3">
                  <c:v>1.0620000000000001</c:v>
                </c:pt>
                <c:pt idx="4">
                  <c:v>0.90900000000000003</c:v>
                </c:pt>
              </c:numCache>
            </c:numRef>
          </c:val>
          <c:extLst xmlns:c16r2="http://schemas.microsoft.com/office/drawing/2015/06/chart">
            <c:ext xmlns:c16="http://schemas.microsoft.com/office/drawing/2014/chart" uri="{C3380CC4-5D6E-409C-BE32-E72D297353CC}">
              <c16:uniqueId val="{00000002-3C57-4A41-B566-86132F018A8E}"/>
            </c:ext>
          </c:extLst>
        </c:ser>
        <c:dLbls>
          <c:showLegendKey val="0"/>
          <c:showVal val="0"/>
          <c:showCatName val="0"/>
          <c:showSerName val="0"/>
          <c:showPercent val="0"/>
          <c:showBubbleSize val="0"/>
        </c:dLbls>
        <c:gapWidth val="50"/>
        <c:axId val="-1110478288"/>
        <c:axId val="-1110468496"/>
      </c:barChart>
      <c:lineChart>
        <c:grouping val="standard"/>
        <c:varyColors val="0"/>
        <c:ser>
          <c:idx val="2"/>
          <c:order val="2"/>
          <c:tx>
            <c:strRef>
              <c:f>'3 wskaź. doch,wyd gosp. ogó (S)'!$B$13</c:f>
              <c:strCache>
                <c:ptCount val="1"/>
                <c:pt idx="0">
                  <c:v>National average = 100%</c:v>
                </c:pt>
              </c:strCache>
            </c:strRef>
          </c:tx>
          <c:spPr>
            <a:ln>
              <a:solidFill>
                <a:sysClr val="windowText" lastClr="000000"/>
              </a:solidFill>
            </a:ln>
          </c:spPr>
          <c:marker>
            <c:symbol val="none"/>
          </c:marker>
          <c:cat>
            <c:strRef>
              <c:f>'3 wskaź. doch,wyd gosp. ogó (S)'!$C$10:$G$10</c:f>
              <c:strCache>
                <c:ptCount val="5"/>
                <c:pt idx="0">
                  <c:v>employees</c:v>
                </c:pt>
                <c:pt idx="1">
                  <c:v>farmers</c:v>
                </c:pt>
                <c:pt idx="2">
                  <c:v>self-employed</c:v>
                </c:pt>
                <c:pt idx="3">
                  <c:v>retirees</c:v>
                </c:pt>
                <c:pt idx="4">
                  <c:v>pensioners</c:v>
                </c:pt>
              </c:strCache>
            </c:strRef>
          </c:cat>
          <c:val>
            <c:numRef>
              <c:f>'3 wskaź. doch,wyd gosp. ogó (S)'!$C$13:$G$13</c:f>
              <c:numCache>
                <c:formatCode>0.0%</c:formatCode>
                <c:ptCount val="5"/>
                <c:pt idx="0">
                  <c:v>1</c:v>
                </c:pt>
                <c:pt idx="1">
                  <c:v>1</c:v>
                </c:pt>
                <c:pt idx="2">
                  <c:v>1</c:v>
                </c:pt>
                <c:pt idx="3">
                  <c:v>1</c:v>
                </c:pt>
                <c:pt idx="4">
                  <c:v>1</c:v>
                </c:pt>
              </c:numCache>
            </c:numRef>
          </c:val>
          <c:smooth val="0"/>
          <c:extLst xmlns:c16r2="http://schemas.microsoft.com/office/drawing/2015/06/chart">
            <c:ext xmlns:c16="http://schemas.microsoft.com/office/drawing/2014/chart" uri="{C3380CC4-5D6E-409C-BE32-E72D297353CC}">
              <c16:uniqueId val="{00000003-3C57-4A41-B566-86132F018A8E}"/>
            </c:ext>
          </c:extLst>
        </c:ser>
        <c:dLbls>
          <c:showLegendKey val="0"/>
          <c:showVal val="0"/>
          <c:showCatName val="0"/>
          <c:showSerName val="0"/>
          <c:showPercent val="0"/>
          <c:showBubbleSize val="0"/>
        </c:dLbls>
        <c:marker val="1"/>
        <c:smooth val="0"/>
        <c:axId val="-1110478288"/>
        <c:axId val="-1110468496"/>
      </c:lineChart>
      <c:catAx>
        <c:axId val="-1110478288"/>
        <c:scaling>
          <c:orientation val="minMax"/>
        </c:scaling>
        <c:delete val="0"/>
        <c:axPos val="b"/>
        <c:numFmt formatCode="General" sourceLinked="1"/>
        <c:majorTickMark val="none"/>
        <c:minorTickMark val="none"/>
        <c:tickLblPos val="low"/>
        <c:spPr>
          <a:ln w="9525">
            <a:solidFill>
              <a:sysClr val="windowText" lastClr="000000"/>
            </a:solidFill>
          </a:ln>
        </c:spPr>
        <c:crossAx val="-1110468496"/>
        <c:crossesAt val="0"/>
        <c:auto val="1"/>
        <c:lblAlgn val="ctr"/>
        <c:lblOffset val="100"/>
        <c:noMultiLvlLbl val="0"/>
      </c:catAx>
      <c:valAx>
        <c:axId val="-1110468496"/>
        <c:scaling>
          <c:orientation val="minMax"/>
          <c:max val="1.4"/>
          <c:min val="0"/>
        </c:scaling>
        <c:delete val="0"/>
        <c:axPos val="l"/>
        <c:majorGridlines>
          <c:spPr>
            <a:ln w="6350">
              <a:solidFill>
                <a:schemeClr val="bg1">
                  <a:lumMod val="65000"/>
                </a:scheme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10478288"/>
        <c:crossesAt val="1"/>
        <c:crossBetween val="between"/>
      </c:valAx>
    </c:plotArea>
    <c:legend>
      <c:legendPos val="r"/>
      <c:legendEntry>
        <c:idx val="0"/>
        <c:txPr>
          <a:bodyPr/>
          <a:lstStyle/>
          <a:p>
            <a:pPr>
              <a:defRPr sz="900"/>
            </a:pPr>
            <a:endParaRPr lang="pl-PL"/>
          </a:p>
        </c:txPr>
      </c:legendEntry>
      <c:layout>
        <c:manualLayout>
          <c:xMode val="edge"/>
          <c:yMode val="edge"/>
          <c:x val="7.2428646307645908E-2"/>
          <c:y val="0.16018194444444447"/>
          <c:w val="0.91928160001024717"/>
          <c:h val="8.1677814029363791E-2"/>
        </c:manualLayout>
      </c:layout>
      <c:overlay val="0"/>
      <c:spPr>
        <a:solidFill>
          <a:sysClr val="window" lastClr="FFFFFF"/>
        </a:solidFill>
        <a:ln w="6350">
          <a:noFill/>
        </a:ln>
      </c:spPr>
      <c:txPr>
        <a:bodyPr/>
        <a:lstStyle/>
        <a:p>
          <a:pPr>
            <a:defRPr sz="90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13496750406198"/>
          <c:y val="0.11074342891278376"/>
          <c:w val="0.54659280871141114"/>
          <c:h val="0.7259089008363202"/>
        </c:manualLayout>
      </c:layout>
      <c:barChart>
        <c:barDir val="bar"/>
        <c:grouping val="clustered"/>
        <c:varyColors val="0"/>
        <c:ser>
          <c:idx val="0"/>
          <c:order val="0"/>
          <c:tx>
            <c:strRef>
              <c:f>'6 struktura dochodu'!$D$21</c:f>
              <c:strCache>
                <c:ptCount val="1"/>
                <c:pt idx="0">
                  <c:v>2025</c:v>
                </c:pt>
              </c:strCache>
            </c:strRef>
          </c:tx>
          <c:spPr>
            <a:solidFill>
              <a:srgbClr val="334A92"/>
            </a:solidFill>
            <a:ln>
              <a:noFill/>
            </a:ln>
            <a:scene3d>
              <a:camera prst="orthographicFront"/>
              <a:lightRig rig="threePt" dir="t"/>
            </a:scene3d>
          </c:spPr>
          <c:invertIfNegative val="0"/>
          <c:dPt>
            <c:idx val="4"/>
            <c:invertIfNegative val="0"/>
            <c:bubble3D val="0"/>
            <c:spPr>
              <a:solidFill>
                <a:srgbClr val="99A4C8"/>
              </a:solidFill>
              <a:ln>
                <a:noFill/>
              </a:ln>
              <a:scene3d>
                <a:camera prst="orthographicFront"/>
                <a:lightRig rig="threePt" dir="t"/>
              </a:scene3d>
            </c:spPr>
            <c:extLst xmlns:c15="http://schemas.microsoft.com/office/drawing/2012/chart" xmlns:c16r2="http://schemas.microsoft.com/office/drawing/2015/06/chart">
              <c:ext xmlns:c16="http://schemas.microsoft.com/office/drawing/2014/chart" uri="{C3380CC4-5D6E-409C-BE32-E72D297353CC}">
                <c16:uniqueId val="{00000001-A024-4FD0-9CF0-E12192553282}"/>
              </c:ext>
            </c:extLst>
          </c:dPt>
          <c:dPt>
            <c:idx val="5"/>
            <c:invertIfNegative val="0"/>
            <c:bubble3D val="0"/>
            <c:spPr>
              <a:solidFill>
                <a:srgbClr val="99A4C8"/>
              </a:solidFill>
              <a:ln>
                <a:noFill/>
              </a:ln>
              <a:scene3d>
                <a:camera prst="orthographicFront"/>
                <a:lightRig rig="threePt" dir="t"/>
              </a:scene3d>
            </c:spPr>
            <c:extLst xmlns:c15="http://schemas.microsoft.com/office/drawing/2012/chart" xmlns:c16r2="http://schemas.microsoft.com/office/drawing/2015/06/chart">
              <c:ext xmlns:c16="http://schemas.microsoft.com/office/drawing/2014/chart" uri="{C3380CC4-5D6E-409C-BE32-E72D297353CC}">
                <c16:uniqueId val="{00000003-A024-4FD0-9CF0-E12192553282}"/>
              </c:ext>
            </c:extLst>
          </c:dPt>
          <c:dPt>
            <c:idx val="7"/>
            <c:invertIfNegative val="0"/>
            <c:bubble3D val="0"/>
            <c:spPr>
              <a:solidFill>
                <a:srgbClr val="99A4C8"/>
              </a:solidFill>
              <a:ln>
                <a:noFill/>
              </a:ln>
              <a:scene3d>
                <a:camera prst="orthographicFront"/>
                <a:lightRig rig="threePt" dir="t"/>
              </a:scene3d>
            </c:spPr>
            <c:extLst xmlns:c15="http://schemas.microsoft.com/office/drawing/2012/chart" xmlns:c16r2="http://schemas.microsoft.com/office/drawing/2015/06/chart">
              <c:ext xmlns:c16="http://schemas.microsoft.com/office/drawing/2014/chart" uri="{C3380CC4-5D6E-409C-BE32-E72D297353CC}">
                <c16:uniqueId val="{00000005-A024-4FD0-9CF0-E12192553282}"/>
              </c:ext>
            </c:extLst>
          </c:dPt>
          <c:dLbls>
            <c:numFmt formatCode="0.0%" sourceLinked="0"/>
            <c:spPr>
              <a:noFill/>
              <a:ln>
                <a:noFill/>
              </a:ln>
              <a:effectLst/>
            </c:spPr>
            <c:txPr>
              <a:bodyPr wrap="square" lIns="38100" tIns="19050" rIns="38100" bIns="19050" anchor="ctr">
                <a:spAutoFit/>
              </a:bodyPr>
              <a:lstStyle/>
              <a:p>
                <a:pPr>
                  <a:defRPr sz="800"/>
                </a:pPr>
                <a:endParaRPr lang="pl-PL"/>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layout/>
                <c15:showLeaderLines val="0"/>
              </c:ext>
            </c:extLst>
          </c:dLbls>
          <c:cat>
            <c:strRef>
              <c:f>'6 struktura dochodu'!$B$22:$B$30</c:f>
              <c:strCache>
                <c:ptCount val="9"/>
                <c:pt idx="0">
                  <c:v>Income from hired work</c:v>
                </c:pt>
                <c:pt idx="1">
                  <c:v>Income from self-employment</c:v>
                </c:pt>
                <c:pt idx="2">
                  <c:v>Income from private farm in agriculture</c:v>
                </c:pt>
                <c:pt idx="3">
                  <c:v>Income from social security benefits</c:v>
                </c:pt>
                <c:pt idx="4">
                  <c:v>   of which: from retirement pensions     </c:v>
                </c:pt>
                <c:pt idx="5">
                  <c:v>   from pensions     </c:v>
                </c:pt>
                <c:pt idx="6">
                  <c:v>Income from other social benefits</c:v>
                </c:pt>
                <c:pt idx="7">
                  <c:v>   of which from child-raising benefit     </c:v>
                </c:pt>
                <c:pt idx="8">
                  <c:v>Other income*</c:v>
                </c:pt>
              </c:strCache>
            </c:strRef>
          </c:cat>
          <c:val>
            <c:numRef>
              <c:f>'6 struktura dochodu'!$D$22:$D$30</c:f>
              <c:numCache>
                <c:formatCode>0.0%</c:formatCode>
                <c:ptCount val="9"/>
                <c:pt idx="0">
                  <c:v>0.53455364106725023</c:v>
                </c:pt>
                <c:pt idx="1">
                  <c:v>0.10333379997200168</c:v>
                </c:pt>
                <c:pt idx="2">
                  <c:v>4.3643095699972281E-2</c:v>
                </c:pt>
                <c:pt idx="3">
                  <c:v>0.24042557446553206</c:v>
                </c:pt>
                <c:pt idx="4">
                  <c:v>0.21471854545870103</c:v>
                </c:pt>
                <c:pt idx="5">
                  <c:v>2.3744289628336586E-2</c:v>
                </c:pt>
                <c:pt idx="6">
                  <c:v>6.1227754906134205E-2</c:v>
                </c:pt>
                <c:pt idx="7">
                  <c:v>4.1151816605289396E-2</c:v>
                </c:pt>
                <c:pt idx="8">
                  <c:v>1.6816133889109509E-2</c:v>
                </c:pt>
              </c:numCache>
            </c:numRef>
          </c:val>
          <c:extLst xmlns:c15="http://schemas.microsoft.com/office/drawing/2012/chart" xmlns:c16r2="http://schemas.microsoft.com/office/drawing/2015/06/chart">
            <c:ext xmlns:c16="http://schemas.microsoft.com/office/drawing/2014/chart" uri="{C3380CC4-5D6E-409C-BE32-E72D297353CC}">
              <c16:uniqueId val="{00000006-A024-4FD0-9CF0-E12192553282}"/>
            </c:ext>
          </c:extLst>
        </c:ser>
        <c:dLbls>
          <c:showLegendKey val="0"/>
          <c:showVal val="0"/>
          <c:showCatName val="0"/>
          <c:showSerName val="0"/>
          <c:showPercent val="0"/>
          <c:showBubbleSize val="0"/>
        </c:dLbls>
        <c:gapWidth val="50"/>
        <c:axId val="-1110467952"/>
        <c:axId val="-1110479376"/>
        <c:extLst xmlns:c16r2="http://schemas.microsoft.com/office/drawing/2015/06/chart"/>
      </c:barChart>
      <c:catAx>
        <c:axId val="-1110467952"/>
        <c:scaling>
          <c:orientation val="maxMin"/>
        </c:scaling>
        <c:delete val="0"/>
        <c:axPos val="l"/>
        <c:numFmt formatCode="General" sourceLinked="0"/>
        <c:majorTickMark val="out"/>
        <c:minorTickMark val="none"/>
        <c:tickLblPos val="nextTo"/>
        <c:spPr>
          <a:ln w="9525">
            <a:solidFill>
              <a:sysClr val="windowText" lastClr="000000"/>
            </a:solidFill>
          </a:ln>
        </c:spPr>
        <c:txPr>
          <a:bodyPr/>
          <a:lstStyle/>
          <a:p>
            <a:pPr>
              <a:defRPr sz="850"/>
            </a:pPr>
            <a:endParaRPr lang="pl-PL"/>
          </a:p>
        </c:txPr>
        <c:crossAx val="-1110479376"/>
        <c:crossesAt val="0"/>
        <c:auto val="1"/>
        <c:lblAlgn val="ctr"/>
        <c:lblOffset val="100"/>
        <c:noMultiLvlLbl val="0"/>
      </c:catAx>
      <c:valAx>
        <c:axId val="-1110479376"/>
        <c:scaling>
          <c:orientation val="minMax"/>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10467952"/>
        <c:crosses val="max"/>
        <c:crossBetween val="between"/>
      </c:valAx>
    </c:plotArea>
    <c:plotVisOnly val="1"/>
    <c:dispBlanksAs val="zero"/>
    <c:showDLblsOverMax val="0"/>
  </c:chart>
  <c:spPr>
    <a:ln>
      <a:noFill/>
    </a:ln>
  </c:spPr>
  <c:txPr>
    <a:bodyPr/>
    <a:lstStyle/>
    <a:p>
      <a:pPr>
        <a:spcBef>
          <a:spcPts val="1200"/>
        </a:spcBef>
        <a:spcAft>
          <a:spcPts val="1200"/>
        </a:spcAft>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820245122946705E-2"/>
          <c:y val="0.15391373876758069"/>
          <c:w val="0.8910008599241197"/>
          <c:h val="0.7748601316824596"/>
        </c:manualLayout>
      </c:layout>
      <c:lineChart>
        <c:grouping val="standard"/>
        <c:varyColors val="0"/>
        <c:ser>
          <c:idx val="0"/>
          <c:order val="0"/>
          <c:tx>
            <c:strRef>
              <c:f>'8 Gini_miasto wieś'!$C$7</c:f>
              <c:strCache>
                <c:ptCount val="1"/>
                <c:pt idx="0">
                  <c:v>Poland</c:v>
                </c:pt>
              </c:strCache>
            </c:strRef>
          </c:tx>
          <c:spPr>
            <a:ln w="31750">
              <a:solidFill>
                <a:sysClr val="windowText" lastClr="000000"/>
              </a:solidFill>
            </a:ln>
          </c:spPr>
          <c:marker>
            <c:symbol val="circle"/>
            <c:size val="5"/>
            <c:spPr>
              <a:solidFill>
                <a:sysClr val="windowText" lastClr="000000"/>
              </a:solidFill>
              <a:ln w="6350">
                <a:noFill/>
              </a:ln>
              <a:scene3d>
                <a:camera prst="orthographicFront"/>
                <a:lightRig rig="threePt" dir="t"/>
              </a:scene3d>
            </c:spPr>
          </c:marker>
          <c:dLbls>
            <c:dLbl>
              <c:idx val="0"/>
              <c:layout>
                <c:manualLayout>
                  <c:x val="-6.682763721219373E-2"/>
                  <c:y val="3.35057442752149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8E8-4226-9206-3D3265D19A03}"/>
                </c:ext>
                <c:ext xmlns:c15="http://schemas.microsoft.com/office/drawing/2012/chart" uri="{CE6537A1-D6FC-4f65-9D91-7224C49458BB}">
                  <c15:layout/>
                </c:ext>
              </c:extLst>
            </c:dLbl>
            <c:dLbl>
              <c:idx val="1"/>
              <c:layout>
                <c:manualLayout>
                  <c:x val="-6.6523450129718803E-2"/>
                  <c:y val="3.7231691673104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8E8-4226-9206-3D3265D19A03}"/>
                </c:ext>
                <c:ext xmlns:c15="http://schemas.microsoft.com/office/drawing/2012/chart" uri="{CE6537A1-D6FC-4f65-9D91-7224C49458BB}">
                  <c15:layout/>
                </c:ext>
              </c:extLst>
            </c:dLbl>
            <c:dLbl>
              <c:idx val="2"/>
              <c:layout>
                <c:manualLayout>
                  <c:x val="-8.9391075252526042E-2"/>
                  <c:y val="2.56933882364613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8E8-4226-9206-3D3265D19A03}"/>
                </c:ext>
                <c:ext xmlns:c15="http://schemas.microsoft.com/office/drawing/2012/chart" uri="{CE6537A1-D6FC-4f65-9D91-7224C49458BB}">
                  <c15:layout>
                    <c:manualLayout>
                      <c:w val="7.2165677348999466E-2"/>
                      <c:h val="4.9392341517684145E-2"/>
                    </c:manualLayout>
                  </c15:layout>
                </c:ext>
              </c:extLst>
            </c:dLbl>
            <c:dLbl>
              <c:idx val="3"/>
              <c:layout>
                <c:manualLayout>
                  <c:x val="-7.3921170639972181E-2"/>
                  <c:y val="3.33963160095537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8E8-4226-9206-3D3265D19A03}"/>
                </c:ext>
                <c:ext xmlns:c15="http://schemas.microsoft.com/office/drawing/2012/chart" uri="{CE6537A1-D6FC-4f65-9D91-7224C49458BB}">
                  <c15:layout/>
                </c:ext>
              </c:extLst>
            </c:dLbl>
            <c:dLbl>
              <c:idx val="4"/>
              <c:layout>
                <c:manualLayout>
                  <c:x val="-6.3592281535883144E-2"/>
                  <c:y val="3.30765360000567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8E8-4226-9206-3D3265D19A03}"/>
                </c:ext>
                <c:ext xmlns:c15="http://schemas.microsoft.com/office/drawing/2012/chart" uri="{CE6537A1-D6FC-4f65-9D91-7224C49458BB}">
                  <c15:layout/>
                </c:ext>
              </c:extLst>
            </c:dLbl>
            <c:dLbl>
              <c:idx val="5"/>
              <c:layout>
                <c:manualLayout>
                  <c:x val="-5.1621211718895256E-2"/>
                  <c:y val="3.76827289028115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8E8-4226-9206-3D3265D19A03}"/>
                </c:ext>
                <c:ext xmlns:c15="http://schemas.microsoft.com/office/drawing/2012/chart" uri="{CE6537A1-D6FC-4f65-9D91-7224C49458BB}">
                  <c15:layout/>
                </c:ext>
              </c:extLst>
            </c:dLbl>
            <c:dLbl>
              <c:idx val="6"/>
              <c:layout>
                <c:manualLayout>
                  <c:x val="-5.4071889677319594E-2"/>
                  <c:y val="3.3631331637100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8E8-4226-9206-3D3265D19A03}"/>
                </c:ext>
                <c:ext xmlns:c15="http://schemas.microsoft.com/office/drawing/2012/chart" uri="{CE6537A1-D6FC-4f65-9D91-7224C49458BB}">
                  <c15:layout/>
                </c:ext>
              </c:extLst>
            </c:dLbl>
            <c:dLbl>
              <c:idx val="7"/>
              <c:layout>
                <c:manualLayout>
                  <c:x val="-5.4293879865236233E-2"/>
                  <c:y val="-4.33236709497721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8E8-4226-9206-3D3265D19A03}"/>
                </c:ext>
                <c:ext xmlns:c15="http://schemas.microsoft.com/office/drawing/2012/chart" uri="{CE6537A1-D6FC-4f65-9D91-7224C49458BB}">
                  <c15:layout/>
                </c:ext>
              </c:extLst>
            </c:dLbl>
            <c:dLbl>
              <c:idx val="8"/>
              <c:layout>
                <c:manualLayout>
                  <c:x val="-6.4902355556041583E-2"/>
                  <c:y val="-3.16755140080937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8E8-4226-9206-3D3265D19A03}"/>
                </c:ext>
                <c:ext xmlns:c15="http://schemas.microsoft.com/office/drawing/2012/chart" uri="{CE6537A1-D6FC-4f65-9D91-7224C49458BB}">
                  <c15:layout/>
                </c:ext>
              </c:extLst>
            </c:dLbl>
            <c:dLbl>
              <c:idx val="9"/>
              <c:layout>
                <c:manualLayout>
                  <c:x val="-4.8042620554143739E-2"/>
                  <c:y val="-3.28610813837289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8E8-4226-9206-3D3265D19A03}"/>
                </c:ext>
                <c:ext xmlns:c15="http://schemas.microsoft.com/office/drawing/2012/chart" uri="{CE6537A1-D6FC-4f65-9D91-7224C49458BB}">
                  <c15:layout/>
                </c:ext>
              </c:extLst>
            </c:dLbl>
            <c:dLbl>
              <c:idx val="10"/>
              <c:layout>
                <c:manualLayout>
                  <c:x val="-3.328622793960305E-2"/>
                  <c:y val="2.92970084410015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51-4D51-B730-E6C2C41C1EFD}"/>
                </c:ext>
                <c:ext xmlns:c15="http://schemas.microsoft.com/office/drawing/2012/chart" uri="{CE6537A1-D6FC-4f65-9D91-7224C49458BB}">
                  <c15:layout/>
                </c:ext>
              </c:extLst>
            </c:dLbl>
            <c:dLbl>
              <c:idx val="11"/>
              <c:layout>
                <c:manualLayout>
                  <c:x val="-4.3200032488273948E-2"/>
                  <c:y val="-2.92417273223385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8E8-4226-9206-3D3265D19A03}"/>
                </c:ext>
                <c:ext xmlns:c15="http://schemas.microsoft.com/office/drawing/2012/chart" uri="{CE6537A1-D6FC-4f65-9D91-7224C49458BB}">
                  <c15:layout/>
                </c:ext>
              </c:extLst>
            </c:dLbl>
            <c:dLbl>
              <c:idx val="12"/>
              <c:layout>
                <c:manualLayout>
                  <c:x val="-3.6887467179814969E-2"/>
                  <c:y val="-5.20342742935710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8E8-4226-9206-3D3265D19A03}"/>
                </c:ext>
                <c:ext xmlns:c15="http://schemas.microsoft.com/office/drawing/2012/chart" uri="{CE6537A1-D6FC-4f65-9D91-7224C49458BB}">
                  <c15:layout/>
                </c:ext>
              </c:extLst>
            </c:dLbl>
            <c:dLbl>
              <c:idx val="13"/>
              <c:layout>
                <c:manualLayout>
                  <c:x val="-5.8242649918545022E-3"/>
                  <c:y val="-2.83348334833483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8E8-4226-9206-3D3265D19A03}"/>
                </c:ext>
                <c:ext xmlns:c15="http://schemas.microsoft.com/office/drawing/2012/chart" uri="{CE6537A1-D6FC-4f65-9D91-7224C49458BB}">
                  <c15:layout/>
                </c:ext>
              </c:extLst>
            </c:dLbl>
            <c:dLbl>
              <c:idx val="14"/>
              <c:layout>
                <c:manualLayout>
                  <c:x val="-5.445615812001188E-2"/>
                  <c:y val="3.73074572023403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8E8-4226-9206-3D3265D19A03}"/>
                </c:ext>
                <c:ext xmlns:c15="http://schemas.microsoft.com/office/drawing/2012/chart" uri="{CE6537A1-D6FC-4f65-9D91-7224C49458BB}"/>
              </c:extLst>
            </c:dLbl>
            <c:dLbl>
              <c:idx val="15"/>
              <c:layout>
                <c:manualLayout>
                  <c:x val="-4.968389735961324E-2"/>
                  <c:y val="-5.40674183661185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8E8-4226-9206-3D3265D19A03}"/>
                </c:ext>
                <c:ext xmlns:c15="http://schemas.microsoft.com/office/drawing/2012/chart" uri="{CE6537A1-D6FC-4f65-9D91-7224C49458BB}"/>
              </c:extLst>
            </c:dLbl>
            <c:dLbl>
              <c:idx val="16"/>
              <c:layout>
                <c:manualLayout>
                  <c:x val="-4.8689392378506648E-2"/>
                  <c:y val="-4.23392481702623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B8E8-4226-9206-3D3265D19A03}"/>
                </c:ext>
                <c:ext xmlns:c15="http://schemas.microsoft.com/office/drawing/2012/chart" uri="{CE6537A1-D6FC-4f65-9D91-7224C49458BB}"/>
              </c:extLst>
            </c:dLbl>
            <c:dLbl>
              <c:idx val="17"/>
              <c:layout>
                <c:manualLayout>
                  <c:x val="-4.0603419311170952E-2"/>
                  <c:y val="-3.842786890658494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8E8-4226-9206-3D3265D19A03}"/>
                </c:ext>
                <c:ext xmlns:c15="http://schemas.microsoft.com/office/drawing/2012/chart" uri="{CE6537A1-D6FC-4f65-9D91-7224C49458BB}"/>
              </c:extLst>
            </c:dLbl>
            <c:dLbl>
              <c:idx val="18"/>
              <c:layout>
                <c:manualLayout>
                  <c:x val="-3.5059869596780946E-4"/>
                  <c:y val="4.38907630988038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8E8-4226-9206-3D3265D19A03}"/>
                </c:ext>
                <c:ext xmlns:c15="http://schemas.microsoft.com/office/drawing/2012/chart" uri="{CE6537A1-D6FC-4f65-9D91-7224C49458BB}"/>
              </c:extLst>
            </c:dLbl>
            <c:spPr>
              <a:noFill/>
              <a:ln>
                <a:noFill/>
              </a:ln>
              <a:effectLst/>
            </c:spPr>
            <c:txPr>
              <a:bodyPr/>
              <a:lstStyle/>
              <a:p>
                <a:pPr>
                  <a:defRPr sz="750">
                    <a:solidFill>
                      <a:schemeClr val="tx1"/>
                    </a:solidFill>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'8 Gini_miasto wieś'!$B$16:$B$29</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'8 Gini_miasto wieś'!$C$16:$C$29</c:f>
              <c:numCache>
                <c:formatCode>0.000</c:formatCode>
                <c:ptCount val="14"/>
                <c:pt idx="0">
                  <c:v>0.33800000000000002</c:v>
                </c:pt>
                <c:pt idx="1">
                  <c:v>0.33760000000000001</c:v>
                </c:pt>
                <c:pt idx="2">
                  <c:v>0.32600000000000001</c:v>
                </c:pt>
                <c:pt idx="3">
                  <c:v>0.3221</c:v>
                </c:pt>
                <c:pt idx="4">
                  <c:v>0.30442534851211001</c:v>
                </c:pt>
                <c:pt idx="5">
                  <c:v>0.29780000000000001</c:v>
                </c:pt>
                <c:pt idx="6">
                  <c:v>0.29899999999999999</c:v>
                </c:pt>
                <c:pt idx="7">
                  <c:v>0.30099999999999999</c:v>
                </c:pt>
                <c:pt idx="8">
                  <c:v>0.313</c:v>
                </c:pt>
                <c:pt idx="9">
                  <c:v>0.31900000000000001</c:v>
                </c:pt>
                <c:pt idx="10">
                  <c:v>0.314</c:v>
                </c:pt>
                <c:pt idx="11">
                  <c:v>0.314</c:v>
                </c:pt>
                <c:pt idx="12">
                  <c:v>0.3</c:v>
                </c:pt>
                <c:pt idx="13">
                  <c:v>0.307</c:v>
                </c:pt>
              </c:numCache>
            </c:numRef>
          </c:val>
          <c:smooth val="0"/>
          <c:extLst xmlns:c16r2="http://schemas.microsoft.com/office/drawing/2015/06/chart">
            <c:ext xmlns:c16="http://schemas.microsoft.com/office/drawing/2014/chart" uri="{C3380CC4-5D6E-409C-BE32-E72D297353CC}">
              <c16:uniqueId val="{00000013-B8E8-4226-9206-3D3265D19A03}"/>
            </c:ext>
          </c:extLst>
        </c:ser>
        <c:ser>
          <c:idx val="1"/>
          <c:order val="1"/>
          <c:tx>
            <c:strRef>
              <c:f>'8 Gini_miasto wieś'!$D$7</c:f>
              <c:strCache>
                <c:ptCount val="1"/>
                <c:pt idx="0">
                  <c:v>Urban areas</c:v>
                </c:pt>
              </c:strCache>
            </c:strRef>
          </c:tx>
          <c:spPr>
            <a:ln w="31750">
              <a:solidFill>
                <a:srgbClr val="334A92"/>
              </a:solidFill>
            </a:ln>
          </c:spPr>
          <c:marker>
            <c:symbol val="circle"/>
            <c:size val="5"/>
            <c:spPr>
              <a:solidFill>
                <a:srgbClr val="334A92"/>
              </a:solidFill>
              <a:ln w="6350">
                <a:noFill/>
              </a:ln>
            </c:spPr>
          </c:marker>
          <c:dLbls>
            <c:dLbl>
              <c:idx val="0"/>
              <c:layout>
                <c:manualLayout>
                  <c:x val="-7.0523568836872955E-2"/>
                  <c:y val="3.16168309744359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8E8-4226-9206-3D3265D19A03}"/>
                </c:ext>
                <c:ext xmlns:c15="http://schemas.microsoft.com/office/drawing/2012/chart" uri="{CE6537A1-D6FC-4f65-9D91-7224C49458BB}">
                  <c15:layout/>
                </c:ext>
              </c:extLst>
            </c:dLbl>
            <c:dLbl>
              <c:idx val="1"/>
              <c:layout>
                <c:manualLayout>
                  <c:x val="-7.1178410604922304E-2"/>
                  <c:y val="3.65651998270691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B8E8-4226-9206-3D3265D19A03}"/>
                </c:ext>
                <c:ext xmlns:c15="http://schemas.microsoft.com/office/drawing/2012/chart" uri="{CE6537A1-D6FC-4f65-9D91-7224C49458BB}">
                  <c15:layout/>
                </c:ext>
              </c:extLst>
            </c:dLbl>
            <c:dLbl>
              <c:idx val="2"/>
              <c:layout>
                <c:manualLayout>
                  <c:x val="-8.5006329746607087E-2"/>
                  <c:y val="3.11293649049944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B8E8-4226-9206-3D3265D19A03}"/>
                </c:ext>
                <c:ext xmlns:c15="http://schemas.microsoft.com/office/drawing/2012/chart" uri="{CE6537A1-D6FC-4f65-9D91-7224C49458BB}">
                  <c15:layout>
                    <c:manualLayout>
                      <c:w val="6.7697586123158335E-2"/>
                      <c:h val="4.7620148235139784E-2"/>
                    </c:manualLayout>
                  </c15:layout>
                </c:ext>
              </c:extLst>
            </c:dLbl>
            <c:dLbl>
              <c:idx val="3"/>
              <c:layout>
                <c:manualLayout>
                  <c:x val="-7.6105538469708592E-2"/>
                  <c:y val="3.39111391454106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B8E8-4226-9206-3D3265D19A03}"/>
                </c:ext>
                <c:ext xmlns:c15="http://schemas.microsoft.com/office/drawing/2012/chart" uri="{CE6537A1-D6FC-4f65-9D91-7224C49458BB}">
                  <c15:layout/>
                </c:ext>
              </c:extLst>
            </c:dLbl>
            <c:dLbl>
              <c:idx val="4"/>
              <c:layout>
                <c:manualLayout>
                  <c:x val="-6.8044776026153067E-2"/>
                  <c:y val="3.11289396656201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B8E8-4226-9206-3D3265D19A03}"/>
                </c:ext>
                <c:ext xmlns:c15="http://schemas.microsoft.com/office/drawing/2012/chart" uri="{CE6537A1-D6FC-4f65-9D91-7224C49458BB}">
                  <c15:layout/>
                </c:ext>
              </c:extLst>
            </c:dLbl>
            <c:dLbl>
              <c:idx val="5"/>
              <c:layout>
                <c:manualLayout>
                  <c:x val="-3.3262213169933975E-2"/>
                  <c:y val="-3.4043813830201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B8E8-4226-9206-3D3265D19A03}"/>
                </c:ext>
                <c:ext xmlns:c15="http://schemas.microsoft.com/office/drawing/2012/chart" uri="{CE6537A1-D6FC-4f65-9D91-7224C49458BB}">
                  <c15:layout/>
                </c:ext>
              </c:extLst>
            </c:dLbl>
            <c:dLbl>
              <c:idx val="6"/>
              <c:layout>
                <c:manualLayout>
                  <c:x val="-4.3837302473638422E-2"/>
                  <c:y val="-3.99566255838182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B8E8-4226-9206-3D3265D19A03}"/>
                </c:ext>
                <c:ext xmlns:c15="http://schemas.microsoft.com/office/drawing/2012/chart" uri="{CE6537A1-D6FC-4f65-9D91-7224C49458BB}">
                  <c15:layout/>
                </c:ext>
              </c:extLst>
            </c:dLbl>
            <c:dLbl>
              <c:idx val="7"/>
              <c:layout>
                <c:manualLayout>
                  <c:x val="-7.946936340164721E-3"/>
                  <c:y val="1.3883782078995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B8E8-4226-9206-3D3265D19A03}"/>
                </c:ext>
                <c:ext xmlns:c15="http://schemas.microsoft.com/office/drawing/2012/chart" uri="{CE6537A1-D6FC-4f65-9D91-7224C49458BB}">
                  <c15:layout/>
                </c:ext>
              </c:extLst>
            </c:dLbl>
            <c:dLbl>
              <c:idx val="8"/>
              <c:layout>
                <c:manualLayout>
                  <c:x val="-1.7908194463814277E-2"/>
                  <c:y val="3.15101181570867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B8E8-4226-9206-3D3265D19A03}"/>
                </c:ext>
                <c:ext xmlns:c15="http://schemas.microsoft.com/office/drawing/2012/chart" uri="{CE6537A1-D6FC-4f65-9D91-7224C49458BB}">
                  <c15:layout/>
                </c:ext>
              </c:extLst>
            </c:dLbl>
            <c:dLbl>
              <c:idx val="9"/>
              <c:layout>
                <c:manualLayout>
                  <c:x val="-3.572538661826747E-2"/>
                  <c:y val="4.2891344252535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B8E8-4226-9206-3D3265D19A03}"/>
                </c:ext>
                <c:ext xmlns:c15="http://schemas.microsoft.com/office/drawing/2012/chart" uri="{CE6537A1-D6FC-4f65-9D91-7224C49458BB}">
                  <c15:layout/>
                </c:ext>
              </c:extLst>
            </c:dLbl>
            <c:dLbl>
              <c:idx val="10"/>
              <c:layout>
                <c:manualLayout>
                  <c:x val="-4.9760359932586831E-2"/>
                  <c:y val="3.56588729739115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B8E8-4226-9206-3D3265D19A03}"/>
                </c:ext>
                <c:ext xmlns:c15="http://schemas.microsoft.com/office/drawing/2012/chart" uri="{CE6537A1-D6FC-4f65-9D91-7224C49458BB}">
                  <c15:layout/>
                </c:ext>
              </c:extLst>
            </c:dLbl>
            <c:dLbl>
              <c:idx val="11"/>
              <c:layout>
                <c:manualLayout>
                  <c:x val="-5.9342886372923544E-2"/>
                  <c:y val="3.78702364703420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B8E8-4226-9206-3D3265D19A03}"/>
                </c:ext>
                <c:ext xmlns:c15="http://schemas.microsoft.com/office/drawing/2012/chart" uri="{CE6537A1-D6FC-4f65-9D91-7224C49458BB}">
                  <c15:layout/>
                </c:ext>
              </c:extLst>
            </c:dLbl>
            <c:dLbl>
              <c:idx val="12"/>
              <c:layout>
                <c:manualLayout>
                  <c:x val="-8.9511051479856579E-2"/>
                  <c:y val="5.792894250054927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B8E8-4226-9206-3D3265D19A03}"/>
                </c:ext>
                <c:ext xmlns:c15="http://schemas.microsoft.com/office/drawing/2012/chart" uri="{CE6537A1-D6FC-4f65-9D91-7224C49458BB}">
                  <c15:layout/>
                </c:ext>
              </c:extLst>
            </c:dLbl>
            <c:dLbl>
              <c:idx val="13"/>
              <c:layout>
                <c:manualLayout>
                  <c:x val="-8.5340291238649238E-4"/>
                  <c:y val="2.69114155510039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B8E8-4226-9206-3D3265D19A03}"/>
                </c:ext>
                <c:ext xmlns:c15="http://schemas.microsoft.com/office/drawing/2012/chart" uri="{CE6537A1-D6FC-4f65-9D91-7224C49458BB}">
                  <c15:layout/>
                </c:ext>
              </c:extLst>
            </c:dLbl>
            <c:dLbl>
              <c:idx val="14"/>
              <c:layout>
                <c:manualLayout>
                  <c:x val="-4.7145510678773928E-2"/>
                  <c:y val="-3.74378428098290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B8E8-4226-9206-3D3265D19A03}"/>
                </c:ext>
                <c:ext xmlns:c15="http://schemas.microsoft.com/office/drawing/2012/chart" uri="{CE6537A1-D6FC-4f65-9D91-7224C49458BB}"/>
              </c:extLst>
            </c:dLbl>
            <c:dLbl>
              <c:idx val="15"/>
              <c:layout>
                <c:manualLayout>
                  <c:x val="-1.3819302709883465E-3"/>
                  <c:y val="-7.580785055730702E-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B8E8-4226-9206-3D3265D19A03}"/>
                </c:ext>
                <c:ext xmlns:c15="http://schemas.microsoft.com/office/drawing/2012/chart" uri="{CE6537A1-D6FC-4f65-9D91-7224C49458BB}"/>
              </c:extLst>
            </c:dLbl>
            <c:dLbl>
              <c:idx val="16"/>
              <c:layout>
                <c:manualLayout>
                  <c:x val="-5.8561939224532674E-3"/>
                  <c:y val="2.6653356302254787E-2"/>
                </c:manualLayout>
              </c:layout>
              <c:spPr>
                <a:noFill/>
                <a:ln>
                  <a:noFill/>
                </a:ln>
                <a:effectLst/>
              </c:spPr>
              <c:txPr>
                <a:bodyPr anchorCtr="0"/>
                <a:lstStyle/>
                <a:p>
                  <a:pPr algn="r">
                    <a:defRPr sz="750">
                      <a:solidFill>
                        <a:srgbClr val="334A92"/>
                      </a:solidFill>
                    </a:defRPr>
                  </a:pPr>
                  <a:endParaRPr lang="pl-PL"/>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B8E8-4226-9206-3D3265D19A03}"/>
                </c:ext>
                <c:ext xmlns:c15="http://schemas.microsoft.com/office/drawing/2012/chart" uri="{CE6537A1-D6FC-4f65-9D91-7224C49458BB}"/>
              </c:extLst>
            </c:dLbl>
            <c:dLbl>
              <c:idx val="17"/>
              <c:layout>
                <c:manualLayout>
                  <c:x val="-3.6675934808120259E-2"/>
                  <c:y val="5.29416901461472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B8E8-4226-9206-3D3265D19A03}"/>
                </c:ext>
                <c:ext xmlns:c15="http://schemas.microsoft.com/office/drawing/2012/chart" uri="{CE6537A1-D6FC-4f65-9D91-7224C49458BB}"/>
              </c:extLst>
            </c:dLbl>
            <c:dLbl>
              <c:idx val="18"/>
              <c:layout>
                <c:manualLayout>
                  <c:x val="-5.8549982226593889E-4"/>
                  <c:y val="4.115746459255231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B8E8-4226-9206-3D3265D19A03}"/>
                </c:ext>
                <c:ext xmlns:c15="http://schemas.microsoft.com/office/drawing/2012/chart" uri="{CE6537A1-D6FC-4f65-9D91-7224C49458BB}"/>
              </c:extLst>
            </c:dLbl>
            <c:spPr>
              <a:noFill/>
              <a:ln>
                <a:noFill/>
              </a:ln>
              <a:effectLst/>
            </c:spPr>
            <c:txPr>
              <a:bodyPr/>
              <a:lstStyle/>
              <a:p>
                <a:pPr>
                  <a:defRPr sz="750">
                    <a:solidFill>
                      <a:srgbClr val="334A92"/>
                    </a:solidFill>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'8 Gini_miasto wieś'!$B$16:$B$29</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'8 Gini_miasto wieś'!$D$16:$D$29</c:f>
              <c:numCache>
                <c:formatCode>0.000</c:formatCode>
                <c:ptCount val="14"/>
                <c:pt idx="0">
                  <c:v>0.317</c:v>
                </c:pt>
                <c:pt idx="1">
                  <c:v>0.31240000000000001</c:v>
                </c:pt>
                <c:pt idx="2">
                  <c:v>0.30640000000000001</c:v>
                </c:pt>
                <c:pt idx="3">
                  <c:v>0.30309999999999998</c:v>
                </c:pt>
                <c:pt idx="4">
                  <c:v>0.28795411590439002</c:v>
                </c:pt>
                <c:pt idx="5">
                  <c:v>0.28089999999999998</c:v>
                </c:pt>
                <c:pt idx="6">
                  <c:v>0.28299999999999997</c:v>
                </c:pt>
                <c:pt idx="7">
                  <c:v>0.28799999999999998</c:v>
                </c:pt>
                <c:pt idx="8">
                  <c:v>0.30099999999999999</c:v>
                </c:pt>
                <c:pt idx="9">
                  <c:v>0.31</c:v>
                </c:pt>
                <c:pt idx="10">
                  <c:v>0.30399999999999999</c:v>
                </c:pt>
                <c:pt idx="11">
                  <c:v>0.307</c:v>
                </c:pt>
                <c:pt idx="12">
                  <c:v>0.29599999999999999</c:v>
                </c:pt>
                <c:pt idx="13">
                  <c:v>0.29899999999999999</c:v>
                </c:pt>
              </c:numCache>
            </c:numRef>
          </c:val>
          <c:smooth val="0"/>
          <c:extLst xmlns:c16r2="http://schemas.microsoft.com/office/drawing/2015/06/chart">
            <c:ext xmlns:c16="http://schemas.microsoft.com/office/drawing/2014/chart" uri="{C3380CC4-5D6E-409C-BE32-E72D297353CC}">
              <c16:uniqueId val="{00000027-B8E8-4226-9206-3D3265D19A03}"/>
            </c:ext>
          </c:extLst>
        </c:ser>
        <c:ser>
          <c:idx val="2"/>
          <c:order val="2"/>
          <c:tx>
            <c:strRef>
              <c:f>'8 Gini_miasto wieś'!$E$7</c:f>
              <c:strCache>
                <c:ptCount val="1"/>
                <c:pt idx="0">
                  <c:v>Rural areas</c:v>
                </c:pt>
              </c:strCache>
            </c:strRef>
          </c:tx>
          <c:spPr>
            <a:ln w="31750">
              <a:solidFill>
                <a:srgbClr val="66B68E"/>
              </a:solidFill>
            </a:ln>
          </c:spPr>
          <c:marker>
            <c:symbol val="circle"/>
            <c:size val="5"/>
            <c:spPr>
              <a:solidFill>
                <a:srgbClr val="66B58D"/>
              </a:solidFill>
              <a:ln w="6350">
                <a:noFill/>
              </a:ln>
            </c:spPr>
          </c:marker>
          <c:dLbls>
            <c:dLbl>
              <c:idx val="0"/>
              <c:layout>
                <c:manualLayout>
                  <c:x val="-6.4318386644820397E-2"/>
                  <c:y val="-3.11244037789605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B8E8-4226-9206-3D3265D19A03}"/>
                </c:ext>
                <c:ext xmlns:c15="http://schemas.microsoft.com/office/drawing/2012/chart" uri="{CE6537A1-D6FC-4f65-9D91-7224C49458BB}">
                  <c15:layout/>
                </c:ext>
              </c:extLst>
            </c:dLbl>
            <c:dLbl>
              <c:idx val="1"/>
              <c:layout>
                <c:manualLayout>
                  <c:x val="-4.4180928446138974E-2"/>
                  <c:y val="-3.5146317781384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B8E8-4226-9206-3D3265D19A03}"/>
                </c:ext>
                <c:ext xmlns:c15="http://schemas.microsoft.com/office/drawing/2012/chart" uri="{CE6537A1-D6FC-4f65-9D91-7224C49458BB}">
                  <c15:layout/>
                </c:ext>
              </c:extLst>
            </c:dLbl>
            <c:dLbl>
              <c:idx val="2"/>
              <c:layout>
                <c:manualLayout>
                  <c:x val="-1.3466428523454815E-2"/>
                  <c:y val="-2.78883321403006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B8E8-4226-9206-3D3265D19A03}"/>
                </c:ext>
                <c:ext xmlns:c15="http://schemas.microsoft.com/office/drawing/2012/chart" uri="{CE6537A1-D6FC-4f65-9D91-7224C49458BB}">
                  <c15:layout/>
                </c:ext>
              </c:extLst>
            </c:dLbl>
            <c:dLbl>
              <c:idx val="3"/>
              <c:layout>
                <c:manualLayout>
                  <c:x val="-8.8604718524073912E-3"/>
                  <c:y val="-2.6235058578804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B-B8E8-4226-9206-3D3265D19A03}"/>
                </c:ext>
                <c:ext xmlns:c15="http://schemas.microsoft.com/office/drawing/2012/chart" uri="{CE6537A1-D6FC-4f65-9D91-7224C49458BB}">
                  <c15:layout/>
                </c:ext>
              </c:extLst>
            </c:dLbl>
            <c:dLbl>
              <c:idx val="4"/>
              <c:layout>
                <c:manualLayout>
                  <c:x val="-1.6931584068875141E-2"/>
                  <c:y val="-3.69969595384735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C-B8E8-4226-9206-3D3265D19A03}"/>
                </c:ext>
                <c:ext xmlns:c15="http://schemas.microsoft.com/office/drawing/2012/chart" uri="{CE6537A1-D6FC-4f65-9D91-7224C49458BB}">
                  <c15:layout/>
                </c:ext>
              </c:extLst>
            </c:dLbl>
            <c:dLbl>
              <c:idx val="5"/>
              <c:layout>
                <c:manualLayout>
                  <c:x val="-3.2006611676098161E-2"/>
                  <c:y val="-3.41685507133390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B8E8-4226-9206-3D3265D19A03}"/>
                </c:ext>
                <c:ext xmlns:c15="http://schemas.microsoft.com/office/drawing/2012/chart" uri="{CE6537A1-D6FC-4f65-9D91-7224C49458BB}">
                  <c15:layout/>
                </c:ext>
              </c:extLst>
            </c:dLbl>
            <c:dLbl>
              <c:idx val="6"/>
              <c:layout>
                <c:manualLayout>
                  <c:x val="-4.4116693818324948E-2"/>
                  <c:y val="-3.68183590012544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B8E8-4226-9206-3D3265D19A03}"/>
                </c:ext>
                <c:ext xmlns:c15="http://schemas.microsoft.com/office/drawing/2012/chart" uri="{CE6537A1-D6FC-4f65-9D91-7224C49458BB}">
                  <c15:layout/>
                </c:ext>
              </c:extLst>
            </c:dLbl>
            <c:dLbl>
              <c:idx val="7"/>
              <c:layout>
                <c:manualLayout>
                  <c:x val="-4.5795384790802071E-2"/>
                  <c:y val="2.92873696818500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F-B8E8-4226-9206-3D3265D19A03}"/>
                </c:ext>
                <c:ext xmlns:c15="http://schemas.microsoft.com/office/drawing/2012/chart" uri="{CE6537A1-D6FC-4f65-9D91-7224C49458BB}">
                  <c15:layout/>
                </c:ext>
              </c:extLst>
            </c:dLbl>
            <c:dLbl>
              <c:idx val="8"/>
              <c:layout>
                <c:manualLayout>
                  <c:x val="-2.6846755311754754E-2"/>
                  <c:y val="2.63841187268333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51-4D51-B730-E6C2C41C1EFD}"/>
                </c:ext>
                <c:ext xmlns:c15="http://schemas.microsoft.com/office/drawing/2012/chart" uri="{CE6537A1-D6FC-4f65-9D91-7224C49458BB}">
                  <c15:layout/>
                </c:ext>
              </c:extLst>
            </c:dLbl>
            <c:dLbl>
              <c:idx val="9"/>
              <c:layout>
                <c:manualLayout>
                  <c:x val="-1.6601039312373281E-2"/>
                  <c:y val="2.12506289999078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1-B8E8-4226-9206-3D3265D19A03}"/>
                </c:ext>
                <c:ext xmlns:c15="http://schemas.microsoft.com/office/drawing/2012/chart" uri="{CE6537A1-D6FC-4f65-9D91-7224C49458BB}">
                  <c15:layout/>
                </c:ext>
              </c:extLst>
            </c:dLbl>
            <c:dLbl>
              <c:idx val="10"/>
              <c:layout>
                <c:manualLayout>
                  <c:x val="-4.1590066710296754E-2"/>
                  <c:y val="-3.19167664797975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2-B8E8-4226-9206-3D3265D19A03}"/>
                </c:ext>
                <c:ext xmlns:c15="http://schemas.microsoft.com/office/drawing/2012/chart" uri="{CE6537A1-D6FC-4f65-9D91-7224C49458BB}">
                  <c15:layout/>
                </c:ext>
              </c:extLst>
            </c:dLbl>
            <c:dLbl>
              <c:idx val="11"/>
              <c:layout>
                <c:manualLayout>
                  <c:x val="-7.1052479495682122E-2"/>
                  <c:y val="2.54483086103885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951-4D51-B730-E6C2C41C1EFD}"/>
                </c:ext>
                <c:ext xmlns:c15="http://schemas.microsoft.com/office/drawing/2012/chart" uri="{CE6537A1-D6FC-4f65-9D91-7224C49458BB}">
                  <c15:layout/>
                </c:ext>
              </c:extLst>
            </c:dLbl>
            <c:dLbl>
              <c:idx val="12"/>
              <c:layout>
                <c:manualLayout>
                  <c:x val="-4.9369290146837629E-2"/>
                  <c:y val="3.16032233144574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4-B8E8-4226-9206-3D3265D19A03}"/>
                </c:ext>
                <c:ext xmlns:c15="http://schemas.microsoft.com/office/drawing/2012/chart" uri="{CE6537A1-D6FC-4f65-9D91-7224C49458BB}">
                  <c15:layout/>
                </c:ext>
              </c:extLst>
            </c:dLbl>
            <c:dLbl>
              <c:idx val="13"/>
              <c:layout>
                <c:manualLayout>
                  <c:x val="-7.5593809109524533E-3"/>
                  <c:y val="2.93341460130264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5-B8E8-4226-9206-3D3265D19A03}"/>
                </c:ext>
                <c:ext xmlns:c15="http://schemas.microsoft.com/office/drawing/2012/chart" uri="{CE6537A1-D6FC-4f65-9D91-7224C49458BB}">
                  <c15:layout/>
                </c:ext>
              </c:extLst>
            </c:dLbl>
            <c:dLbl>
              <c:idx val="14"/>
              <c:layout>
                <c:manualLayout>
                  <c:x val="-3.8908784598280739E-2"/>
                  <c:y val="-3.19007213475030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6-B8E8-4226-9206-3D3265D19A03}"/>
                </c:ext>
                <c:ext xmlns:c15="http://schemas.microsoft.com/office/drawing/2012/chart" uri="{CE6537A1-D6FC-4f65-9D91-7224C49458BB}"/>
              </c:extLst>
            </c:dLbl>
            <c:dLbl>
              <c:idx val="15"/>
              <c:layout>
                <c:manualLayout>
                  <c:x val="-4.6397445020004702E-2"/>
                  <c:y val="3.21174033959200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7-B8E8-4226-9206-3D3265D19A03}"/>
                </c:ext>
                <c:ext xmlns:c15="http://schemas.microsoft.com/office/drawing/2012/chart" uri="{CE6537A1-D6FC-4f65-9D91-7224C49458BB}"/>
              </c:extLst>
            </c:dLbl>
            <c:dLbl>
              <c:idx val="16"/>
              <c:layout>
                <c:manualLayout>
                  <c:x val="-2.3294751245355783E-2"/>
                  <c:y val="2.429975811326488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8-B8E8-4226-9206-3D3265D19A03}"/>
                </c:ext>
                <c:ext xmlns:c15="http://schemas.microsoft.com/office/drawing/2012/chart" uri="{CE6537A1-D6FC-4f65-9D91-7224C49458BB}"/>
              </c:extLst>
            </c:dLbl>
            <c:dLbl>
              <c:idx val="17"/>
              <c:layout>
                <c:manualLayout>
                  <c:x val="-1.7101814835194264E-2"/>
                  <c:y val="2.15291228358172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9-B8E8-4226-9206-3D3265D19A03}"/>
                </c:ext>
                <c:ext xmlns:c15="http://schemas.microsoft.com/office/drawing/2012/chart" uri="{CE6537A1-D6FC-4f65-9D91-7224C49458BB}"/>
              </c:extLst>
            </c:dLbl>
            <c:dLbl>
              <c:idx val="18"/>
              <c:layout>
                <c:manualLayout>
                  <c:x val="-1.5626962987490443E-3"/>
                  <c:y val="-3.33198283249089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A-B8E8-4226-9206-3D3265D19A03}"/>
                </c:ext>
                <c:ext xmlns:c15="http://schemas.microsoft.com/office/drawing/2012/chart" uri="{CE6537A1-D6FC-4f65-9D91-7224C49458BB}"/>
              </c:extLst>
            </c:dLbl>
            <c:spPr>
              <a:noFill/>
              <a:ln>
                <a:noFill/>
              </a:ln>
              <a:effectLst/>
            </c:spPr>
            <c:txPr>
              <a:bodyPr/>
              <a:lstStyle/>
              <a:p>
                <a:pPr>
                  <a:defRPr sz="750">
                    <a:solidFill>
                      <a:srgbClr val="339D68"/>
                    </a:solidFill>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'8 Gini_miasto wieś'!$B$16:$B$29</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'8 Gini_miasto wieś'!$E$16:$E$29</c:f>
              <c:numCache>
                <c:formatCode>0.000</c:formatCode>
                <c:ptCount val="14"/>
                <c:pt idx="0">
                  <c:v>0.34300000000000003</c:v>
                </c:pt>
                <c:pt idx="1">
                  <c:v>0.35239999999999999</c:v>
                </c:pt>
                <c:pt idx="2">
                  <c:v>0.32850000000000001</c:v>
                </c:pt>
                <c:pt idx="3">
                  <c:v>0.3226</c:v>
                </c:pt>
                <c:pt idx="4">
                  <c:v>0.30451602001431999</c:v>
                </c:pt>
                <c:pt idx="5">
                  <c:v>0.30159999999999998</c:v>
                </c:pt>
                <c:pt idx="6">
                  <c:v>0.3</c:v>
                </c:pt>
                <c:pt idx="7">
                  <c:v>0.29799999999999999</c:v>
                </c:pt>
                <c:pt idx="8">
                  <c:v>0.31</c:v>
                </c:pt>
                <c:pt idx="9">
                  <c:v>0.314</c:v>
                </c:pt>
                <c:pt idx="10">
                  <c:v>0.318</c:v>
                </c:pt>
                <c:pt idx="11">
                  <c:v>0.311</c:v>
                </c:pt>
                <c:pt idx="12">
                  <c:v>0.29199999999999998</c:v>
                </c:pt>
                <c:pt idx="13">
                  <c:v>0.307</c:v>
                </c:pt>
              </c:numCache>
            </c:numRef>
          </c:val>
          <c:smooth val="0"/>
          <c:extLst xmlns:c16r2="http://schemas.microsoft.com/office/drawing/2015/06/chart">
            <c:ext xmlns:c16="http://schemas.microsoft.com/office/drawing/2014/chart" uri="{C3380CC4-5D6E-409C-BE32-E72D297353CC}">
              <c16:uniqueId val="{0000003B-B8E8-4226-9206-3D3265D19A03}"/>
            </c:ext>
          </c:extLst>
        </c:ser>
        <c:dLbls>
          <c:showLegendKey val="0"/>
          <c:showVal val="0"/>
          <c:showCatName val="0"/>
          <c:showSerName val="0"/>
          <c:showPercent val="0"/>
          <c:showBubbleSize val="0"/>
        </c:dLbls>
        <c:marker val="1"/>
        <c:smooth val="0"/>
        <c:axId val="-1110475024"/>
        <c:axId val="-1110473936"/>
      </c:lineChart>
      <c:catAx>
        <c:axId val="-1110475024"/>
        <c:scaling>
          <c:orientation val="minMax"/>
        </c:scaling>
        <c:delete val="0"/>
        <c:axPos val="b"/>
        <c:numFmt formatCode="General" sourceLinked="1"/>
        <c:majorTickMark val="out"/>
        <c:minorTickMark val="none"/>
        <c:tickLblPos val="nextTo"/>
        <c:spPr>
          <a:ln w="9525">
            <a:solidFill>
              <a:sysClr val="windowText" lastClr="000000"/>
            </a:solidFill>
          </a:ln>
        </c:spPr>
        <c:txPr>
          <a:bodyPr/>
          <a:lstStyle/>
          <a:p>
            <a:pPr>
              <a:defRPr sz="900"/>
            </a:pPr>
            <a:endParaRPr lang="pl-PL"/>
          </a:p>
        </c:txPr>
        <c:crossAx val="-1110473936"/>
        <c:crosses val="autoZero"/>
        <c:auto val="1"/>
        <c:lblAlgn val="ctr"/>
        <c:lblOffset val="100"/>
        <c:noMultiLvlLbl val="0"/>
      </c:catAx>
      <c:valAx>
        <c:axId val="-1110473936"/>
        <c:scaling>
          <c:orientation val="minMax"/>
          <c:max val="0.36000000000000032"/>
          <c:min val="0.28000000000000008"/>
        </c:scaling>
        <c:delete val="0"/>
        <c:axPos val="l"/>
        <c:majorGridlines>
          <c:spPr>
            <a:ln w="6350">
              <a:solidFill>
                <a:sysClr val="window" lastClr="FFFFFF">
                  <a:lumMod val="65000"/>
                </a:sysClr>
              </a:solidFill>
            </a:ln>
          </c:spPr>
        </c:majorGridlines>
        <c:numFmt formatCode="#,##0.000" sourceLinked="0"/>
        <c:majorTickMark val="out"/>
        <c:minorTickMark val="none"/>
        <c:tickLblPos val="nextTo"/>
        <c:spPr>
          <a:ln>
            <a:noFill/>
          </a:ln>
        </c:spPr>
        <c:txPr>
          <a:bodyPr/>
          <a:lstStyle/>
          <a:p>
            <a:pPr>
              <a:defRPr sz="900">
                <a:solidFill>
                  <a:sysClr val="windowText" lastClr="000000"/>
                </a:solidFill>
              </a:defRPr>
            </a:pPr>
            <a:endParaRPr lang="pl-PL"/>
          </a:p>
        </c:txPr>
        <c:crossAx val="-1110475024"/>
        <c:crosses val="autoZero"/>
        <c:crossBetween val="between"/>
        <c:majorUnit val="2.0000000000000011E-2"/>
        <c:minorUnit val="2.0000000000000011E-2"/>
      </c:valAx>
      <c:spPr>
        <a:noFill/>
        <a:ln w="25400">
          <a:noFill/>
        </a:ln>
      </c:spPr>
    </c:plotArea>
    <c:legend>
      <c:legendPos val="r"/>
      <c:layout>
        <c:manualLayout>
          <c:xMode val="edge"/>
          <c:yMode val="edge"/>
          <c:x val="0.75684981806443186"/>
          <c:y val="0.17111601133158635"/>
          <c:w val="0.20727800788598769"/>
          <c:h val="0.1656757254807647"/>
        </c:manualLayout>
      </c:layout>
      <c:overlay val="0"/>
      <c:spPr>
        <a:solidFill>
          <a:schemeClr val="bg1"/>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580224346956646E-2"/>
          <c:y val="0.30033162775384786"/>
          <c:w val="0.92218492219722537"/>
          <c:h val="0.61536942028587882"/>
        </c:manualLayout>
      </c:layout>
      <c:lineChart>
        <c:grouping val="standard"/>
        <c:varyColors val="0"/>
        <c:ser>
          <c:idx val="1"/>
          <c:order val="1"/>
          <c:tx>
            <c:strRef>
              <c:f>'11 wyd. mieszkanie żywność'!$D$7</c:f>
              <c:strCache>
                <c:ptCount val="1"/>
                <c:pt idx="0">
                  <c:v> Food and non-alcoholic beverages</c:v>
                </c:pt>
              </c:strCache>
            </c:strRef>
          </c:tx>
          <c:spPr>
            <a:ln w="31750">
              <a:solidFill>
                <a:srgbClr val="66B58D"/>
              </a:solidFill>
            </a:ln>
          </c:spPr>
          <c:marker>
            <c:symbol val="circle"/>
            <c:size val="5"/>
            <c:spPr>
              <a:solidFill>
                <a:srgbClr val="66B58D"/>
              </a:solidFill>
              <a:ln>
                <a:noFill/>
              </a:ln>
              <a:scene3d>
                <a:camera prst="orthographicFront"/>
                <a:lightRig rig="threePt" dir="t"/>
              </a:scene3d>
            </c:spPr>
          </c:marker>
          <c:dLbls>
            <c:spPr>
              <a:noFill/>
              <a:ln>
                <a:noFill/>
              </a:ln>
              <a:effectLst/>
            </c:spPr>
            <c:txPr>
              <a:bodyPr/>
              <a:lstStyle/>
              <a:p>
                <a:pPr>
                  <a:defRPr sz="800"/>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'11 wyd. mieszkanie żywność'!$B$16:$B$29</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'11 wyd. mieszkanie żywność'!$D$16:$D$29</c:f>
              <c:numCache>
                <c:formatCode>0.0%</c:formatCode>
                <c:ptCount val="14"/>
                <c:pt idx="0">
                  <c:v>0.24917131767572315</c:v>
                </c:pt>
                <c:pt idx="1">
                  <c:v>0.24899689177733822</c:v>
                </c:pt>
                <c:pt idx="2">
                  <c:v>0.24411813782746536</c:v>
                </c:pt>
                <c:pt idx="3">
                  <c:v>0.24039809748989632</c:v>
                </c:pt>
                <c:pt idx="4">
                  <c:v>0.24167579795694744</c:v>
                </c:pt>
                <c:pt idx="5">
                  <c:v>0.24348033048859269</c:v>
                </c:pt>
                <c:pt idx="6">
                  <c:v>0.24815900780209965</c:v>
                </c:pt>
                <c:pt idx="7">
                  <c:v>0.25113243271312508</c:v>
                </c:pt>
                <c:pt idx="8">
                  <c:v>0.27679029084475604</c:v>
                </c:pt>
                <c:pt idx="9">
                  <c:v>0.26430044001353886</c:v>
                </c:pt>
                <c:pt idx="10">
                  <c:v>0.26790968915520841</c:v>
                </c:pt>
                <c:pt idx="11">
                  <c:v>0.27184056615881047</c:v>
                </c:pt>
                <c:pt idx="12">
                  <c:v>0.25322466449116043</c:v>
                </c:pt>
                <c:pt idx="13">
                  <c:v>0.25145131039684032</c:v>
                </c:pt>
              </c:numCache>
            </c:numRef>
          </c:val>
          <c:smooth val="0"/>
          <c:extLst xmlns:c16r2="http://schemas.microsoft.com/office/drawing/2015/06/chart">
            <c:ext xmlns:c16="http://schemas.microsoft.com/office/drawing/2014/chart" uri="{C3380CC4-5D6E-409C-BE32-E72D297353CC}">
              <c16:uniqueId val="{00000000-8056-4750-94C8-20EDE5C36AA0}"/>
            </c:ext>
          </c:extLst>
        </c:ser>
        <c:dLbls>
          <c:showLegendKey val="0"/>
          <c:showVal val="0"/>
          <c:showCatName val="0"/>
          <c:showSerName val="0"/>
          <c:showPercent val="0"/>
          <c:showBubbleSize val="0"/>
        </c:dLbls>
        <c:marker val="1"/>
        <c:smooth val="0"/>
        <c:axId val="-1110481008"/>
        <c:axId val="-1110466864"/>
      </c:lineChart>
      <c:lineChart>
        <c:grouping val="standard"/>
        <c:varyColors val="0"/>
        <c:ser>
          <c:idx val="0"/>
          <c:order val="0"/>
          <c:tx>
            <c:strRef>
              <c:f>'11 wyd. mieszkanie żywność'!$C$7</c:f>
              <c:strCache>
                <c:ptCount val="1"/>
                <c:pt idx="0">
                  <c:v> Housing, water, electricity, gas and other fuels</c:v>
                </c:pt>
              </c:strCache>
            </c:strRef>
          </c:tx>
          <c:spPr>
            <a:ln w="31750">
              <a:solidFill>
                <a:srgbClr val="334A92"/>
              </a:solidFill>
            </a:ln>
          </c:spPr>
          <c:marker>
            <c:symbol val="circle"/>
            <c:size val="5"/>
            <c:spPr>
              <a:solidFill>
                <a:srgbClr val="334A92"/>
              </a:solidFill>
              <a:ln>
                <a:noFill/>
              </a:ln>
              <a:scene3d>
                <a:camera prst="orthographicFront"/>
                <a:lightRig rig="threePt" dir="t"/>
              </a:scene3d>
            </c:spPr>
          </c:marker>
          <c:dLbls>
            <c:spPr>
              <a:noFill/>
              <a:ln>
                <a:noFill/>
              </a:ln>
              <a:effectLst/>
            </c:spPr>
            <c:txPr>
              <a:bodyPr/>
              <a:lstStyle/>
              <a:p>
                <a:pPr>
                  <a:defRPr sz="800"/>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'11 wyd. mieszkanie żywność'!$B$16:$B$29</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f>'11 wyd. mieszkanie żywność'!$C$16:$C$29</c:f>
              <c:numCache>
                <c:formatCode>0.0%</c:formatCode>
                <c:ptCount val="14"/>
                <c:pt idx="0">
                  <c:v>0.20187740223437309</c:v>
                </c:pt>
                <c:pt idx="1">
                  <c:v>0.20774230008476971</c:v>
                </c:pt>
                <c:pt idx="2">
                  <c:v>0.20091032130077682</c:v>
                </c:pt>
                <c:pt idx="3">
                  <c:v>0.20113820691172021</c:v>
                </c:pt>
                <c:pt idx="4">
                  <c:v>0.19560107454667561</c:v>
                </c:pt>
                <c:pt idx="5">
                  <c:v>0.19543708136411544</c:v>
                </c:pt>
                <c:pt idx="6">
                  <c:v>0.18320610687022901</c:v>
                </c:pt>
                <c:pt idx="7">
                  <c:v>0.17969530170244383</c:v>
                </c:pt>
                <c:pt idx="8">
                  <c:v>0.18797433820003639</c:v>
                </c:pt>
                <c:pt idx="9">
                  <c:v>0.19255977106987907</c:v>
                </c:pt>
                <c:pt idx="10">
                  <c:v>0.19502701835107805</c:v>
                </c:pt>
                <c:pt idx="11">
                  <c:v>0.19882172475539175</c:v>
                </c:pt>
                <c:pt idx="12">
                  <c:v>0.18772524740616131</c:v>
                </c:pt>
                <c:pt idx="13">
                  <c:v>0.19402407438648023</c:v>
                </c:pt>
              </c:numCache>
            </c:numRef>
          </c:val>
          <c:smooth val="0"/>
          <c:extLst xmlns:c16r2="http://schemas.microsoft.com/office/drawing/2015/06/chart">
            <c:ext xmlns:c16="http://schemas.microsoft.com/office/drawing/2014/chart" uri="{C3380CC4-5D6E-409C-BE32-E72D297353CC}">
              <c16:uniqueId val="{00000001-8056-4750-94C8-20EDE5C36AA0}"/>
            </c:ext>
          </c:extLst>
        </c:ser>
        <c:dLbls>
          <c:showLegendKey val="0"/>
          <c:showVal val="0"/>
          <c:showCatName val="0"/>
          <c:showSerName val="0"/>
          <c:showPercent val="0"/>
          <c:showBubbleSize val="0"/>
        </c:dLbls>
        <c:marker val="1"/>
        <c:smooth val="0"/>
        <c:axId val="-1078480576"/>
        <c:axId val="-1110478832"/>
      </c:lineChart>
      <c:catAx>
        <c:axId val="-1110481008"/>
        <c:scaling>
          <c:orientation val="minMax"/>
        </c:scaling>
        <c:delete val="0"/>
        <c:axPos val="b"/>
        <c:numFmt formatCode="General" sourceLinked="1"/>
        <c:majorTickMark val="out"/>
        <c:minorTickMark val="none"/>
        <c:tickLblPos val="nextTo"/>
        <c:spPr>
          <a:ln w="9525">
            <a:solidFill>
              <a:sysClr val="windowText" lastClr="000000"/>
            </a:solidFill>
          </a:ln>
        </c:spPr>
        <c:crossAx val="-1110466864"/>
        <c:crosses val="autoZero"/>
        <c:auto val="1"/>
        <c:lblAlgn val="ctr"/>
        <c:lblOffset val="100"/>
        <c:noMultiLvlLbl val="0"/>
      </c:catAx>
      <c:valAx>
        <c:axId val="-1110466864"/>
        <c:scaling>
          <c:orientation val="minMax"/>
          <c:max val="0.35000000000000031"/>
          <c:min val="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110481008"/>
        <c:crosses val="autoZero"/>
        <c:crossBetween val="between"/>
        <c:majorUnit val="5.0000000000000024E-2"/>
        <c:minorUnit val="1.0000000000000005E-2"/>
      </c:valAx>
      <c:valAx>
        <c:axId val="-1110478832"/>
        <c:scaling>
          <c:orientation val="minMax"/>
          <c:max val="0.4"/>
          <c:min val="0"/>
        </c:scaling>
        <c:delete val="1"/>
        <c:axPos val="r"/>
        <c:numFmt formatCode="0%" sourceLinked="0"/>
        <c:majorTickMark val="out"/>
        <c:minorTickMark val="none"/>
        <c:tickLblPos val="none"/>
        <c:crossAx val="-1078480576"/>
        <c:crosses val="max"/>
        <c:crossBetween val="between"/>
      </c:valAx>
      <c:catAx>
        <c:axId val="-1078480576"/>
        <c:scaling>
          <c:orientation val="minMax"/>
        </c:scaling>
        <c:delete val="1"/>
        <c:axPos val="b"/>
        <c:numFmt formatCode="General" sourceLinked="1"/>
        <c:majorTickMark val="out"/>
        <c:minorTickMark val="none"/>
        <c:tickLblPos val="none"/>
        <c:crossAx val="-1110478832"/>
        <c:crosses val="autoZero"/>
        <c:auto val="1"/>
        <c:lblAlgn val="ctr"/>
        <c:lblOffset val="100"/>
        <c:noMultiLvlLbl val="0"/>
      </c:catAx>
      <c:spPr>
        <a:noFill/>
        <a:ln w="25400">
          <a:noFill/>
        </a:ln>
      </c:spPr>
    </c:plotArea>
    <c:legend>
      <c:legendPos val="r"/>
      <c:layout>
        <c:manualLayout>
          <c:xMode val="edge"/>
          <c:yMode val="edge"/>
          <c:x val="5.0934838054131293E-2"/>
          <c:y val="0.20190094378446596"/>
          <c:w val="0.94274896560205912"/>
          <c:h val="8.3518409284205328E-2"/>
        </c:manualLayout>
      </c:layout>
      <c:overlay val="0"/>
      <c:spPr>
        <a:solidFill>
          <a:schemeClr val="bg1"/>
        </a:solidFill>
        <a:ln w="6350">
          <a:noFill/>
        </a:ln>
      </c:spPr>
      <c:txPr>
        <a:bodyPr/>
        <a:lstStyle/>
        <a:p>
          <a:pPr>
            <a:defRPr spc="-20" baseline="0"/>
          </a:pPr>
          <a:endParaRPr lang="pl-PL"/>
        </a:p>
      </c:tx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22984668753521"/>
          <c:y val="9.9529474874034907E-2"/>
          <c:w val="0.48387608112764263"/>
          <c:h val="0.84538345115619673"/>
        </c:manualLayout>
      </c:layout>
      <c:barChart>
        <c:barDir val="bar"/>
        <c:grouping val="clustered"/>
        <c:varyColors val="0"/>
        <c:ser>
          <c:idx val="0"/>
          <c:order val="0"/>
          <c:spPr>
            <a:solidFill>
              <a:srgbClr val="66B58D"/>
            </a:solidFill>
            <a:ln>
              <a:noFill/>
            </a:ln>
            <a:scene3d>
              <a:camera prst="orthographicFront"/>
              <a:lightRig rig="threePt" dir="t"/>
            </a:scene3d>
          </c:spPr>
          <c:invertIfNegative val="0"/>
          <c:dPt>
            <c:idx val="4"/>
            <c:invertIfNegative val="0"/>
            <c:bubble3D val="0"/>
            <c:spPr>
              <a:solidFill>
                <a:srgbClr val="99CEB3"/>
              </a:solidFill>
              <a:ln>
                <a:noFill/>
              </a:ln>
              <a:scene3d>
                <a:camera prst="orthographicFront"/>
                <a:lightRig rig="threePt" dir="t"/>
              </a:scene3d>
            </c:spPr>
            <c:extLst xmlns:c15="http://schemas.microsoft.com/office/drawing/2012/chart" xmlns:c16r2="http://schemas.microsoft.com/office/drawing/2015/06/chart">
              <c:ext xmlns:c16="http://schemas.microsoft.com/office/drawing/2014/chart" uri="{C3380CC4-5D6E-409C-BE32-E72D297353CC}">
                <c16:uniqueId val="{00000001-DB20-47C0-8552-DE0A180293D5}"/>
              </c:ext>
            </c:extLst>
          </c:dPt>
          <c:dLbls>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layout/>
                <c15:showLeaderLines val="0"/>
              </c:ext>
            </c:extLst>
          </c:dLbls>
          <c:cat>
            <c:strRef>
              <c:f>'12 struktura wyd.'!$B$24:$B$38</c:f>
              <c:strCache>
                <c:ptCount val="15"/>
                <c:pt idx="0">
                  <c:v>food and non-alcoholic beverages</c:v>
                </c:pt>
                <c:pt idx="1">
                  <c:v>alcoholic beverages, tobacco</c:v>
                </c:pt>
                <c:pt idx="2">
                  <c:v>clothing and footwear</c:v>
                </c:pt>
                <c:pt idx="3">
                  <c:v>housing, water, electricity, gas and other fuels</c:v>
                </c:pt>
                <c:pt idx="4">
                  <c:v>of which electricity, gas and other fuels</c:v>
                </c:pt>
                <c:pt idx="5">
                  <c:v>furnishings, household equipment and maintenance</c:v>
                </c:pt>
                <c:pt idx="6">
                  <c:v>health</c:v>
                </c:pt>
                <c:pt idx="7">
                  <c:v>transport</c:v>
                </c:pt>
                <c:pt idx="8">
                  <c:v>communication</c:v>
                </c:pt>
                <c:pt idx="9">
                  <c:v>recreation and culture</c:v>
                </c:pt>
                <c:pt idx="10">
                  <c:v>education</c:v>
                </c:pt>
                <c:pt idx="11">
                  <c:v>restaurants and hotels</c:v>
                </c:pt>
                <c:pt idx="12">
                  <c:v>miscellaneous goods and services</c:v>
                </c:pt>
                <c:pt idx="13">
                  <c:v>other expenditures</c:v>
                </c:pt>
                <c:pt idx="14">
                  <c:v>pocket money</c:v>
                </c:pt>
              </c:strCache>
            </c:strRef>
          </c:cat>
          <c:val>
            <c:numRef>
              <c:f>'12 struktura wyd.'!$D$24:$D$38</c:f>
              <c:numCache>
                <c:formatCode>0.0%</c:formatCode>
                <c:ptCount val="15"/>
                <c:pt idx="0">
                  <c:v>0.251</c:v>
                </c:pt>
                <c:pt idx="1">
                  <c:v>2.4E-2</c:v>
                </c:pt>
                <c:pt idx="2">
                  <c:v>3.5999999999999997E-2</c:v>
                </c:pt>
                <c:pt idx="3">
                  <c:v>0.19400000000000001</c:v>
                </c:pt>
                <c:pt idx="4">
                  <c:v>0.109</c:v>
                </c:pt>
                <c:pt idx="5">
                  <c:v>0.05</c:v>
                </c:pt>
                <c:pt idx="6">
                  <c:v>0.06</c:v>
                </c:pt>
                <c:pt idx="7">
                  <c:v>9.8000000000000004E-2</c:v>
                </c:pt>
                <c:pt idx="8">
                  <c:v>3.7999999999999999E-2</c:v>
                </c:pt>
                <c:pt idx="9">
                  <c:v>7.1999999999999995E-2</c:v>
                </c:pt>
                <c:pt idx="10">
                  <c:v>0.01</c:v>
                </c:pt>
                <c:pt idx="11">
                  <c:v>5.2999999999999999E-2</c:v>
                </c:pt>
                <c:pt idx="12">
                  <c:v>6.2E-2</c:v>
                </c:pt>
                <c:pt idx="13">
                  <c:v>3.5999999999999997E-2</c:v>
                </c:pt>
                <c:pt idx="14">
                  <c:v>1.7000000000000001E-2</c:v>
                </c:pt>
              </c:numCache>
            </c:numRef>
          </c:val>
          <c:extLst xmlns:c15="http://schemas.microsoft.com/office/drawing/2012/chart" xmlns:c16r2="http://schemas.microsoft.com/office/drawing/2015/06/chart">
            <c:ext xmlns:c16="http://schemas.microsoft.com/office/drawing/2014/chart" uri="{C3380CC4-5D6E-409C-BE32-E72D297353CC}">
              <c16:uniqueId val="{00000002-DB20-47C0-8552-DE0A180293D5}"/>
            </c:ext>
          </c:extLst>
        </c:ser>
        <c:dLbls>
          <c:showLegendKey val="0"/>
          <c:showVal val="0"/>
          <c:showCatName val="0"/>
          <c:showSerName val="0"/>
          <c:showPercent val="0"/>
          <c:showBubbleSize val="0"/>
        </c:dLbls>
        <c:gapWidth val="50"/>
        <c:axId val="-1078495808"/>
        <c:axId val="-1078484384"/>
        <c:extLst xmlns:c16r2="http://schemas.microsoft.com/office/drawing/2015/06/chart"/>
      </c:barChart>
      <c:catAx>
        <c:axId val="-1078495808"/>
        <c:scaling>
          <c:orientation val="maxMin"/>
        </c:scaling>
        <c:delete val="0"/>
        <c:axPos val="l"/>
        <c:numFmt formatCode="General" sourceLinked="0"/>
        <c:majorTickMark val="out"/>
        <c:minorTickMark val="none"/>
        <c:tickLblPos val="nextTo"/>
        <c:spPr>
          <a:ln w="9525">
            <a:solidFill>
              <a:sysClr val="windowText" lastClr="000000"/>
            </a:solidFill>
          </a:ln>
        </c:spPr>
        <c:txPr>
          <a:bodyPr/>
          <a:lstStyle/>
          <a:p>
            <a:pPr>
              <a:defRPr sz="850" baseline="0"/>
            </a:pPr>
            <a:endParaRPr lang="pl-PL"/>
          </a:p>
        </c:txPr>
        <c:crossAx val="-1078484384"/>
        <c:crossesAt val="0"/>
        <c:auto val="1"/>
        <c:lblAlgn val="ctr"/>
        <c:lblOffset val="100"/>
        <c:noMultiLvlLbl val="0"/>
      </c:catAx>
      <c:valAx>
        <c:axId val="-1078484384"/>
        <c:scaling>
          <c:orientation val="minMax"/>
        </c:scaling>
        <c:delete val="0"/>
        <c:axPos val="b"/>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078495808"/>
        <c:crosses val="max"/>
        <c:crossBetween val="between"/>
      </c:valAx>
    </c:plotArea>
    <c:plotVisOnly val="1"/>
    <c:dispBlanksAs val="zero"/>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9018911698537696E-2"/>
          <c:y val="0.279235690907986"/>
          <c:w val="0.92000257780277461"/>
          <c:h val="0.63301079096094248"/>
        </c:manualLayout>
      </c:layout>
      <c:barChart>
        <c:barDir val="col"/>
        <c:grouping val="clustered"/>
        <c:varyColors val="0"/>
        <c:ser>
          <c:idx val="0"/>
          <c:order val="0"/>
          <c:tx>
            <c:strRef>
              <c:f>'15 dochody wydatki kwintyle'!$B$11</c:f>
              <c:strCache>
                <c:ptCount val="1"/>
                <c:pt idx="0">
                  <c:v>Available income</c:v>
                </c:pt>
              </c:strCache>
            </c:strRef>
          </c:tx>
          <c:spPr>
            <a:solidFill>
              <a:srgbClr val="334A92"/>
            </a:solidFill>
            <a:ln w="38100"/>
            <a:scene3d>
              <a:camera prst="orthographicFront"/>
              <a:lightRig rig="threePt" dir="t"/>
            </a:scene3d>
          </c:spPr>
          <c:invertIfNegative val="0"/>
          <c:dLbls>
            <c:dLbl>
              <c:idx val="5"/>
              <c:layout>
                <c:manualLayout>
                  <c:x val="-1.8180856871252053E-16"/>
                  <c:y val="1.76405733186328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DF-47A6-9331-D98F308CC65E}"/>
                </c:ext>
                <c:ext xmlns:c15="http://schemas.microsoft.com/office/drawing/2012/chart" uri="{CE6537A1-D6FC-4f65-9D91-7224C49458BB}">
                  <c15:layout/>
                </c:ext>
              </c:extLst>
            </c:dLbl>
            <c:dLbl>
              <c:idx val="20"/>
              <c:layout>
                <c:manualLayout>
                  <c:x val="-2.4792363951902812E-3"/>
                  <c:y val="-8.139010675937309E-17"/>
                </c:manualLayout>
              </c:layout>
              <c:dLblPos val="outEnd"/>
              <c:showLegendKey val="0"/>
              <c:showVal val="1"/>
              <c:showCatName val="0"/>
              <c:showSerName val="0"/>
              <c:showPercent val="0"/>
              <c:showBubbleSize val="0"/>
              <c:extLst xmlns:c15="http://schemas.microsoft.com/office/drawing/2012/chart" xmlns:c16="http://schemas.microsoft.com/office/drawing/2014/chart" xmlns:c16r2="http://schemas.microsoft.com/office/drawing/2015/06/chart">
                <c:ext xmlns:c16="http://schemas.microsoft.com/office/drawing/2014/chart" uri="{C3380CC4-5D6E-409C-BE32-E72D297353CC}">
                  <c16:uniqueId val="{00000000-210C-4649-A7DB-C4DA2B3CEE7D}"/>
                </c:ext>
                <c:ext xmlns:c15="http://schemas.microsoft.com/office/drawing/2012/chart" uri="{CE6537A1-D6FC-4f65-9D91-7224C49458BB}"/>
              </c:extLst>
            </c:dLbl>
            <c:dLbl>
              <c:idx val="26"/>
              <c:layout>
                <c:manualLayout>
                  <c:x val="0"/>
                  <c:y val="1.08748831094908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0C-4649-A7DB-C4DA2B3CEE7D}"/>
                </c:ex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'15 dochody wydatki kwintyle'!$C$10:$H$10</c:f>
              <c:strCache>
                <c:ptCount val="6"/>
                <c:pt idx="0">
                  <c:v>Total</c:v>
                </c:pt>
                <c:pt idx="1">
                  <c:v>first</c:v>
                </c:pt>
                <c:pt idx="2">
                  <c:v>second</c:v>
                </c:pt>
                <c:pt idx="3">
                  <c:v>third</c:v>
                </c:pt>
                <c:pt idx="4">
                  <c:v>fourth</c:v>
                </c:pt>
                <c:pt idx="5">
                  <c:v>fifth</c:v>
                </c:pt>
              </c:strCache>
            </c:strRef>
          </c:cat>
          <c:val>
            <c:numRef>
              <c:f>'15 dochody wydatki kwintyle'!$C$11:$H$11</c:f>
              <c:numCache>
                <c:formatCode>0.00</c:formatCode>
                <c:ptCount val="6"/>
                <c:pt idx="0">
                  <c:v>3500.21</c:v>
                </c:pt>
                <c:pt idx="1">
                  <c:v>1192.1099999999999</c:v>
                </c:pt>
                <c:pt idx="2">
                  <c:v>2416.61</c:v>
                </c:pt>
                <c:pt idx="3">
                  <c:v>3088.78</c:v>
                </c:pt>
                <c:pt idx="4">
                  <c:v>3939.2</c:v>
                </c:pt>
                <c:pt idx="5">
                  <c:v>6910.12</c:v>
                </c:pt>
              </c:numCache>
            </c:numRef>
          </c:val>
          <c:extLst xmlns:c16r2="http://schemas.microsoft.com/office/drawing/2015/06/chart">
            <c:ext xmlns:c16="http://schemas.microsoft.com/office/drawing/2014/chart" uri="{C3380CC4-5D6E-409C-BE32-E72D297353CC}">
              <c16:uniqueId val="{00000002-210C-4649-A7DB-C4DA2B3CEE7D}"/>
            </c:ext>
          </c:extLst>
        </c:ser>
        <c:ser>
          <c:idx val="1"/>
          <c:order val="1"/>
          <c:tx>
            <c:strRef>
              <c:f>'15 dochody wydatki kwintyle'!$B$12</c:f>
              <c:strCache>
                <c:ptCount val="1"/>
                <c:pt idx="0">
                  <c:v>Expenditure</c:v>
                </c:pt>
              </c:strCache>
            </c:strRef>
          </c:tx>
          <c:spPr>
            <a:solidFill>
              <a:srgbClr val="66B58D"/>
            </a:solidFill>
            <a:ln w="38100"/>
            <a:effectLst/>
            <a:scene3d>
              <a:camera prst="orthographicFront"/>
              <a:lightRig rig="threePt" dir="t"/>
            </a:scene3d>
          </c:spPr>
          <c:invertIfNegative val="0"/>
          <c:dLbls>
            <c:dLbl>
              <c:idx val="10"/>
              <c:layout>
                <c:manualLayout>
                  <c:x val="2.4792363951902812E-3"/>
                  <c:y val="-8.139010675937309E-17"/>
                </c:manualLayout>
              </c:layout>
              <c:dLblPos val="outEnd"/>
              <c:showLegendKey val="0"/>
              <c:showVal val="1"/>
              <c:showCatName val="0"/>
              <c:showSerName val="0"/>
              <c:showPercent val="0"/>
              <c:showBubbleSize val="0"/>
              <c:extLst xmlns:c15="http://schemas.microsoft.com/office/drawing/2012/chart" xmlns:c16="http://schemas.microsoft.com/office/drawing/2014/chart" xmlns:c16r2="http://schemas.microsoft.com/office/drawing/2015/06/chart">
                <c:ext xmlns:c16="http://schemas.microsoft.com/office/drawing/2014/chart" uri="{C3380CC4-5D6E-409C-BE32-E72D297353CC}">
                  <c16:uniqueId val="{00000003-210C-4649-A7DB-C4DA2B3CEE7D}"/>
                </c:ext>
                <c:ext xmlns:c15="http://schemas.microsoft.com/office/drawing/2012/chart" uri="{CE6537A1-D6FC-4f65-9D91-7224C49458BB}"/>
              </c:extLst>
            </c:dLbl>
            <c:dLbl>
              <c:idx val="16"/>
              <c:layout>
                <c:manualLayout>
                  <c:x val="7.437709185570844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0C-4649-A7DB-C4DA2B3CEE7D}"/>
                </c:ext>
                <c:ext xmlns:c15="http://schemas.microsoft.com/office/drawing/2012/chart" uri="{CE6537A1-D6FC-4f65-9D91-7224C49458BB}"/>
              </c:extLst>
            </c:dLbl>
            <c:dLbl>
              <c:idx val="22"/>
              <c:layout>
                <c:manualLayout>
                  <c:x val="4.958472790380562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5BC-43FC-A988-305E1DB26752}"/>
                </c:ext>
                <c:ext xmlns:c15="http://schemas.microsoft.com/office/drawing/2012/chart" uri="{CE6537A1-D6FC-4f65-9D91-7224C49458BB}"/>
              </c:extLst>
            </c:dLbl>
            <c:dLbl>
              <c:idx val="24"/>
              <c:layout>
                <c:manualLayout>
                  <c:x val="4.9584727903805624E-3"/>
                  <c:y val="0"/>
                </c:manualLayout>
              </c:layout>
              <c:dLblPos val="outEnd"/>
              <c:showLegendKey val="0"/>
              <c:showVal val="1"/>
              <c:showCatName val="0"/>
              <c:showSerName val="0"/>
              <c:showPercent val="0"/>
              <c:showBubbleSize val="0"/>
              <c:extLst xmlns:c15="http://schemas.microsoft.com/office/drawing/2012/chart" xmlns:c16="http://schemas.microsoft.com/office/drawing/2014/chart" xmlns:c16r2="http://schemas.microsoft.com/office/drawing/2015/06/chart">
                <c:ext xmlns:c16="http://schemas.microsoft.com/office/drawing/2014/chart" uri="{C3380CC4-5D6E-409C-BE32-E72D297353CC}">
                  <c16:uniqueId val="{00000005-210C-4649-A7DB-C4DA2B3CEE7D}"/>
                </c:ext>
                <c:ext xmlns:c15="http://schemas.microsoft.com/office/drawing/2012/chart" uri="{CE6537A1-D6FC-4f65-9D91-7224C49458BB}"/>
              </c:extLst>
            </c:dLbl>
            <c:dLbl>
              <c:idx val="26"/>
              <c:layout>
                <c:manualLayout>
                  <c:x val="4.958472790380562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10C-4649-A7DB-C4DA2B3CEE7D}"/>
                </c:ext>
                <c:ext xmlns:c15="http://schemas.microsoft.com/office/drawing/2012/chart" uri="{CE6537A1-D6FC-4f65-9D91-7224C49458BB}"/>
              </c:extLst>
            </c:dLbl>
            <c:dLbl>
              <c:idx val="27"/>
              <c:layout>
                <c:manualLayout>
                  <c:x val="4.9584727903805624E-3"/>
                  <c:y val="-8.139010675937309E-17"/>
                </c:manualLayout>
              </c:layout>
              <c:dLblPos val="outEnd"/>
              <c:showLegendKey val="0"/>
              <c:showVal val="1"/>
              <c:showCatName val="0"/>
              <c:showSerName val="0"/>
              <c:showPercent val="0"/>
              <c:showBubbleSize val="0"/>
              <c:extLst xmlns:c15="http://schemas.microsoft.com/office/drawing/2012/chart" xmlns:c16="http://schemas.microsoft.com/office/drawing/2014/chart" xmlns:c16r2="http://schemas.microsoft.com/office/drawing/2015/06/chart">
                <c:ext xmlns:c16="http://schemas.microsoft.com/office/drawing/2014/chart" uri="{C3380CC4-5D6E-409C-BE32-E72D297353CC}">
                  <c16:uniqueId val="{00000007-210C-4649-A7DB-C4DA2B3CEE7D}"/>
                </c:ext>
                <c:ext xmlns:c15="http://schemas.microsoft.com/office/drawing/2012/chart" uri="{CE6537A1-D6FC-4f65-9D91-7224C49458BB}"/>
              </c:extLst>
            </c:dLbl>
            <c:dLbl>
              <c:idx val="28"/>
              <c:layout>
                <c:manualLayout>
                  <c:x val="4.958472790380472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10C-4649-A7DB-C4DA2B3CEE7D}"/>
                </c:ext>
                <c:ext xmlns:c15="http://schemas.microsoft.com/office/drawing/2012/chart" uri="{CE6537A1-D6FC-4f65-9D91-7224C49458BB}"/>
              </c:extLst>
            </c:dLbl>
            <c:dLbl>
              <c:idx val="29"/>
              <c:layout>
                <c:manualLayout>
                  <c:x val="4.9584727903803812E-3"/>
                  <c:y val="-8.139010675937309E-17"/>
                </c:manualLayout>
              </c:layout>
              <c:dLblPos val="outEnd"/>
              <c:showLegendKey val="0"/>
              <c:showVal val="1"/>
              <c:showCatName val="0"/>
              <c:showSerName val="0"/>
              <c:showPercent val="0"/>
              <c:showBubbleSize val="0"/>
              <c:extLst xmlns:c15="http://schemas.microsoft.com/office/drawing/2012/chart" xmlns:c16="http://schemas.microsoft.com/office/drawing/2014/chart" xmlns:c16r2="http://schemas.microsoft.com/office/drawing/2015/06/chart">
                <c:ext xmlns:c16="http://schemas.microsoft.com/office/drawing/2014/chart" uri="{C3380CC4-5D6E-409C-BE32-E72D297353CC}">
                  <c16:uniqueId val="{00000009-210C-4649-A7DB-C4DA2B3CEE7D}"/>
                </c:ext>
                <c:ext xmlns:c15="http://schemas.microsoft.com/office/drawing/2012/chart" uri="{CE6537A1-D6FC-4f65-9D91-7224C49458BB}"/>
              </c:extLst>
            </c:dLbl>
            <c:dLbl>
              <c:idx val="30"/>
              <c:layout>
                <c:manualLayout>
                  <c:x val="4.9584727903805624E-3"/>
                  <c:y val="-8.13901067593730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10C-4649-A7DB-C4DA2B3CEE7D}"/>
                </c:ext>
                <c:ext xmlns:c15="http://schemas.microsoft.com/office/drawing/2012/chart" uri="{CE6537A1-D6FC-4f65-9D91-7224C49458BB}"/>
              </c:extLst>
            </c:dLbl>
            <c:dLbl>
              <c:idx val="31"/>
              <c:layout>
                <c:manualLayout>
                  <c:x val="4.9584727903805624E-3"/>
                  <c:y val="0"/>
                </c:manualLayout>
              </c:layout>
              <c:dLblPos val="outEnd"/>
              <c:showLegendKey val="0"/>
              <c:showVal val="1"/>
              <c:showCatName val="0"/>
              <c:showSerName val="0"/>
              <c:showPercent val="0"/>
              <c:showBubbleSize val="0"/>
              <c:extLst xmlns:c15="http://schemas.microsoft.com/office/drawing/2012/chart" xmlns:c16="http://schemas.microsoft.com/office/drawing/2014/chart" xmlns:c16r2="http://schemas.microsoft.com/office/drawing/2015/06/chart">
                <c:ext xmlns:c16="http://schemas.microsoft.com/office/drawing/2014/chart" uri="{C3380CC4-5D6E-409C-BE32-E72D297353CC}">
                  <c16:uniqueId val="{0000000B-210C-4649-A7DB-C4DA2B3CEE7D}"/>
                </c:ext>
                <c:ext xmlns:c15="http://schemas.microsoft.com/office/drawing/2012/chart" uri="{CE6537A1-D6FC-4f65-9D91-7224C49458BB}"/>
              </c:extLst>
            </c:dLbl>
            <c:dLbl>
              <c:idx val="32"/>
              <c:layout>
                <c:manualLayout>
                  <c:x val="4.9584727903805624E-3"/>
                  <c:y val="-8.13901067593730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10C-4649-A7DB-C4DA2B3CEE7D}"/>
                </c:ext>
                <c:ext xmlns:c15="http://schemas.microsoft.com/office/drawing/2012/chart" uri="{CE6537A1-D6FC-4f65-9D91-7224C49458BB}"/>
              </c:extLst>
            </c:dLbl>
            <c:numFmt formatCode="0" sourceLinked="0"/>
            <c:spPr>
              <a:noFill/>
              <a:ln>
                <a:noFill/>
              </a:ln>
              <a:effectLst/>
            </c:spPr>
            <c:txPr>
              <a:bodyPr wrap="square" lIns="18000" tIns="19050" rIns="18000" bIns="19050" anchor="ctr">
                <a:spAutoFit/>
              </a:bodyPr>
              <a:lstStyle/>
              <a:p>
                <a:pPr>
                  <a:defRPr sz="900" spc="-30" baseline="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strRef>
              <c:f>'15 dochody wydatki kwintyle'!$C$10:$H$10</c:f>
              <c:strCache>
                <c:ptCount val="6"/>
                <c:pt idx="0">
                  <c:v>Total</c:v>
                </c:pt>
                <c:pt idx="1">
                  <c:v>first</c:v>
                </c:pt>
                <c:pt idx="2">
                  <c:v>second</c:v>
                </c:pt>
                <c:pt idx="3">
                  <c:v>third</c:v>
                </c:pt>
                <c:pt idx="4">
                  <c:v>fourth</c:v>
                </c:pt>
                <c:pt idx="5">
                  <c:v>fifth</c:v>
                </c:pt>
              </c:strCache>
            </c:strRef>
          </c:cat>
          <c:val>
            <c:numRef>
              <c:f>'15 dochody wydatki kwintyle'!$C$12:$H$12</c:f>
              <c:numCache>
                <c:formatCode>0.00</c:formatCode>
                <c:ptCount val="6"/>
                <c:pt idx="0">
                  <c:v>2015.42</c:v>
                </c:pt>
                <c:pt idx="1">
                  <c:v>1405.03</c:v>
                </c:pt>
                <c:pt idx="2">
                  <c:v>1503.32</c:v>
                </c:pt>
                <c:pt idx="3">
                  <c:v>1789.41</c:v>
                </c:pt>
                <c:pt idx="4">
                  <c:v>2181.5500000000002</c:v>
                </c:pt>
                <c:pt idx="5">
                  <c:v>3213.8</c:v>
                </c:pt>
              </c:numCache>
            </c:numRef>
          </c:val>
          <c:extLst xmlns:c16r2="http://schemas.microsoft.com/office/drawing/2015/06/chart">
            <c:ext xmlns:c16="http://schemas.microsoft.com/office/drawing/2014/chart" uri="{C3380CC4-5D6E-409C-BE32-E72D297353CC}">
              <c16:uniqueId val="{0000000D-210C-4649-A7DB-C4DA2B3CEE7D}"/>
            </c:ext>
          </c:extLst>
        </c:ser>
        <c:dLbls>
          <c:showLegendKey val="0"/>
          <c:showVal val="0"/>
          <c:showCatName val="0"/>
          <c:showSerName val="0"/>
          <c:showPercent val="0"/>
          <c:showBubbleSize val="0"/>
        </c:dLbls>
        <c:gapWidth val="35"/>
        <c:axId val="-1078487648"/>
        <c:axId val="-1078484928"/>
      </c:barChart>
      <c:barChart>
        <c:barDir val="col"/>
        <c:grouping val="clustered"/>
        <c:varyColors val="0"/>
        <c:ser>
          <c:idx val="2"/>
          <c:order val="2"/>
          <c:tx>
            <c:strRef>
              <c:f>'15 dochody wydatki kwintyle'!$B$13</c:f>
              <c:strCache>
                <c:ptCount val="1"/>
                <c:pt idx="0">
                  <c:v>The share of expenditure in available income</c:v>
                </c:pt>
              </c:strCache>
            </c:strRef>
          </c:tx>
          <c:spPr>
            <a:solidFill>
              <a:srgbClr val="5F5F5F">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2-02DF-47A6-9331-D98F308CC65E}"/>
              </c:ext>
            </c:extLst>
          </c:dPt>
          <c:dPt>
            <c:idx val="1"/>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7-FA72-463B-8C87-EF4239D2ADC6}"/>
              </c:ext>
            </c:extLst>
          </c:dPt>
          <c:dPt>
            <c:idx val="2"/>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6-02DF-47A6-9331-D98F308CC65E}"/>
              </c:ext>
            </c:extLst>
          </c:dPt>
          <c:dPt>
            <c:idx val="3"/>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3-2EEA-4266-981E-D62FC0DE634A}"/>
              </c:ext>
            </c:extLst>
          </c:dPt>
          <c:dPt>
            <c:idx val="4"/>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A-02DF-47A6-9331-D98F308CC65E}"/>
              </c:ext>
            </c:extLst>
          </c:dPt>
          <c:dPt>
            <c:idx val="5"/>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5-2EEA-4266-981E-D62FC0DE634A}"/>
              </c:ext>
            </c:extLst>
          </c:dPt>
          <c:dPt>
            <c:idx val="6"/>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7-2EEA-4266-981E-D62FC0DE634A}"/>
              </c:ext>
            </c:extLst>
          </c:dPt>
          <c:dPt>
            <c:idx val="7"/>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9-2EEA-4266-981E-D62FC0DE634A}"/>
              </c:ext>
            </c:extLst>
          </c:dPt>
          <c:dPt>
            <c:idx val="8"/>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B-2EEA-4266-981E-D62FC0DE634A}"/>
              </c:ext>
            </c:extLst>
          </c:dPt>
          <c:dLbls>
            <c:spPr>
              <a:solidFill>
                <a:srgbClr val="4D4D4D">
                  <a:lumMod val="20000"/>
                  <a:lumOff val="80000"/>
                </a:srgbClr>
              </a:solidFill>
              <a:ln w="6350">
                <a:solidFill>
                  <a:sysClr val="window" lastClr="FFFFFF">
                    <a:lumMod val="65000"/>
                  </a:sysClr>
                </a:solidFill>
              </a:ln>
              <a:effectLst/>
              <a:scene3d>
                <a:camera prst="orthographicFront"/>
                <a:lightRig rig="threePt" dir="t"/>
              </a:scene3d>
            </c:spPr>
            <c:txPr>
              <a:bodyPr wrap="square" lIns="18000" tIns="19050" rIns="18000" bIns="19050" anchor="ctr">
                <a:spAutoFit/>
              </a:bodyPr>
              <a:lstStyle/>
              <a:p>
                <a:pPr>
                  <a:defRPr sz="900" spc="-30" baseline="0"/>
                </a:pPr>
                <a:endParaRPr lang="pl-P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strRef>
              <c:f>'15 dochody wydatki kwintyle'!$C$10:$H$10</c:f>
              <c:strCache>
                <c:ptCount val="6"/>
                <c:pt idx="0">
                  <c:v>Total</c:v>
                </c:pt>
                <c:pt idx="1">
                  <c:v>first</c:v>
                </c:pt>
                <c:pt idx="2">
                  <c:v>second</c:v>
                </c:pt>
                <c:pt idx="3">
                  <c:v>third</c:v>
                </c:pt>
                <c:pt idx="4">
                  <c:v>fourth</c:v>
                </c:pt>
                <c:pt idx="5">
                  <c:v>fifth</c:v>
                </c:pt>
              </c:strCache>
            </c:strRef>
          </c:cat>
          <c:val>
            <c:numRef>
              <c:f>'15 dochody wydatki kwintyle'!$C$13:$H$13</c:f>
              <c:numCache>
                <c:formatCode>0.0%</c:formatCode>
                <c:ptCount val="6"/>
                <c:pt idx="0">
                  <c:v>0.57579973773002191</c:v>
                </c:pt>
                <c:pt idx="1">
                  <c:v>1.1786076788215853</c:v>
                </c:pt>
                <c:pt idx="2">
                  <c:v>0.62207803493323288</c:v>
                </c:pt>
                <c:pt idx="3">
                  <c:v>0.57932581796048921</c:v>
                </c:pt>
                <c:pt idx="4">
                  <c:v>0.55380534118602764</c:v>
                </c:pt>
                <c:pt idx="5">
                  <c:v>0.46508598982362104</c:v>
                </c:pt>
              </c:numCache>
            </c:numRef>
          </c:val>
          <c:extLst xmlns:c16r2="http://schemas.microsoft.com/office/drawing/2015/06/chart">
            <c:ext xmlns:c16="http://schemas.microsoft.com/office/drawing/2014/chart" uri="{C3380CC4-5D6E-409C-BE32-E72D297353CC}">
              <c16:uniqueId val="{00000026-210C-4649-A7DB-C4DA2B3CEE7D}"/>
            </c:ext>
          </c:extLst>
        </c:ser>
        <c:dLbls>
          <c:showLegendKey val="0"/>
          <c:showVal val="0"/>
          <c:showCatName val="0"/>
          <c:showSerName val="0"/>
          <c:showPercent val="0"/>
          <c:showBubbleSize val="0"/>
        </c:dLbls>
        <c:gapWidth val="150"/>
        <c:axId val="-1078494176"/>
        <c:axId val="-1078492544"/>
      </c:barChart>
      <c:catAx>
        <c:axId val="-1078487648"/>
        <c:scaling>
          <c:orientation val="minMax"/>
        </c:scaling>
        <c:delete val="0"/>
        <c:axPos val="b"/>
        <c:numFmt formatCode="General" sourceLinked="1"/>
        <c:majorTickMark val="out"/>
        <c:minorTickMark val="none"/>
        <c:tickLblPos val="nextTo"/>
        <c:spPr>
          <a:ln w="9525">
            <a:solidFill>
              <a:sysClr val="windowText" lastClr="000000"/>
            </a:solidFill>
          </a:ln>
        </c:spPr>
        <c:crossAx val="-1078484928"/>
        <c:crosses val="autoZero"/>
        <c:auto val="1"/>
        <c:lblAlgn val="ctr"/>
        <c:lblOffset val="100"/>
        <c:noMultiLvlLbl val="0"/>
      </c:catAx>
      <c:valAx>
        <c:axId val="-1078484928"/>
        <c:scaling>
          <c:orientation val="minMax"/>
          <c:max val="7000"/>
          <c:min val="0"/>
        </c:scaling>
        <c:delete val="0"/>
        <c:axPos val="l"/>
        <c:majorGridlines>
          <c:spPr>
            <a:ln w="6350">
              <a:solidFill>
                <a:sysClr val="window" lastClr="FFFFFF">
                  <a:lumMod val="65000"/>
                  <a:alpha val="76000"/>
                </a:sysClr>
              </a:solidFill>
            </a:ln>
          </c:spPr>
        </c:majorGridlines>
        <c:numFmt formatCode="0" sourceLinked="0"/>
        <c:majorTickMark val="out"/>
        <c:minorTickMark val="none"/>
        <c:tickLblPos val="nextTo"/>
        <c:spPr>
          <a:noFill/>
          <a:ln>
            <a:noFill/>
          </a:ln>
        </c:spPr>
        <c:txPr>
          <a:bodyPr/>
          <a:lstStyle/>
          <a:p>
            <a:pPr>
              <a:defRPr sz="900">
                <a:solidFill>
                  <a:sysClr val="windowText" lastClr="000000"/>
                </a:solidFill>
              </a:defRPr>
            </a:pPr>
            <a:endParaRPr lang="pl-PL"/>
          </a:p>
        </c:txPr>
        <c:crossAx val="-1078487648"/>
        <c:crosses val="autoZero"/>
        <c:crossBetween val="between"/>
        <c:majorUnit val="1000"/>
      </c:valAx>
      <c:valAx>
        <c:axId val="-1078492544"/>
        <c:scaling>
          <c:orientation val="minMax"/>
          <c:max val="1.4"/>
          <c:min val="0"/>
        </c:scaling>
        <c:delete val="1"/>
        <c:axPos val="r"/>
        <c:numFmt formatCode="0%" sourceLinked="0"/>
        <c:majorTickMark val="out"/>
        <c:minorTickMark val="none"/>
        <c:tickLblPos val="none"/>
        <c:crossAx val="-1078494176"/>
        <c:crosses val="max"/>
        <c:crossBetween val="between"/>
        <c:majorUnit val="0.2"/>
      </c:valAx>
      <c:catAx>
        <c:axId val="-1078494176"/>
        <c:scaling>
          <c:orientation val="minMax"/>
        </c:scaling>
        <c:delete val="1"/>
        <c:axPos val="b"/>
        <c:numFmt formatCode="General" sourceLinked="1"/>
        <c:majorTickMark val="out"/>
        <c:minorTickMark val="none"/>
        <c:tickLblPos val="none"/>
        <c:crossAx val="-1078492544"/>
        <c:crosses val="autoZero"/>
        <c:auto val="1"/>
        <c:lblAlgn val="ctr"/>
        <c:lblOffset val="100"/>
        <c:noMultiLvlLbl val="0"/>
      </c:catAx>
    </c:plotArea>
    <c:legend>
      <c:legendPos val="r"/>
      <c:layout>
        <c:manualLayout>
          <c:xMode val="edge"/>
          <c:yMode val="edge"/>
          <c:x val="6.7434253871854713E-2"/>
          <c:y val="0.15658509059024736"/>
          <c:w val="0.93256583633365564"/>
          <c:h val="8.4510500134561461E-2"/>
        </c:manualLayout>
      </c:layout>
      <c:overlay val="0"/>
      <c:spPr>
        <a:no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994110111236105E-2"/>
          <c:y val="0.2271028498936653"/>
          <c:w val="0.92008928571428572"/>
          <c:h val="0.57015220216249929"/>
        </c:manualLayout>
      </c:layout>
      <c:barChart>
        <c:barDir val="col"/>
        <c:grouping val="clustered"/>
        <c:varyColors val="0"/>
        <c:ser>
          <c:idx val="0"/>
          <c:order val="0"/>
          <c:tx>
            <c:strRef>
              <c:f>'18 dochody wydatki klm'!$B$11</c:f>
              <c:strCache>
                <c:ptCount val="1"/>
                <c:pt idx="0">
                  <c:v>Available income</c:v>
                </c:pt>
              </c:strCache>
            </c:strRef>
          </c:tx>
          <c:spPr>
            <a:solidFill>
              <a:srgbClr val="334A92"/>
            </a:solidFill>
            <a:scene3d>
              <a:camera prst="orthographicFront"/>
              <a:lightRig rig="threePt" dir="t"/>
            </a:scene3d>
          </c:spPr>
          <c:invertIfNegative val="0"/>
          <c:dLbls>
            <c:dLbl>
              <c:idx val="5"/>
              <c:layout>
                <c:manualLayout>
                  <c:x val="9.0904284356260265E-17"/>
                  <c:y val="7.840062720501764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714-41CA-AED1-BEC16C065E38}"/>
                </c:ext>
                <c:ext xmlns:c15="http://schemas.microsoft.com/office/drawing/2012/chart" uri="{CE6537A1-D6FC-4f65-9D91-7224C49458BB}">
                  <c15:layout/>
                </c:ext>
              </c:extLst>
            </c:dLbl>
            <c:dLbl>
              <c:idx val="22"/>
              <c:layout>
                <c:manualLayout>
                  <c:x val="0"/>
                  <c:y val="8.5103474433106986E-3"/>
                </c:manualLayout>
              </c:layout>
              <c:dLblPos val="outEnd"/>
              <c:showLegendKey val="0"/>
              <c:showVal val="1"/>
              <c:showCatName val="0"/>
              <c:showSerName val="0"/>
              <c:showPercent val="0"/>
              <c:showBubbleSize val="0"/>
              <c:extLst xmlns:c15="http://schemas.microsoft.com/office/drawing/2012/chart" xmlns:c16="http://schemas.microsoft.com/office/drawing/2014/chart" xmlns:c16r2="http://schemas.microsoft.com/office/drawing/2015/06/chart">
                <c:ext xmlns:c16="http://schemas.microsoft.com/office/drawing/2014/chart" uri="{C3380CC4-5D6E-409C-BE32-E72D297353CC}">
                  <c16:uniqueId val="{00000000-F50B-4874-915E-E90E1F074191}"/>
                </c:ext>
                <c:ext xmlns:c15="http://schemas.microsoft.com/office/drawing/2012/chart" uri="{CE6537A1-D6FC-4f65-9D91-7224C49458BB}"/>
              </c:extLst>
            </c:dLbl>
            <c:dLbl>
              <c:idx val="31"/>
              <c:layout>
                <c:manualLayout>
                  <c:x val="9.0904284356260622E-17"/>
                  <c:y val="8.7105624142661247E-3"/>
                </c:manualLayout>
              </c:layout>
              <c:dLblPos val="outEnd"/>
              <c:showLegendKey val="0"/>
              <c:showVal val="1"/>
              <c:showCatName val="0"/>
              <c:showSerName val="0"/>
              <c:showPercent val="0"/>
              <c:showBubbleSize val="0"/>
              <c:extLst xmlns:c15="http://schemas.microsoft.com/office/drawing/2012/chart" xmlns:c16="http://schemas.microsoft.com/office/drawing/2014/chart" xmlns:c16r2="http://schemas.microsoft.com/office/drawing/2015/06/chart">
                <c:ext xmlns:c16="http://schemas.microsoft.com/office/drawing/2014/chart" uri="{C3380CC4-5D6E-409C-BE32-E72D297353CC}">
                  <c16:uniqueId val="{00000001-F50B-4874-915E-E90E1F074191}"/>
                </c:ext>
                <c:ext xmlns:c15="http://schemas.microsoft.com/office/drawing/2012/chart" uri="{CE6537A1-D6FC-4f65-9D91-7224C49458BB}"/>
              </c:extLst>
            </c:dLbl>
            <c:dLbl>
              <c:idx val="36"/>
              <c:layout>
                <c:manualLayout>
                  <c:x val="0"/>
                  <c:y val="8.912655971479459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0B-4874-915E-E90E1F074191}"/>
                </c:ex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sz="90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'18 dochody wydatki klm'!$C$10:$I$10</c:f>
              <c:strCache>
                <c:ptCount val="7"/>
                <c:pt idx="0">
                  <c:v>Total</c:v>
                </c:pt>
                <c:pt idx="1">
                  <c:v>Urban areas
in total</c:v>
                </c:pt>
                <c:pt idx="2">
                  <c:v>Towns
below 20
thousand</c:v>
                </c:pt>
                <c:pt idx="3">
                  <c:v>Towns
20–99
thousand</c:v>
                </c:pt>
                <c:pt idx="4">
                  <c:v>Towns 
and cities
100–499
thousand</c:v>
                </c:pt>
                <c:pt idx="5">
                  <c:v>Cities
500 thousand
or over</c:v>
                </c:pt>
                <c:pt idx="6">
                  <c:v>Rural areas</c:v>
                </c:pt>
              </c:strCache>
            </c:strRef>
          </c:cat>
          <c:val>
            <c:numRef>
              <c:f>'18 dochody wydatki klm'!$C$11:$I$11</c:f>
              <c:numCache>
                <c:formatCode>0.00</c:formatCode>
                <c:ptCount val="7"/>
                <c:pt idx="0">
                  <c:v>3500.21</c:v>
                </c:pt>
                <c:pt idx="1">
                  <c:v>3739.43</c:v>
                </c:pt>
                <c:pt idx="2">
                  <c:v>3251</c:v>
                </c:pt>
                <c:pt idx="3">
                  <c:v>3464.73</c:v>
                </c:pt>
                <c:pt idx="4">
                  <c:v>3798.52</c:v>
                </c:pt>
                <c:pt idx="5">
                  <c:v>4556.9799999999996</c:v>
                </c:pt>
                <c:pt idx="6">
                  <c:v>3149.49</c:v>
                </c:pt>
              </c:numCache>
            </c:numRef>
          </c:val>
          <c:extLst xmlns:c16r2="http://schemas.microsoft.com/office/drawing/2015/06/chart">
            <c:ext xmlns:c16="http://schemas.microsoft.com/office/drawing/2014/chart" uri="{C3380CC4-5D6E-409C-BE32-E72D297353CC}">
              <c16:uniqueId val="{00000003-F50B-4874-915E-E90E1F074191}"/>
            </c:ext>
          </c:extLst>
        </c:ser>
        <c:ser>
          <c:idx val="1"/>
          <c:order val="1"/>
          <c:tx>
            <c:strRef>
              <c:f>'18 dochody wydatki klm'!$B$12</c:f>
              <c:strCache>
                <c:ptCount val="1"/>
                <c:pt idx="0">
                  <c:v>Expenditure</c:v>
                </c:pt>
              </c:strCache>
            </c:strRef>
          </c:tx>
          <c:spPr>
            <a:solidFill>
              <a:srgbClr val="66B58D"/>
            </a:solidFill>
            <a:scene3d>
              <a:camera prst="orthographicFront"/>
              <a:lightRig rig="threePt" dir="t"/>
            </a:scene3d>
          </c:spPr>
          <c:invertIfNegative val="0"/>
          <c:dLbls>
            <c:dLbl>
              <c:idx val="37"/>
              <c:layout>
                <c:manualLayout>
                  <c:x val="0"/>
                  <c:y val="7.3878627968337732E-2"/>
                </c:manualLayout>
              </c:layout>
              <c:dLblPos val="outEnd"/>
              <c:showLegendKey val="0"/>
              <c:showVal val="1"/>
              <c:showCatName val="0"/>
              <c:showSerName val="0"/>
              <c:showPercent val="0"/>
              <c:showBubbleSize val="0"/>
              <c:extLst xmlns:c15="http://schemas.microsoft.com/office/drawing/2012/chart" xmlns:c16="http://schemas.microsoft.com/office/drawing/2014/chart" xmlns:c16r2="http://schemas.microsoft.com/office/drawing/2015/06/chart">
                <c:ext xmlns:c16="http://schemas.microsoft.com/office/drawing/2014/chart" uri="{C3380CC4-5D6E-409C-BE32-E72D297353CC}">
                  <c16:uniqueId val="{00000004-F50B-4874-915E-E90E1F074191}"/>
                </c:ext>
                <c:ext xmlns:c15="http://schemas.microsoft.com/office/drawing/2012/chart" uri="{CE6537A1-D6FC-4f65-9D91-7224C49458BB}"/>
              </c:extLst>
            </c:dLbl>
            <c:dLbl>
              <c:idx val="38"/>
              <c:layout>
                <c:manualLayout>
                  <c:x val="-1.8151927435671728E-16"/>
                  <c:y val="7.387862796833764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0B-4874-915E-E90E1F074191}"/>
                </c:ex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sz="900" spc="-30" baseline="0"/>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'18 dochody wydatki klm'!$C$10:$I$10</c:f>
              <c:strCache>
                <c:ptCount val="7"/>
                <c:pt idx="0">
                  <c:v>Total</c:v>
                </c:pt>
                <c:pt idx="1">
                  <c:v>Urban areas
in total</c:v>
                </c:pt>
                <c:pt idx="2">
                  <c:v>Towns
below 20
thousand</c:v>
                </c:pt>
                <c:pt idx="3">
                  <c:v>Towns
20–99
thousand</c:v>
                </c:pt>
                <c:pt idx="4">
                  <c:v>Towns 
and cities
100–499
thousand</c:v>
                </c:pt>
                <c:pt idx="5">
                  <c:v>Cities
500 thousand
or over</c:v>
                </c:pt>
                <c:pt idx="6">
                  <c:v>Rural areas</c:v>
                </c:pt>
              </c:strCache>
            </c:strRef>
          </c:cat>
          <c:val>
            <c:numRef>
              <c:f>'18 dochody wydatki klm'!$C$12:$I$12</c:f>
              <c:numCache>
                <c:formatCode>0.00</c:formatCode>
                <c:ptCount val="7"/>
                <c:pt idx="0">
                  <c:v>2015.42</c:v>
                </c:pt>
                <c:pt idx="1">
                  <c:v>2243.17</c:v>
                </c:pt>
                <c:pt idx="2">
                  <c:v>1943.67</c:v>
                </c:pt>
                <c:pt idx="3">
                  <c:v>2035.82</c:v>
                </c:pt>
                <c:pt idx="4">
                  <c:v>2322.4</c:v>
                </c:pt>
                <c:pt idx="5">
                  <c:v>2746.68</c:v>
                </c:pt>
                <c:pt idx="6">
                  <c:v>1681.52</c:v>
                </c:pt>
              </c:numCache>
            </c:numRef>
          </c:val>
          <c:extLst xmlns:c16r2="http://schemas.microsoft.com/office/drawing/2015/06/chart">
            <c:ext xmlns:c16="http://schemas.microsoft.com/office/drawing/2014/chart" uri="{C3380CC4-5D6E-409C-BE32-E72D297353CC}">
              <c16:uniqueId val="{00000006-F50B-4874-915E-E90E1F074191}"/>
            </c:ext>
          </c:extLst>
        </c:ser>
        <c:ser>
          <c:idx val="2"/>
          <c:order val="2"/>
          <c:tx>
            <c:strRef>
              <c:f>'18 dochody wydatki klm'!$B$13</c:f>
              <c:strCache>
                <c:ptCount val="1"/>
                <c:pt idx="0">
                  <c:v>The share of expenditure in available income</c:v>
                </c:pt>
              </c:strCache>
            </c:strRef>
          </c:tx>
          <c:spPr>
            <a:solidFill>
              <a:srgbClr val="4D4D4D">
                <a:lumMod val="20000"/>
                <a:lumOff val="80000"/>
              </a:srgbClr>
            </a:solidFill>
            <a:ln w="3175">
              <a:solidFill>
                <a:srgbClr val="4D4D4D">
                  <a:lumMod val="40000"/>
                  <a:lumOff val="60000"/>
                </a:srgbClr>
              </a:solidFill>
            </a:ln>
            <a:scene3d>
              <a:camera prst="orthographicFront"/>
              <a:lightRig rig="threePt" dir="t"/>
            </a:scene3d>
          </c:spPr>
          <c:invertIfNegative val="0"/>
          <c:dPt>
            <c:idx val="0"/>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2-6714-41CA-AED1-BEC16C065E38}"/>
              </c:ext>
            </c:extLst>
          </c:dPt>
          <c:dPt>
            <c:idx val="1"/>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4-6714-41CA-AED1-BEC16C065E38}"/>
              </c:ext>
            </c:extLst>
          </c:dPt>
          <c:dPt>
            <c:idx val="2"/>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6-6714-41CA-AED1-BEC16C065E38}"/>
              </c:ext>
            </c:extLst>
          </c:dPt>
          <c:dPt>
            <c:idx val="3"/>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8-6714-41CA-AED1-BEC16C065E38}"/>
              </c:ext>
            </c:extLst>
          </c:dPt>
          <c:dPt>
            <c:idx val="4"/>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A-6714-41CA-AED1-BEC16C065E38}"/>
              </c:ext>
            </c:extLst>
          </c:dPt>
          <c:dPt>
            <c:idx val="5"/>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C-6714-41CA-AED1-BEC16C065E38}"/>
              </c:ext>
            </c:extLst>
          </c:dPt>
          <c:dPt>
            <c:idx val="6"/>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E-6714-41CA-AED1-BEC16C065E38}"/>
              </c:ext>
            </c:extLst>
          </c:dPt>
          <c:dPt>
            <c:idx val="11"/>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7-A51B-4638-9B2D-07511F5A4940}"/>
              </c:ext>
            </c:extLst>
          </c:dPt>
          <c:dPt>
            <c:idx val="18"/>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F-A51B-4638-9B2D-07511F5A4940}"/>
              </c:ext>
            </c:extLst>
          </c:dPt>
          <c:dPt>
            <c:idx val="22"/>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7-A51B-4638-9B2D-07511F5A4940}"/>
              </c:ext>
            </c:extLst>
          </c:dPt>
          <c:dPt>
            <c:idx val="25"/>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7-B5D6-4A24-A23B-BCA66DD3A945}"/>
              </c:ext>
            </c:extLst>
          </c:dPt>
          <c:dPt>
            <c:idx val="27"/>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9-B5D6-4A24-A23B-BCA66DD3A945}"/>
              </c:ext>
            </c:extLst>
          </c:dPt>
          <c:dPt>
            <c:idx val="29"/>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B-B5D6-4A24-A23B-BCA66DD3A945}"/>
              </c:ext>
            </c:extLst>
          </c:dPt>
          <c:dPt>
            <c:idx val="31"/>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D-B5D6-4A24-A23B-BCA66DD3A945}"/>
              </c:ext>
            </c:extLst>
          </c:dPt>
          <c:dPt>
            <c:idx val="32"/>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0F-B5D6-4A24-A23B-BCA66DD3A945}"/>
              </c:ext>
            </c:extLst>
          </c:dPt>
          <c:dPt>
            <c:idx val="33"/>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1-B5D6-4A24-A23B-BCA66DD3A945}"/>
              </c:ext>
            </c:extLst>
          </c:dPt>
          <c:dPt>
            <c:idx val="34"/>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3-B5D6-4A24-A23B-BCA66DD3A945}"/>
              </c:ext>
            </c:extLst>
          </c:dPt>
          <c:dPt>
            <c:idx val="35"/>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5-B5D6-4A24-A23B-BCA66DD3A945}"/>
              </c:ext>
            </c:extLst>
          </c:dPt>
          <c:dPt>
            <c:idx val="36"/>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7-B5D6-4A24-A23B-BCA66DD3A945}"/>
              </c:ext>
            </c:extLst>
          </c:dPt>
          <c:dPt>
            <c:idx val="37"/>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9-B5D6-4A24-A23B-BCA66DD3A945}"/>
              </c:ext>
            </c:extLst>
          </c:dPt>
          <c:dPt>
            <c:idx val="38"/>
            <c:invertIfNegative val="0"/>
            <c:bubble3D val="0"/>
            <c:spPr>
              <a:noFill/>
              <a:ln w="3175">
                <a:noFill/>
              </a:ln>
              <a:scene3d>
                <a:camera prst="orthographicFront"/>
                <a:lightRig rig="threePt" dir="t"/>
              </a:scene3d>
            </c:spPr>
            <c:extLst xmlns:c16r2="http://schemas.microsoft.com/office/drawing/2015/06/chart">
              <c:ext xmlns:c16="http://schemas.microsoft.com/office/drawing/2014/chart" uri="{C3380CC4-5D6E-409C-BE32-E72D297353CC}">
                <c16:uniqueId val="{0000001B-B5D6-4A24-A23B-BCA66DD3A945}"/>
              </c:ext>
            </c:extLst>
          </c:dPt>
          <c:dLbls>
            <c:spPr>
              <a:solidFill>
                <a:srgbClr val="4D4D4D">
                  <a:lumMod val="20000"/>
                  <a:lumOff val="80000"/>
                </a:srgbClr>
              </a:solidFill>
              <a:ln w="6350">
                <a:solidFill>
                  <a:sysClr val="window" lastClr="FFFFFF">
                    <a:lumMod val="65000"/>
                  </a:sysClr>
                </a:solidFill>
              </a:ln>
              <a:effectLst/>
            </c:spPr>
            <c:txPr>
              <a:bodyPr lIns="18000" tIns="18000" rIns="18000" bIns="18000"/>
              <a:lstStyle/>
              <a:p>
                <a:pPr>
                  <a:defRPr sz="900">
                    <a:latin typeface="Fira Sans" panose="020B0503050000020004" pitchFamily="34" charset="0"/>
                    <a:ea typeface="Fira Sans" panose="020B0503050000020004" pitchFamily="34" charset="0"/>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strRef>
              <c:f>'18 dochody wydatki klm'!$C$10:$I$10</c:f>
              <c:strCache>
                <c:ptCount val="7"/>
                <c:pt idx="0">
                  <c:v>Total</c:v>
                </c:pt>
                <c:pt idx="1">
                  <c:v>Urban areas
in total</c:v>
                </c:pt>
                <c:pt idx="2">
                  <c:v>Towns
below 20
thousand</c:v>
                </c:pt>
                <c:pt idx="3">
                  <c:v>Towns
20–99
thousand</c:v>
                </c:pt>
                <c:pt idx="4">
                  <c:v>Towns 
and cities
100–499
thousand</c:v>
                </c:pt>
                <c:pt idx="5">
                  <c:v>Cities
500 thousand
or over</c:v>
                </c:pt>
                <c:pt idx="6">
                  <c:v>Rural areas</c:v>
                </c:pt>
              </c:strCache>
            </c:strRef>
          </c:cat>
          <c:val>
            <c:numRef>
              <c:f>'18 dochody wydatki klm'!$C$13:$I$13</c:f>
              <c:numCache>
                <c:formatCode>0.0%</c:formatCode>
                <c:ptCount val="7"/>
                <c:pt idx="0">
                  <c:v>0.57579973773002191</c:v>
                </c:pt>
                <c:pt idx="1">
                  <c:v>0.5998694988273614</c:v>
                </c:pt>
                <c:pt idx="2">
                  <c:v>0.59786834820055368</c:v>
                </c:pt>
                <c:pt idx="3">
                  <c:v>0.58758402530644527</c:v>
                </c:pt>
                <c:pt idx="4">
                  <c:v>0.61139601739624905</c:v>
                </c:pt>
                <c:pt idx="5">
                  <c:v>0.6027412891871371</c:v>
                </c:pt>
                <c:pt idx="6">
                  <c:v>0.5339023143429571</c:v>
                </c:pt>
              </c:numCache>
            </c:numRef>
          </c:val>
          <c:extLst xmlns:c16r2="http://schemas.microsoft.com/office/drawing/2015/06/chart">
            <c:ext xmlns:c16="http://schemas.microsoft.com/office/drawing/2014/chart" uri="{C3380CC4-5D6E-409C-BE32-E72D297353CC}">
              <c16:uniqueId val="{00000023-F50B-4874-915E-E90E1F074191}"/>
            </c:ext>
          </c:extLst>
        </c:ser>
        <c:dLbls>
          <c:showLegendKey val="0"/>
          <c:showVal val="0"/>
          <c:showCatName val="0"/>
          <c:showSerName val="0"/>
          <c:showPercent val="0"/>
          <c:showBubbleSize val="0"/>
        </c:dLbls>
        <c:gapWidth val="30"/>
        <c:overlap val="80"/>
        <c:axId val="-1078492000"/>
        <c:axId val="-1078493632"/>
      </c:barChart>
      <c:catAx>
        <c:axId val="-1078492000"/>
        <c:scaling>
          <c:orientation val="minMax"/>
        </c:scaling>
        <c:delete val="0"/>
        <c:axPos val="b"/>
        <c:numFmt formatCode="General" sourceLinked="1"/>
        <c:majorTickMark val="out"/>
        <c:minorTickMark val="none"/>
        <c:tickLblPos val="nextTo"/>
        <c:spPr>
          <a:ln w="9525">
            <a:solidFill>
              <a:sysClr val="windowText" lastClr="000000"/>
            </a:solidFill>
          </a:ln>
        </c:spPr>
        <c:crossAx val="-1078493632"/>
        <c:crosses val="autoZero"/>
        <c:auto val="1"/>
        <c:lblAlgn val="ctr"/>
        <c:lblOffset val="100"/>
        <c:noMultiLvlLbl val="0"/>
      </c:catAx>
      <c:valAx>
        <c:axId val="-1078493632"/>
        <c:scaling>
          <c:orientation val="minMax"/>
          <c:max val="5000"/>
        </c:scaling>
        <c:delete val="0"/>
        <c:axPos val="l"/>
        <c:majorGridlines>
          <c:spPr>
            <a:ln w="6350">
              <a:solidFill>
                <a:sysClr val="window" lastClr="FFFFFF">
                  <a:lumMod val="65000"/>
                </a:sysClr>
              </a:solidFill>
            </a:ln>
          </c:spPr>
        </c:majorGridlines>
        <c:numFmt formatCode="0" sourceLinked="0"/>
        <c:majorTickMark val="out"/>
        <c:minorTickMark val="none"/>
        <c:tickLblPos val="nextTo"/>
        <c:spPr>
          <a:ln>
            <a:noFill/>
          </a:ln>
        </c:spPr>
        <c:txPr>
          <a:bodyPr/>
          <a:lstStyle/>
          <a:p>
            <a:pPr>
              <a:defRPr sz="900">
                <a:solidFill>
                  <a:sysClr val="windowText" lastClr="000000"/>
                </a:solidFill>
              </a:defRPr>
            </a:pPr>
            <a:endParaRPr lang="pl-PL"/>
          </a:p>
        </c:txPr>
        <c:crossAx val="-1078492000"/>
        <c:crosses val="autoZero"/>
        <c:crossBetween val="between"/>
        <c:majorUnit val="1000"/>
      </c:valAx>
    </c:plotArea>
    <c:legend>
      <c:legendPos val="r"/>
      <c:layout>
        <c:manualLayout>
          <c:xMode val="edge"/>
          <c:yMode val="edge"/>
          <c:x val="7.1842414268688704E-2"/>
          <c:y val="0.13038518166413049"/>
          <c:w val="0.92815758573131046"/>
          <c:h val="8.5704540754436273E-2"/>
        </c:manualLayout>
      </c:layout>
      <c:overlay val="0"/>
      <c:spPr>
        <a:solidFill>
          <a:sysClr val="window" lastClr="FFFFFF"/>
        </a:solidFill>
        <a:ln w="6350">
          <a:noFill/>
        </a:ln>
      </c:spPr>
    </c:legend>
    <c:plotVisOnly val="1"/>
    <c:dispBlanksAs val="gap"/>
    <c:showDLblsOverMax val="0"/>
  </c:chart>
  <c:spPr>
    <a:ln>
      <a:noFill/>
    </a:ln>
  </c:spPr>
  <c:txPr>
    <a:bodyPr/>
    <a:lstStyle/>
    <a:p>
      <a:pPr>
        <a:defRPr sz="900">
          <a:latin typeface="Fira Sans" panose="020B0503050000020004" pitchFamily="34" charset="0"/>
          <a:ea typeface="Fira Sans" panose="020B0503050000020004" pitchFamily="34" charset="0"/>
        </a:defRPr>
      </a:pPr>
      <a:endParaRPr lang="pl-PL"/>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6.24303E-7</cdr:y>
    </cdr:from>
    <cdr:to>
      <cdr:x>0.99927</cdr:x>
      <cdr:y>0.20323</cdr:y>
    </cdr:to>
    <cdr:sp macro="" textlink="">
      <cdr:nvSpPr>
        <cdr:cNvPr id="3" name="pole tekstowe 2"/>
        <cdr:cNvSpPr txBox="1"/>
      </cdr:nvSpPr>
      <cdr:spPr>
        <a:xfrm xmlns:a="http://schemas.openxmlformats.org/drawingml/2006/main">
          <a:off x="0" y="2"/>
          <a:ext cx="5116902" cy="651052"/>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a:p xmlns:a="http://schemas.openxmlformats.org/drawingml/2006/main">
          <a:pPr algn="l"/>
          <a:endParaRPr lang="pl-PL" sz="900" b="1">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dr:relSizeAnchor xmlns:cdr="http://schemas.openxmlformats.org/drawingml/2006/chartDrawing">
    <cdr:from>
      <cdr:x>0</cdr:x>
      <cdr:y>0.11671</cdr:y>
    </cdr:from>
    <cdr:to>
      <cdr:x>0.05578</cdr:x>
      <cdr:y>0.17523</cdr:y>
    </cdr:to>
    <cdr:sp macro="" textlink="">
      <cdr:nvSpPr>
        <cdr:cNvPr id="4" name="Pole tekstowe 1"/>
        <cdr:cNvSpPr txBox="1"/>
      </cdr:nvSpPr>
      <cdr:spPr>
        <a:xfrm xmlns:a="http://schemas.openxmlformats.org/drawingml/2006/main">
          <a:off x="0" y="449574"/>
          <a:ext cx="285736" cy="225413"/>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2.59611E-7</cdr:y>
    </cdr:from>
    <cdr:to>
      <cdr:x>1</cdr:x>
      <cdr:y>0.11973</cdr:y>
    </cdr:to>
    <cdr:sp macro="" textlink="">
      <cdr:nvSpPr>
        <cdr:cNvPr id="5" name="pole tekstowe 1"/>
        <cdr:cNvSpPr txBox="1"/>
      </cdr:nvSpPr>
      <cdr:spPr>
        <a:xfrm xmlns:a="http://schemas.openxmlformats.org/drawingml/2006/main">
          <a:off x="0" y="1"/>
          <a:ext cx="5122545" cy="461176"/>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 Level of average monthly income and expenditure</a:t>
          </a:r>
          <a:r>
            <a:rPr lang="pl-PL" sz="900" b="0" baseline="3000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2</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per capita in households</a:t>
          </a:r>
        </a:p>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the share of expenditure</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available income, 2012–2025</a:t>
          </a:r>
        </a:p>
        <a:p xmlns:a="http://schemas.openxmlformats.org/drawingml/2006/main">
          <a:pPr algn="l"/>
          <a:endPar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dr:relSizeAnchor xmlns:cdr="http://schemas.openxmlformats.org/drawingml/2006/chartDrawing">
    <cdr:from>
      <cdr:x>0.00067</cdr:x>
      <cdr:y>0.82895</cdr:y>
    </cdr:from>
    <cdr:to>
      <cdr:x>1</cdr:x>
      <cdr:y>1</cdr:y>
    </cdr:to>
    <cdr:sp macro="" textlink="">
      <cdr:nvSpPr>
        <cdr:cNvPr id="6" name="pole tekstowe 1"/>
        <cdr:cNvSpPr txBox="1"/>
      </cdr:nvSpPr>
      <cdr:spPr>
        <a:xfrm xmlns:a="http://schemas.openxmlformats.org/drawingml/2006/main">
          <a:off x="3453" y="3000375"/>
          <a:ext cx="5150265" cy="61912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solidFill>
                <a:sysClr val="windowText" lastClr="000000"/>
              </a:solidFill>
              <a:latin typeface="Fira Sans" panose="020B0503050000020004" pitchFamily="34" charset="0"/>
              <a:ea typeface="Fira Sans" panose="020B0503050000020004" pitchFamily="34" charset="0"/>
            </a:rPr>
            <a:t>* </a:t>
          </a:r>
          <a:r>
            <a:rPr lang="pl-PL" sz="800" baseline="0">
              <a:solidFill>
                <a:sysClr val="windowText" lastClr="000000"/>
              </a:solidFill>
              <a:latin typeface="Fira Sans" panose="020B0503050000020004" pitchFamily="34" charset="0"/>
              <a:ea typeface="Fira Sans" panose="020B0503050000020004" pitchFamily="34" charset="0"/>
            </a:rPr>
            <a:t>Data for 2021-2025 in the entire study were generalized on the basis of the results of the National Population and Housing Census 2021, taking additionally into account the structure of the population by age and gender, and are not directly comparable with the data for previous years. Due to the updated generalization, the results for 2021-2022 differ from those published previously.</a:t>
          </a:r>
          <a:endParaRPr lang="pl-PL" sz="800">
            <a:solidFill>
              <a:sysClr val="windowText" lastClr="000000"/>
            </a:solidFill>
            <a:latin typeface="Fira Sans" panose="020B0503050000020004" pitchFamily="34" charset="0"/>
            <a:ea typeface="Fira Sans" panose="020B05030500000200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0.99968</cdr:x>
      <cdr:y>0.18532</cdr:y>
    </cdr:to>
    <cdr:sp macro="" textlink="">
      <cdr:nvSpPr>
        <cdr:cNvPr id="2" name="Pole tekstowe 1"/>
        <cdr:cNvSpPr txBox="1"/>
      </cdr:nvSpPr>
      <cdr:spPr>
        <a:xfrm xmlns:a="http://schemas.openxmlformats.org/drawingml/2006/main">
          <a:off x="0" y="0"/>
          <a:ext cx="5120906" cy="49131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10.</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consumption of selected food products per capita in households</a:t>
          </a:r>
          <a:b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2025</a:t>
          </a:r>
        </a:p>
      </cdr:txBody>
    </cdr:sp>
  </cdr:relSizeAnchor>
  <cdr:relSizeAnchor xmlns:cdr="http://schemas.openxmlformats.org/drawingml/2006/chartDrawing">
    <cdr:from>
      <cdr:x>0</cdr:x>
      <cdr:y>0.178</cdr:y>
    </cdr:from>
    <cdr:to>
      <cdr:x>0.03719</cdr:x>
      <cdr:y>0.23629</cdr:y>
    </cdr:to>
    <cdr:sp macro="" textlink="">
      <cdr:nvSpPr>
        <cdr:cNvPr id="3" name="Pole tekstowe 1"/>
        <cdr:cNvSpPr txBox="1"/>
      </cdr:nvSpPr>
      <cdr:spPr>
        <a:xfrm xmlns:a="http://schemas.openxmlformats.org/drawingml/2006/main">
          <a:off x="0" y="474165"/>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0.99968</cdr:x>
      <cdr:y>0.16988</cdr:y>
    </cdr:to>
    <cdr:sp macro="" textlink="">
      <cdr:nvSpPr>
        <cdr:cNvPr id="2" name="Pole tekstowe 1"/>
        <cdr:cNvSpPr txBox="1"/>
      </cdr:nvSpPr>
      <cdr:spPr>
        <a:xfrm xmlns:a="http://schemas.openxmlformats.org/drawingml/2006/main">
          <a:off x="0" y="0"/>
          <a:ext cx="5120906" cy="45037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11. Average monthly consumption of selected food products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2025</a:t>
          </a:r>
        </a:p>
      </cdr:txBody>
    </cdr:sp>
  </cdr:relSizeAnchor>
  <cdr:relSizeAnchor xmlns:cdr="http://schemas.openxmlformats.org/drawingml/2006/chartDrawing">
    <cdr:from>
      <cdr:x>0</cdr:x>
      <cdr:y>0.16968</cdr:y>
    </cdr:from>
    <cdr:to>
      <cdr:x>0.03719</cdr:x>
      <cdr:y>0.22797</cdr:y>
    </cdr:to>
    <cdr:sp macro="" textlink="">
      <cdr:nvSpPr>
        <cdr:cNvPr id="3" name="Pole tekstowe 1"/>
        <cdr:cNvSpPr txBox="1"/>
      </cdr:nvSpPr>
      <cdr:spPr>
        <a:xfrm xmlns:a="http://schemas.openxmlformats.org/drawingml/2006/main">
          <a:off x="0" y="451986"/>
          <a:ext cx="190555" cy="155274"/>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kg</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7.40741E-7</cdr:y>
    </cdr:from>
    <cdr:to>
      <cdr:x>0.99945</cdr:x>
      <cdr:y>0.16581</cdr:y>
    </cdr:to>
    <cdr:sp macro="" textlink="">
      <cdr:nvSpPr>
        <cdr:cNvPr id="2" name="pole tekstowe 1"/>
        <cdr:cNvSpPr txBox="1"/>
      </cdr:nvSpPr>
      <cdr:spPr>
        <a:xfrm xmlns:a="http://schemas.openxmlformats.org/drawingml/2006/main">
          <a:off x="0" y="2"/>
          <a:ext cx="5120997" cy="447674"/>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1"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12. Households equipped with selected durable goods by quintile groups in 2025</a:t>
          </a:r>
        </a:p>
        <a:p xmlns:a="http://schemas.openxmlformats.org/drawingml/2006/main">
          <a:pPr algn="l"/>
          <a:endParaRPr lang="pl-PL" sz="900" b="1"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3.754E-7</cdr:y>
    </cdr:from>
    <cdr:to>
      <cdr:x>0.99945</cdr:x>
      <cdr:y>0.13588</cdr:y>
    </cdr:to>
    <cdr:sp macro="" textlink="">
      <cdr:nvSpPr>
        <cdr:cNvPr id="2" name="pole tekstowe 1"/>
        <cdr:cNvSpPr txBox="1"/>
      </cdr:nvSpPr>
      <cdr:spPr>
        <a:xfrm xmlns:a="http://schemas.openxmlformats.org/drawingml/2006/main">
          <a:off x="0" y="1"/>
          <a:ext cx="5119728" cy="361949"/>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13. Households equipped with selected durable goods by place of residence in 2025</a:t>
          </a:r>
        </a:p>
        <a:p xmlns:a="http://schemas.openxmlformats.org/drawingml/2006/main">
          <a:pPr algn="l"/>
          <a:endPar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0.00304</cdr:y>
    </cdr:from>
    <cdr:to>
      <cdr:x>0.99979</cdr:x>
      <cdr:y>0.17037</cdr:y>
    </cdr:to>
    <cdr:sp macro="" textlink="">
      <cdr:nvSpPr>
        <cdr:cNvPr id="4" name="pole tekstowe 3"/>
        <cdr:cNvSpPr txBox="1"/>
      </cdr:nvSpPr>
      <cdr:spPr>
        <a:xfrm xmlns:a="http://schemas.openxmlformats.org/drawingml/2006/main">
          <a:off x="0" y="7988"/>
          <a:ext cx="5122739" cy="43968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14</a:t>
          </a:r>
          <a:r>
            <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Dwellings equipped with selected technical and sanitary installations</a:t>
          </a:r>
        </a:p>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in 2025</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0.00304</cdr:y>
    </cdr:from>
    <cdr:to>
      <cdr:x>0.99979</cdr:x>
      <cdr:y>0.16312</cdr:y>
    </cdr:to>
    <cdr:sp macro="" textlink="">
      <cdr:nvSpPr>
        <cdr:cNvPr id="4" name="pole tekstowe 3"/>
        <cdr:cNvSpPr txBox="1"/>
      </cdr:nvSpPr>
      <cdr:spPr>
        <a:xfrm xmlns:a="http://schemas.openxmlformats.org/drawingml/2006/main">
          <a:off x="0" y="7988"/>
          <a:ext cx="5122739" cy="420637"/>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15. Dwellings equipped with selected technical and sanitary installation</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quintile groups in 2025</a:t>
          </a: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2" name="pole tekstowe 1"/>
        <cdr:cNvSpPr txBox="1"/>
      </cdr:nvSpPr>
      <cdr:spPr>
        <a:xfrm xmlns:a="http://schemas.openxmlformats.org/drawingml/2006/main">
          <a:off x="0" y="1"/>
          <a:ext cx="6092456" cy="861236"/>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pl-PL" sz="1050" b="1"/>
            <a:t>Wykres 20.</a:t>
          </a:r>
        </a:p>
        <a:p xmlns:a="http://schemas.openxmlformats.org/drawingml/2006/main">
          <a:pPr algn="ctr"/>
          <a:r>
            <a:rPr lang="pl-PL" sz="1050" b="1"/>
            <a:t>Subiektywna ocena sytuacji materialnej gospodarstw domowych według grup społeczno ekonomicznych w 2014 r.</a:t>
          </a:r>
          <a:endParaRPr lang="pl-PL" sz="1050">
            <a:effectLst/>
          </a:endParaRPr>
        </a:p>
      </cdr:txBody>
    </cdr:sp>
  </cdr:relSizeAnchor>
  <cdr:relSizeAnchor xmlns:cdr="http://schemas.openxmlformats.org/drawingml/2006/chartDrawing">
    <cdr:from>
      <cdr:x>0</cdr:x>
      <cdr:y>0.42818</cdr:y>
    </cdr:from>
    <cdr:to>
      <cdr:x>0.05542</cdr:x>
      <cdr:y>0.512</cdr:y>
    </cdr:to>
    <cdr:sp macro="" textlink="">
      <cdr:nvSpPr>
        <cdr:cNvPr id="3" name="pole tekstowe 2"/>
        <cdr:cNvSpPr txBox="1"/>
      </cdr:nvSpPr>
      <cdr:spPr>
        <a:xfrm xmlns:a="http://schemas.openxmlformats.org/drawingml/2006/main" rot="16200000">
          <a:off x="23812" y="1862137"/>
          <a:ext cx="371475"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2.65118E-7</cdr:y>
    </cdr:from>
    <cdr:to>
      <cdr:x>0.99688</cdr:x>
      <cdr:y>0.10859</cdr:y>
    </cdr:to>
    <cdr:sp macro="" textlink="">
      <cdr:nvSpPr>
        <cdr:cNvPr id="4" name="pole tekstowe 3"/>
        <cdr:cNvSpPr txBox="1"/>
      </cdr:nvSpPr>
      <cdr:spPr>
        <a:xfrm xmlns:a="http://schemas.openxmlformats.org/drawingml/2006/main">
          <a:off x="0" y="1"/>
          <a:ext cx="5106563" cy="409574"/>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16.</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i="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Subjective evaluation of financial situation of households by socio-ecenomic groups</a:t>
          </a:r>
          <a:b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br>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2025</a:t>
          </a:r>
        </a:p>
        <a:p xmlns:a="http://schemas.openxmlformats.org/drawingml/2006/main">
          <a:pPr algn="l"/>
          <a:endParaRPr lang="pl-PL" sz="900" b="1" spc="0" baseline="0">
            <a:solidFill>
              <a:sysClr val="windowText" lastClr="000000"/>
            </a:solidFill>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0.99963</cdr:x>
      <cdr:y>0.08302</cdr:y>
    </cdr:to>
    <cdr:sp macro="" textlink="">
      <cdr:nvSpPr>
        <cdr:cNvPr id="2" name="pole tekstowe 1"/>
        <cdr:cNvSpPr txBox="1"/>
      </cdr:nvSpPr>
      <cdr:spPr>
        <a:xfrm xmlns:a="http://schemas.openxmlformats.org/drawingml/2006/main">
          <a:off x="0" y="0"/>
          <a:ext cx="5120650" cy="304800"/>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17.</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Subjective evaluation of financial situation of households by place of residence in 2025</a:t>
          </a:r>
        </a:p>
        <a:p xmlns:a="http://schemas.openxmlformats.org/drawingml/2006/main">
          <a:pPr algn="l"/>
          <a:endPar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0.0871</cdr:x>
      <cdr:y>0.00647</cdr:y>
    </cdr:from>
    <cdr:to>
      <cdr:x>0.89915</cdr:x>
      <cdr:y>0.11853</cdr:y>
    </cdr:to>
    <cdr:sp macro="" textlink="">
      <cdr:nvSpPr>
        <cdr:cNvPr id="8" name="pole tekstowe 7"/>
        <cdr:cNvSpPr txBox="1"/>
      </cdr:nvSpPr>
      <cdr:spPr>
        <a:xfrm xmlns:a="http://schemas.openxmlformats.org/drawingml/2006/main">
          <a:off x="548716" y="22124"/>
          <a:ext cx="5115781" cy="3831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0.00032</cdr:x>
      <cdr:y>0</cdr:y>
    </cdr:from>
    <cdr:to>
      <cdr:x>1</cdr:x>
      <cdr:y>0.15785</cdr:y>
    </cdr:to>
    <cdr:sp macro="" textlink="">
      <cdr:nvSpPr>
        <cdr:cNvPr id="11" name="pole tekstowe 10"/>
        <cdr:cNvSpPr txBox="1"/>
      </cdr:nvSpPr>
      <cdr:spPr>
        <a:xfrm xmlns:a="http://schemas.openxmlformats.org/drawingml/2006/main">
          <a:off x="1639" y="0"/>
          <a:ext cx="5120906" cy="454557"/>
        </a:xfrm>
        <a:prstGeom xmlns:a="http://schemas.openxmlformats.org/drawingml/2006/main" prst="rect">
          <a:avLst/>
        </a:prstGeom>
      </cdr:spPr>
      <cdr:txBody>
        <a:bodyPr xmlns:a="http://schemas.openxmlformats.org/drawingml/2006/main" vertOverflow="clip" wrap="square" lIns="0" rIns="0" rtlCol="0" anchor="t"/>
        <a:lstStyle xmlns:a="http://schemas.openxmlformats.org/drawingml/2006/main"/>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18.</a:t>
          </a:r>
          <a:r>
            <a:rPr kumimoji="0" lang="pl-PL" sz="900" b="0" i="0" u="none" strike="noStrike" kern="0" cap="none" spc="0" normalizeH="0" baseline="30000" noProof="0">
              <a:ln>
                <a:noFill/>
              </a:ln>
              <a:solidFill>
                <a:sysClr val="windowText" lastClr="000000"/>
              </a:solidFill>
              <a:effectLst/>
              <a:uLnTx/>
              <a:uFillTx/>
              <a:latin typeface="Fira Sans SemiBold" panose="020B0603050000020004" pitchFamily="34" charset="0"/>
              <a:ea typeface="Fira Sans SemiBold" panose="020B0603050000020004" pitchFamily="34" charset="0"/>
              <a:cs typeface="+mn-cs"/>
            </a:rPr>
            <a:t> </a:t>
          </a:r>
          <a:r>
            <a:rPr lang="pl-PL" sz="900" b="0" spc="0" baseline="0">
              <a:effectLst/>
              <a:latin typeface="Fira Sans SemiBold" panose="020B0603050000020004" pitchFamily="34" charset="0"/>
              <a:ea typeface="Fira Sans SemiBold" panose="020B0603050000020004" pitchFamily="34" charset="0"/>
              <a:cs typeface="+mn-cs"/>
            </a:rPr>
            <a:t>Percentage of households, which granted support to the inhabitants </a:t>
          </a:r>
          <a:br>
            <a:rPr lang="pl-PL" sz="900" b="0" spc="0" baseline="0">
              <a:effectLst/>
              <a:latin typeface="Fira Sans SemiBold" panose="020B0603050000020004" pitchFamily="34" charset="0"/>
              <a:ea typeface="Fira Sans SemiBold" panose="020B0603050000020004" pitchFamily="34" charset="0"/>
              <a:cs typeface="+mn-cs"/>
            </a:rPr>
          </a:br>
          <a:r>
            <a:rPr lang="pl-PL" sz="900" b="0" spc="0" baseline="0">
              <a:effectLst/>
              <a:latin typeface="Fira Sans SemiBold" panose="020B0603050000020004" pitchFamily="34" charset="0"/>
              <a:ea typeface="Fira Sans SemiBold" panose="020B0603050000020004" pitchFamily="34" charset="0"/>
              <a:cs typeface="+mn-cs"/>
            </a:rPr>
            <a:t>                  of Ukraine in the individual quarters of </a:t>
          </a:r>
          <a:r>
            <a:rPr lang="pl-PL" sz="900" b="0" spc="0" baseline="0">
              <a:solidFill>
                <a:sysClr val="windowText" lastClr="000000"/>
              </a:solidFill>
              <a:effectLst/>
              <a:latin typeface="Fira Sans SemiBold" panose="020B0603050000020004" pitchFamily="34" charset="0"/>
              <a:ea typeface="Fira Sans SemiBold" panose="020B0603050000020004" pitchFamily="34" charset="0"/>
              <a:cs typeface="+mn-cs"/>
            </a:rPr>
            <a:t>2022–2025</a:t>
          </a:r>
        </a:p>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0.00037</cdr:x>
      <cdr:y>0</cdr:y>
    </cdr:from>
    <cdr:to>
      <cdr:x>1</cdr:x>
      <cdr:y>0.15793</cdr:y>
    </cdr:to>
    <cdr:sp macro="" textlink="">
      <cdr:nvSpPr>
        <cdr:cNvPr id="2" name="pole tekstowe 1">
          <a:extLst xmlns:a="http://schemas.openxmlformats.org/drawingml/2006/main">
            <a:ext uri="{FF2B5EF4-FFF2-40B4-BE49-F238E27FC236}">
              <a16:creationId xmlns:a16="http://schemas.microsoft.com/office/drawing/2014/main" xmlns="" id="{A6F1DCEB-44A2-4A1F-BF11-918C20C3C3EA}"/>
            </a:ext>
          </a:extLst>
        </cdr:cNvPr>
        <cdr:cNvSpPr txBox="1"/>
      </cdr:nvSpPr>
      <cdr:spPr>
        <a:xfrm xmlns:a="http://schemas.openxmlformats.org/drawingml/2006/main">
          <a:off x="1895" y="0"/>
          <a:ext cx="5120650" cy="485774"/>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19. Percentage of households, which granted support to the inhabitants of Ukraine </a:t>
          </a:r>
          <a:br>
            <a:rPr lang="pl-PL" sz="900" b="0" spc="0">
              <a:effectLst/>
              <a:latin typeface="Fira Sans SemiBold" panose="020B0603050000020004" pitchFamily="34" charset="0"/>
              <a:ea typeface="Fira Sans SemiBold" panose="020B0603050000020004" pitchFamily="34" charset="0"/>
              <a:cs typeface="+mn-cs"/>
            </a:rPr>
          </a:br>
          <a:r>
            <a:rPr lang="pl-PL" sz="900" b="0" spc="0">
              <a:effectLst/>
              <a:latin typeface="Fira Sans SemiBold" panose="020B0603050000020004" pitchFamily="34" charset="0"/>
              <a:ea typeface="Fira Sans SemiBold" panose="020B0603050000020004" pitchFamily="34" charset="0"/>
              <a:cs typeface="+mn-cs"/>
            </a:rPr>
            <a:t>                   in 2025</a:t>
          </a:r>
          <a:r>
            <a:rPr lang="pl-PL" sz="900" b="0" spc="0" baseline="0">
              <a:effectLst/>
              <a:latin typeface="Fira Sans SemiBold" panose="020B0603050000020004" pitchFamily="34" charset="0"/>
              <a:ea typeface="Fira Sans SemiBold" panose="020B0603050000020004" pitchFamily="34" charset="0"/>
              <a:cs typeface="+mn-cs"/>
            </a:rPr>
            <a:t> </a:t>
          </a:r>
          <a:r>
            <a:rPr lang="pl-PL" sz="900" b="0" spc="0">
              <a:effectLst/>
              <a:latin typeface="Fira Sans SemiBold" panose="020B0603050000020004" pitchFamily="34" charset="0"/>
              <a:ea typeface="Fira Sans SemiBold" panose="020B0603050000020004" pitchFamily="34" charset="0"/>
              <a:cs typeface="+mn-cs"/>
            </a:rPr>
            <a:t>by socio-economic groups*</a:t>
          </a: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dr:relSizeAnchor xmlns:cdr="http://schemas.openxmlformats.org/drawingml/2006/chartDrawing">
    <cdr:from>
      <cdr:x>0</cdr:x>
      <cdr:y>0.91574</cdr:y>
    </cdr:from>
    <cdr:to>
      <cdr:x>1</cdr:x>
      <cdr:y>1</cdr:y>
    </cdr:to>
    <cdr:sp macro="" textlink="">
      <cdr:nvSpPr>
        <cdr:cNvPr id="3" name="pole tekstowe 2"/>
        <cdr:cNvSpPr txBox="1"/>
      </cdr:nvSpPr>
      <cdr:spPr>
        <a:xfrm xmlns:a="http://schemas.openxmlformats.org/drawingml/2006/main">
          <a:off x="0" y="2505075"/>
          <a:ext cx="5122545" cy="230505"/>
        </a:xfrm>
        <a:prstGeom xmlns:a="http://schemas.openxmlformats.org/drawingml/2006/main" prst="rect">
          <a:avLst/>
        </a:prstGeom>
      </cdr:spPr>
      <cdr:txBody>
        <a:bodyPr xmlns:a="http://schemas.openxmlformats.org/drawingml/2006/main" vertOverflow="clip" wrap="square" lIns="36000" tIns="0" rIns="36000" bIns="0" rtlCol="0" anchor="b"/>
        <a:lstStyle xmlns:a="http://schemas.openxmlformats.org/drawingml/2006/main"/>
        <a:p xmlns:a="http://schemas.openxmlformats.org/drawingml/2006/main">
          <a:r>
            <a:rPr lang="pl-PL" sz="800" b="0" i="0" u="none" strike="noStrike" baseline="0" smtClean="0">
              <a:latin typeface="Fira Sans" panose="020B0503050000020004" pitchFamily="34" charset="0"/>
              <a:ea typeface="Fira Sans" panose="020B0503050000020004" pitchFamily="34" charset="0"/>
              <a:cs typeface="+mn-cs"/>
            </a:rPr>
            <a:t>* Too few answers were received to provide the value for households of farmers and of pensioners.</a:t>
          </a:r>
          <a:endParaRPr lang="pl-PL" sz="800">
            <a:latin typeface="Fira Sans" panose="020B0503050000020004" pitchFamily="34" charset="0"/>
            <a:ea typeface="Fira Sans" panose="020B05030500000200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0.14507</cdr:y>
    </cdr:from>
    <cdr:to>
      <cdr:x>0.05952</cdr:x>
      <cdr:y>0.21251</cdr:y>
    </cdr:to>
    <cdr:sp macro="" textlink="">
      <cdr:nvSpPr>
        <cdr:cNvPr id="4" name="Pole tekstowe 1"/>
        <cdr:cNvSpPr txBox="1"/>
      </cdr:nvSpPr>
      <cdr:spPr>
        <a:xfrm xmlns:a="http://schemas.openxmlformats.org/drawingml/2006/main">
          <a:off x="0" y="412514"/>
          <a:ext cx="304894" cy="191768"/>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cdr:y>
    </cdr:from>
    <cdr:to>
      <cdr:x>1</cdr:x>
      <cdr:y>0.13926</cdr:y>
    </cdr:to>
    <cdr:sp macro="" textlink="">
      <cdr:nvSpPr>
        <cdr:cNvPr id="5" name="pole tekstowe 1"/>
        <cdr:cNvSpPr txBox="1"/>
      </cdr:nvSpPr>
      <cdr:spPr>
        <a:xfrm xmlns:a="http://schemas.openxmlformats.org/drawingml/2006/main">
          <a:off x="0" y="0"/>
          <a:ext cx="5122545" cy="461175"/>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2.</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of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monthly expenditure in available income by socio-economic groups</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2025</a:t>
          </a:r>
          <a:endPar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0.00037</cdr:x>
      <cdr:y>0</cdr:y>
    </cdr:from>
    <cdr:to>
      <cdr:x>1</cdr:x>
      <cdr:y>0.17371</cdr:y>
    </cdr:to>
    <cdr:sp macro="" textlink="">
      <cdr:nvSpPr>
        <cdr:cNvPr id="2" name="pole tekstowe 1">
          <a:extLst xmlns:a="http://schemas.openxmlformats.org/drawingml/2006/main">
            <a:ext uri="{FF2B5EF4-FFF2-40B4-BE49-F238E27FC236}">
              <a16:creationId xmlns="" xmlns:a16="http://schemas.microsoft.com/office/drawing/2014/main" id="{A6F1DCEB-44A2-4A1F-BF11-918C20C3C3EA}"/>
            </a:ext>
          </a:extLst>
        </cdr:cNvPr>
        <cdr:cNvSpPr txBox="1"/>
      </cdr:nvSpPr>
      <cdr:spPr>
        <a:xfrm xmlns:a="http://schemas.openxmlformats.org/drawingml/2006/main">
          <a:off x="1895" y="0"/>
          <a:ext cx="5120650" cy="443986"/>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20. Percentage of households, which granted support to the inhabitants of Ukraine </a:t>
          </a:r>
          <a:br>
            <a:rPr lang="pl-PL" sz="900" b="0" spc="0">
              <a:effectLst/>
              <a:latin typeface="Fira Sans SemiBold" panose="020B0603050000020004" pitchFamily="34" charset="0"/>
              <a:ea typeface="Fira Sans SemiBold" panose="020B0603050000020004" pitchFamily="34" charset="0"/>
              <a:cs typeface="+mn-cs"/>
            </a:rPr>
          </a:br>
          <a:r>
            <a:rPr lang="pl-PL" sz="900" b="0" spc="0">
              <a:effectLst/>
              <a:latin typeface="Fira Sans SemiBold" panose="020B0603050000020004" pitchFamily="34" charset="0"/>
              <a:ea typeface="Fira Sans SemiBold" panose="020B0603050000020004" pitchFamily="34" charset="0"/>
              <a:cs typeface="+mn-cs"/>
            </a:rPr>
            <a:t>                   in 2025 by quintile groups</a:t>
          </a: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cdr:y>
    </cdr:from>
    <cdr:to>
      <cdr:x>0.99963</cdr:x>
      <cdr:y>0.15951</cdr:y>
    </cdr:to>
    <cdr:sp macro="" textlink="">
      <cdr:nvSpPr>
        <cdr:cNvPr id="2" name="pole tekstowe 1">
          <a:extLst xmlns:a="http://schemas.openxmlformats.org/drawingml/2006/main">
            <a:ext uri="{FF2B5EF4-FFF2-40B4-BE49-F238E27FC236}">
              <a16:creationId xmlns:a16="http://schemas.microsoft.com/office/drawing/2014/main" xmlns="" id="{A6F1DCEB-44A2-4A1F-BF11-918C20C3C3EA}"/>
            </a:ext>
          </a:extLst>
        </cdr:cNvPr>
        <cdr:cNvSpPr txBox="1"/>
      </cdr:nvSpPr>
      <cdr:spPr>
        <a:xfrm xmlns:a="http://schemas.openxmlformats.org/drawingml/2006/main">
          <a:off x="0" y="0"/>
          <a:ext cx="5120650" cy="466725"/>
        </a:xfrm>
        <a:prstGeom xmlns:a="http://schemas.openxmlformats.org/drawingml/2006/main" prst="rect">
          <a:avLst/>
        </a:prstGeom>
      </cdr:spPr>
      <cdr:txBody>
        <a:bodyPr xmlns:a="http://schemas.openxmlformats.org/drawingml/2006/main" wrap="square" lIns="0" rIns="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l" defTabSz="914400" eaLnBrk="1" fontAlgn="auto" latinLnBrk="0" hangingPunct="1">
            <a:lnSpc>
              <a:spcPct val="100000"/>
            </a:lnSpc>
            <a:spcBef>
              <a:spcPts val="0"/>
            </a:spcBef>
            <a:spcAft>
              <a:spcPts val="0"/>
            </a:spcAft>
            <a:buClrTx/>
            <a:buSzTx/>
            <a:buFontTx/>
            <a:buNone/>
            <a:tabLst/>
            <a:defRPr/>
          </a:pPr>
          <a:r>
            <a:rPr lang="pl-PL" sz="900" b="0" spc="0">
              <a:effectLst/>
              <a:latin typeface="Fira Sans SemiBold" panose="020B0603050000020004" pitchFamily="34" charset="0"/>
              <a:ea typeface="Fira Sans SemiBold" panose="020B0603050000020004" pitchFamily="34" charset="0"/>
              <a:cs typeface="+mn-cs"/>
            </a:rPr>
            <a:t>Graph 21. Percentage of households, which granted support to the inhabitants of Ukraine </a:t>
          </a:r>
          <a:br>
            <a:rPr lang="pl-PL" sz="900" b="0" spc="0">
              <a:effectLst/>
              <a:latin typeface="Fira Sans SemiBold" panose="020B0603050000020004" pitchFamily="34" charset="0"/>
              <a:ea typeface="Fira Sans SemiBold" panose="020B0603050000020004" pitchFamily="34" charset="0"/>
              <a:cs typeface="+mn-cs"/>
            </a:rPr>
          </a:br>
          <a:r>
            <a:rPr lang="pl-PL" sz="900" b="0" spc="0">
              <a:effectLst/>
              <a:latin typeface="Fira Sans SemiBold" panose="020B0603050000020004" pitchFamily="34" charset="0"/>
              <a:ea typeface="Fira Sans SemiBold" panose="020B0603050000020004" pitchFamily="34" charset="0"/>
              <a:cs typeface="+mn-cs"/>
            </a:rPr>
            <a:t>                  </a:t>
          </a:r>
          <a:r>
            <a:rPr lang="pl-PL" sz="900" b="0" spc="0" baseline="0">
              <a:effectLst/>
              <a:latin typeface="Fira Sans SemiBold" panose="020B0603050000020004" pitchFamily="34" charset="0"/>
              <a:ea typeface="Fira Sans SemiBold" panose="020B0603050000020004" pitchFamily="34" charset="0"/>
              <a:cs typeface="+mn-cs"/>
            </a:rPr>
            <a:t> </a:t>
          </a:r>
          <a:r>
            <a:rPr lang="pl-PL" sz="900" b="0" spc="0">
              <a:effectLst/>
              <a:latin typeface="Fira Sans SemiBold" panose="020B0603050000020004" pitchFamily="34" charset="0"/>
              <a:ea typeface="Fira Sans SemiBold" panose="020B0603050000020004" pitchFamily="34" charset="0"/>
              <a:cs typeface="+mn-cs"/>
            </a:rPr>
            <a:t>in 2025 by the class of locality</a:t>
          </a:r>
          <a:endParaRPr lang="pl-PL" sz="900" b="0" spc="0" baseline="0">
            <a:effectLst/>
            <a:latin typeface="Fira Sans SemiBold" panose="020B0603050000020004" pitchFamily="34" charset="0"/>
            <a:ea typeface="Fira Sans SemiBold" panose="020B0603050000020004" pitchFamily="34" charset="0"/>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0.01636</cdr:y>
    </cdr:from>
    <cdr:to>
      <cdr:x>1</cdr:x>
      <cdr:y>0.16755</cdr:y>
    </cdr:to>
    <cdr:sp macro="" textlink="">
      <cdr:nvSpPr>
        <cdr:cNvPr id="4" name="pole tekstowe 2"/>
        <cdr:cNvSpPr txBox="1"/>
      </cdr:nvSpPr>
      <cdr:spPr>
        <a:xfrm xmlns:a="http://schemas.openxmlformats.org/drawingml/2006/main">
          <a:off x="50800" y="50800"/>
          <a:ext cx="6113804" cy="469459"/>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3. Indicator of average monthly available income and expenditure per capita in households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socjo-economic groups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compared to</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the national average</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in 2025</a:t>
          </a:r>
        </a:p>
        <a:p xmlns:a="http://schemas.openxmlformats.org/drawingml/2006/main">
          <a:pPr algn="l"/>
          <a:endPar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0.09073</cdr:y>
    </cdr:to>
    <cdr:sp macro="" textlink="">
      <cdr:nvSpPr>
        <cdr:cNvPr id="4" name="pole tekstowe 1"/>
        <cdr:cNvSpPr txBox="1"/>
      </cdr:nvSpPr>
      <cdr:spPr>
        <a:xfrm xmlns:a="http://schemas.openxmlformats.org/drawingml/2006/main">
          <a:off x="0" y="0"/>
          <a:ext cx="5122545" cy="339805"/>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4. Structure of average monthly available income per capita in households in 2025</a:t>
          </a:r>
        </a:p>
        <a:p xmlns:a="http://schemas.openxmlformats.org/drawingml/2006/main">
          <a:pPr algn="l"/>
          <a:endParaRPr lang="pl-PL" sz="900" b="0"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dr:relSizeAnchor xmlns:cdr="http://schemas.openxmlformats.org/drawingml/2006/chartDrawing">
    <cdr:from>
      <cdr:x>0</cdr:x>
      <cdr:y>0.92235</cdr:y>
    </cdr:from>
    <cdr:to>
      <cdr:x>1</cdr:x>
      <cdr:y>1</cdr:y>
    </cdr:to>
    <cdr:sp macro="" textlink="">
      <cdr:nvSpPr>
        <cdr:cNvPr id="5" name="pole tekstowe 1"/>
        <cdr:cNvSpPr txBox="1"/>
      </cdr:nvSpPr>
      <cdr:spPr>
        <a:xfrm xmlns:a="http://schemas.openxmlformats.org/drawingml/2006/main">
          <a:off x="0" y="3552825"/>
          <a:ext cx="5120640" cy="299085"/>
        </a:xfrm>
        <a:prstGeom xmlns:a="http://schemas.openxmlformats.org/drawingml/2006/main" prst="rect">
          <a:avLst/>
        </a:prstGeom>
      </cdr:spPr>
      <cdr:txBody>
        <a:bodyPr xmlns:a="http://schemas.openxmlformats.org/drawingml/2006/main" wrap="square" lIns="36000" tIns="0" rIns="36000" bIns="0"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baseline="0">
              <a:latin typeface="Fira Sans" panose="020B0503050000020004" pitchFamily="34" charset="0"/>
              <a:ea typeface="Fira Sans" panose="020B0503050000020004" pitchFamily="34" charset="0"/>
              <a:cs typeface="Arial" panose="020B0604020202020204" pitchFamily="34" charset="0"/>
            </a:rPr>
            <a:t>*In the cathegory 'Other income' are included: income from property, income from real estate renting and other income. </a:t>
          </a:r>
          <a:endParaRPr lang="pl-PL" sz="800">
            <a:latin typeface="Fira Sans" panose="020B0503050000020004" pitchFamily="34" charset="0"/>
            <a:ea typeface="Fira Sans" panose="020B05030500000200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0.00037</cdr:x>
      <cdr:y>6.52784E-5</cdr:y>
    </cdr:from>
    <cdr:to>
      <cdr:x>1</cdr:x>
      <cdr:y>0.14578</cdr:y>
    </cdr:to>
    <cdr:sp macro="" textlink="">
      <cdr:nvSpPr>
        <cdr:cNvPr id="4" name="pole tekstowe 3"/>
        <cdr:cNvSpPr txBox="1"/>
      </cdr:nvSpPr>
      <cdr:spPr>
        <a:xfrm xmlns:a="http://schemas.openxmlformats.org/drawingml/2006/main">
          <a:off x="1895" y="209"/>
          <a:ext cx="5120650" cy="466516"/>
        </a:xfrm>
        <a:prstGeom xmlns:a="http://schemas.openxmlformats.org/drawingml/2006/main" prst="rect">
          <a:avLst/>
        </a:prstGeom>
      </cdr:spPr>
      <cdr:txBody>
        <a:bodyPr xmlns:a="http://schemas.openxmlformats.org/drawingml/2006/main" vertOverflow="clip" wrap="square" lIns="0" tIns="36000" rIns="0" bIns="36000" rtlCol="0" anchor="t"/>
        <a:lstStyle xmlns:a="http://schemas.openxmlformats.org/drawingml/2006/main"/>
        <a:p xmlns:a="http://schemas.openxmlformats.org/drawingml/2006/main">
          <a:pPr algn="l"/>
          <a:r>
            <a:rPr lang="pl-PL" sz="900" b="1" spc="-2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5. </a:t>
          </a:r>
          <a:r>
            <a:rPr lang="pl-PL" sz="900" b="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Difference in income measured by the Gini coefficient for Poland</a:t>
          </a:r>
        </a:p>
        <a:p xmlns:a="http://schemas.openxmlformats.org/drawingml/2006/main">
          <a:pPr algn="l"/>
          <a:r>
            <a:rPr lang="pl-PL" sz="900" b="1" spc="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by place of residence, 2012–2025</a:t>
          </a:r>
        </a:p>
        <a:p xmlns:a="http://schemas.openxmlformats.org/drawingml/2006/main">
          <a:pPr algn="l"/>
          <a:endParaRPr lang="pl-PL" sz="900" b="1" i="1" spc="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0.01742</cdr:y>
    </cdr:from>
    <cdr:to>
      <cdr:x>1</cdr:x>
      <cdr:y>0.19926</cdr:y>
    </cdr:to>
    <cdr:sp macro="" textlink="">
      <cdr:nvSpPr>
        <cdr:cNvPr id="3" name="pole tekstowe 1"/>
        <cdr:cNvSpPr txBox="1"/>
      </cdr:nvSpPr>
      <cdr:spPr>
        <a:xfrm xmlns:a="http://schemas.openxmlformats.org/drawingml/2006/main">
          <a:off x="0" y="50795"/>
          <a:ext cx="5122545" cy="530230"/>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6. Share of average monthly expenditure per capita on food and non-alcoholic beverages</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and housing,</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water, electricity, gas and other fuels in the total expenditure of households,</a:t>
          </a:r>
        </a:p>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2012–2025</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0.07698</cdr:y>
    </cdr:to>
    <cdr:sp macro="" textlink="">
      <cdr:nvSpPr>
        <cdr:cNvPr id="3" name="pole tekstowe 1"/>
        <cdr:cNvSpPr txBox="1"/>
      </cdr:nvSpPr>
      <cdr:spPr>
        <a:xfrm xmlns:a="http://schemas.openxmlformats.org/drawingml/2006/main">
          <a:off x="0" y="0"/>
          <a:ext cx="5122545" cy="401813"/>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7.</a:t>
          </a:r>
          <a:r>
            <a:rPr lang="pl-PL" sz="900" b="0" i="1"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t>
          </a:r>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Structure of average monthly expenditure per capita in households</a:t>
          </a:r>
        </a:p>
        <a:p xmlns:a="http://schemas.openxmlformats.org/drawingml/2006/main">
          <a:pPr algn="l"/>
          <a:r>
            <a:rPr lang="pl-PL" sz="900" b="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(in % of total expenditure) in 2025</a:t>
          </a:r>
        </a:p>
      </cdr:txBody>
    </cdr:sp>
  </cdr:relSizeAnchor>
</c:userShapes>
</file>

<file path=word/drawings/drawing8.xml><?xml version="1.0" encoding="utf-8"?>
<c:userShapes xmlns:c="http://schemas.openxmlformats.org/drawingml/2006/chart">
  <cdr:relSizeAnchor xmlns:cdr="http://schemas.openxmlformats.org/drawingml/2006/chartDrawing">
    <cdr:from>
      <cdr:x>0.17616</cdr:x>
      <cdr:y>0.01509</cdr:y>
    </cdr:from>
    <cdr:to>
      <cdr:x>0.85986</cdr:x>
      <cdr:y>0.10776</cdr:y>
    </cdr:to>
    <cdr:sp macro="" textlink="">
      <cdr:nvSpPr>
        <cdr:cNvPr id="5" name="pole tekstowe 4"/>
        <cdr:cNvSpPr txBox="1"/>
      </cdr:nvSpPr>
      <cdr:spPr>
        <a:xfrm xmlns:a="http://schemas.openxmlformats.org/drawingml/2006/main">
          <a:off x="1281114" y="66676"/>
          <a:ext cx="49720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0.0871</cdr:x>
      <cdr:y>0.00647</cdr:y>
    </cdr:from>
    <cdr:to>
      <cdr:x>0.89915</cdr:x>
      <cdr:y>0.11853</cdr:y>
    </cdr:to>
    <cdr:sp macro="" textlink="">
      <cdr:nvSpPr>
        <cdr:cNvPr id="8" name="pole tekstowe 7"/>
        <cdr:cNvSpPr txBox="1"/>
      </cdr:nvSpPr>
      <cdr:spPr>
        <a:xfrm xmlns:a="http://schemas.openxmlformats.org/drawingml/2006/main">
          <a:off x="633414" y="28576"/>
          <a:ext cx="590550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0.09889</cdr:x>
      <cdr:y>0.01293</cdr:y>
    </cdr:from>
    <cdr:to>
      <cdr:x>0.87033</cdr:x>
      <cdr:y>0.13147</cdr:y>
    </cdr:to>
    <cdr:sp macro="" textlink="">
      <cdr:nvSpPr>
        <cdr:cNvPr id="9" name="pole tekstowe 8"/>
        <cdr:cNvSpPr txBox="1"/>
      </cdr:nvSpPr>
      <cdr:spPr>
        <a:xfrm xmlns:a="http://schemas.openxmlformats.org/drawingml/2006/main">
          <a:off x="719139" y="57151"/>
          <a:ext cx="5610225" cy="523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dr:relSizeAnchor xmlns:cdr="http://schemas.openxmlformats.org/drawingml/2006/chartDrawing">
    <cdr:from>
      <cdr:x>0</cdr:x>
      <cdr:y>0.18523</cdr:y>
    </cdr:from>
    <cdr:to>
      <cdr:x>0.0595</cdr:x>
      <cdr:y>0.25498</cdr:y>
    </cdr:to>
    <cdr:sp macro="" textlink="">
      <cdr:nvSpPr>
        <cdr:cNvPr id="6" name="Pole tekstowe 1"/>
        <cdr:cNvSpPr txBox="1"/>
      </cdr:nvSpPr>
      <cdr:spPr>
        <a:xfrm xmlns:a="http://schemas.openxmlformats.org/drawingml/2006/main">
          <a:off x="0" y="533400"/>
          <a:ext cx="304791" cy="200869"/>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cdr:y>
    </cdr:from>
    <cdr:to>
      <cdr:x>1</cdr:x>
      <cdr:y>0.16207</cdr:y>
    </cdr:to>
    <cdr:sp macro="" textlink="">
      <cdr:nvSpPr>
        <cdr:cNvPr id="7" name="pole tekstowe 1"/>
        <cdr:cNvSpPr txBox="1"/>
      </cdr:nvSpPr>
      <cdr:spPr>
        <a:xfrm xmlns:a="http://schemas.openxmlformats.org/drawingml/2006/main">
          <a:off x="0" y="0"/>
          <a:ext cx="5122545" cy="466717"/>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Graph 8</a:t>
          </a:r>
          <a:r>
            <a:rPr lang="pl-PL" sz="900" b="0" i="1" spc="-1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t>
          </a:r>
          <a:r>
            <a:rPr lang="pl-PL" sz="900" b="0" i="1"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a:t>
          </a:r>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Average monthly available income and expenditure per capita in households and the share</a:t>
          </a:r>
        </a:p>
        <a:p xmlns:a="http://schemas.openxmlformats.org/drawingml/2006/main">
          <a:pPr algn="l"/>
          <a:r>
            <a:rPr lang="pl-PL" sz="900" b="0" spc="-10" baseline="0">
              <a:solidFill>
                <a:sysClr val="windowText" lastClr="000000"/>
              </a:solidFill>
              <a:effectLst/>
              <a:latin typeface="Fira Sans SemiBold" panose="020B0603050000020004" pitchFamily="34" charset="0"/>
              <a:ea typeface="Fira Sans SemiBold" panose="020B0603050000020004" pitchFamily="34" charset="0"/>
              <a:cs typeface="Arial" panose="020B0604020202020204" pitchFamily="34" charset="0"/>
            </a:rPr>
            <a:t>                 of average monthly expenditure in available income by quintile groups in 2025</a:t>
          </a:r>
          <a:endParaRPr lang="pl-PL" sz="900" b="0" spc="-10">
            <a:latin typeface="Fira Sans SemiBold" panose="020B0603050000020004" pitchFamily="34" charset="0"/>
            <a:ea typeface="Fira Sans SemiBold" panose="020B0603050000020004" pitchFamily="34" charset="0"/>
            <a:cs typeface="Arial" panose="020B060402020202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0.1388</cdr:y>
    </cdr:from>
    <cdr:to>
      <cdr:x>0.0595</cdr:x>
      <cdr:y>0.20077</cdr:y>
    </cdr:to>
    <cdr:sp macro="" textlink="">
      <cdr:nvSpPr>
        <cdr:cNvPr id="3" name="Pole tekstowe 1"/>
        <cdr:cNvSpPr txBox="1"/>
      </cdr:nvSpPr>
      <cdr:spPr>
        <a:xfrm xmlns:a="http://schemas.openxmlformats.org/drawingml/2006/main">
          <a:off x="0" y="449680"/>
          <a:ext cx="304791" cy="200769"/>
        </a:xfrm>
        <a:prstGeom xmlns:a="http://schemas.openxmlformats.org/drawingml/2006/main" prst="rect">
          <a:avLst/>
        </a:prstGeom>
      </cdr:spPr>
      <cdr:txBody>
        <a:bodyPr xmlns:a="http://schemas.openxmlformats.org/drawingml/2006/main" wrap="square" lIns="0" tIns="0" rIns="0" bIns="0" rtlCol="0" anchor="ctr"/>
        <a:lstStyle xmlns:a="http://schemas.openxmlformats.org/drawingml/2006/main"/>
        <a:p xmlns:a="http://schemas.openxmlformats.org/drawingml/2006/main">
          <a:pPr algn="ctr"/>
          <a:r>
            <a:rPr lang="pl-PL" sz="900">
              <a:latin typeface="Fira Sans" panose="020B0503050000020004" pitchFamily="34" charset="0"/>
              <a:ea typeface="Fira Sans" panose="020B0503050000020004" pitchFamily="34" charset="0"/>
            </a:rPr>
            <a:t>PLN</a:t>
          </a:r>
        </a:p>
      </cdr:txBody>
    </cdr:sp>
  </cdr:relSizeAnchor>
  <cdr:relSizeAnchor xmlns:cdr="http://schemas.openxmlformats.org/drawingml/2006/chartDrawing">
    <cdr:from>
      <cdr:x>0</cdr:x>
      <cdr:y>0</cdr:y>
    </cdr:from>
    <cdr:to>
      <cdr:x>1</cdr:x>
      <cdr:y>0.14778</cdr:y>
    </cdr:to>
    <cdr:sp macro="" textlink="">
      <cdr:nvSpPr>
        <cdr:cNvPr id="4" name="pole tekstowe 1"/>
        <cdr:cNvSpPr txBox="1"/>
      </cdr:nvSpPr>
      <cdr:spPr>
        <a:xfrm xmlns:a="http://schemas.openxmlformats.org/drawingml/2006/main">
          <a:off x="0" y="-5931673"/>
          <a:ext cx="5122545" cy="478773"/>
        </a:xfrm>
        <a:prstGeom xmlns:a="http://schemas.openxmlformats.org/drawingml/2006/main" prst="rect">
          <a:avLst/>
        </a:prstGeom>
      </cdr:spPr>
      <cdr:txBody>
        <a:bodyPr xmlns:a="http://schemas.openxmlformats.org/drawingml/2006/main" wrap="square" lIns="0" tIns="36000" rIns="0" bIns="36000"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l-PL" sz="900" b="0" spc="-1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Graph 9.</a:t>
          </a:r>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Average monthly available income and expenditure per capita in households and the share</a:t>
          </a:r>
        </a:p>
        <a:p xmlns:a="http://schemas.openxmlformats.org/drawingml/2006/main">
          <a:pPr algn="l"/>
          <a:r>
            <a:rPr lang="pl-PL" sz="900" b="0" spc="-10" baseline="0">
              <a:solidFill>
                <a:sysClr val="windowText" lastClr="000000"/>
              </a:solidFill>
              <a:latin typeface="Fira Sans SemiBold" panose="020B0603050000020004" pitchFamily="34" charset="0"/>
              <a:ea typeface="Fira Sans SemiBold" panose="020B0603050000020004" pitchFamily="34" charset="0"/>
              <a:cs typeface="Arial" panose="020B0604020202020204" pitchFamily="34" charset="0"/>
            </a:rPr>
            <a:t>                 of expenditure in available income by class of locality in 2025</a:t>
          </a:r>
        </a:p>
      </cdr:txBody>
    </cdr:sp>
  </cdr:relSizeAnchor>
</c:userShapes>
</file>

<file path=word/theme/theme1.xml><?xml version="1.0" encoding="utf-8"?>
<a:theme xmlns:a="http://schemas.openxmlformats.org/drawingml/2006/main" name="Motyw pakietu Office">
  <a:themeElements>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GRANATOWY LOGO">
    <a:dk1>
      <a:sysClr val="windowText" lastClr="000000"/>
    </a:dk1>
    <a:lt1>
      <a:sysClr val="window" lastClr="FFFFFF"/>
    </a:lt1>
    <a:dk2>
      <a:srgbClr val="F0AB00"/>
    </a:dk2>
    <a:lt2>
      <a:srgbClr val="CF0B2D"/>
    </a:lt2>
    <a:accent1>
      <a:srgbClr val="001D77"/>
    </a:accent1>
    <a:accent2>
      <a:srgbClr val="334A92"/>
    </a:accent2>
    <a:accent3>
      <a:srgbClr val="6677AD"/>
    </a:accent3>
    <a:accent4>
      <a:srgbClr val="99A5C9"/>
    </a:accent4>
    <a:accent5>
      <a:srgbClr val="CCD2E4"/>
    </a:accent5>
    <a:accent6>
      <a:srgbClr val="D0CFCF"/>
    </a:accent6>
    <a:hlink>
      <a:srgbClr val="AAA9A9"/>
    </a:hlink>
    <a:folHlink>
      <a:srgbClr val="605D5C"/>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azwaPliku xmlns="1E9983FF-DC4B-4F4E-A072-0441E2B88E6D">The situation of households in 2023 on the basis of results of the Household Budgets Survey.docx</NazwaPliku>
    <Odbiorcy2 xmlns="1E9983FF-DC4B-4F4E-A072-0441E2B88E6D" xsi:nil="true"/>
    <Osoba xmlns="1E9983FF-DC4B-4F4E-A072-0441E2B88E6D">STAT\KowalewiczM1</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F61CB-33F1-45B6-95F6-BB680C795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D39804-E15D-40D9-A3F2-808567566B96}">
  <ds:schemaRefs>
    <ds:schemaRef ds:uri="http://purl.org/dc/dcmitype/"/>
    <ds:schemaRef ds:uri="http://purl.org/dc/terms/"/>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1E9983FF-DC4B-4F4E-A072-0441E2B88E6D"/>
    <ds:schemaRef ds:uri="http://schemas.microsoft.com/sharepoint/v3"/>
    <ds:schemaRef ds:uri="http://purl.org/dc/elements/1.1/"/>
  </ds:schemaRefs>
</ds:datastoreItem>
</file>

<file path=customXml/itemProps3.xml><?xml version="1.0" encoding="utf-8"?>
<ds:datastoreItem xmlns:ds="http://schemas.openxmlformats.org/officeDocument/2006/customXml" ds:itemID="{6EECEEF6-0C53-4789-8314-4158C0969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16</Pages>
  <Words>3552</Words>
  <Characters>21312</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Główny Urząd Statystyczny</dc:creator>
  <cp:lastModifiedBy>Jacyków Dariusz</cp:lastModifiedBy>
  <cp:revision>55</cp:revision>
  <cp:lastPrinted>2020-06-26T11:49:00Z</cp:lastPrinted>
  <dcterms:created xsi:type="dcterms:W3CDTF">2026-05-06T13:52:00Z</dcterms:created>
  <dcterms:modified xsi:type="dcterms:W3CDTF">2026-05-27T06:53:00Z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ies>
</file>