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664D" w14:textId="6C9E54BB" w:rsidR="00C03401" w:rsidRPr="0005414A" w:rsidRDefault="00605C77" w:rsidP="00A16EB2">
      <w:pPr>
        <w:pStyle w:val="Tytuinfomacjisygnalnej"/>
        <w:spacing w:before="0" w:after="120"/>
        <w:rPr>
          <w:lang w:val="en-GB"/>
        </w:rPr>
      </w:pPr>
      <w:bookmarkStart w:id="0" w:name="_GoBack"/>
      <w:bookmarkEnd w:id="0"/>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r w:rsidR="00DB330B">
        <w:rPr>
          <w:lang w:val="en-GB"/>
        </w:rPr>
        <w:t xml:space="preserve"> in the </w:t>
      </w:r>
      <w:r w:rsidR="00932DDB">
        <w:rPr>
          <w:lang w:val="en-GB"/>
        </w:rPr>
        <w:t>first</w:t>
      </w:r>
      <w:r w:rsidR="00DB330B">
        <w:rPr>
          <w:lang w:val="en-GB"/>
        </w:rPr>
        <w:t xml:space="preserve"> quarter of 202</w:t>
      </w:r>
      <w:r w:rsidR="00932DDB">
        <w:rPr>
          <w:lang w:val="en-GB"/>
        </w:rPr>
        <w:t>6</w:t>
      </w:r>
      <w:r w:rsidR="00770758">
        <w:rPr>
          <w:lang w:val="en-GB"/>
        </w:rPr>
        <w:t>)</w:t>
      </w:r>
      <w:r w:rsidR="00B268B9">
        <w:rPr>
          <w:rStyle w:val="Odwoanieprzypisudolnego"/>
          <w:lang w:val="en-GB"/>
        </w:rPr>
        <w:footnoteReference w:id="2"/>
      </w:r>
    </w:p>
    <w:p w14:paraId="73796A8E" w14:textId="6D75FBE7" w:rsidR="00F7373C" w:rsidRDefault="00C12B20" w:rsidP="002C58DE">
      <w:pPr>
        <w:pStyle w:val="Lead"/>
        <w:rPr>
          <w:color w:val="000000" w:themeColor="text1"/>
          <w:lang w:val="en-GB"/>
        </w:rPr>
      </w:pPr>
      <w:r w:rsidRPr="00320A4B">
        <mc:AlternateContent>
          <mc:Choice Requires="wps">
            <w:drawing>
              <wp:anchor distT="45720" distB="45720" distL="114300" distR="114300" simplePos="0" relativeHeight="251644416" behindDoc="0" locked="0" layoutInCell="1" allowOverlap="1" wp14:anchorId="2FC13F97" wp14:editId="488EBA0D">
                <wp:simplePos x="0" y="0"/>
                <wp:positionH relativeFrom="margin">
                  <wp:posOffset>-41275</wp:posOffset>
                </wp:positionH>
                <wp:positionV relativeFrom="paragraph">
                  <wp:posOffset>64135</wp:posOffset>
                </wp:positionV>
                <wp:extent cx="2197100" cy="1240155"/>
                <wp:effectExtent l="0" t="0" r="0" b="0"/>
                <wp:wrapSquare wrapText="bothSides"/>
                <wp:docPr id="6" name="Pole tekstowe 2" descr="Activity rate of persons aged 15-89 years - 58.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240155"/>
                        </a:xfrm>
                        <a:prstGeom prst="roundRect">
                          <a:avLst/>
                        </a:prstGeom>
                        <a:solidFill>
                          <a:srgbClr val="001D77"/>
                        </a:solidFill>
                        <a:ln w="9525">
                          <a:noFill/>
                          <a:miter lim="800000"/>
                          <a:headEnd/>
                          <a:tailEnd/>
                        </a:ln>
                      </wps:spPr>
                      <wps:txbx>
                        <w:txbxContent>
                          <w:p w14:paraId="3109E173" w14:textId="04D4C431" w:rsidR="00DA385A" w:rsidRPr="00325C13" w:rsidRDefault="00DA385A" w:rsidP="00AD1045">
                            <w:pPr>
                              <w:spacing w:after="0" w:line="240" w:lineRule="auto"/>
                              <w:jc w:val="center"/>
                              <w:rPr>
                                <w:rFonts w:ascii="Fira Sans SemiBold" w:hAnsi="Fira Sans SemiBold"/>
                                <w:color w:val="FFFFFF" w:themeColor="background1"/>
                                <w:sz w:val="72"/>
                                <w:lang w:val="en-GB"/>
                              </w:rPr>
                            </w:pPr>
                            <w:r w:rsidRPr="00325C13">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Pr="00325C13">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7</w:t>
                            </w:r>
                            <w:r w:rsidRPr="00325C13">
                              <w:rPr>
                                <w:rFonts w:ascii="Fira Sans SemiBold" w:hAnsi="Fira Sans SemiBold"/>
                                <w:color w:val="FFFFFF" w:themeColor="background1"/>
                                <w:sz w:val="72"/>
                                <w:lang w:val="en-GB"/>
                              </w:rPr>
                              <w:t>%</w:t>
                            </w:r>
                          </w:p>
                          <w:p w14:paraId="1D850DB5" w14:textId="77777777" w:rsidR="00DA385A" w:rsidRDefault="00DA385A" w:rsidP="00AD1045">
                            <w:pPr>
                              <w:pStyle w:val="tekstnaniebieskimtle"/>
                              <w:spacing w:before="120"/>
                              <w:jc w:val="center"/>
                              <w:rPr>
                                <w:lang w:val="en-GB"/>
                              </w:rPr>
                            </w:pPr>
                            <w:r w:rsidRPr="00043F4E">
                              <w:rPr>
                                <w:lang w:val="en-GB"/>
                              </w:rPr>
                              <w:t xml:space="preserve">Activity rate of persons </w:t>
                            </w:r>
                          </w:p>
                          <w:p w14:paraId="631AC713" w14:textId="45E92D8B" w:rsidR="00DA385A" w:rsidRPr="00043F4E" w:rsidRDefault="00DA385A"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DA385A" w:rsidRPr="00D958CD" w:rsidRDefault="00DA385A"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7%&#10;" style="position:absolute;margin-left:-3.25pt;margin-top:5.05pt;width:173pt;height:97.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" fillcolor="#001d77" stroked="f">
                <v:stroke joinstyle="miter"/>
                <v:textbox>
                  <w:txbxContent>
                    <w:p w14:paraId="3109E173" w14:textId="04D4C431" w:rsidR="00DA385A" w:rsidRPr="00325C13" w:rsidRDefault="00DA385A" w:rsidP="00AD1045">
                      <w:pPr>
                        <w:spacing w:after="0" w:line="240" w:lineRule="auto"/>
                        <w:jc w:val="center"/>
                        <w:rPr>
                          <w:rFonts w:ascii="Fira Sans SemiBold" w:hAnsi="Fira Sans SemiBold"/>
                          <w:color w:val="FFFFFF" w:themeColor="background1"/>
                          <w:sz w:val="72"/>
                          <w:lang w:val="en-GB"/>
                        </w:rPr>
                      </w:pPr>
                      <w:r w:rsidRPr="00325C13">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Pr="00325C13">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7</w:t>
                      </w:r>
                      <w:r w:rsidRPr="00325C13">
                        <w:rPr>
                          <w:rFonts w:ascii="Fira Sans SemiBold" w:hAnsi="Fira Sans SemiBold"/>
                          <w:color w:val="FFFFFF" w:themeColor="background1"/>
                          <w:sz w:val="72"/>
                          <w:lang w:val="en-GB"/>
                        </w:rPr>
                        <w:t>%</w:t>
                      </w:r>
                    </w:p>
                    <w:p w14:paraId="1D850DB5" w14:textId="77777777" w:rsidR="00DA385A" w:rsidRDefault="00DA385A" w:rsidP="00AD1045">
                      <w:pPr>
                        <w:pStyle w:val="tekstnaniebieskimtle"/>
                        <w:spacing w:before="120"/>
                        <w:jc w:val="center"/>
                        <w:rPr>
                          <w:lang w:val="en-GB"/>
                        </w:rPr>
                      </w:pPr>
                      <w:r w:rsidRPr="00043F4E">
                        <w:rPr>
                          <w:lang w:val="en-GB"/>
                        </w:rPr>
                        <w:t xml:space="preserve">Activity rate of persons </w:t>
                      </w:r>
                    </w:p>
                    <w:p w14:paraId="631AC713" w14:textId="45E92D8B" w:rsidR="00DA385A" w:rsidRPr="00043F4E" w:rsidRDefault="00DA385A"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DA385A" w:rsidRPr="00D958CD" w:rsidRDefault="00DA385A"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932DDB">
        <w:rPr>
          <w:color w:val="000000" w:themeColor="text1"/>
          <w:lang w:val="en-GB"/>
        </w:rPr>
        <w:t>first</w:t>
      </w:r>
      <w:r w:rsidR="00337A60">
        <w:rPr>
          <w:color w:val="000000" w:themeColor="text1"/>
          <w:lang w:val="en-GB"/>
        </w:rPr>
        <w:t xml:space="preserve"> </w:t>
      </w:r>
      <w:r w:rsidR="00D93643" w:rsidRPr="009554A3">
        <w:rPr>
          <w:color w:val="000000" w:themeColor="text1"/>
          <w:lang w:val="en-GB"/>
        </w:rPr>
        <w:t>quarter of 202</w:t>
      </w:r>
      <w:r w:rsidR="00932DDB">
        <w:rPr>
          <w:color w:val="000000" w:themeColor="text1"/>
          <w:lang w:val="en-GB"/>
        </w:rPr>
        <w:t>6</w:t>
      </w:r>
      <w:r w:rsidR="00D93643" w:rsidRPr="009554A3">
        <w:rPr>
          <w:color w:val="000000" w:themeColor="text1"/>
          <w:lang w:val="en-GB"/>
        </w:rPr>
        <w:t xml:space="preserve">, </w:t>
      </w:r>
      <w:r w:rsidR="00C659BB" w:rsidRPr="009554A3">
        <w:rPr>
          <w:lang w:val="en-GB"/>
        </w:rPr>
        <w:t xml:space="preserve">economically active persons </w:t>
      </w:r>
      <w:r w:rsidR="00C659BB" w:rsidRPr="00325C13">
        <w:rPr>
          <w:lang w:val="en-GB"/>
        </w:rPr>
        <w:t xml:space="preserve">accounted for </w:t>
      </w:r>
      <w:r w:rsidR="001B1A05" w:rsidRPr="00325C13">
        <w:rPr>
          <w:lang w:val="en-GB"/>
        </w:rPr>
        <w:t>5</w:t>
      </w:r>
      <w:r w:rsidR="00932DDB">
        <w:rPr>
          <w:lang w:val="en-GB"/>
        </w:rPr>
        <w:t>8</w:t>
      </w:r>
      <w:r w:rsidR="00D93643" w:rsidRPr="00325C13">
        <w:rPr>
          <w:lang w:val="en-GB"/>
        </w:rPr>
        <w:t>.</w:t>
      </w:r>
      <w:r w:rsidR="00932DDB">
        <w:rPr>
          <w:lang w:val="en-GB"/>
        </w:rPr>
        <w:t>7</w:t>
      </w:r>
      <w:r w:rsidR="001B1A05" w:rsidRPr="00325C13">
        <w:rPr>
          <w:lang w:val="en-GB"/>
        </w:rPr>
        <w:t>%</w:t>
      </w:r>
      <w:r w:rsidR="006378D6" w:rsidRPr="00325C13">
        <w:rPr>
          <w:lang w:val="en-GB"/>
        </w:rPr>
        <w:t xml:space="preserve"> o</w:t>
      </w:r>
      <w:r w:rsidR="008663A4" w:rsidRPr="00325C13">
        <w:rPr>
          <w:lang w:val="en-GB"/>
        </w:rPr>
        <w:t xml:space="preserve">f the </w:t>
      </w:r>
      <w:r w:rsidR="008663A4" w:rsidRPr="008663A4">
        <w:rPr>
          <w:color w:val="000000" w:themeColor="text1"/>
          <w:lang w:val="en-GB"/>
        </w:rPr>
        <w:t>population</w:t>
      </w:r>
      <w:r w:rsidR="007D0709">
        <w:rPr>
          <w:color w:val="000000" w:themeColor="text1"/>
          <w:lang w:val="en-GB"/>
        </w:rPr>
        <w:t xml:space="preserve"> </w:t>
      </w:r>
      <w:r w:rsidR="008663A4" w:rsidRPr="008663A4">
        <w:rPr>
          <w:color w:val="000000" w:themeColor="text1"/>
          <w:lang w:val="en-GB"/>
        </w:rPr>
        <w:t>aged 15-89</w:t>
      </w:r>
      <w:r w:rsidR="008663A4">
        <w:rPr>
          <w:color w:val="000000" w:themeColor="text1"/>
          <w:lang w:val="en-GB"/>
        </w:rPr>
        <w:t>.</w:t>
      </w:r>
      <w:r w:rsidR="008663A4" w:rsidRPr="008663A4">
        <w:rPr>
          <w:color w:val="000000" w:themeColor="text1"/>
          <w:lang w:val="en-GB"/>
        </w:rPr>
        <w:t xml:space="preserve"> </w:t>
      </w:r>
      <w:r w:rsidR="00CE0AF7" w:rsidRPr="00CE0AF7">
        <w:rPr>
          <w:color w:val="000000" w:themeColor="text1"/>
          <w:lang w:val="en-GB"/>
        </w:rPr>
        <w:t xml:space="preserve">This share </w:t>
      </w:r>
      <w:r w:rsidR="00932DDB">
        <w:rPr>
          <w:color w:val="000000" w:themeColor="text1"/>
          <w:lang w:val="en-GB"/>
        </w:rPr>
        <w:t>decreased by 0.3 pp.</w:t>
      </w:r>
      <w:r w:rsidR="00325C13" w:rsidRPr="00325C13">
        <w:rPr>
          <w:color w:val="000000" w:themeColor="text1"/>
          <w:lang w:val="en-GB"/>
        </w:rPr>
        <w:t xml:space="preserve"> compared to the </w:t>
      </w:r>
      <w:r w:rsidR="00932DDB">
        <w:rPr>
          <w:color w:val="000000" w:themeColor="text1"/>
          <w:lang w:val="en-GB"/>
        </w:rPr>
        <w:t>fourth</w:t>
      </w:r>
      <w:r w:rsidR="00325C13" w:rsidRPr="00325C13">
        <w:rPr>
          <w:color w:val="000000" w:themeColor="text1"/>
          <w:lang w:val="en-GB"/>
        </w:rPr>
        <w:t xml:space="preserve"> quarter of 2025, but increased by 0.5 p</w:t>
      </w:r>
      <w:r w:rsidR="00325C13">
        <w:rPr>
          <w:color w:val="000000" w:themeColor="text1"/>
          <w:lang w:val="en-GB"/>
        </w:rPr>
        <w:t>p.</w:t>
      </w:r>
      <w:r w:rsidR="00325C13" w:rsidRPr="00325C13">
        <w:rPr>
          <w:color w:val="000000" w:themeColor="text1"/>
          <w:lang w:val="en-GB"/>
        </w:rPr>
        <w:t xml:space="preserve"> compared to the </w:t>
      </w:r>
      <w:r w:rsidR="00F63AB4">
        <w:rPr>
          <w:color w:val="000000" w:themeColor="text1"/>
          <w:lang w:val="en-GB"/>
        </w:rPr>
        <w:t>first quarter of 2025</w:t>
      </w:r>
      <w:r w:rsidR="00325C13" w:rsidRPr="00325C13">
        <w:rPr>
          <w:color w:val="000000" w:themeColor="text1"/>
          <w:lang w:val="en-GB"/>
        </w:rPr>
        <w:t>.</w:t>
      </w:r>
    </w:p>
    <w:p w14:paraId="20EEC4FE" w14:textId="778E0B9C" w:rsidR="00684629" w:rsidRDefault="00684629" w:rsidP="00684629">
      <w:pPr>
        <w:spacing w:before="0" w:after="0"/>
        <w:rPr>
          <w:lang w:val="en-GB" w:eastAsia="pl-PL"/>
        </w:rPr>
      </w:pPr>
    </w:p>
    <w:p w14:paraId="34D2C76E" w14:textId="77777777" w:rsidR="00794691" w:rsidRPr="00684629" w:rsidRDefault="00794691" w:rsidP="00684629">
      <w:pPr>
        <w:spacing w:before="0" w:after="0"/>
        <w:rPr>
          <w:lang w:val="en-GB" w:eastAsia="pl-PL"/>
        </w:rPr>
      </w:pPr>
    </w:p>
    <w:p w14:paraId="25B29E1C" w14:textId="5E92B813" w:rsidR="002919DE" w:rsidRPr="0053285E" w:rsidRDefault="005231F1" w:rsidP="007B0BFF">
      <w:pPr>
        <w:pStyle w:val="Nagwek1"/>
        <w:spacing w:before="0"/>
        <w:rPr>
          <w:lang w:val="en-GB"/>
        </w:rPr>
      </w:pPr>
      <w:r w:rsidRPr="0053285E">
        <w:rPr>
          <w:b/>
          <w:noProof/>
        </w:rPr>
        <mc:AlternateContent>
          <mc:Choice Requires="wps">
            <w:drawing>
              <wp:anchor distT="45720" distB="45720" distL="114300" distR="114300" simplePos="0" relativeHeight="251642368" behindDoc="1" locked="0" layoutInCell="1" allowOverlap="1" wp14:anchorId="6367A9BC" wp14:editId="14B9F9BE">
                <wp:simplePos x="0" y="0"/>
                <wp:positionH relativeFrom="column">
                  <wp:posOffset>5259125</wp:posOffset>
                </wp:positionH>
                <wp:positionV relativeFrom="paragraph">
                  <wp:posOffset>222857</wp:posOffset>
                </wp:positionV>
                <wp:extent cx="1724025" cy="1113155"/>
                <wp:effectExtent l="0" t="0" r="0" b="0"/>
                <wp:wrapTight wrapText="bothSides">
                  <wp:wrapPolygon edited="0">
                    <wp:start x="716" y="0"/>
                    <wp:lineTo x="716" y="21070"/>
                    <wp:lineTo x="20765" y="21070"/>
                    <wp:lineTo x="20765" y="0"/>
                    <wp:lineTo x="716" y="0"/>
                  </wp:wrapPolygon>
                </wp:wrapTight>
                <wp:docPr id="2" name="Pole tekstowe 2" descr="The economically active population decreased compared to the fourth quarter of 2025, but increased compared to the first quarter of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13155"/>
                        </a:xfrm>
                        <a:prstGeom prst="rect">
                          <a:avLst/>
                        </a:prstGeom>
                        <a:noFill/>
                        <a:ln w="9525">
                          <a:noFill/>
                          <a:miter lim="800000"/>
                          <a:headEnd/>
                          <a:tailEnd/>
                        </a:ln>
                      </wps:spPr>
                      <wps:txbx>
                        <w:txbxContent>
                          <w:p w14:paraId="66113316" w14:textId="26847245" w:rsidR="00DA385A" w:rsidRDefault="00DA385A" w:rsidP="00804EA2">
                            <w:pPr>
                              <w:pStyle w:val="tekstzboku"/>
                              <w:rPr>
                                <w:lang w:val="en-GB"/>
                              </w:rPr>
                            </w:pPr>
                            <w:r w:rsidRPr="00211AD7">
                              <w:rPr>
                                <w:lang w:val="en-GB"/>
                              </w:rPr>
                              <w:t xml:space="preserve">The economically active population </w:t>
                            </w:r>
                            <w:r>
                              <w:rPr>
                                <w:lang w:val="en-GB"/>
                              </w:rPr>
                              <w:t>decreased</w:t>
                            </w:r>
                            <w:r w:rsidRPr="00211AD7">
                              <w:rPr>
                                <w:lang w:val="en-GB"/>
                              </w:rPr>
                              <w:t xml:space="preserve"> compared to the </w:t>
                            </w:r>
                            <w:r>
                              <w:rPr>
                                <w:lang w:val="en-GB"/>
                              </w:rPr>
                              <w:t>fourth</w:t>
                            </w:r>
                            <w:r w:rsidRPr="00211AD7">
                              <w:rPr>
                                <w:lang w:val="en-GB"/>
                              </w:rPr>
                              <w:t xml:space="preserve"> quarter of 2025, but increased compared to the </w:t>
                            </w:r>
                            <w:r>
                              <w:rPr>
                                <w:lang w:val="en-GB"/>
                              </w:rPr>
                              <w:t>first</w:t>
                            </w:r>
                            <w:r w:rsidRPr="00211AD7">
                              <w:rPr>
                                <w:lang w:val="en-GB"/>
                              </w:rPr>
                              <w:t xml:space="preserve"> quarter of 202</w:t>
                            </w:r>
                            <w:r>
                              <w:rPr>
                                <w:lang w:val="en-GB"/>
                              </w:rPr>
                              <w:t>5</w:t>
                            </w:r>
                          </w:p>
                          <w:p w14:paraId="65217C9D" w14:textId="3B9E8DA6" w:rsidR="00DA385A" w:rsidRDefault="00DA385A" w:rsidP="00804EA2">
                            <w:pPr>
                              <w:pStyle w:val="tekstzboku"/>
                              <w:rPr>
                                <w:lang w:val="en-GB"/>
                              </w:rPr>
                            </w:pPr>
                          </w:p>
                          <w:p w14:paraId="280FCF85" w14:textId="77777777" w:rsidR="00DA385A" w:rsidRPr="00953A99" w:rsidRDefault="00DA385A" w:rsidP="00804EA2">
                            <w:pPr>
                              <w:pStyle w:val="tekstzboku"/>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The economically active population decreased compared to the fourth quarter of 2025, but increased compared to the first quarter of 2025" style="position:absolute;margin-left:414.1pt;margin-top:17.55pt;width:135.75pt;height:87.6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" filled="f" stroked="f">
                <v:textbox>
                  <w:txbxContent>
                    <w:p w14:paraId="66113316" w14:textId="26847245" w:rsidR="00DA385A" w:rsidRDefault="00DA385A" w:rsidP="00804EA2">
                      <w:pPr>
                        <w:pStyle w:val="tekstzboku"/>
                        <w:rPr>
                          <w:lang w:val="en-GB"/>
                        </w:rPr>
                      </w:pPr>
                      <w:r w:rsidRPr="00211AD7">
                        <w:rPr>
                          <w:lang w:val="en-GB"/>
                        </w:rPr>
                        <w:t xml:space="preserve">The economically active population </w:t>
                      </w:r>
                      <w:r>
                        <w:rPr>
                          <w:lang w:val="en-GB"/>
                        </w:rPr>
                        <w:t>decreased</w:t>
                      </w:r>
                      <w:r w:rsidRPr="00211AD7">
                        <w:rPr>
                          <w:lang w:val="en-GB"/>
                        </w:rPr>
                        <w:t xml:space="preserve"> compared to the </w:t>
                      </w:r>
                      <w:r>
                        <w:rPr>
                          <w:lang w:val="en-GB"/>
                        </w:rPr>
                        <w:t>fourth</w:t>
                      </w:r>
                      <w:r w:rsidRPr="00211AD7">
                        <w:rPr>
                          <w:lang w:val="en-GB"/>
                        </w:rPr>
                        <w:t xml:space="preserve"> quarter of 2025, but increased compared to the </w:t>
                      </w:r>
                      <w:r>
                        <w:rPr>
                          <w:lang w:val="en-GB"/>
                        </w:rPr>
                        <w:t>first</w:t>
                      </w:r>
                      <w:r w:rsidRPr="00211AD7">
                        <w:rPr>
                          <w:lang w:val="en-GB"/>
                        </w:rPr>
                        <w:t xml:space="preserve"> quarter of 202</w:t>
                      </w:r>
                      <w:r>
                        <w:rPr>
                          <w:lang w:val="en-GB"/>
                        </w:rPr>
                        <w:t>5</w:t>
                      </w:r>
                    </w:p>
                    <w:p w14:paraId="65217C9D" w14:textId="3B9E8DA6" w:rsidR="00DA385A" w:rsidRDefault="00DA385A" w:rsidP="00804EA2">
                      <w:pPr>
                        <w:pStyle w:val="tekstzboku"/>
                        <w:rPr>
                          <w:lang w:val="en-GB"/>
                        </w:rPr>
                      </w:pPr>
                    </w:p>
                    <w:p w14:paraId="280FCF85" w14:textId="77777777" w:rsidR="00DA385A" w:rsidRPr="00953A99" w:rsidRDefault="00DA385A" w:rsidP="00804EA2">
                      <w:pPr>
                        <w:pStyle w:val="tekstzboku"/>
                        <w:rPr>
                          <w:lang w:val="en-GB"/>
                        </w:rPr>
                      </w:pPr>
                    </w:p>
                  </w:txbxContent>
                </v:textbox>
                <w10:wrap type="tight"/>
              </v:shape>
            </w:pict>
          </mc:Fallback>
        </mc:AlternateContent>
      </w:r>
      <w:r w:rsidR="008D11F9" w:rsidRPr="0053285E">
        <w:rPr>
          <w:lang w:val="en-GB"/>
        </w:rPr>
        <w:t>Economic activity of the population aged 15-89 by the LFS</w:t>
      </w:r>
      <w:r w:rsidR="008D11F9" w:rsidRPr="0053285E">
        <w:rPr>
          <w:rStyle w:val="Odwoanieprzypisudolnego"/>
          <w:lang w:val="en-GB"/>
        </w:rPr>
        <w:t xml:space="preserve"> </w:t>
      </w:r>
    </w:p>
    <w:p w14:paraId="4203E11C" w14:textId="58DE66C1" w:rsidR="001B1A05" w:rsidRPr="00804EA2" w:rsidRDefault="00D93643" w:rsidP="002C58DE">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 xml:space="preserve">the </w:t>
      </w:r>
      <w:r w:rsidR="00932DDB">
        <w:rPr>
          <w:rFonts w:eastAsia="Times New Roman" w:cs="Times New Roman"/>
          <w:szCs w:val="19"/>
          <w:lang w:val="en-GB" w:eastAsia="pl-PL"/>
        </w:rPr>
        <w:t>f</w:t>
      </w:r>
      <w:r w:rsidR="006A1F40">
        <w:rPr>
          <w:rFonts w:eastAsia="Times New Roman" w:cs="Times New Roman"/>
          <w:szCs w:val="19"/>
          <w:lang w:val="en-GB" w:eastAsia="pl-PL"/>
        </w:rPr>
        <w:t>ir</w:t>
      </w:r>
      <w:r w:rsidR="00932DDB">
        <w:rPr>
          <w:rFonts w:eastAsia="Times New Roman" w:cs="Times New Roman"/>
          <w:szCs w:val="19"/>
          <w:lang w:val="en-GB" w:eastAsia="pl-PL"/>
        </w:rPr>
        <w:t>st</w:t>
      </w:r>
      <w:r w:rsidRPr="00804EA2">
        <w:rPr>
          <w:rFonts w:eastAsia="Times New Roman" w:cs="Times New Roman"/>
          <w:szCs w:val="19"/>
          <w:lang w:val="en-GB" w:eastAsia="pl-PL"/>
        </w:rPr>
        <w:t xml:space="preserve"> quarter of 202</w:t>
      </w:r>
      <w:r w:rsidR="006A1F40">
        <w:rPr>
          <w:rFonts w:eastAsia="Times New Roman" w:cs="Times New Roman"/>
          <w:szCs w:val="19"/>
          <w:lang w:val="en-GB" w:eastAsia="pl-PL"/>
        </w:rPr>
        <w:t>6</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89</w:t>
      </w:r>
      <w:r w:rsidR="00C12B20">
        <w:rPr>
          <w:rFonts w:eastAsia="Times New Roman" w:cs="Times New Roman"/>
          <w:szCs w:val="19"/>
          <w:lang w:val="en-GB" w:eastAsia="pl-PL"/>
        </w:rPr>
        <w:t xml:space="preserve"> </w:t>
      </w:r>
      <w:r w:rsidR="00972584">
        <w:rPr>
          <w:rFonts w:eastAsia="Times New Roman" w:cs="Times New Roman"/>
          <w:szCs w:val="19"/>
          <w:lang w:val="en-GB" w:eastAsia="pl-PL"/>
        </w:rPr>
        <w:t xml:space="preserve">amounted </w:t>
      </w:r>
      <w:r w:rsidR="00972584" w:rsidRPr="00C81AB0">
        <w:rPr>
          <w:rFonts w:eastAsia="Times New Roman" w:cs="Times New Roman"/>
          <w:szCs w:val="19"/>
          <w:lang w:val="en-GB" w:eastAsia="pl-PL"/>
        </w:rPr>
        <w:t xml:space="preserve">to </w:t>
      </w:r>
      <w:r w:rsidR="006A1F40" w:rsidRPr="006A1F40">
        <w:rPr>
          <w:rFonts w:eastAsia="Times New Roman" w:cs="Times New Roman"/>
          <w:szCs w:val="19"/>
          <w:lang w:val="en-GB" w:eastAsia="pl-PL"/>
        </w:rPr>
        <w:t>17 817</w:t>
      </w:r>
      <w:r w:rsidR="001B1A05" w:rsidRPr="00C81AB0">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C81AB0">
        <w:rPr>
          <w:rFonts w:eastAsia="Times New Roman" w:cs="Times New Roman"/>
          <w:szCs w:val="19"/>
          <w:lang w:val="en-GB" w:eastAsia="pl-PL"/>
        </w:rPr>
        <w:t xml:space="preserve">: </w:t>
      </w:r>
      <w:r w:rsidR="006A1F40" w:rsidRPr="006A1F40">
        <w:rPr>
          <w:rFonts w:eastAsia="Times New Roman" w:cs="Times New Roman"/>
          <w:szCs w:val="19"/>
          <w:lang w:val="en-GB" w:eastAsia="pl-PL"/>
        </w:rPr>
        <w:t>17 237</w:t>
      </w:r>
      <w:r w:rsidR="001B1A05" w:rsidRPr="00C81AB0">
        <w:rPr>
          <w:rFonts w:eastAsia="Times New Roman" w:cs="Times New Roman"/>
          <w:szCs w:val="19"/>
          <w:lang w:val="en-GB" w:eastAsia="pl-PL"/>
        </w:rPr>
        <w:t xml:space="preserve"> </w:t>
      </w:r>
      <w:r w:rsidR="00684AFD" w:rsidRPr="00C81AB0">
        <w:rPr>
          <w:rFonts w:eastAsia="Times New Roman" w:cs="Times New Roman"/>
          <w:szCs w:val="19"/>
          <w:lang w:val="en-GB" w:eastAsia="pl-PL"/>
        </w:rPr>
        <w:t>thousand</w:t>
      </w:r>
      <w:r w:rsidR="001B1A05" w:rsidRPr="00C81AB0">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sidRPr="00211AD7">
        <w:rPr>
          <w:rFonts w:eastAsia="Times New Roman" w:cs="Times New Roman"/>
          <w:szCs w:val="19"/>
          <w:lang w:val="en-GB" w:eastAsia="pl-PL"/>
        </w:rPr>
        <w:t>while</w:t>
      </w:r>
      <w:r w:rsidR="001B1A05" w:rsidRPr="00211AD7">
        <w:rPr>
          <w:rFonts w:eastAsia="Times New Roman" w:cs="Times New Roman"/>
          <w:szCs w:val="19"/>
          <w:lang w:val="en-GB" w:eastAsia="pl-PL"/>
        </w:rPr>
        <w:t xml:space="preserve"> </w:t>
      </w:r>
      <w:r w:rsidR="006A1F40" w:rsidRPr="006A1F40">
        <w:rPr>
          <w:rFonts w:eastAsia="Times New Roman" w:cs="Times New Roman"/>
          <w:szCs w:val="19"/>
          <w:lang w:val="en-GB" w:eastAsia="pl-PL"/>
        </w:rPr>
        <w:t>580</w:t>
      </w:r>
      <w:r w:rsidR="003D6875" w:rsidRPr="00211AD7">
        <w:rPr>
          <w:rFonts w:eastAsia="Times New Roman" w:cs="Times New Roman"/>
          <w:szCs w:val="19"/>
          <w:lang w:val="en-GB" w:eastAsia="pl-PL"/>
        </w:rPr>
        <w:t> </w:t>
      </w:r>
      <w:r w:rsidR="00684AFD" w:rsidRPr="00211AD7">
        <w:rPr>
          <w:rFonts w:eastAsia="Times New Roman" w:cs="Times New Roman"/>
          <w:szCs w:val="19"/>
          <w:lang w:val="en-GB" w:eastAsia="pl-PL"/>
        </w:rPr>
        <w:t>thousand</w:t>
      </w:r>
      <w:r w:rsidR="001B1A05" w:rsidRPr="00211AD7">
        <w:rPr>
          <w:rFonts w:eastAsia="Times New Roman" w:cs="Times New Roman"/>
          <w:szCs w:val="19"/>
          <w:lang w:val="en-GB" w:eastAsia="pl-PL"/>
        </w:rPr>
        <w:t xml:space="preserve"> </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The population of economically inactive persons in</w:t>
      </w:r>
      <w:r w:rsidR="002C58DE">
        <w:rPr>
          <w:rFonts w:eastAsia="Times New Roman" w:cs="Times New Roman"/>
          <w:szCs w:val="19"/>
          <w:lang w:val="en-GB" w:eastAsia="pl-PL"/>
        </w:rPr>
        <w:t> </w:t>
      </w:r>
      <w:r w:rsidR="00E50D8C">
        <w:rPr>
          <w:rFonts w:eastAsia="Times New Roman" w:cs="Times New Roman"/>
          <w:szCs w:val="19"/>
          <w:lang w:val="en-GB" w:eastAsia="pl-PL"/>
        </w:rPr>
        <w:t xml:space="preserve">this </w:t>
      </w:r>
      <w:r w:rsidR="00436B39">
        <w:rPr>
          <w:rFonts w:eastAsia="Times New Roman" w:cs="Times New Roman"/>
          <w:szCs w:val="19"/>
          <w:lang w:val="en-GB" w:eastAsia="pl-PL"/>
        </w:rPr>
        <w:t xml:space="preserve">age group </w:t>
      </w:r>
      <w:r w:rsidR="00436B39" w:rsidRPr="00211AD7">
        <w:rPr>
          <w:rFonts w:eastAsia="Times New Roman" w:cs="Times New Roman"/>
          <w:szCs w:val="19"/>
          <w:lang w:val="en-GB" w:eastAsia="pl-PL"/>
        </w:rPr>
        <w:t xml:space="preserve">comprised </w:t>
      </w:r>
      <w:r w:rsidR="006A1F40" w:rsidRPr="006A1F40">
        <w:rPr>
          <w:rFonts w:eastAsia="Times New Roman" w:cs="Times New Roman"/>
          <w:szCs w:val="19"/>
          <w:lang w:val="en-GB" w:eastAsia="pl-PL"/>
        </w:rPr>
        <w:t>12 538</w:t>
      </w:r>
      <w:r w:rsidR="001B1A05" w:rsidRPr="00211AD7">
        <w:rPr>
          <w:rFonts w:eastAsia="Times New Roman" w:cs="Times New Roman"/>
          <w:szCs w:val="19"/>
          <w:lang w:val="en-GB" w:eastAsia="pl-PL"/>
        </w:rPr>
        <w:t xml:space="preserve"> </w:t>
      </w:r>
      <w:r w:rsidR="00684AFD" w:rsidRPr="00211AD7">
        <w:rPr>
          <w:rFonts w:eastAsia="Times New Roman" w:cs="Times New Roman"/>
          <w:szCs w:val="19"/>
          <w:lang w:val="en-GB" w:eastAsia="pl-PL"/>
        </w:rPr>
        <w:t>thousand</w:t>
      </w:r>
      <w:r w:rsidR="001B1A05" w:rsidRPr="00211AD7">
        <w:rPr>
          <w:rFonts w:eastAsia="Times New Roman" w:cs="Times New Roman"/>
          <w:szCs w:val="19"/>
          <w:lang w:val="en-GB" w:eastAsia="pl-PL"/>
        </w:rPr>
        <w:t xml:space="preserve"> </w:t>
      </w:r>
      <w:r w:rsidR="007071F2">
        <w:rPr>
          <w:rFonts w:eastAsia="Times New Roman" w:cs="Times New Roman"/>
          <w:szCs w:val="19"/>
          <w:lang w:val="en-GB" w:eastAsia="pl-PL"/>
        </w:rPr>
        <w:t>persons.</w:t>
      </w:r>
      <w:r w:rsidR="0005414A">
        <w:rPr>
          <w:rFonts w:eastAsia="Times New Roman" w:cs="Times New Roman"/>
          <w:szCs w:val="19"/>
          <w:lang w:val="en-GB" w:eastAsia="pl-PL"/>
        </w:rPr>
        <w:t xml:space="preserve"> </w:t>
      </w:r>
      <w:r w:rsidR="0005414A" w:rsidRPr="0005414A">
        <w:rPr>
          <w:rFonts w:eastAsia="Times New Roman" w:cs="Times New Roman"/>
          <w:szCs w:val="19"/>
          <w:lang w:val="en-GB" w:eastAsia="pl-PL"/>
        </w:rPr>
        <w:t xml:space="preserve">Among persons </w:t>
      </w:r>
      <w:r w:rsidR="00801868">
        <w:rPr>
          <w:rFonts w:eastAsia="Times New Roman" w:cs="Times New Roman"/>
          <w:szCs w:val="19"/>
          <w:lang w:val="en-GB" w:eastAsia="pl-PL"/>
        </w:rPr>
        <w:t>at</w:t>
      </w:r>
      <w:r w:rsidR="0005414A" w:rsidRPr="0005414A">
        <w:rPr>
          <w:rFonts w:eastAsia="Times New Roman" w:cs="Times New Roman"/>
          <w:szCs w:val="19"/>
          <w:lang w:val="en-GB" w:eastAsia="pl-PL"/>
        </w:rPr>
        <w:t xml:space="preserve"> </w:t>
      </w:r>
      <w:r w:rsidR="00442E49">
        <w:rPr>
          <w:rFonts w:eastAsia="Times New Roman" w:cs="Times New Roman"/>
          <w:szCs w:val="19"/>
          <w:lang w:val="en-GB" w:eastAsia="pl-PL"/>
        </w:rPr>
        <w:t xml:space="preserve">the </w:t>
      </w:r>
      <w:r w:rsidR="0005414A" w:rsidRPr="0005414A">
        <w:rPr>
          <w:rFonts w:eastAsia="Times New Roman" w:cs="Times New Roman"/>
          <w:szCs w:val="19"/>
          <w:lang w:val="en-GB" w:eastAsia="pl-PL"/>
        </w:rPr>
        <w:t>working age</w:t>
      </w:r>
      <w:r w:rsidR="00052373">
        <w:rPr>
          <w:rStyle w:val="Odwoanieprzypisudolnego"/>
          <w:rFonts w:eastAsia="Times New Roman" w:cs="Times New Roman"/>
          <w:szCs w:val="19"/>
          <w:lang w:val="en-GB" w:eastAsia="pl-PL"/>
        </w:rPr>
        <w:footnoteReference w:id="3"/>
      </w:r>
      <w:r w:rsidR="0005414A" w:rsidRPr="0005414A">
        <w:rPr>
          <w:rFonts w:eastAsia="Times New Roman" w:cs="Times New Roman"/>
          <w:szCs w:val="19"/>
          <w:lang w:val="en-GB" w:eastAsia="pl-PL"/>
        </w:rPr>
        <w:t>, the economically active population numbered 16</w:t>
      </w:r>
      <w:r w:rsidR="0005414A">
        <w:rPr>
          <w:rFonts w:eastAsia="Times New Roman" w:cs="Times New Roman"/>
          <w:szCs w:val="19"/>
          <w:lang w:val="en-GB" w:eastAsia="pl-PL"/>
        </w:rPr>
        <w:t> </w:t>
      </w:r>
      <w:r w:rsidR="0005414A" w:rsidRPr="0005414A">
        <w:rPr>
          <w:rFonts w:eastAsia="Times New Roman" w:cs="Times New Roman"/>
          <w:szCs w:val="19"/>
          <w:lang w:val="en-GB" w:eastAsia="pl-PL"/>
        </w:rPr>
        <w:t>954 thousand, including 16</w:t>
      </w:r>
      <w:r w:rsidR="0005414A">
        <w:rPr>
          <w:rFonts w:eastAsia="Times New Roman" w:cs="Times New Roman"/>
          <w:szCs w:val="19"/>
          <w:lang w:val="en-GB" w:eastAsia="pl-PL"/>
        </w:rPr>
        <w:t> </w:t>
      </w:r>
      <w:r w:rsidR="0005414A" w:rsidRPr="0005414A">
        <w:rPr>
          <w:rFonts w:eastAsia="Times New Roman" w:cs="Times New Roman"/>
          <w:szCs w:val="19"/>
          <w:lang w:val="en-GB" w:eastAsia="pl-PL"/>
        </w:rPr>
        <w:t xml:space="preserve">386 thousand employed and 568 thousand </w:t>
      </w:r>
      <w:r w:rsidR="00E01420">
        <w:rPr>
          <w:rFonts w:eastAsia="Times New Roman" w:cs="Times New Roman"/>
          <w:szCs w:val="19"/>
          <w:lang w:val="en-GB" w:eastAsia="pl-PL"/>
        </w:rPr>
        <w:t xml:space="preserve">– </w:t>
      </w:r>
      <w:r w:rsidR="0005414A" w:rsidRPr="0005414A">
        <w:rPr>
          <w:rFonts w:eastAsia="Times New Roman" w:cs="Times New Roman"/>
          <w:szCs w:val="19"/>
          <w:lang w:val="en-GB" w:eastAsia="pl-PL"/>
        </w:rPr>
        <w:t xml:space="preserve">unemployed persons. The economically inactive population </w:t>
      </w:r>
      <w:r w:rsidR="00801868">
        <w:rPr>
          <w:rFonts w:eastAsia="Times New Roman" w:cs="Times New Roman"/>
          <w:szCs w:val="19"/>
          <w:lang w:val="en-GB" w:eastAsia="pl-PL"/>
        </w:rPr>
        <w:t>at</w:t>
      </w:r>
      <w:r w:rsidR="0005414A" w:rsidRPr="0005414A">
        <w:rPr>
          <w:rFonts w:eastAsia="Times New Roman" w:cs="Times New Roman"/>
          <w:szCs w:val="19"/>
          <w:lang w:val="en-GB" w:eastAsia="pl-PL"/>
        </w:rPr>
        <w:t xml:space="preserve"> working age amounted to 3</w:t>
      </w:r>
      <w:r w:rsidR="0005414A">
        <w:rPr>
          <w:rFonts w:eastAsia="Times New Roman" w:cs="Times New Roman"/>
          <w:szCs w:val="19"/>
          <w:lang w:val="en-GB" w:eastAsia="pl-PL"/>
        </w:rPr>
        <w:t> </w:t>
      </w:r>
      <w:r w:rsidR="0005414A" w:rsidRPr="0005414A">
        <w:rPr>
          <w:rFonts w:eastAsia="Times New Roman" w:cs="Times New Roman"/>
          <w:szCs w:val="19"/>
          <w:lang w:val="en-GB" w:eastAsia="pl-PL"/>
        </w:rPr>
        <w:t>665 thousand persons.</w:t>
      </w:r>
    </w:p>
    <w:p w14:paraId="31073AE8" w14:textId="16940127" w:rsidR="00953A99" w:rsidRDefault="00231942" w:rsidP="002C58DE">
      <w:pPr>
        <w:spacing w:line="288" w:lineRule="auto"/>
        <w:rPr>
          <w:rFonts w:eastAsia="Times New Roman" w:cs="Times New Roman"/>
          <w:szCs w:val="19"/>
          <w:lang w:val="en-GB" w:eastAsia="pl-PL"/>
        </w:rPr>
      </w:pPr>
      <w:r w:rsidRPr="00231942">
        <w:rPr>
          <w:rFonts w:eastAsia="Times New Roman" w:cs="Times New Roman"/>
          <w:szCs w:val="19"/>
          <w:lang w:val="en-GB" w:eastAsia="pl-PL"/>
        </w:rPr>
        <w:t xml:space="preserve">Population of economically active </w:t>
      </w:r>
      <w:r w:rsidR="00693129">
        <w:rPr>
          <w:rFonts w:eastAsia="Times New Roman" w:cs="Times New Roman"/>
          <w:szCs w:val="19"/>
          <w:lang w:val="en-GB" w:eastAsia="pl-PL"/>
        </w:rPr>
        <w:t xml:space="preserve">persons </w:t>
      </w:r>
      <w:r w:rsidR="0061521A">
        <w:rPr>
          <w:rFonts w:eastAsia="Times New Roman" w:cs="Times New Roman"/>
          <w:szCs w:val="19"/>
          <w:lang w:val="en-GB" w:eastAsia="pl-PL"/>
        </w:rPr>
        <w:t xml:space="preserve">aged 15-89 </w:t>
      </w:r>
      <w:r w:rsidR="00693129">
        <w:rPr>
          <w:rFonts w:eastAsia="Times New Roman" w:cs="Times New Roman"/>
          <w:szCs w:val="19"/>
          <w:lang w:val="en-GB" w:eastAsia="pl-PL"/>
        </w:rPr>
        <w:t xml:space="preserve">in first quarter of </w:t>
      </w:r>
      <w:r w:rsidR="0061521A">
        <w:rPr>
          <w:rFonts w:eastAsia="Times New Roman" w:cs="Times New Roman"/>
          <w:szCs w:val="19"/>
          <w:lang w:val="en-GB" w:eastAsia="pl-PL"/>
        </w:rPr>
        <w:t xml:space="preserve">2026 </w:t>
      </w:r>
      <w:r w:rsidR="006A1F40">
        <w:rPr>
          <w:rFonts w:eastAsia="Times New Roman" w:cs="Times New Roman"/>
          <w:szCs w:val="19"/>
          <w:lang w:val="en-GB" w:eastAsia="pl-PL"/>
        </w:rPr>
        <w:t>decreased</w:t>
      </w:r>
      <w:r w:rsidR="00850FC4" w:rsidRPr="00211AD7">
        <w:rPr>
          <w:rFonts w:eastAsia="Times New Roman" w:cs="Times New Roman"/>
          <w:szCs w:val="19"/>
          <w:lang w:val="en-GB" w:eastAsia="pl-PL"/>
        </w:rPr>
        <w:t xml:space="preserve"> </w:t>
      </w:r>
      <w:r w:rsidR="00794691" w:rsidRPr="00211AD7">
        <w:rPr>
          <w:rFonts w:eastAsia="Times New Roman" w:cs="Times New Roman"/>
          <w:szCs w:val="19"/>
          <w:lang w:val="en-GB" w:eastAsia="pl-PL"/>
        </w:rPr>
        <w:t xml:space="preserve">compared </w:t>
      </w:r>
      <w:r w:rsidR="00794691" w:rsidRPr="00794691">
        <w:rPr>
          <w:rFonts w:eastAsia="Times New Roman" w:cs="Times New Roman"/>
          <w:szCs w:val="19"/>
          <w:lang w:val="en-GB" w:eastAsia="pl-PL"/>
        </w:rPr>
        <w:t xml:space="preserve">to the </w:t>
      </w:r>
      <w:r w:rsidR="006A1F40">
        <w:rPr>
          <w:rFonts w:eastAsia="Times New Roman" w:cs="Times New Roman"/>
          <w:szCs w:val="19"/>
          <w:lang w:val="en-GB" w:eastAsia="pl-PL"/>
        </w:rPr>
        <w:t>fourth</w:t>
      </w:r>
      <w:r w:rsidR="00794691" w:rsidRPr="00794691">
        <w:rPr>
          <w:rFonts w:eastAsia="Times New Roman" w:cs="Times New Roman"/>
          <w:szCs w:val="19"/>
          <w:lang w:val="en-GB" w:eastAsia="pl-PL"/>
        </w:rPr>
        <w:t xml:space="preserve"> quarter of 2025 </w:t>
      </w:r>
      <w:r w:rsidR="00211AD7" w:rsidRPr="00211AD7">
        <w:rPr>
          <w:rFonts w:eastAsia="Times New Roman" w:cs="Times New Roman"/>
          <w:szCs w:val="19"/>
          <w:lang w:val="en-GB" w:eastAsia="pl-PL"/>
        </w:rPr>
        <w:t xml:space="preserve">(by </w:t>
      </w:r>
      <w:r w:rsidR="006A1F40">
        <w:rPr>
          <w:rFonts w:eastAsia="Times New Roman" w:cs="Times New Roman"/>
          <w:szCs w:val="19"/>
          <w:lang w:val="en-GB" w:eastAsia="pl-PL"/>
        </w:rPr>
        <w:t>95</w:t>
      </w:r>
      <w:r w:rsidR="00211AD7" w:rsidRPr="00211AD7">
        <w:rPr>
          <w:rFonts w:eastAsia="Times New Roman" w:cs="Times New Roman"/>
          <w:szCs w:val="19"/>
          <w:lang w:val="en-GB" w:eastAsia="pl-PL"/>
        </w:rPr>
        <w:t xml:space="preserve"> thousand, i.e. by 0.</w:t>
      </w:r>
      <w:r w:rsidR="006A1F40">
        <w:rPr>
          <w:rFonts w:eastAsia="Times New Roman" w:cs="Times New Roman"/>
          <w:szCs w:val="19"/>
          <w:lang w:val="en-GB" w:eastAsia="pl-PL"/>
        </w:rPr>
        <w:t>5</w:t>
      </w:r>
      <w:r w:rsidR="00211AD7" w:rsidRPr="00211AD7">
        <w:rPr>
          <w:rFonts w:eastAsia="Times New Roman" w:cs="Times New Roman"/>
          <w:szCs w:val="19"/>
          <w:lang w:val="en-GB" w:eastAsia="pl-PL"/>
        </w:rPr>
        <w:t xml:space="preserve">%), while it increased compared to the </w:t>
      </w:r>
      <w:r w:rsidR="006A1F40">
        <w:rPr>
          <w:rFonts w:eastAsia="Times New Roman" w:cs="Times New Roman"/>
          <w:szCs w:val="19"/>
          <w:lang w:val="en-GB" w:eastAsia="pl-PL"/>
        </w:rPr>
        <w:t>first</w:t>
      </w:r>
      <w:r w:rsidR="00211AD7" w:rsidRPr="00211AD7">
        <w:rPr>
          <w:rFonts w:eastAsia="Times New Roman" w:cs="Times New Roman"/>
          <w:szCs w:val="19"/>
          <w:lang w:val="en-GB" w:eastAsia="pl-PL"/>
        </w:rPr>
        <w:t xml:space="preserve"> quarter of 202</w:t>
      </w:r>
      <w:r w:rsidR="006A1F40">
        <w:rPr>
          <w:rFonts w:eastAsia="Times New Roman" w:cs="Times New Roman"/>
          <w:szCs w:val="19"/>
          <w:lang w:val="en-GB" w:eastAsia="pl-PL"/>
        </w:rPr>
        <w:t>5</w:t>
      </w:r>
      <w:r w:rsidR="00211AD7" w:rsidRPr="00211AD7">
        <w:rPr>
          <w:rFonts w:eastAsia="Times New Roman" w:cs="Times New Roman"/>
          <w:szCs w:val="19"/>
          <w:lang w:val="en-GB" w:eastAsia="pl-PL"/>
        </w:rPr>
        <w:t xml:space="preserve"> (by 1</w:t>
      </w:r>
      <w:r w:rsidR="006A1F40">
        <w:rPr>
          <w:rFonts w:eastAsia="Times New Roman" w:cs="Times New Roman"/>
          <w:szCs w:val="19"/>
          <w:lang w:val="en-GB" w:eastAsia="pl-PL"/>
        </w:rPr>
        <w:t>5</w:t>
      </w:r>
      <w:r w:rsidR="00211AD7" w:rsidRPr="00211AD7">
        <w:rPr>
          <w:rFonts w:eastAsia="Times New Roman" w:cs="Times New Roman"/>
          <w:szCs w:val="19"/>
          <w:lang w:val="en-GB" w:eastAsia="pl-PL"/>
        </w:rPr>
        <w:t xml:space="preserve">7 thousand, i.e. by </w:t>
      </w:r>
      <w:r w:rsidR="006A1F40">
        <w:rPr>
          <w:rFonts w:eastAsia="Times New Roman" w:cs="Times New Roman"/>
          <w:szCs w:val="19"/>
          <w:lang w:val="en-GB" w:eastAsia="pl-PL"/>
        </w:rPr>
        <w:t>0.9</w:t>
      </w:r>
      <w:r w:rsidR="00211AD7" w:rsidRPr="00211AD7">
        <w:rPr>
          <w:rFonts w:eastAsia="Times New Roman" w:cs="Times New Roman"/>
          <w:szCs w:val="19"/>
          <w:lang w:val="en-GB" w:eastAsia="pl-PL"/>
        </w:rPr>
        <w:t>%).</w:t>
      </w:r>
      <w:r w:rsidR="005231F1">
        <w:rPr>
          <w:rFonts w:eastAsia="Times New Roman" w:cs="Times New Roman"/>
          <w:szCs w:val="19"/>
          <w:lang w:val="en-GB" w:eastAsia="pl-PL"/>
        </w:rPr>
        <w:t xml:space="preserve"> </w:t>
      </w:r>
      <w:r w:rsidR="005231F1" w:rsidRPr="005231F1">
        <w:rPr>
          <w:rFonts w:eastAsia="Times New Roman" w:cs="Times New Roman"/>
          <w:szCs w:val="19"/>
          <w:lang w:val="en-GB" w:eastAsia="pl-PL"/>
        </w:rPr>
        <w:t xml:space="preserve">Among persons </w:t>
      </w:r>
      <w:r w:rsidR="00801868">
        <w:rPr>
          <w:rFonts w:eastAsia="Times New Roman" w:cs="Times New Roman"/>
          <w:szCs w:val="19"/>
          <w:lang w:val="en-GB" w:eastAsia="pl-PL"/>
        </w:rPr>
        <w:t>at</w:t>
      </w:r>
      <w:r w:rsidR="005231F1" w:rsidRPr="005231F1">
        <w:rPr>
          <w:rFonts w:eastAsia="Times New Roman" w:cs="Times New Roman"/>
          <w:szCs w:val="19"/>
          <w:lang w:val="en-GB" w:eastAsia="pl-PL"/>
        </w:rPr>
        <w:t xml:space="preserve"> working age, similar trends were observed — the number of economically active persons was lower than in the </w:t>
      </w:r>
      <w:r w:rsidR="005231F1">
        <w:rPr>
          <w:rFonts w:eastAsia="Times New Roman" w:cs="Times New Roman"/>
          <w:szCs w:val="19"/>
          <w:lang w:val="en-GB" w:eastAsia="pl-PL"/>
        </w:rPr>
        <w:t>fourth</w:t>
      </w:r>
      <w:r w:rsidR="005231F1" w:rsidRPr="005231F1">
        <w:rPr>
          <w:rFonts w:eastAsia="Times New Roman" w:cs="Times New Roman"/>
          <w:szCs w:val="19"/>
          <w:lang w:val="en-GB" w:eastAsia="pl-PL"/>
        </w:rPr>
        <w:t xml:space="preserve"> quarter of 2025 (by 71 thousand, i.e. by 0.4%)</w:t>
      </w:r>
      <w:r w:rsidR="00907D6D">
        <w:rPr>
          <w:rFonts w:eastAsia="Times New Roman" w:cs="Times New Roman"/>
          <w:szCs w:val="19"/>
          <w:lang w:val="en-GB" w:eastAsia="pl-PL"/>
        </w:rPr>
        <w:t xml:space="preserve"> and </w:t>
      </w:r>
      <w:r w:rsidR="005231F1" w:rsidRPr="005231F1">
        <w:rPr>
          <w:rFonts w:eastAsia="Times New Roman" w:cs="Times New Roman"/>
          <w:szCs w:val="19"/>
          <w:lang w:val="en-GB" w:eastAsia="pl-PL"/>
        </w:rPr>
        <w:t xml:space="preserve">higher than in the </w:t>
      </w:r>
      <w:r w:rsidR="005231F1">
        <w:rPr>
          <w:rFonts w:eastAsia="Times New Roman" w:cs="Times New Roman"/>
          <w:szCs w:val="19"/>
          <w:lang w:val="en-GB" w:eastAsia="pl-PL"/>
        </w:rPr>
        <w:t>first</w:t>
      </w:r>
      <w:r w:rsidR="005231F1" w:rsidRPr="005231F1">
        <w:rPr>
          <w:rFonts w:eastAsia="Times New Roman" w:cs="Times New Roman"/>
          <w:szCs w:val="19"/>
          <w:lang w:val="en-GB" w:eastAsia="pl-PL"/>
        </w:rPr>
        <w:t xml:space="preserve"> quarter of 2025 (by 82 thousand, i.e.</w:t>
      </w:r>
      <w:r w:rsidR="00736154">
        <w:rPr>
          <w:rFonts w:eastAsia="Times New Roman" w:cs="Times New Roman"/>
          <w:szCs w:val="19"/>
          <w:lang w:val="en-GB" w:eastAsia="pl-PL"/>
        </w:rPr>
        <w:t> </w:t>
      </w:r>
      <w:r w:rsidR="005231F1" w:rsidRPr="005231F1">
        <w:rPr>
          <w:rFonts w:eastAsia="Times New Roman" w:cs="Times New Roman"/>
          <w:szCs w:val="19"/>
          <w:lang w:val="en-GB" w:eastAsia="pl-PL"/>
        </w:rPr>
        <w:t>by 0.5%).</w:t>
      </w:r>
    </w:p>
    <w:p w14:paraId="4E7CEFA6" w14:textId="18100155" w:rsidR="006A1F40" w:rsidRDefault="006A1F40" w:rsidP="00A16EB2">
      <w:pPr>
        <w:spacing w:before="0" w:after="0" w:line="288" w:lineRule="auto"/>
        <w:rPr>
          <w:rFonts w:eastAsia="Times New Roman" w:cs="Times New Roman"/>
          <w:b/>
          <w:szCs w:val="19"/>
          <w:lang w:val="en-US" w:eastAsia="pl-PL"/>
        </w:rPr>
      </w:pPr>
      <w:r>
        <w:rPr>
          <w:rFonts w:eastAsia="Times New Roman" w:cs="Times New Roman"/>
          <w:b/>
          <w:szCs w:val="19"/>
          <w:lang w:val="en-US" w:eastAsia="pl-PL"/>
        </w:rPr>
        <w:t xml:space="preserve">Table 1. </w:t>
      </w:r>
      <w:r w:rsidR="001D326C">
        <w:rPr>
          <w:rFonts w:eastAsia="Times New Roman" w:cs="Times New Roman"/>
          <w:b/>
          <w:szCs w:val="19"/>
          <w:lang w:val="en-US" w:eastAsia="pl-PL"/>
        </w:rPr>
        <w:t>Economic</w:t>
      </w:r>
      <w:r w:rsidRPr="006A1F40">
        <w:rPr>
          <w:rFonts w:eastAsia="Times New Roman" w:cs="Times New Roman"/>
          <w:b/>
          <w:szCs w:val="19"/>
          <w:lang w:val="en-US" w:eastAsia="pl-PL"/>
        </w:rPr>
        <w:t xml:space="preserve"> activity of the population aged 1</w:t>
      </w:r>
      <w:r w:rsidR="00BA590F">
        <w:rPr>
          <w:rFonts w:eastAsia="Times New Roman" w:cs="Times New Roman"/>
          <w:b/>
          <w:szCs w:val="19"/>
          <w:lang w:val="en-US" w:eastAsia="pl-PL"/>
        </w:rPr>
        <w:t>5</w:t>
      </w:r>
      <w:r w:rsidRPr="006A1F40">
        <w:rPr>
          <w:rFonts w:eastAsia="Times New Roman" w:cs="Times New Roman"/>
          <w:b/>
          <w:szCs w:val="19"/>
          <w:lang w:val="en-US" w:eastAsia="pl-PL"/>
        </w:rPr>
        <w:t>-89</w:t>
      </w:r>
    </w:p>
    <w:tbl>
      <w:tblPr>
        <w:tblStyle w:val="Tabela-Siatka"/>
        <w:tblW w:w="7664" w:type="dxa"/>
        <w:tblBorders>
          <w:top w:val="single" w:sz="2" w:space="0" w:color="000099"/>
          <w:left w:val="single" w:sz="2" w:space="0" w:color="000099"/>
          <w:bottom w:val="single" w:sz="2" w:space="0" w:color="000099"/>
          <w:right w:val="single" w:sz="2" w:space="0" w:color="000099"/>
          <w:insideH w:val="single" w:sz="2" w:space="0" w:color="000099"/>
          <w:insideV w:val="single" w:sz="2" w:space="0" w:color="000099"/>
        </w:tblBorders>
        <w:tblLayout w:type="fixed"/>
        <w:tblLook w:val="04A0" w:firstRow="1" w:lastRow="0" w:firstColumn="1" w:lastColumn="0" w:noHBand="0" w:noVBand="1"/>
        <w:tblCaption w:val="Table 1. Economic activity of the population aged 15-89"/>
        <w:tblDescription w:val="Table 1. Economic activity of the population aged 15-89"/>
      </w:tblPr>
      <w:tblGrid>
        <w:gridCol w:w="2363"/>
        <w:gridCol w:w="896"/>
        <w:gridCol w:w="896"/>
        <w:gridCol w:w="910"/>
        <w:gridCol w:w="1315"/>
        <w:gridCol w:w="1284"/>
      </w:tblGrid>
      <w:tr w:rsidR="00052373" w:rsidRPr="00A16EB2" w14:paraId="27E09556" w14:textId="77777777" w:rsidTr="00045407">
        <w:trPr>
          <w:trHeight w:val="227"/>
        </w:trPr>
        <w:tc>
          <w:tcPr>
            <w:tcW w:w="2363" w:type="dxa"/>
            <w:vMerge w:val="restart"/>
            <w:tcBorders>
              <w:top w:val="single" w:sz="12" w:space="0" w:color="000099"/>
              <w:left w:val="single" w:sz="2" w:space="0" w:color="FFFFFF" w:themeColor="background1"/>
              <w:right w:val="single" w:sz="2" w:space="0" w:color="002060"/>
            </w:tcBorders>
            <w:vAlign w:val="center"/>
          </w:tcPr>
          <w:p w14:paraId="69EF6BC7" w14:textId="028530C8" w:rsidR="0005414A" w:rsidRPr="00A16EB2" w:rsidRDefault="0005414A" w:rsidP="0005414A">
            <w:pPr>
              <w:spacing w:before="0" w:after="0" w:line="288" w:lineRule="auto"/>
              <w:jc w:val="center"/>
              <w:rPr>
                <w:rFonts w:eastAsia="Times New Roman" w:cs="Times New Roman"/>
                <w:sz w:val="16"/>
                <w:szCs w:val="16"/>
                <w:lang w:eastAsia="pl-PL"/>
              </w:rPr>
            </w:pPr>
            <w:r w:rsidRPr="00A16EB2">
              <w:rPr>
                <w:rFonts w:eastAsia="Times New Roman" w:cs="Times New Roman"/>
                <w:sz w:val="16"/>
                <w:szCs w:val="16"/>
                <w:lang w:val="en-US" w:eastAsia="pl-PL"/>
              </w:rPr>
              <w:t>Specification</w:t>
            </w:r>
          </w:p>
        </w:tc>
        <w:tc>
          <w:tcPr>
            <w:tcW w:w="1792" w:type="dxa"/>
            <w:gridSpan w:val="2"/>
            <w:tcBorders>
              <w:top w:val="single" w:sz="12" w:space="0" w:color="000099"/>
              <w:left w:val="single" w:sz="2" w:space="0" w:color="002060"/>
            </w:tcBorders>
            <w:vAlign w:val="center"/>
          </w:tcPr>
          <w:p w14:paraId="2106AB81" w14:textId="6CA97DF7" w:rsidR="0005414A" w:rsidRPr="00A16EB2" w:rsidRDefault="0005414A" w:rsidP="0005414A">
            <w:pPr>
              <w:spacing w:before="0" w:after="0" w:line="0" w:lineRule="atLeast"/>
              <w:jc w:val="center"/>
              <w:rPr>
                <w:rFonts w:eastAsia="Times New Roman" w:cs="Times New Roman"/>
                <w:sz w:val="16"/>
                <w:szCs w:val="16"/>
                <w:lang w:eastAsia="pl-PL"/>
              </w:rPr>
            </w:pPr>
            <w:r w:rsidRPr="00A16EB2">
              <w:rPr>
                <w:rFonts w:eastAsia="Times New Roman" w:cs="Times New Roman"/>
                <w:sz w:val="16"/>
                <w:szCs w:val="16"/>
                <w:lang w:val="en-US" w:eastAsia="pl-PL"/>
              </w:rPr>
              <w:t>2025</w:t>
            </w:r>
          </w:p>
        </w:tc>
        <w:tc>
          <w:tcPr>
            <w:tcW w:w="3509" w:type="dxa"/>
            <w:gridSpan w:val="3"/>
            <w:tcBorders>
              <w:top w:val="single" w:sz="12" w:space="0" w:color="000099"/>
              <w:right w:val="single" w:sz="2" w:space="0" w:color="FFFFFF" w:themeColor="background1"/>
            </w:tcBorders>
            <w:vAlign w:val="center"/>
          </w:tcPr>
          <w:p w14:paraId="17EE3128" w14:textId="1D43E8EB" w:rsidR="0005414A" w:rsidRPr="00A16EB2" w:rsidRDefault="0005414A" w:rsidP="0005414A">
            <w:pPr>
              <w:spacing w:before="0" w:after="0" w:line="0" w:lineRule="atLeast"/>
              <w:jc w:val="center"/>
              <w:rPr>
                <w:rFonts w:eastAsia="Times New Roman" w:cs="Times New Roman"/>
                <w:sz w:val="16"/>
                <w:szCs w:val="16"/>
                <w:lang w:eastAsia="pl-PL"/>
              </w:rPr>
            </w:pPr>
            <w:r w:rsidRPr="00A16EB2">
              <w:rPr>
                <w:rFonts w:eastAsia="Times New Roman" w:cs="Times New Roman"/>
                <w:sz w:val="16"/>
                <w:szCs w:val="16"/>
                <w:lang w:val="en-US" w:eastAsia="pl-PL"/>
              </w:rPr>
              <w:t>2026</w:t>
            </w:r>
          </w:p>
        </w:tc>
      </w:tr>
      <w:tr w:rsidR="00A16EB2" w:rsidRPr="00A16EB2" w14:paraId="556F0DAC" w14:textId="77777777" w:rsidTr="00045407">
        <w:trPr>
          <w:trHeight w:val="227"/>
        </w:trPr>
        <w:tc>
          <w:tcPr>
            <w:tcW w:w="2363" w:type="dxa"/>
            <w:vMerge/>
            <w:tcBorders>
              <w:left w:val="single" w:sz="2" w:space="0" w:color="FFFFFF" w:themeColor="background1"/>
              <w:right w:val="single" w:sz="2" w:space="0" w:color="002060"/>
            </w:tcBorders>
          </w:tcPr>
          <w:p w14:paraId="6DCDDADB" w14:textId="77777777" w:rsidR="0005414A" w:rsidRPr="00A16EB2" w:rsidRDefault="0005414A" w:rsidP="0005414A">
            <w:pPr>
              <w:spacing w:before="0" w:after="0" w:line="288" w:lineRule="auto"/>
              <w:rPr>
                <w:rFonts w:eastAsia="Times New Roman" w:cs="Times New Roman"/>
                <w:sz w:val="16"/>
                <w:szCs w:val="16"/>
                <w:lang w:eastAsia="pl-PL"/>
              </w:rPr>
            </w:pPr>
          </w:p>
        </w:tc>
        <w:tc>
          <w:tcPr>
            <w:tcW w:w="896" w:type="dxa"/>
            <w:vMerge w:val="restart"/>
            <w:tcBorders>
              <w:left w:val="single" w:sz="2" w:space="0" w:color="002060"/>
            </w:tcBorders>
            <w:vAlign w:val="center"/>
          </w:tcPr>
          <w:p w14:paraId="0D5202DD" w14:textId="514E6DF0" w:rsidR="0005414A" w:rsidRPr="00A16EB2" w:rsidRDefault="0005414A" w:rsidP="0005414A">
            <w:pPr>
              <w:spacing w:before="0" w:after="0" w:line="0" w:lineRule="atLeast"/>
              <w:jc w:val="center"/>
              <w:rPr>
                <w:rFonts w:eastAsia="Times New Roman" w:cs="Times New Roman"/>
                <w:sz w:val="16"/>
                <w:szCs w:val="16"/>
                <w:lang w:eastAsia="pl-PL"/>
              </w:rPr>
            </w:pPr>
            <w:r w:rsidRPr="00A16EB2">
              <w:rPr>
                <w:rFonts w:eastAsia="Times New Roman" w:cs="Times New Roman"/>
                <w:sz w:val="16"/>
                <w:szCs w:val="16"/>
                <w:lang w:val="en-US" w:eastAsia="pl-PL"/>
              </w:rPr>
              <w:t>quarter 1</w:t>
            </w:r>
          </w:p>
        </w:tc>
        <w:tc>
          <w:tcPr>
            <w:tcW w:w="896" w:type="dxa"/>
            <w:vMerge w:val="restart"/>
            <w:vAlign w:val="center"/>
          </w:tcPr>
          <w:p w14:paraId="1E44A324" w14:textId="270013AC" w:rsidR="0005414A" w:rsidRPr="00A16EB2" w:rsidRDefault="0005414A" w:rsidP="0005414A">
            <w:pPr>
              <w:spacing w:before="0" w:after="0" w:line="0" w:lineRule="atLeast"/>
              <w:rPr>
                <w:rFonts w:eastAsia="Times New Roman" w:cs="Times New Roman"/>
                <w:sz w:val="16"/>
                <w:szCs w:val="16"/>
                <w:lang w:eastAsia="pl-PL"/>
              </w:rPr>
            </w:pPr>
            <w:r w:rsidRPr="00A16EB2">
              <w:rPr>
                <w:rFonts w:eastAsia="Times New Roman" w:cs="Times New Roman"/>
                <w:sz w:val="16"/>
                <w:szCs w:val="16"/>
                <w:lang w:val="en-US" w:eastAsia="pl-PL"/>
              </w:rPr>
              <w:t>quarter 4</w:t>
            </w:r>
          </w:p>
        </w:tc>
        <w:tc>
          <w:tcPr>
            <w:tcW w:w="910" w:type="dxa"/>
            <w:vMerge w:val="restart"/>
            <w:tcBorders>
              <w:right w:val="single" w:sz="2" w:space="0" w:color="FFFFFF" w:themeColor="background1"/>
            </w:tcBorders>
            <w:vAlign w:val="center"/>
          </w:tcPr>
          <w:p w14:paraId="4A336129" w14:textId="0C404D04" w:rsidR="0005414A" w:rsidRPr="00A16EB2" w:rsidRDefault="0005414A" w:rsidP="0005414A">
            <w:pPr>
              <w:spacing w:before="0" w:after="0" w:line="0" w:lineRule="atLeast"/>
              <w:rPr>
                <w:rFonts w:eastAsia="Times New Roman" w:cs="Times New Roman"/>
                <w:sz w:val="16"/>
                <w:szCs w:val="16"/>
                <w:lang w:eastAsia="pl-PL"/>
              </w:rPr>
            </w:pPr>
            <w:r w:rsidRPr="00A16EB2">
              <w:rPr>
                <w:rFonts w:eastAsia="Times New Roman" w:cs="Times New Roman"/>
                <w:sz w:val="16"/>
                <w:szCs w:val="16"/>
                <w:lang w:val="en-US" w:eastAsia="pl-PL"/>
              </w:rPr>
              <w:t>quarter 1</w:t>
            </w:r>
          </w:p>
        </w:tc>
        <w:tc>
          <w:tcPr>
            <w:tcW w:w="2599" w:type="dxa"/>
            <w:gridSpan w:val="2"/>
            <w:tcBorders>
              <w:top w:val="single" w:sz="2" w:space="0" w:color="FFFFFF" w:themeColor="background1"/>
              <w:left w:val="single" w:sz="2" w:space="0" w:color="FFFFFF" w:themeColor="background1"/>
              <w:bottom w:val="single" w:sz="2" w:space="0" w:color="000099"/>
              <w:right w:val="single" w:sz="2" w:space="0" w:color="FFFFFF" w:themeColor="background1"/>
            </w:tcBorders>
            <w:vAlign w:val="center"/>
          </w:tcPr>
          <w:p w14:paraId="30234DDE" w14:textId="4E802934" w:rsidR="0005414A" w:rsidRPr="00A16EB2" w:rsidRDefault="0005414A" w:rsidP="0005414A">
            <w:pPr>
              <w:spacing w:before="0" w:after="0" w:line="0" w:lineRule="atLeast"/>
              <w:jc w:val="center"/>
              <w:rPr>
                <w:rFonts w:eastAsia="Times New Roman" w:cs="Times New Roman"/>
                <w:sz w:val="16"/>
                <w:szCs w:val="16"/>
                <w:lang w:eastAsia="pl-PL"/>
              </w:rPr>
            </w:pPr>
            <w:r w:rsidRPr="00A16EB2">
              <w:rPr>
                <w:rFonts w:eastAsia="Times New Roman" w:cs="Times New Roman"/>
                <w:sz w:val="16"/>
                <w:szCs w:val="16"/>
                <w:lang w:val="en-US" w:eastAsia="pl-PL"/>
              </w:rPr>
              <w:t>+/- compared to</w:t>
            </w:r>
          </w:p>
        </w:tc>
      </w:tr>
      <w:tr w:rsidR="00A16EB2" w:rsidRPr="00A16EB2" w14:paraId="021380F1" w14:textId="77777777" w:rsidTr="00045407">
        <w:trPr>
          <w:trHeight w:val="227"/>
        </w:trPr>
        <w:tc>
          <w:tcPr>
            <w:tcW w:w="2363" w:type="dxa"/>
            <w:vMerge/>
            <w:tcBorders>
              <w:left w:val="single" w:sz="2" w:space="0" w:color="FFFFFF" w:themeColor="background1"/>
              <w:right w:val="single" w:sz="2" w:space="0" w:color="002060"/>
            </w:tcBorders>
          </w:tcPr>
          <w:p w14:paraId="206C5907" w14:textId="77777777" w:rsidR="0005414A" w:rsidRPr="00A16EB2" w:rsidRDefault="0005414A" w:rsidP="0005414A">
            <w:pPr>
              <w:spacing w:before="0" w:after="0" w:line="288" w:lineRule="auto"/>
              <w:rPr>
                <w:rFonts w:eastAsia="Times New Roman" w:cs="Times New Roman"/>
                <w:sz w:val="16"/>
                <w:szCs w:val="16"/>
                <w:lang w:eastAsia="pl-PL"/>
              </w:rPr>
            </w:pPr>
          </w:p>
        </w:tc>
        <w:tc>
          <w:tcPr>
            <w:tcW w:w="896" w:type="dxa"/>
            <w:vMerge/>
            <w:tcBorders>
              <w:top w:val="single" w:sz="2" w:space="0" w:color="FFFFFF" w:themeColor="background1"/>
              <w:left w:val="single" w:sz="2" w:space="0" w:color="002060"/>
              <w:bottom w:val="single" w:sz="2" w:space="0" w:color="000099"/>
            </w:tcBorders>
          </w:tcPr>
          <w:p w14:paraId="77A01757" w14:textId="77777777" w:rsidR="0005414A" w:rsidRPr="00A16EB2" w:rsidRDefault="0005414A" w:rsidP="0005414A">
            <w:pPr>
              <w:spacing w:before="0" w:after="0" w:line="0" w:lineRule="atLeast"/>
              <w:rPr>
                <w:rFonts w:eastAsia="Times New Roman" w:cs="Times New Roman"/>
                <w:sz w:val="16"/>
                <w:szCs w:val="16"/>
                <w:lang w:eastAsia="pl-PL"/>
              </w:rPr>
            </w:pPr>
          </w:p>
        </w:tc>
        <w:tc>
          <w:tcPr>
            <w:tcW w:w="896" w:type="dxa"/>
            <w:vMerge/>
            <w:tcBorders>
              <w:top w:val="single" w:sz="2" w:space="0" w:color="FFFFFF" w:themeColor="background1"/>
              <w:bottom w:val="single" w:sz="2" w:space="0" w:color="000099"/>
            </w:tcBorders>
          </w:tcPr>
          <w:p w14:paraId="53AC4E7A" w14:textId="77777777" w:rsidR="0005414A" w:rsidRPr="00A16EB2" w:rsidRDefault="0005414A" w:rsidP="0005414A">
            <w:pPr>
              <w:spacing w:before="0" w:after="0" w:line="0" w:lineRule="atLeast"/>
              <w:rPr>
                <w:rFonts w:eastAsia="Times New Roman" w:cs="Times New Roman"/>
                <w:sz w:val="16"/>
                <w:szCs w:val="16"/>
                <w:lang w:eastAsia="pl-PL"/>
              </w:rPr>
            </w:pPr>
          </w:p>
        </w:tc>
        <w:tc>
          <w:tcPr>
            <w:tcW w:w="910" w:type="dxa"/>
            <w:vMerge/>
            <w:tcBorders>
              <w:top w:val="single" w:sz="2" w:space="0" w:color="FFFFFF" w:themeColor="background1"/>
              <w:bottom w:val="single" w:sz="2" w:space="0" w:color="000099"/>
            </w:tcBorders>
          </w:tcPr>
          <w:p w14:paraId="144B917D" w14:textId="77777777" w:rsidR="0005414A" w:rsidRPr="00A16EB2" w:rsidRDefault="0005414A" w:rsidP="0005414A">
            <w:pPr>
              <w:spacing w:before="0" w:after="0" w:line="0" w:lineRule="atLeast"/>
              <w:rPr>
                <w:rFonts w:eastAsia="Times New Roman" w:cs="Times New Roman"/>
                <w:sz w:val="16"/>
                <w:szCs w:val="16"/>
                <w:lang w:eastAsia="pl-PL"/>
              </w:rPr>
            </w:pPr>
          </w:p>
        </w:tc>
        <w:tc>
          <w:tcPr>
            <w:tcW w:w="1315" w:type="dxa"/>
            <w:tcBorders>
              <w:top w:val="single" w:sz="2" w:space="0" w:color="000099"/>
              <w:bottom w:val="single" w:sz="2" w:space="0" w:color="000099"/>
            </w:tcBorders>
            <w:vAlign w:val="center"/>
          </w:tcPr>
          <w:p w14:paraId="321922DB" w14:textId="3A5DE61C" w:rsidR="0005414A" w:rsidRPr="00A16EB2" w:rsidRDefault="0005414A" w:rsidP="0005414A">
            <w:pPr>
              <w:spacing w:before="0" w:after="0" w:line="0" w:lineRule="atLeast"/>
              <w:rPr>
                <w:rFonts w:eastAsia="Times New Roman" w:cs="Times New Roman"/>
                <w:sz w:val="16"/>
                <w:szCs w:val="16"/>
                <w:lang w:eastAsia="pl-PL"/>
              </w:rPr>
            </w:pPr>
            <w:r w:rsidRPr="00A16EB2">
              <w:rPr>
                <w:rFonts w:eastAsia="Times New Roman" w:cs="Times New Roman"/>
                <w:sz w:val="16"/>
                <w:szCs w:val="16"/>
                <w:lang w:val="en-US" w:eastAsia="pl-PL"/>
              </w:rPr>
              <w:t>quarter 4/2025</w:t>
            </w:r>
          </w:p>
        </w:tc>
        <w:tc>
          <w:tcPr>
            <w:tcW w:w="1284" w:type="dxa"/>
            <w:tcBorders>
              <w:top w:val="single" w:sz="2" w:space="0" w:color="FFFFFF" w:themeColor="background1"/>
              <w:bottom w:val="single" w:sz="2" w:space="0" w:color="000099"/>
              <w:right w:val="single" w:sz="2" w:space="0" w:color="FFFFFF" w:themeColor="background1"/>
            </w:tcBorders>
            <w:vAlign w:val="center"/>
          </w:tcPr>
          <w:p w14:paraId="095AF91D" w14:textId="05041CCE" w:rsidR="0005414A" w:rsidRPr="00A16EB2" w:rsidRDefault="0005414A" w:rsidP="0005414A">
            <w:pPr>
              <w:spacing w:before="0" w:after="0" w:line="0" w:lineRule="atLeast"/>
              <w:rPr>
                <w:rFonts w:eastAsia="Times New Roman" w:cs="Times New Roman"/>
                <w:sz w:val="16"/>
                <w:szCs w:val="16"/>
                <w:lang w:eastAsia="pl-PL"/>
              </w:rPr>
            </w:pPr>
            <w:r w:rsidRPr="00A16EB2">
              <w:rPr>
                <w:rFonts w:eastAsia="Times New Roman" w:cs="Times New Roman"/>
                <w:sz w:val="16"/>
                <w:szCs w:val="16"/>
                <w:lang w:val="en-US" w:eastAsia="pl-PL"/>
              </w:rPr>
              <w:t>quarter 1/2025</w:t>
            </w:r>
          </w:p>
        </w:tc>
      </w:tr>
      <w:tr w:rsidR="0005414A" w:rsidRPr="00A16EB2" w14:paraId="1385DF76" w14:textId="77777777" w:rsidTr="00045407">
        <w:trPr>
          <w:trHeight w:val="227"/>
        </w:trPr>
        <w:tc>
          <w:tcPr>
            <w:tcW w:w="2363" w:type="dxa"/>
            <w:vMerge/>
            <w:tcBorders>
              <w:left w:val="single" w:sz="2" w:space="0" w:color="FFFFFF" w:themeColor="background1"/>
              <w:bottom w:val="single" w:sz="12" w:space="0" w:color="002A7E"/>
              <w:right w:val="single" w:sz="2" w:space="0" w:color="002060"/>
            </w:tcBorders>
            <w:vAlign w:val="center"/>
          </w:tcPr>
          <w:p w14:paraId="414641E4" w14:textId="77777777" w:rsidR="0005414A" w:rsidRPr="00A16EB2" w:rsidRDefault="0005414A" w:rsidP="0005414A">
            <w:pPr>
              <w:spacing w:before="0" w:after="0" w:line="240" w:lineRule="auto"/>
              <w:jc w:val="center"/>
              <w:rPr>
                <w:rFonts w:eastAsia="Times New Roman" w:cs="Times New Roman"/>
                <w:sz w:val="16"/>
                <w:szCs w:val="16"/>
                <w:lang w:eastAsia="pl-PL"/>
              </w:rPr>
            </w:pPr>
          </w:p>
        </w:tc>
        <w:tc>
          <w:tcPr>
            <w:tcW w:w="5301" w:type="dxa"/>
            <w:gridSpan w:val="5"/>
            <w:tcBorders>
              <w:top w:val="single" w:sz="2" w:space="0" w:color="000099"/>
              <w:left w:val="single" w:sz="2" w:space="0" w:color="002060"/>
              <w:bottom w:val="single" w:sz="2" w:space="0" w:color="002060"/>
              <w:right w:val="single" w:sz="2" w:space="0" w:color="FFFFFF" w:themeColor="background1"/>
            </w:tcBorders>
            <w:vAlign w:val="center"/>
          </w:tcPr>
          <w:p w14:paraId="3F5AA557" w14:textId="15FF9452" w:rsidR="0005414A" w:rsidRPr="00A16EB2" w:rsidRDefault="0005414A" w:rsidP="0005414A">
            <w:pPr>
              <w:spacing w:before="0" w:after="0" w:line="240" w:lineRule="auto"/>
              <w:jc w:val="center"/>
              <w:rPr>
                <w:rFonts w:eastAsia="Times New Roman" w:cs="Times New Roman"/>
                <w:sz w:val="16"/>
                <w:szCs w:val="16"/>
                <w:lang w:eastAsia="pl-PL"/>
              </w:rPr>
            </w:pPr>
            <w:r w:rsidRPr="00A16EB2">
              <w:rPr>
                <w:rFonts w:eastAsia="Times New Roman" w:cs="Times New Roman"/>
                <w:sz w:val="16"/>
                <w:szCs w:val="16"/>
                <w:lang w:val="en-US" w:eastAsia="pl-PL"/>
              </w:rPr>
              <w:t>in thousands</w:t>
            </w:r>
          </w:p>
        </w:tc>
      </w:tr>
      <w:tr w:rsidR="00A16EB2" w:rsidRPr="00A16EB2" w14:paraId="557A1474" w14:textId="77777777" w:rsidTr="00AF7E11">
        <w:trPr>
          <w:trHeight w:val="227"/>
        </w:trPr>
        <w:tc>
          <w:tcPr>
            <w:tcW w:w="2363" w:type="dxa"/>
            <w:tcBorders>
              <w:top w:val="single" w:sz="12" w:space="0" w:color="002A7E"/>
              <w:left w:val="single" w:sz="2" w:space="0" w:color="FFFFFF" w:themeColor="background1"/>
              <w:right w:val="single" w:sz="2" w:space="0" w:color="002060"/>
            </w:tcBorders>
            <w:vAlign w:val="center"/>
          </w:tcPr>
          <w:p w14:paraId="11DA7814" w14:textId="2BFFB70E" w:rsidR="0005414A" w:rsidRPr="00045407" w:rsidRDefault="0005414A" w:rsidP="00DA385A">
            <w:pPr>
              <w:spacing w:before="0" w:after="0" w:line="240" w:lineRule="auto"/>
              <w:rPr>
                <w:rFonts w:eastAsia="Times New Roman" w:cs="Times New Roman"/>
                <w:b/>
                <w:sz w:val="16"/>
                <w:szCs w:val="16"/>
                <w:lang w:eastAsia="pl-PL"/>
              </w:rPr>
            </w:pPr>
            <w:r w:rsidRPr="00045407">
              <w:rPr>
                <w:rFonts w:eastAsia="Times New Roman" w:cs="Times New Roman"/>
                <w:b/>
                <w:sz w:val="16"/>
                <w:szCs w:val="16"/>
                <w:lang w:val="en-US" w:eastAsia="pl-PL"/>
              </w:rPr>
              <w:t>Total</w:t>
            </w:r>
          </w:p>
        </w:tc>
        <w:tc>
          <w:tcPr>
            <w:tcW w:w="896" w:type="dxa"/>
            <w:tcBorders>
              <w:top w:val="single" w:sz="12" w:space="0" w:color="002A7E"/>
              <w:left w:val="single" w:sz="2" w:space="0" w:color="002060"/>
            </w:tcBorders>
            <w:vAlign w:val="bottom"/>
          </w:tcPr>
          <w:p w14:paraId="053D5250" w14:textId="77777777" w:rsidR="0005414A" w:rsidRPr="00045407" w:rsidRDefault="0005414A" w:rsidP="00AF7E11">
            <w:pPr>
              <w:spacing w:before="0" w:after="0" w:line="240" w:lineRule="auto"/>
              <w:jc w:val="right"/>
              <w:rPr>
                <w:rFonts w:eastAsia="Times New Roman" w:cs="Times New Roman"/>
                <w:b/>
                <w:sz w:val="16"/>
                <w:szCs w:val="16"/>
                <w:lang w:eastAsia="pl-PL"/>
              </w:rPr>
            </w:pPr>
            <w:r w:rsidRPr="00045407">
              <w:rPr>
                <w:rFonts w:eastAsia="Times New Roman" w:cs="Times New Roman"/>
                <w:b/>
                <w:sz w:val="16"/>
                <w:szCs w:val="16"/>
                <w:lang w:eastAsia="pl-PL"/>
              </w:rPr>
              <w:t>30 369</w:t>
            </w:r>
          </w:p>
        </w:tc>
        <w:tc>
          <w:tcPr>
            <w:tcW w:w="896" w:type="dxa"/>
            <w:tcBorders>
              <w:top w:val="single" w:sz="12" w:space="0" w:color="002A7E"/>
            </w:tcBorders>
            <w:vAlign w:val="bottom"/>
          </w:tcPr>
          <w:p w14:paraId="1C8B7FA3" w14:textId="77777777" w:rsidR="0005414A" w:rsidRPr="00045407" w:rsidRDefault="0005414A" w:rsidP="00AF7E11">
            <w:pPr>
              <w:spacing w:before="0" w:after="0" w:line="240" w:lineRule="auto"/>
              <w:jc w:val="right"/>
              <w:rPr>
                <w:rFonts w:eastAsia="Times New Roman" w:cs="Times New Roman"/>
                <w:b/>
                <w:sz w:val="16"/>
                <w:szCs w:val="16"/>
                <w:lang w:eastAsia="pl-PL"/>
              </w:rPr>
            </w:pPr>
            <w:r w:rsidRPr="00045407">
              <w:rPr>
                <w:rFonts w:eastAsia="Times New Roman" w:cs="Times New Roman"/>
                <w:b/>
                <w:sz w:val="16"/>
                <w:szCs w:val="16"/>
                <w:lang w:eastAsia="pl-PL"/>
              </w:rPr>
              <w:t>30 368</w:t>
            </w:r>
          </w:p>
        </w:tc>
        <w:tc>
          <w:tcPr>
            <w:tcW w:w="910" w:type="dxa"/>
            <w:tcBorders>
              <w:top w:val="single" w:sz="12" w:space="0" w:color="000099"/>
            </w:tcBorders>
            <w:vAlign w:val="bottom"/>
          </w:tcPr>
          <w:p w14:paraId="2EAC4903" w14:textId="77777777" w:rsidR="0005414A" w:rsidRPr="00045407" w:rsidRDefault="0005414A" w:rsidP="00AF7E11">
            <w:pPr>
              <w:spacing w:before="0" w:after="0" w:line="240" w:lineRule="auto"/>
              <w:jc w:val="right"/>
              <w:rPr>
                <w:rFonts w:eastAsia="Times New Roman" w:cs="Times New Roman"/>
                <w:b/>
                <w:sz w:val="16"/>
                <w:szCs w:val="16"/>
                <w:lang w:eastAsia="pl-PL"/>
              </w:rPr>
            </w:pPr>
            <w:r w:rsidRPr="00045407">
              <w:rPr>
                <w:rFonts w:eastAsia="Times New Roman" w:cs="Times New Roman"/>
                <w:b/>
                <w:sz w:val="16"/>
                <w:szCs w:val="16"/>
                <w:lang w:eastAsia="pl-PL"/>
              </w:rPr>
              <w:t>30 356</w:t>
            </w:r>
          </w:p>
        </w:tc>
        <w:tc>
          <w:tcPr>
            <w:tcW w:w="1315" w:type="dxa"/>
            <w:tcBorders>
              <w:top w:val="single" w:sz="12" w:space="0" w:color="000099"/>
            </w:tcBorders>
            <w:vAlign w:val="bottom"/>
          </w:tcPr>
          <w:p w14:paraId="2279C5CB"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-12</w:t>
            </w:r>
          </w:p>
        </w:tc>
        <w:tc>
          <w:tcPr>
            <w:tcW w:w="1284" w:type="dxa"/>
            <w:tcBorders>
              <w:top w:val="single" w:sz="12" w:space="0" w:color="000099"/>
              <w:right w:val="single" w:sz="2" w:space="0" w:color="FFFFFF" w:themeColor="background1"/>
            </w:tcBorders>
            <w:vAlign w:val="bottom"/>
          </w:tcPr>
          <w:p w14:paraId="34A5BE16"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-13</w:t>
            </w:r>
          </w:p>
        </w:tc>
      </w:tr>
      <w:tr w:rsidR="00A16EB2" w:rsidRPr="00A16EB2" w14:paraId="1CE1C0DF" w14:textId="77777777" w:rsidTr="00AF7E11">
        <w:trPr>
          <w:trHeight w:val="227"/>
        </w:trPr>
        <w:tc>
          <w:tcPr>
            <w:tcW w:w="2363" w:type="dxa"/>
            <w:tcBorders>
              <w:left w:val="single" w:sz="2" w:space="0" w:color="FFFFFF" w:themeColor="background1"/>
            </w:tcBorders>
            <w:vAlign w:val="center"/>
          </w:tcPr>
          <w:p w14:paraId="476F8466" w14:textId="34E706BF" w:rsidR="0005414A" w:rsidRPr="00045407" w:rsidRDefault="0005414A" w:rsidP="00392467">
            <w:pPr>
              <w:spacing w:before="0" w:after="0" w:line="240" w:lineRule="auto"/>
              <w:ind w:left="29"/>
              <w:rPr>
                <w:rFonts w:eastAsia="Times New Roman" w:cs="Times New Roman"/>
                <w:sz w:val="16"/>
                <w:szCs w:val="16"/>
                <w:lang w:eastAsia="pl-PL"/>
              </w:rPr>
            </w:pPr>
            <w:r w:rsidRPr="00045407">
              <w:rPr>
                <w:rFonts w:eastAsia="Times New Roman" w:cs="Times New Roman"/>
                <w:sz w:val="16"/>
                <w:szCs w:val="16"/>
                <w:lang w:val="en-US" w:eastAsia="pl-PL"/>
              </w:rPr>
              <w:t>Economically active persons</w:t>
            </w:r>
          </w:p>
        </w:tc>
        <w:tc>
          <w:tcPr>
            <w:tcW w:w="896" w:type="dxa"/>
            <w:vAlign w:val="bottom"/>
          </w:tcPr>
          <w:p w14:paraId="1C372A3A"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17 660</w:t>
            </w:r>
          </w:p>
        </w:tc>
        <w:tc>
          <w:tcPr>
            <w:tcW w:w="896" w:type="dxa"/>
            <w:vAlign w:val="bottom"/>
          </w:tcPr>
          <w:p w14:paraId="0B5BBF80"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17 912</w:t>
            </w:r>
          </w:p>
        </w:tc>
        <w:tc>
          <w:tcPr>
            <w:tcW w:w="910" w:type="dxa"/>
            <w:vAlign w:val="bottom"/>
          </w:tcPr>
          <w:p w14:paraId="59CE4F77"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17 817</w:t>
            </w:r>
          </w:p>
        </w:tc>
        <w:tc>
          <w:tcPr>
            <w:tcW w:w="1315" w:type="dxa"/>
            <w:vAlign w:val="bottom"/>
          </w:tcPr>
          <w:p w14:paraId="5ACB6A63"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-95</w:t>
            </w:r>
          </w:p>
        </w:tc>
        <w:tc>
          <w:tcPr>
            <w:tcW w:w="1284" w:type="dxa"/>
            <w:tcBorders>
              <w:right w:val="single" w:sz="2" w:space="0" w:color="FFFFFF" w:themeColor="background1"/>
            </w:tcBorders>
            <w:vAlign w:val="bottom"/>
          </w:tcPr>
          <w:p w14:paraId="48BD2FDB" w14:textId="77777777" w:rsidR="0005414A" w:rsidRPr="00045407" w:rsidRDefault="0005414A" w:rsidP="00AF7E11">
            <w:pPr>
              <w:spacing w:before="0" w:after="0" w:line="240" w:lineRule="auto"/>
              <w:jc w:val="right"/>
              <w:rPr>
                <w:rFonts w:cs="Calibri"/>
                <w:color w:val="000000"/>
                <w:sz w:val="16"/>
                <w:szCs w:val="16"/>
              </w:rPr>
            </w:pPr>
            <w:r w:rsidRPr="00045407">
              <w:rPr>
                <w:rFonts w:cs="Calibri"/>
                <w:color w:val="000000"/>
                <w:sz w:val="16"/>
                <w:szCs w:val="16"/>
              </w:rPr>
              <w:t>157</w:t>
            </w:r>
          </w:p>
        </w:tc>
      </w:tr>
      <w:tr w:rsidR="00A16EB2" w:rsidRPr="00A16EB2" w14:paraId="1B87E071" w14:textId="77777777" w:rsidTr="00AF7E11">
        <w:trPr>
          <w:trHeight w:val="227"/>
        </w:trPr>
        <w:tc>
          <w:tcPr>
            <w:tcW w:w="2363" w:type="dxa"/>
            <w:tcBorders>
              <w:left w:val="single" w:sz="2" w:space="0" w:color="FFFFFF" w:themeColor="background1"/>
            </w:tcBorders>
            <w:vAlign w:val="center"/>
          </w:tcPr>
          <w:p w14:paraId="1BB0FC76" w14:textId="2FACBEC2" w:rsidR="0005414A" w:rsidRPr="00045407" w:rsidRDefault="0005414A" w:rsidP="0005414A">
            <w:pPr>
              <w:spacing w:before="0" w:after="0" w:line="240" w:lineRule="auto"/>
              <w:ind w:left="174"/>
              <w:rPr>
                <w:rFonts w:eastAsia="Times New Roman" w:cs="Times New Roman"/>
                <w:sz w:val="16"/>
                <w:szCs w:val="16"/>
                <w:lang w:eastAsia="pl-PL"/>
              </w:rPr>
            </w:pPr>
            <w:r w:rsidRPr="00045407">
              <w:rPr>
                <w:rFonts w:eastAsia="Times New Roman" w:cs="Times New Roman"/>
                <w:sz w:val="16"/>
                <w:szCs w:val="16"/>
                <w:lang w:val="en-US" w:eastAsia="pl-PL"/>
              </w:rPr>
              <w:t>Employed persons</w:t>
            </w:r>
          </w:p>
        </w:tc>
        <w:tc>
          <w:tcPr>
            <w:tcW w:w="896" w:type="dxa"/>
            <w:vAlign w:val="bottom"/>
          </w:tcPr>
          <w:p w14:paraId="6FD1FF59"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17 060</w:t>
            </w:r>
          </w:p>
        </w:tc>
        <w:tc>
          <w:tcPr>
            <w:tcW w:w="896" w:type="dxa"/>
            <w:vAlign w:val="bottom"/>
          </w:tcPr>
          <w:p w14:paraId="663DFA48"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17 346</w:t>
            </w:r>
          </w:p>
        </w:tc>
        <w:tc>
          <w:tcPr>
            <w:tcW w:w="910" w:type="dxa"/>
            <w:vAlign w:val="bottom"/>
          </w:tcPr>
          <w:p w14:paraId="72B78D38"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17 237</w:t>
            </w:r>
          </w:p>
        </w:tc>
        <w:tc>
          <w:tcPr>
            <w:tcW w:w="1315" w:type="dxa"/>
            <w:vAlign w:val="bottom"/>
          </w:tcPr>
          <w:p w14:paraId="06B1A139"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-109</w:t>
            </w:r>
          </w:p>
        </w:tc>
        <w:tc>
          <w:tcPr>
            <w:tcW w:w="1284" w:type="dxa"/>
            <w:tcBorders>
              <w:right w:val="single" w:sz="2" w:space="0" w:color="FFFFFF" w:themeColor="background1"/>
            </w:tcBorders>
            <w:vAlign w:val="bottom"/>
          </w:tcPr>
          <w:p w14:paraId="6782AF31"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177</w:t>
            </w:r>
          </w:p>
        </w:tc>
      </w:tr>
      <w:tr w:rsidR="00A16EB2" w:rsidRPr="00A16EB2" w14:paraId="3C06591D" w14:textId="77777777" w:rsidTr="00AF7E11">
        <w:trPr>
          <w:trHeight w:val="227"/>
        </w:trPr>
        <w:tc>
          <w:tcPr>
            <w:tcW w:w="2363" w:type="dxa"/>
            <w:tcBorders>
              <w:left w:val="single" w:sz="2" w:space="0" w:color="FFFFFF" w:themeColor="background1"/>
            </w:tcBorders>
            <w:vAlign w:val="center"/>
          </w:tcPr>
          <w:p w14:paraId="46BA0945" w14:textId="698B12E2" w:rsidR="0005414A" w:rsidRPr="00045407" w:rsidRDefault="0005414A" w:rsidP="0005414A">
            <w:pPr>
              <w:spacing w:before="0" w:after="0" w:line="240" w:lineRule="auto"/>
              <w:ind w:left="174"/>
              <w:rPr>
                <w:rFonts w:eastAsia="Times New Roman" w:cs="Times New Roman"/>
                <w:sz w:val="16"/>
                <w:szCs w:val="16"/>
                <w:lang w:eastAsia="pl-PL"/>
              </w:rPr>
            </w:pPr>
            <w:r w:rsidRPr="00045407">
              <w:rPr>
                <w:rFonts w:eastAsia="Times New Roman" w:cs="Times New Roman"/>
                <w:sz w:val="16"/>
                <w:szCs w:val="16"/>
                <w:lang w:val="en-US" w:eastAsia="pl-PL"/>
              </w:rPr>
              <w:t>Unemployed persons</w:t>
            </w:r>
          </w:p>
        </w:tc>
        <w:tc>
          <w:tcPr>
            <w:tcW w:w="896" w:type="dxa"/>
            <w:vAlign w:val="bottom"/>
          </w:tcPr>
          <w:p w14:paraId="6A027B13"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600</w:t>
            </w:r>
          </w:p>
        </w:tc>
        <w:tc>
          <w:tcPr>
            <w:tcW w:w="896" w:type="dxa"/>
            <w:vAlign w:val="bottom"/>
          </w:tcPr>
          <w:p w14:paraId="7C386E07"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567</w:t>
            </w:r>
          </w:p>
        </w:tc>
        <w:tc>
          <w:tcPr>
            <w:tcW w:w="910" w:type="dxa"/>
            <w:vAlign w:val="bottom"/>
          </w:tcPr>
          <w:p w14:paraId="1BE1F27D"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580</w:t>
            </w:r>
          </w:p>
        </w:tc>
        <w:tc>
          <w:tcPr>
            <w:tcW w:w="1315" w:type="dxa"/>
            <w:vAlign w:val="bottom"/>
          </w:tcPr>
          <w:p w14:paraId="46206746"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13</w:t>
            </w:r>
          </w:p>
        </w:tc>
        <w:tc>
          <w:tcPr>
            <w:tcW w:w="1284" w:type="dxa"/>
            <w:tcBorders>
              <w:right w:val="single" w:sz="2" w:space="0" w:color="FFFFFF" w:themeColor="background1"/>
            </w:tcBorders>
            <w:vAlign w:val="bottom"/>
          </w:tcPr>
          <w:p w14:paraId="6426B54E"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-20</w:t>
            </w:r>
          </w:p>
        </w:tc>
      </w:tr>
      <w:tr w:rsidR="00A16EB2" w:rsidRPr="00A16EB2" w14:paraId="0C8ADECC" w14:textId="77777777" w:rsidTr="00AF7E11">
        <w:trPr>
          <w:trHeight w:val="227"/>
        </w:trPr>
        <w:tc>
          <w:tcPr>
            <w:tcW w:w="2363" w:type="dxa"/>
            <w:tcBorders>
              <w:left w:val="single" w:sz="2" w:space="0" w:color="FFFFFF" w:themeColor="background1"/>
            </w:tcBorders>
            <w:vAlign w:val="center"/>
          </w:tcPr>
          <w:p w14:paraId="5A9576F7" w14:textId="653E5028" w:rsidR="0005414A" w:rsidRPr="00045407" w:rsidRDefault="0005414A" w:rsidP="00392467">
            <w:pPr>
              <w:spacing w:before="0" w:after="0" w:line="240" w:lineRule="auto"/>
              <w:ind w:left="29"/>
              <w:rPr>
                <w:rFonts w:eastAsia="Times New Roman" w:cs="Times New Roman"/>
                <w:sz w:val="16"/>
                <w:szCs w:val="16"/>
                <w:lang w:eastAsia="pl-PL"/>
              </w:rPr>
            </w:pPr>
            <w:r w:rsidRPr="00045407">
              <w:rPr>
                <w:rFonts w:eastAsia="Times New Roman" w:cs="Times New Roman"/>
                <w:sz w:val="16"/>
                <w:szCs w:val="16"/>
                <w:lang w:val="en-US" w:eastAsia="pl-PL"/>
              </w:rPr>
              <w:t>Economically inactive persons</w:t>
            </w:r>
          </w:p>
        </w:tc>
        <w:tc>
          <w:tcPr>
            <w:tcW w:w="896" w:type="dxa"/>
            <w:vAlign w:val="bottom"/>
          </w:tcPr>
          <w:p w14:paraId="3301BBDF"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12 709</w:t>
            </w:r>
          </w:p>
        </w:tc>
        <w:tc>
          <w:tcPr>
            <w:tcW w:w="896" w:type="dxa"/>
            <w:vAlign w:val="bottom"/>
          </w:tcPr>
          <w:p w14:paraId="64912131"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12 456</w:t>
            </w:r>
          </w:p>
        </w:tc>
        <w:tc>
          <w:tcPr>
            <w:tcW w:w="910" w:type="dxa"/>
            <w:vAlign w:val="bottom"/>
          </w:tcPr>
          <w:p w14:paraId="2EB34412"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12 538</w:t>
            </w:r>
          </w:p>
        </w:tc>
        <w:tc>
          <w:tcPr>
            <w:tcW w:w="1315" w:type="dxa"/>
            <w:vAlign w:val="bottom"/>
          </w:tcPr>
          <w:p w14:paraId="2E473644"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82</w:t>
            </w:r>
          </w:p>
        </w:tc>
        <w:tc>
          <w:tcPr>
            <w:tcW w:w="1284" w:type="dxa"/>
            <w:tcBorders>
              <w:right w:val="single" w:sz="2" w:space="0" w:color="FFFFFF" w:themeColor="background1"/>
            </w:tcBorders>
            <w:vAlign w:val="bottom"/>
          </w:tcPr>
          <w:p w14:paraId="7CF98C5E" w14:textId="77777777" w:rsidR="0005414A" w:rsidRPr="00045407" w:rsidRDefault="0005414A"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-171</w:t>
            </w:r>
          </w:p>
        </w:tc>
      </w:tr>
      <w:tr w:rsidR="00392467" w:rsidRPr="00E85968" w14:paraId="4850E80A" w14:textId="77777777" w:rsidTr="00AF7E11">
        <w:trPr>
          <w:trHeight w:val="288"/>
        </w:trPr>
        <w:tc>
          <w:tcPr>
            <w:tcW w:w="7664" w:type="dxa"/>
            <w:gridSpan w:val="6"/>
            <w:tcBorders>
              <w:left w:val="single" w:sz="2" w:space="0" w:color="FFFFFF" w:themeColor="background1"/>
              <w:right w:val="single" w:sz="2" w:space="0" w:color="FFFFFF" w:themeColor="background1"/>
            </w:tcBorders>
            <w:vAlign w:val="center"/>
          </w:tcPr>
          <w:p w14:paraId="7FB4709B" w14:textId="3B302725" w:rsidR="00392467" w:rsidRPr="00045407" w:rsidRDefault="00392467" w:rsidP="00AF7E11">
            <w:pPr>
              <w:spacing w:before="0" w:after="0" w:line="240" w:lineRule="auto"/>
              <w:jc w:val="center"/>
              <w:rPr>
                <w:rFonts w:eastAsia="Times New Roman" w:cs="Times New Roman"/>
                <w:sz w:val="16"/>
                <w:szCs w:val="16"/>
                <w:lang w:val="en-US" w:eastAsia="pl-PL"/>
              </w:rPr>
            </w:pPr>
            <w:r w:rsidRPr="00045407">
              <w:rPr>
                <w:rFonts w:eastAsia="Times New Roman" w:cs="Times New Roman"/>
                <w:sz w:val="16"/>
                <w:szCs w:val="16"/>
                <w:lang w:val="en-US" w:eastAsia="pl-PL"/>
              </w:rPr>
              <w:t xml:space="preserve">of which at </w:t>
            </w:r>
            <w:r w:rsidR="0046250C">
              <w:rPr>
                <w:rFonts w:eastAsia="Times New Roman" w:cs="Times New Roman"/>
                <w:sz w:val="16"/>
                <w:szCs w:val="16"/>
                <w:lang w:val="en-US" w:eastAsia="pl-PL"/>
              </w:rPr>
              <w:t xml:space="preserve">the </w:t>
            </w:r>
            <w:r w:rsidRPr="00045407">
              <w:rPr>
                <w:rFonts w:eastAsia="Times New Roman" w:cs="Times New Roman"/>
                <w:sz w:val="16"/>
                <w:szCs w:val="16"/>
                <w:lang w:val="en-US" w:eastAsia="pl-PL"/>
              </w:rPr>
              <w:t>working age</w:t>
            </w:r>
          </w:p>
        </w:tc>
      </w:tr>
      <w:tr w:rsidR="00392467" w:rsidRPr="00A16EB2" w14:paraId="313319FB" w14:textId="77777777" w:rsidTr="00AF7E11">
        <w:trPr>
          <w:trHeight w:val="227"/>
        </w:trPr>
        <w:tc>
          <w:tcPr>
            <w:tcW w:w="2363" w:type="dxa"/>
            <w:tcBorders>
              <w:left w:val="single" w:sz="2" w:space="0" w:color="FFFFFF" w:themeColor="background1"/>
            </w:tcBorders>
            <w:vAlign w:val="center"/>
          </w:tcPr>
          <w:p w14:paraId="04C57821" w14:textId="7C052F52" w:rsidR="00392467" w:rsidRPr="00045407" w:rsidRDefault="00392467" w:rsidP="00392467">
            <w:pPr>
              <w:spacing w:before="0" w:after="0" w:line="240" w:lineRule="auto"/>
              <w:rPr>
                <w:rFonts w:eastAsia="Times New Roman" w:cs="Times New Roman"/>
                <w:sz w:val="16"/>
                <w:szCs w:val="16"/>
                <w:lang w:val="en-US" w:eastAsia="pl-PL"/>
              </w:rPr>
            </w:pPr>
            <w:r w:rsidRPr="00045407">
              <w:rPr>
                <w:rFonts w:eastAsia="Times New Roman" w:cs="Times New Roman"/>
                <w:b/>
                <w:sz w:val="16"/>
                <w:szCs w:val="16"/>
                <w:lang w:val="en-US" w:eastAsia="pl-PL"/>
              </w:rPr>
              <w:t>Total</w:t>
            </w:r>
          </w:p>
        </w:tc>
        <w:tc>
          <w:tcPr>
            <w:tcW w:w="896" w:type="dxa"/>
            <w:vAlign w:val="bottom"/>
          </w:tcPr>
          <w:p w14:paraId="269E4808" w14:textId="48A36E1C" w:rsidR="00392467" w:rsidRPr="006C20FF" w:rsidRDefault="00392467" w:rsidP="00AF7E11">
            <w:pPr>
              <w:spacing w:before="0" w:after="0" w:line="240" w:lineRule="auto"/>
              <w:jc w:val="right"/>
              <w:rPr>
                <w:rFonts w:eastAsia="Times New Roman" w:cs="Times New Roman"/>
                <w:b/>
                <w:sz w:val="16"/>
                <w:szCs w:val="16"/>
                <w:lang w:eastAsia="pl-PL"/>
              </w:rPr>
            </w:pPr>
            <w:r w:rsidRPr="006C20FF">
              <w:rPr>
                <w:rFonts w:eastAsia="Times New Roman" w:cs="Times New Roman"/>
                <w:b/>
                <w:sz w:val="16"/>
                <w:szCs w:val="16"/>
                <w:lang w:eastAsia="pl-PL"/>
              </w:rPr>
              <w:t>20 731</w:t>
            </w:r>
          </w:p>
        </w:tc>
        <w:tc>
          <w:tcPr>
            <w:tcW w:w="896" w:type="dxa"/>
            <w:vAlign w:val="bottom"/>
          </w:tcPr>
          <w:p w14:paraId="213E1DAB" w14:textId="40C402C3" w:rsidR="00392467" w:rsidRPr="006C20FF" w:rsidRDefault="00392467" w:rsidP="00AF7E11">
            <w:pPr>
              <w:spacing w:before="0" w:after="0" w:line="240" w:lineRule="auto"/>
              <w:jc w:val="right"/>
              <w:rPr>
                <w:rFonts w:eastAsia="Times New Roman" w:cs="Times New Roman"/>
                <w:b/>
                <w:sz w:val="16"/>
                <w:szCs w:val="16"/>
                <w:lang w:eastAsia="pl-PL"/>
              </w:rPr>
            </w:pPr>
            <w:r w:rsidRPr="006C20FF">
              <w:rPr>
                <w:rFonts w:eastAsia="Times New Roman" w:cs="Times New Roman"/>
                <w:b/>
                <w:sz w:val="16"/>
                <w:szCs w:val="16"/>
                <w:lang w:eastAsia="pl-PL"/>
              </w:rPr>
              <w:t>20 645</w:t>
            </w:r>
          </w:p>
        </w:tc>
        <w:tc>
          <w:tcPr>
            <w:tcW w:w="910" w:type="dxa"/>
            <w:vAlign w:val="bottom"/>
          </w:tcPr>
          <w:p w14:paraId="6704FCE4" w14:textId="3AAABD78" w:rsidR="00392467" w:rsidRPr="006C20FF" w:rsidRDefault="00392467" w:rsidP="00AF7E11">
            <w:pPr>
              <w:spacing w:before="0" w:after="0" w:line="240" w:lineRule="auto"/>
              <w:jc w:val="right"/>
              <w:rPr>
                <w:rFonts w:eastAsia="Times New Roman" w:cs="Times New Roman"/>
                <w:b/>
                <w:sz w:val="16"/>
                <w:szCs w:val="16"/>
                <w:lang w:eastAsia="pl-PL"/>
              </w:rPr>
            </w:pPr>
            <w:r w:rsidRPr="006C20FF">
              <w:rPr>
                <w:rFonts w:eastAsia="Times New Roman" w:cs="Times New Roman"/>
                <w:b/>
                <w:sz w:val="16"/>
                <w:szCs w:val="16"/>
                <w:lang w:eastAsia="pl-PL"/>
              </w:rPr>
              <w:t>20 619</w:t>
            </w:r>
          </w:p>
        </w:tc>
        <w:tc>
          <w:tcPr>
            <w:tcW w:w="1315" w:type="dxa"/>
            <w:vAlign w:val="bottom"/>
          </w:tcPr>
          <w:p w14:paraId="45669384" w14:textId="43337B23"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-26</w:t>
            </w:r>
          </w:p>
        </w:tc>
        <w:tc>
          <w:tcPr>
            <w:tcW w:w="1284" w:type="dxa"/>
            <w:tcBorders>
              <w:right w:val="single" w:sz="2" w:space="0" w:color="FFFFFF" w:themeColor="background1"/>
            </w:tcBorders>
            <w:vAlign w:val="bottom"/>
          </w:tcPr>
          <w:p w14:paraId="0B35FCE2" w14:textId="2907BFB0" w:rsidR="00392467" w:rsidRPr="00045407" w:rsidRDefault="00392467" w:rsidP="00AF7E11">
            <w:pPr>
              <w:spacing w:before="0" w:after="0" w:line="240" w:lineRule="auto"/>
              <w:jc w:val="right"/>
              <w:rPr>
                <w:rFonts w:cs="Calibri"/>
                <w:color w:val="000000"/>
                <w:sz w:val="16"/>
                <w:szCs w:val="16"/>
              </w:rPr>
            </w:pPr>
            <w:r w:rsidRPr="00045407">
              <w:rPr>
                <w:rFonts w:eastAsia="Times New Roman" w:cs="Times New Roman"/>
                <w:sz w:val="16"/>
                <w:szCs w:val="16"/>
                <w:lang w:eastAsia="pl-PL"/>
              </w:rPr>
              <w:t>-112</w:t>
            </w:r>
          </w:p>
        </w:tc>
      </w:tr>
      <w:tr w:rsidR="00392467" w:rsidRPr="00A16EB2" w14:paraId="46960D00" w14:textId="77777777" w:rsidTr="00AF7E11">
        <w:trPr>
          <w:trHeight w:val="227"/>
        </w:trPr>
        <w:tc>
          <w:tcPr>
            <w:tcW w:w="2363" w:type="dxa"/>
            <w:tcBorders>
              <w:left w:val="single" w:sz="2" w:space="0" w:color="FFFFFF" w:themeColor="background1"/>
            </w:tcBorders>
            <w:vAlign w:val="center"/>
          </w:tcPr>
          <w:p w14:paraId="62E299AD" w14:textId="2AF8897E" w:rsidR="00392467" w:rsidRPr="00045407" w:rsidRDefault="00392467" w:rsidP="00392467">
            <w:pPr>
              <w:spacing w:before="0" w:after="0" w:line="240" w:lineRule="auto"/>
              <w:ind w:left="29"/>
              <w:rPr>
                <w:rFonts w:eastAsia="Times New Roman" w:cs="Times New Roman"/>
                <w:sz w:val="16"/>
                <w:szCs w:val="16"/>
                <w:lang w:eastAsia="pl-PL"/>
              </w:rPr>
            </w:pPr>
            <w:r w:rsidRPr="00045407">
              <w:rPr>
                <w:rFonts w:eastAsia="Times New Roman" w:cs="Times New Roman"/>
                <w:sz w:val="16"/>
                <w:szCs w:val="16"/>
                <w:lang w:val="en-US" w:eastAsia="pl-PL"/>
              </w:rPr>
              <w:t>Economically active persons</w:t>
            </w:r>
          </w:p>
        </w:tc>
        <w:tc>
          <w:tcPr>
            <w:tcW w:w="896" w:type="dxa"/>
            <w:vAlign w:val="bottom"/>
          </w:tcPr>
          <w:p w14:paraId="2A2E7E15"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16 872</w:t>
            </w:r>
          </w:p>
        </w:tc>
        <w:tc>
          <w:tcPr>
            <w:tcW w:w="896" w:type="dxa"/>
            <w:vAlign w:val="bottom"/>
          </w:tcPr>
          <w:p w14:paraId="54A7A53F"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17 025</w:t>
            </w:r>
          </w:p>
        </w:tc>
        <w:tc>
          <w:tcPr>
            <w:tcW w:w="910" w:type="dxa"/>
            <w:vAlign w:val="bottom"/>
          </w:tcPr>
          <w:p w14:paraId="3E7B55E0"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16 954</w:t>
            </w:r>
          </w:p>
        </w:tc>
        <w:tc>
          <w:tcPr>
            <w:tcW w:w="1315" w:type="dxa"/>
            <w:vAlign w:val="bottom"/>
          </w:tcPr>
          <w:p w14:paraId="1C9A531C"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-71</w:t>
            </w:r>
          </w:p>
        </w:tc>
        <w:tc>
          <w:tcPr>
            <w:tcW w:w="1284" w:type="dxa"/>
            <w:tcBorders>
              <w:right w:val="single" w:sz="2" w:space="0" w:color="FFFFFF" w:themeColor="background1"/>
            </w:tcBorders>
            <w:vAlign w:val="bottom"/>
          </w:tcPr>
          <w:p w14:paraId="67731FC1"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cs="Calibri"/>
                <w:color w:val="000000"/>
                <w:sz w:val="16"/>
                <w:szCs w:val="16"/>
              </w:rPr>
              <w:t>82</w:t>
            </w:r>
          </w:p>
        </w:tc>
      </w:tr>
      <w:tr w:rsidR="00392467" w:rsidRPr="00A16EB2" w14:paraId="4299F908" w14:textId="77777777" w:rsidTr="00AF7E11">
        <w:trPr>
          <w:trHeight w:val="227"/>
        </w:trPr>
        <w:tc>
          <w:tcPr>
            <w:tcW w:w="2363" w:type="dxa"/>
            <w:tcBorders>
              <w:left w:val="single" w:sz="2" w:space="0" w:color="FFFFFF" w:themeColor="background1"/>
            </w:tcBorders>
            <w:vAlign w:val="center"/>
          </w:tcPr>
          <w:p w14:paraId="057D8355" w14:textId="17B0F285" w:rsidR="00392467" w:rsidRPr="00045407" w:rsidRDefault="00392467" w:rsidP="00392467">
            <w:pPr>
              <w:spacing w:before="0" w:after="0" w:line="240" w:lineRule="auto"/>
              <w:ind w:left="174"/>
              <w:rPr>
                <w:rFonts w:eastAsia="Times New Roman" w:cs="Times New Roman"/>
                <w:sz w:val="16"/>
                <w:szCs w:val="16"/>
                <w:lang w:eastAsia="pl-PL"/>
              </w:rPr>
            </w:pPr>
            <w:r w:rsidRPr="00045407">
              <w:rPr>
                <w:rFonts w:eastAsia="Times New Roman" w:cs="Times New Roman"/>
                <w:sz w:val="16"/>
                <w:szCs w:val="16"/>
                <w:lang w:val="en-US" w:eastAsia="pl-PL"/>
              </w:rPr>
              <w:t>Employed persons</w:t>
            </w:r>
          </w:p>
        </w:tc>
        <w:tc>
          <w:tcPr>
            <w:tcW w:w="896" w:type="dxa"/>
            <w:vAlign w:val="bottom"/>
          </w:tcPr>
          <w:p w14:paraId="3B240E8C"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16 280</w:t>
            </w:r>
          </w:p>
        </w:tc>
        <w:tc>
          <w:tcPr>
            <w:tcW w:w="896" w:type="dxa"/>
            <w:vAlign w:val="bottom"/>
          </w:tcPr>
          <w:p w14:paraId="714EF350"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16 466</w:t>
            </w:r>
          </w:p>
        </w:tc>
        <w:tc>
          <w:tcPr>
            <w:tcW w:w="910" w:type="dxa"/>
            <w:vAlign w:val="bottom"/>
          </w:tcPr>
          <w:p w14:paraId="7CD937D3"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16 386</w:t>
            </w:r>
          </w:p>
        </w:tc>
        <w:tc>
          <w:tcPr>
            <w:tcW w:w="1315" w:type="dxa"/>
            <w:vAlign w:val="bottom"/>
          </w:tcPr>
          <w:p w14:paraId="343F8BEB"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-80</w:t>
            </w:r>
          </w:p>
        </w:tc>
        <w:tc>
          <w:tcPr>
            <w:tcW w:w="1284" w:type="dxa"/>
            <w:tcBorders>
              <w:right w:val="single" w:sz="2" w:space="0" w:color="FFFFFF" w:themeColor="background1"/>
            </w:tcBorders>
            <w:vAlign w:val="bottom"/>
          </w:tcPr>
          <w:p w14:paraId="04E7905D"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106</w:t>
            </w:r>
          </w:p>
        </w:tc>
      </w:tr>
      <w:tr w:rsidR="00392467" w:rsidRPr="00A16EB2" w14:paraId="42D9D1FB" w14:textId="77777777" w:rsidTr="00AF7E11">
        <w:trPr>
          <w:trHeight w:val="227"/>
        </w:trPr>
        <w:tc>
          <w:tcPr>
            <w:tcW w:w="2363" w:type="dxa"/>
            <w:tcBorders>
              <w:left w:val="single" w:sz="2" w:space="0" w:color="FFFFFF" w:themeColor="background1"/>
            </w:tcBorders>
            <w:vAlign w:val="center"/>
          </w:tcPr>
          <w:p w14:paraId="27F3790E" w14:textId="188C5C08" w:rsidR="00392467" w:rsidRPr="00045407" w:rsidRDefault="00392467" w:rsidP="00392467">
            <w:pPr>
              <w:spacing w:before="0" w:after="0" w:line="240" w:lineRule="auto"/>
              <w:ind w:left="174"/>
              <w:rPr>
                <w:rFonts w:eastAsia="Times New Roman" w:cs="Times New Roman"/>
                <w:sz w:val="16"/>
                <w:szCs w:val="16"/>
                <w:lang w:eastAsia="pl-PL"/>
              </w:rPr>
            </w:pPr>
            <w:r w:rsidRPr="00045407">
              <w:rPr>
                <w:rFonts w:eastAsia="Times New Roman" w:cs="Times New Roman"/>
                <w:sz w:val="16"/>
                <w:szCs w:val="16"/>
                <w:lang w:val="en-US" w:eastAsia="pl-PL"/>
              </w:rPr>
              <w:t>Unemployed persons</w:t>
            </w:r>
          </w:p>
        </w:tc>
        <w:tc>
          <w:tcPr>
            <w:tcW w:w="896" w:type="dxa"/>
            <w:vAlign w:val="bottom"/>
          </w:tcPr>
          <w:p w14:paraId="4277DD0F"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593</w:t>
            </w:r>
          </w:p>
        </w:tc>
        <w:tc>
          <w:tcPr>
            <w:tcW w:w="896" w:type="dxa"/>
            <w:vAlign w:val="bottom"/>
          </w:tcPr>
          <w:p w14:paraId="0B687386"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559</w:t>
            </w:r>
          </w:p>
        </w:tc>
        <w:tc>
          <w:tcPr>
            <w:tcW w:w="910" w:type="dxa"/>
            <w:vAlign w:val="bottom"/>
          </w:tcPr>
          <w:p w14:paraId="4124A4CF"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568</w:t>
            </w:r>
          </w:p>
        </w:tc>
        <w:tc>
          <w:tcPr>
            <w:tcW w:w="1315" w:type="dxa"/>
            <w:vAlign w:val="bottom"/>
          </w:tcPr>
          <w:p w14:paraId="35D37DD4"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9</w:t>
            </w:r>
          </w:p>
        </w:tc>
        <w:tc>
          <w:tcPr>
            <w:tcW w:w="1284" w:type="dxa"/>
            <w:tcBorders>
              <w:right w:val="single" w:sz="2" w:space="0" w:color="FFFFFF" w:themeColor="background1"/>
            </w:tcBorders>
            <w:vAlign w:val="bottom"/>
          </w:tcPr>
          <w:p w14:paraId="0D8F05AF"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-25</w:t>
            </w:r>
          </w:p>
        </w:tc>
      </w:tr>
      <w:tr w:rsidR="00392467" w:rsidRPr="00A16EB2" w14:paraId="0F82DEE9" w14:textId="77777777" w:rsidTr="00AF7E11">
        <w:trPr>
          <w:trHeight w:val="227"/>
        </w:trPr>
        <w:tc>
          <w:tcPr>
            <w:tcW w:w="2363" w:type="dxa"/>
            <w:tcBorders>
              <w:left w:val="single" w:sz="2" w:space="0" w:color="FFFFFF" w:themeColor="background1"/>
            </w:tcBorders>
            <w:vAlign w:val="center"/>
          </w:tcPr>
          <w:p w14:paraId="395967FF" w14:textId="0D435F0C" w:rsidR="00392467" w:rsidRPr="00045407" w:rsidRDefault="00392467" w:rsidP="00392467">
            <w:pPr>
              <w:spacing w:before="0" w:after="0" w:line="240" w:lineRule="auto"/>
              <w:ind w:left="29"/>
              <w:rPr>
                <w:rFonts w:eastAsia="Times New Roman" w:cs="Times New Roman"/>
                <w:sz w:val="16"/>
                <w:szCs w:val="16"/>
                <w:lang w:eastAsia="pl-PL"/>
              </w:rPr>
            </w:pPr>
            <w:r w:rsidRPr="00045407">
              <w:rPr>
                <w:rFonts w:eastAsia="Times New Roman" w:cs="Times New Roman"/>
                <w:sz w:val="16"/>
                <w:szCs w:val="16"/>
                <w:lang w:val="en-US" w:eastAsia="pl-PL"/>
              </w:rPr>
              <w:t>Economically inactive persons</w:t>
            </w:r>
          </w:p>
        </w:tc>
        <w:tc>
          <w:tcPr>
            <w:tcW w:w="896" w:type="dxa"/>
            <w:vAlign w:val="bottom"/>
          </w:tcPr>
          <w:p w14:paraId="35F76500"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3 859</w:t>
            </w:r>
          </w:p>
        </w:tc>
        <w:tc>
          <w:tcPr>
            <w:tcW w:w="896" w:type="dxa"/>
            <w:vAlign w:val="bottom"/>
          </w:tcPr>
          <w:p w14:paraId="6EEA6FCA"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3 620</w:t>
            </w:r>
          </w:p>
        </w:tc>
        <w:tc>
          <w:tcPr>
            <w:tcW w:w="910" w:type="dxa"/>
            <w:vAlign w:val="bottom"/>
          </w:tcPr>
          <w:p w14:paraId="32CF7A77"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3 665</w:t>
            </w:r>
          </w:p>
        </w:tc>
        <w:tc>
          <w:tcPr>
            <w:tcW w:w="1315" w:type="dxa"/>
            <w:vAlign w:val="bottom"/>
          </w:tcPr>
          <w:p w14:paraId="5C99F83A"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45</w:t>
            </w:r>
          </w:p>
        </w:tc>
        <w:tc>
          <w:tcPr>
            <w:tcW w:w="1284" w:type="dxa"/>
            <w:tcBorders>
              <w:right w:val="single" w:sz="2" w:space="0" w:color="FFFFFF" w:themeColor="background1"/>
            </w:tcBorders>
            <w:vAlign w:val="bottom"/>
          </w:tcPr>
          <w:p w14:paraId="19D4B079" w14:textId="77777777" w:rsidR="00392467" w:rsidRPr="00045407" w:rsidRDefault="00392467" w:rsidP="00AF7E11">
            <w:pPr>
              <w:spacing w:before="0" w:after="0" w:line="240" w:lineRule="auto"/>
              <w:jc w:val="right"/>
              <w:rPr>
                <w:rFonts w:eastAsia="Times New Roman" w:cs="Times New Roman"/>
                <w:sz w:val="16"/>
                <w:szCs w:val="16"/>
                <w:lang w:eastAsia="pl-PL"/>
              </w:rPr>
            </w:pPr>
            <w:r w:rsidRPr="00045407">
              <w:rPr>
                <w:rFonts w:eastAsia="Times New Roman" w:cs="Times New Roman"/>
                <w:sz w:val="16"/>
                <w:szCs w:val="16"/>
                <w:lang w:eastAsia="pl-PL"/>
              </w:rPr>
              <w:t>-194</w:t>
            </w:r>
          </w:p>
        </w:tc>
      </w:tr>
    </w:tbl>
    <w:p w14:paraId="6AA26ADC" w14:textId="77777777" w:rsidR="006A1F40" w:rsidRDefault="006A1F40" w:rsidP="002C58DE">
      <w:pPr>
        <w:spacing w:line="288" w:lineRule="auto"/>
        <w:rPr>
          <w:rFonts w:eastAsia="Times New Roman" w:cs="Times New Roman"/>
          <w:szCs w:val="19"/>
          <w:lang w:val="en-GB" w:eastAsia="pl-PL"/>
        </w:rPr>
      </w:pPr>
    </w:p>
    <w:p w14:paraId="23287BB2" w14:textId="10D9AE1E" w:rsidR="00077101" w:rsidRPr="007D5E3B" w:rsidRDefault="00E50D8C" w:rsidP="007D5E3B">
      <w:pPr>
        <w:spacing w:line="288" w:lineRule="auto"/>
        <w:ind w:left="851" w:hanging="851"/>
        <w:rPr>
          <w:rFonts w:eastAsia="Times New Roman" w:cs="Times New Roman"/>
          <w:b/>
          <w:szCs w:val="19"/>
          <w:lang w:val="en-GB" w:eastAsia="pl-PL"/>
        </w:rPr>
      </w:pPr>
      <w:r w:rsidRPr="00E50D8C">
        <w:rPr>
          <w:rFonts w:eastAsia="Times New Roman" w:cs="Times New Roman"/>
          <w:b/>
          <w:szCs w:val="19"/>
          <w:lang w:val="en-GB" w:eastAsia="pl-PL"/>
        </w:rPr>
        <w:t>Chart</w:t>
      </w:r>
      <w:r w:rsidR="00CE2E7B">
        <w:rPr>
          <w:rFonts w:eastAsia="Times New Roman" w:cs="Times New Roman"/>
          <w:b/>
          <w:szCs w:val="19"/>
          <w:lang w:val="en-GB" w:eastAsia="pl-PL"/>
        </w:rPr>
        <w:t xml:space="preserve"> </w:t>
      </w:r>
      <w:r w:rsidRPr="00E50D8C">
        <w:rPr>
          <w:rFonts w:eastAsia="Times New Roman" w:cs="Times New Roman"/>
          <w:b/>
          <w:szCs w:val="19"/>
          <w:lang w:val="en-GB" w:eastAsia="pl-PL"/>
        </w:rPr>
        <w:t>1.</w:t>
      </w:r>
      <w:r>
        <w:rPr>
          <w:rFonts w:eastAsia="Times New Roman" w:cs="Times New Roman"/>
          <w:b/>
          <w:szCs w:val="19"/>
          <w:lang w:val="en-GB" w:eastAsia="pl-PL"/>
        </w:rPr>
        <w:tab/>
      </w:r>
      <w:r w:rsidRPr="00E50D8C">
        <w:rPr>
          <w:rFonts w:eastAsia="Times New Roman" w:cs="Times New Roman"/>
          <w:b/>
          <w:szCs w:val="19"/>
          <w:lang w:val="en-GB" w:eastAsia="pl-PL"/>
        </w:rPr>
        <w:t xml:space="preserve">Structure of the population aged 15-89 </w:t>
      </w:r>
      <w:r w:rsidR="00C000F7">
        <w:rPr>
          <w:rFonts w:eastAsia="Times New Roman" w:cs="Times New Roman"/>
          <w:b/>
          <w:szCs w:val="19"/>
          <w:lang w:val="en-GB" w:eastAsia="pl-PL"/>
        </w:rPr>
        <w:t xml:space="preserve">and </w:t>
      </w:r>
      <w:r w:rsidR="00D46E15">
        <w:rPr>
          <w:rFonts w:eastAsia="Times New Roman" w:cs="Times New Roman"/>
          <w:b/>
          <w:szCs w:val="19"/>
          <w:lang w:val="en-GB" w:eastAsia="pl-PL"/>
        </w:rPr>
        <w:t>at</w:t>
      </w:r>
      <w:r w:rsidR="00C000F7">
        <w:rPr>
          <w:rFonts w:eastAsia="Times New Roman" w:cs="Times New Roman"/>
          <w:b/>
          <w:szCs w:val="19"/>
          <w:lang w:val="en-GB" w:eastAsia="pl-PL"/>
        </w:rPr>
        <w:t xml:space="preserve"> </w:t>
      </w:r>
      <w:r w:rsidR="00EA0365">
        <w:rPr>
          <w:rFonts w:eastAsia="Times New Roman" w:cs="Times New Roman"/>
          <w:b/>
          <w:szCs w:val="19"/>
          <w:lang w:val="en-GB" w:eastAsia="pl-PL"/>
        </w:rPr>
        <w:t xml:space="preserve">the </w:t>
      </w:r>
      <w:r w:rsidR="00C000F7">
        <w:rPr>
          <w:rFonts w:eastAsia="Times New Roman" w:cs="Times New Roman"/>
          <w:b/>
          <w:szCs w:val="19"/>
          <w:lang w:val="en-GB" w:eastAsia="pl-PL"/>
        </w:rPr>
        <w:t xml:space="preserve">working age </w:t>
      </w:r>
      <w:r w:rsidRPr="00E50D8C">
        <w:rPr>
          <w:rFonts w:eastAsia="Times New Roman" w:cs="Times New Roman"/>
          <w:b/>
          <w:szCs w:val="19"/>
          <w:lang w:val="en-GB" w:eastAsia="pl-PL"/>
        </w:rPr>
        <w:t xml:space="preserve">by status on the labour market in the </w:t>
      </w:r>
      <w:r w:rsidR="00A06793">
        <w:rPr>
          <w:rFonts w:eastAsia="Times New Roman" w:cs="Times New Roman"/>
          <w:b/>
          <w:szCs w:val="19"/>
          <w:lang w:val="en-GB" w:eastAsia="pl-PL"/>
        </w:rPr>
        <w:t>first</w:t>
      </w:r>
      <w:r w:rsidRPr="00E50D8C">
        <w:rPr>
          <w:rFonts w:eastAsia="Times New Roman" w:cs="Times New Roman"/>
          <w:b/>
          <w:szCs w:val="19"/>
          <w:lang w:val="en-GB" w:eastAsia="pl-PL"/>
        </w:rPr>
        <w:t xml:space="preserve"> quarter of 202</w:t>
      </w:r>
      <w:r w:rsidR="00A06793">
        <w:rPr>
          <w:rFonts w:eastAsia="Times New Roman" w:cs="Times New Roman"/>
          <w:b/>
          <w:szCs w:val="19"/>
          <w:lang w:val="en-GB" w:eastAsia="pl-PL"/>
        </w:rPr>
        <w:t>6</w:t>
      </w:r>
    </w:p>
    <w:p w14:paraId="745B39CC" w14:textId="78180ED3" w:rsidR="00432687" w:rsidRDefault="009069F0">
      <w:pPr>
        <w:spacing w:before="0" w:line="288" w:lineRule="auto"/>
        <w:jc w:val="center"/>
        <w:rPr>
          <w:shd w:val="clear" w:color="auto" w:fill="FFFFFF"/>
          <w:lang w:val="en-GB"/>
        </w:rPr>
      </w:pPr>
      <w:r>
        <w:rPr>
          <w:noProof/>
          <w:shd w:val="clear" w:color="auto" w:fill="FFFFFF"/>
          <w:lang w:val="en-GB"/>
        </w:rPr>
        <w:drawing>
          <wp:inline distT="0" distB="0" distL="0" distR="0" wp14:anchorId="62B5E5C9" wp14:editId="3CFD16D2">
            <wp:extent cx="4723074" cy="2301603"/>
            <wp:effectExtent l="0" t="0" r="1905" b="3810"/>
            <wp:docPr id="43" name="Obraz 43" descr="Chart 1. Structure of the population aged 15-89 and at the working age by status on the labour market in the first quarter of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13" cy="2320822"/>
                    </a:xfrm>
                    <a:prstGeom prst="rect">
                      <a:avLst/>
                    </a:prstGeom>
                    <a:noFill/>
                  </pic:spPr>
                </pic:pic>
              </a:graphicData>
            </a:graphic>
          </wp:inline>
        </w:drawing>
      </w:r>
    </w:p>
    <w:p w14:paraId="67A4FEE1" w14:textId="77777777" w:rsidR="00D559BB" w:rsidRDefault="00D559BB" w:rsidP="00D559BB">
      <w:pPr>
        <w:spacing w:before="0" w:line="288" w:lineRule="auto"/>
        <w:jc w:val="center"/>
        <w:rPr>
          <w:shd w:val="clear" w:color="auto" w:fill="FFFFFF"/>
          <w:lang w:val="en-GB"/>
        </w:rPr>
      </w:pPr>
    </w:p>
    <w:p w14:paraId="7D5397AA" w14:textId="28FD5C5A" w:rsidR="001F72AF" w:rsidRDefault="00A7490E" w:rsidP="002C58DE">
      <w:pPr>
        <w:spacing w:before="0" w:line="288" w:lineRule="auto"/>
        <w:rPr>
          <w:rFonts w:eastAsia="Times New Roman" w:cs="Times New Roman"/>
          <w:b/>
          <w:szCs w:val="19"/>
          <w:lang w:val="en-GB" w:eastAsia="pl-PL"/>
        </w:rPr>
      </w:pPr>
      <w:r w:rsidRPr="00801868">
        <w:rPr>
          <w:noProof/>
          <w:lang w:eastAsia="pl-PL"/>
        </w:rPr>
        <mc:AlternateContent>
          <mc:Choice Requires="wps">
            <w:drawing>
              <wp:anchor distT="45720" distB="45720" distL="114300" distR="114300" simplePos="0" relativeHeight="251806208" behindDoc="1" locked="0" layoutInCell="1" allowOverlap="1" wp14:anchorId="2AB867E7" wp14:editId="285244E0">
                <wp:simplePos x="0" y="0"/>
                <wp:positionH relativeFrom="page">
                  <wp:posOffset>5772178</wp:posOffset>
                </wp:positionH>
                <wp:positionV relativeFrom="paragraph">
                  <wp:posOffset>1101173</wp:posOffset>
                </wp:positionV>
                <wp:extent cx="1701800" cy="1375410"/>
                <wp:effectExtent l="0" t="0" r="0" b="0"/>
                <wp:wrapTight wrapText="bothSides">
                  <wp:wrapPolygon edited="0">
                    <wp:start x="725" y="0"/>
                    <wp:lineTo x="725" y="21241"/>
                    <wp:lineTo x="20794" y="21241"/>
                    <wp:lineTo x="20794" y="0"/>
                    <wp:lineTo x="725" y="0"/>
                  </wp:wrapPolygon>
                </wp:wrapTight>
                <wp:docPr id="31" name="Pole tekstowe 2" descr="The indicator describing the relation of not working persons to the number of employed persons was higher than in the fourth quarter of 2025, but lower than in the first quarter of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375410"/>
                        </a:xfrm>
                        <a:prstGeom prst="rect">
                          <a:avLst/>
                        </a:prstGeom>
                        <a:noFill/>
                        <a:ln w="9525">
                          <a:noFill/>
                          <a:miter lim="800000"/>
                          <a:headEnd/>
                          <a:tailEnd/>
                        </a:ln>
                      </wps:spPr>
                      <wps:txbx>
                        <w:txbxContent>
                          <w:p w14:paraId="37A8B892" w14:textId="0A1CE7DB" w:rsidR="00DA385A" w:rsidRPr="009554A3" w:rsidRDefault="00DA385A" w:rsidP="00FE7B0A">
                            <w:pPr>
                              <w:pStyle w:val="tekstzboku"/>
                              <w:spacing w:before="0"/>
                              <w:rPr>
                                <w:lang w:val="en-GB"/>
                              </w:rPr>
                            </w:pPr>
                            <w:r w:rsidRPr="00094C61">
                              <w:rPr>
                                <w:lang w:val="en-GB"/>
                              </w:rPr>
                              <w:t xml:space="preserve">The indicator describing the relation of </w:t>
                            </w:r>
                            <w:r>
                              <w:rPr>
                                <w:lang w:val="en-GB"/>
                              </w:rPr>
                              <w:t>not working</w:t>
                            </w:r>
                            <w:r w:rsidRPr="00094C61">
                              <w:rPr>
                                <w:lang w:val="en-GB"/>
                              </w:rPr>
                              <w:t xml:space="preserve"> persons to the number of employed persons </w:t>
                            </w:r>
                            <w:r w:rsidRPr="00044EDF">
                              <w:rPr>
                                <w:lang w:val="en-GB"/>
                              </w:rPr>
                              <w:t xml:space="preserve">was </w:t>
                            </w:r>
                            <w:r w:rsidRPr="008321DA">
                              <w:rPr>
                                <w:lang w:val="en-GB"/>
                              </w:rPr>
                              <w:t>higher</w:t>
                            </w:r>
                            <w:r w:rsidRPr="009B7166">
                              <w:rPr>
                                <w:lang w:val="en-GB"/>
                              </w:rPr>
                              <w:t xml:space="preserve"> than in the </w:t>
                            </w:r>
                            <w:r>
                              <w:rPr>
                                <w:lang w:val="en-GB"/>
                              </w:rPr>
                              <w:t xml:space="preserve">fourth </w:t>
                            </w:r>
                            <w:r w:rsidRPr="009B7166">
                              <w:rPr>
                                <w:lang w:val="en-GB"/>
                              </w:rPr>
                              <w:t>quarter of 2025</w:t>
                            </w:r>
                            <w:r>
                              <w:rPr>
                                <w:lang w:val="en-GB"/>
                              </w:rPr>
                              <w:t>,</w:t>
                            </w:r>
                            <w:r w:rsidRPr="009B7166">
                              <w:rPr>
                                <w:lang w:val="en-GB"/>
                              </w:rPr>
                              <w:t xml:space="preserve"> </w:t>
                            </w:r>
                            <w:r>
                              <w:rPr>
                                <w:lang w:val="en-GB"/>
                              </w:rPr>
                              <w:t xml:space="preserve">but lower than in the first </w:t>
                            </w:r>
                            <w:r w:rsidRPr="00AB73B3">
                              <w:rPr>
                                <w:lang w:val="en-GB"/>
                              </w:rPr>
                              <w:t>quarter of 202</w:t>
                            </w:r>
                            <w:r>
                              <w:rPr>
                                <w:lang w:val="en-G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867E7" id="_x0000_s1028" type="#_x0000_t202" alt="The indicator describing the relation of not working persons to the number of employed persons was higher than in the fourth quarter of 2025, but lower than in the first quarter of 2025" style="position:absolute;margin-left:454.5pt;margin-top:86.7pt;width:134pt;height:108.3pt;z-index:-251510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" filled="f" stroked="f">
                <v:textbox>
                  <w:txbxContent>
                    <w:p w14:paraId="37A8B892" w14:textId="0A1CE7DB" w:rsidR="00DA385A" w:rsidRPr="009554A3" w:rsidRDefault="00DA385A" w:rsidP="00FE7B0A">
                      <w:pPr>
                        <w:pStyle w:val="tekstzboku"/>
                        <w:spacing w:before="0"/>
                        <w:rPr>
                          <w:lang w:val="en-GB"/>
                        </w:rPr>
                      </w:pPr>
                      <w:r w:rsidRPr="00094C61">
                        <w:rPr>
                          <w:lang w:val="en-GB"/>
                        </w:rPr>
                        <w:t xml:space="preserve">The indicator describing the relation of </w:t>
                      </w:r>
                      <w:r>
                        <w:rPr>
                          <w:lang w:val="en-GB"/>
                        </w:rPr>
                        <w:t>not working</w:t>
                      </w:r>
                      <w:r w:rsidRPr="00094C61">
                        <w:rPr>
                          <w:lang w:val="en-GB"/>
                        </w:rPr>
                        <w:t xml:space="preserve"> persons to the number of employed persons </w:t>
                      </w:r>
                      <w:r w:rsidRPr="00044EDF">
                        <w:rPr>
                          <w:lang w:val="en-GB"/>
                        </w:rPr>
                        <w:t xml:space="preserve">was </w:t>
                      </w:r>
                      <w:r w:rsidRPr="008321DA">
                        <w:rPr>
                          <w:lang w:val="en-GB"/>
                        </w:rPr>
                        <w:t>higher</w:t>
                      </w:r>
                      <w:r w:rsidRPr="009B7166">
                        <w:rPr>
                          <w:lang w:val="en-GB"/>
                        </w:rPr>
                        <w:t xml:space="preserve"> than in the </w:t>
                      </w:r>
                      <w:r>
                        <w:rPr>
                          <w:lang w:val="en-GB"/>
                        </w:rPr>
                        <w:t xml:space="preserve">fourth </w:t>
                      </w:r>
                      <w:r w:rsidRPr="009B7166">
                        <w:rPr>
                          <w:lang w:val="en-GB"/>
                        </w:rPr>
                        <w:t>quarter of 2025</w:t>
                      </w:r>
                      <w:r>
                        <w:rPr>
                          <w:lang w:val="en-GB"/>
                        </w:rPr>
                        <w:t>,</w:t>
                      </w:r>
                      <w:r w:rsidRPr="009B7166">
                        <w:rPr>
                          <w:lang w:val="en-GB"/>
                        </w:rPr>
                        <w:t xml:space="preserve"> </w:t>
                      </w:r>
                      <w:r>
                        <w:rPr>
                          <w:lang w:val="en-GB"/>
                        </w:rPr>
                        <w:t xml:space="preserve">but lower than in the first </w:t>
                      </w:r>
                      <w:r w:rsidRPr="00AB73B3">
                        <w:rPr>
                          <w:lang w:val="en-GB"/>
                        </w:rPr>
                        <w:t>quarter of 202</w:t>
                      </w:r>
                      <w:r>
                        <w:rPr>
                          <w:lang w:val="en-GB"/>
                        </w:rPr>
                        <w:t>5</w:t>
                      </w:r>
                    </w:p>
                  </w:txbxContent>
                </v:textbox>
                <w10:wrap type="tight" anchorx="page"/>
              </v:shape>
            </w:pict>
          </mc:Fallback>
        </mc:AlternateContent>
      </w:r>
      <w:r w:rsidR="007E5499" w:rsidRPr="001C050A">
        <w:rPr>
          <w:shd w:val="clear" w:color="auto" w:fill="FFFFFF"/>
          <w:lang w:val="en-GB"/>
        </w:rPr>
        <w:t xml:space="preserve">The activity rate for the population aged 15-89 was </w:t>
      </w:r>
      <w:r w:rsidR="007E5499" w:rsidRPr="004E3598">
        <w:rPr>
          <w:shd w:val="clear" w:color="auto" w:fill="FFFFFF"/>
          <w:lang w:val="en-GB"/>
        </w:rPr>
        <w:t>5</w:t>
      </w:r>
      <w:r w:rsidR="00801868">
        <w:rPr>
          <w:shd w:val="clear" w:color="auto" w:fill="FFFFFF"/>
          <w:lang w:val="en-GB"/>
        </w:rPr>
        <w:t>8</w:t>
      </w:r>
      <w:r w:rsidR="007E5499" w:rsidRPr="004E3598">
        <w:rPr>
          <w:shd w:val="clear" w:color="auto" w:fill="FFFFFF"/>
          <w:lang w:val="en-GB"/>
        </w:rPr>
        <w:t>.</w:t>
      </w:r>
      <w:r w:rsidR="00801868">
        <w:rPr>
          <w:shd w:val="clear" w:color="auto" w:fill="FFFFFF"/>
          <w:lang w:val="en-GB"/>
        </w:rPr>
        <w:t>7</w:t>
      </w:r>
      <w:r w:rsidR="007E5499" w:rsidRPr="004E3598">
        <w:rPr>
          <w:shd w:val="clear" w:color="auto" w:fill="FFFFFF"/>
          <w:lang w:val="en-GB"/>
        </w:rPr>
        <w:t>%</w:t>
      </w:r>
      <w:r w:rsidR="00432687" w:rsidRPr="004E3598">
        <w:rPr>
          <w:lang w:val="en-GB"/>
        </w:rPr>
        <w:t xml:space="preserve"> </w:t>
      </w:r>
      <w:r w:rsidR="008318EE" w:rsidRPr="004E3598">
        <w:rPr>
          <w:shd w:val="clear" w:color="auto" w:fill="FFFFFF"/>
          <w:lang w:val="en-GB"/>
        </w:rPr>
        <w:t xml:space="preserve">and </w:t>
      </w:r>
      <w:r w:rsidR="00801868">
        <w:rPr>
          <w:shd w:val="clear" w:color="auto" w:fill="FFFFFF"/>
          <w:lang w:val="en-GB"/>
        </w:rPr>
        <w:t>decreased</w:t>
      </w:r>
      <w:r w:rsidR="008318EE" w:rsidRPr="004E3598">
        <w:rPr>
          <w:shd w:val="clear" w:color="auto" w:fill="FFFFFF"/>
          <w:lang w:val="en-GB"/>
        </w:rPr>
        <w:t xml:space="preserve"> </w:t>
      </w:r>
      <w:r w:rsidR="00801868">
        <w:rPr>
          <w:shd w:val="clear" w:color="auto" w:fill="FFFFFF"/>
          <w:lang w:val="en-GB"/>
        </w:rPr>
        <w:t xml:space="preserve">by 0.3 pp. </w:t>
      </w:r>
      <w:r w:rsidR="008318EE" w:rsidRPr="001C050A">
        <w:rPr>
          <w:shd w:val="clear" w:color="auto" w:fill="FFFFFF"/>
          <w:lang w:val="en-GB"/>
        </w:rPr>
        <w:t xml:space="preserve">compared to the </w:t>
      </w:r>
      <w:r w:rsidR="00801868">
        <w:rPr>
          <w:shd w:val="clear" w:color="auto" w:fill="FFFFFF"/>
          <w:lang w:val="en-GB"/>
        </w:rPr>
        <w:t>fourth</w:t>
      </w:r>
      <w:r w:rsidR="008318EE" w:rsidRPr="001C050A">
        <w:rPr>
          <w:shd w:val="clear" w:color="auto" w:fill="FFFFFF"/>
          <w:lang w:val="en-GB"/>
        </w:rPr>
        <w:t xml:space="preserve"> quarter of 2025</w:t>
      </w:r>
      <w:r w:rsidR="004E3598">
        <w:rPr>
          <w:shd w:val="clear" w:color="auto" w:fill="FFFFFF"/>
          <w:lang w:val="en-GB"/>
        </w:rPr>
        <w:t>,</w:t>
      </w:r>
      <w:r w:rsidR="008318EE" w:rsidRPr="001C050A">
        <w:rPr>
          <w:shd w:val="clear" w:color="auto" w:fill="FFFFFF"/>
          <w:lang w:val="en-GB"/>
        </w:rPr>
        <w:t xml:space="preserve"> </w:t>
      </w:r>
      <w:r w:rsidR="004E3598">
        <w:rPr>
          <w:shd w:val="clear" w:color="auto" w:fill="FFFFFF"/>
          <w:lang w:val="en-GB"/>
        </w:rPr>
        <w:t>but increased compared to the</w:t>
      </w:r>
      <w:r w:rsidR="008318EE" w:rsidRPr="001C050A">
        <w:rPr>
          <w:shd w:val="clear" w:color="auto" w:fill="FFFFFF"/>
          <w:lang w:val="en-GB"/>
        </w:rPr>
        <w:t xml:space="preserve"> </w:t>
      </w:r>
      <w:r w:rsidR="00801868">
        <w:rPr>
          <w:shd w:val="clear" w:color="auto" w:fill="FFFFFF"/>
          <w:lang w:val="en-GB"/>
        </w:rPr>
        <w:t>first</w:t>
      </w:r>
      <w:r w:rsidR="008318EE" w:rsidRPr="001C050A">
        <w:rPr>
          <w:shd w:val="clear" w:color="auto" w:fill="FFFFFF"/>
          <w:lang w:val="en-GB"/>
        </w:rPr>
        <w:t xml:space="preserve"> quarter of 202</w:t>
      </w:r>
      <w:r w:rsidR="00801868">
        <w:rPr>
          <w:shd w:val="clear" w:color="auto" w:fill="FFFFFF"/>
          <w:lang w:val="en-GB"/>
        </w:rPr>
        <w:t>5</w:t>
      </w:r>
      <w:r w:rsidR="008318EE" w:rsidRPr="001C050A">
        <w:rPr>
          <w:shd w:val="clear" w:color="auto" w:fill="FFFFFF"/>
          <w:lang w:val="en-GB"/>
        </w:rPr>
        <w:t xml:space="preserve"> (</w:t>
      </w:r>
      <w:r w:rsidR="008318EE" w:rsidRPr="004E3598">
        <w:rPr>
          <w:shd w:val="clear" w:color="auto" w:fill="FFFFFF"/>
          <w:lang w:val="en-GB"/>
        </w:rPr>
        <w:t>by 0.</w:t>
      </w:r>
      <w:r w:rsidR="004E3598" w:rsidRPr="004E3598">
        <w:rPr>
          <w:shd w:val="clear" w:color="auto" w:fill="FFFFFF"/>
          <w:lang w:val="en-GB"/>
        </w:rPr>
        <w:t>5</w:t>
      </w:r>
      <w:r w:rsidR="008318EE" w:rsidRPr="004E3598">
        <w:rPr>
          <w:shd w:val="clear" w:color="auto" w:fill="FFFFFF"/>
          <w:lang w:val="en-GB"/>
        </w:rPr>
        <w:t xml:space="preserve"> </w:t>
      </w:r>
      <w:r w:rsidR="008318EE" w:rsidRPr="001C050A">
        <w:rPr>
          <w:shd w:val="clear" w:color="auto" w:fill="FFFFFF"/>
          <w:lang w:val="en-GB"/>
        </w:rPr>
        <w:t>pp.)</w:t>
      </w:r>
      <w:r w:rsidR="00B663BB">
        <w:rPr>
          <w:shd w:val="clear" w:color="auto" w:fill="FFFFFF"/>
          <w:lang w:val="en-GB"/>
        </w:rPr>
        <w:t>.</w:t>
      </w:r>
      <w:r w:rsidR="008318EE" w:rsidRPr="001C050A">
        <w:rPr>
          <w:shd w:val="clear" w:color="auto" w:fill="FFFFFF"/>
          <w:lang w:val="en-GB"/>
        </w:rPr>
        <w:t xml:space="preserve"> </w:t>
      </w:r>
      <w:r w:rsidR="00432687" w:rsidRPr="001C050A">
        <w:rPr>
          <w:shd w:val="clear" w:color="auto" w:fill="FFFFFF"/>
          <w:lang w:val="en-GB"/>
        </w:rPr>
        <w:t xml:space="preserve">The indicator was higher for men than for women – in </w:t>
      </w:r>
      <w:r w:rsidR="00432687" w:rsidRPr="00801868">
        <w:rPr>
          <w:shd w:val="clear" w:color="auto" w:fill="FFFFFF"/>
          <w:lang w:val="en-GB"/>
        </w:rPr>
        <w:t xml:space="preserve">the </w:t>
      </w:r>
      <w:r w:rsidR="00801868" w:rsidRPr="00801868">
        <w:rPr>
          <w:shd w:val="clear" w:color="auto" w:fill="FFFFFF"/>
          <w:lang w:val="en-GB"/>
        </w:rPr>
        <w:t>first</w:t>
      </w:r>
      <w:r w:rsidR="00432687" w:rsidRPr="00801868">
        <w:rPr>
          <w:shd w:val="clear" w:color="auto" w:fill="FFFFFF"/>
          <w:lang w:val="en-GB"/>
        </w:rPr>
        <w:t xml:space="preserve"> quarter of 202</w:t>
      </w:r>
      <w:r w:rsidR="00801868" w:rsidRPr="00801868">
        <w:rPr>
          <w:shd w:val="clear" w:color="auto" w:fill="FFFFFF"/>
          <w:lang w:val="en-GB"/>
        </w:rPr>
        <w:t>6</w:t>
      </w:r>
      <w:r w:rsidR="00432687" w:rsidRPr="00801868">
        <w:rPr>
          <w:shd w:val="clear" w:color="auto" w:fill="FFFFFF"/>
          <w:lang w:val="en-GB"/>
        </w:rPr>
        <w:t>: 65.</w:t>
      </w:r>
      <w:r w:rsidR="00801868" w:rsidRPr="00801868">
        <w:rPr>
          <w:shd w:val="clear" w:color="auto" w:fill="FFFFFF"/>
          <w:lang w:val="en-GB"/>
        </w:rPr>
        <w:t>4</w:t>
      </w:r>
      <w:r w:rsidR="00432687" w:rsidRPr="00801868">
        <w:rPr>
          <w:shd w:val="clear" w:color="auto" w:fill="FFFFFF"/>
          <w:lang w:val="en-GB"/>
        </w:rPr>
        <w:t>% versus 52.</w:t>
      </w:r>
      <w:r w:rsidR="00801868" w:rsidRPr="00801868">
        <w:rPr>
          <w:shd w:val="clear" w:color="auto" w:fill="FFFFFF"/>
          <w:lang w:val="en-GB"/>
        </w:rPr>
        <w:t>5</w:t>
      </w:r>
      <w:r w:rsidR="00432687" w:rsidRPr="00801868">
        <w:rPr>
          <w:shd w:val="clear" w:color="auto" w:fill="FFFFFF"/>
          <w:lang w:val="en-GB"/>
        </w:rPr>
        <w:t>%</w:t>
      </w:r>
      <w:r w:rsidR="007E5499" w:rsidRPr="00801868">
        <w:rPr>
          <w:shd w:val="clear" w:color="auto" w:fill="FFFFFF"/>
          <w:lang w:val="en-GB"/>
        </w:rPr>
        <w:t xml:space="preserve"> </w:t>
      </w:r>
      <w:r w:rsidR="00E50D8C" w:rsidRPr="00801868">
        <w:rPr>
          <w:shd w:val="clear" w:color="auto" w:fill="FFFFFF"/>
          <w:lang w:val="en-GB"/>
        </w:rPr>
        <w:t xml:space="preserve">(respective values for persons at </w:t>
      </w:r>
      <w:r w:rsidR="00F369D8" w:rsidRPr="00801868">
        <w:rPr>
          <w:shd w:val="clear" w:color="auto" w:fill="FFFFFF"/>
          <w:lang w:val="en-GB"/>
        </w:rPr>
        <w:t xml:space="preserve">the </w:t>
      </w:r>
      <w:r w:rsidR="00E50D8C" w:rsidRPr="00801868">
        <w:rPr>
          <w:shd w:val="clear" w:color="auto" w:fill="FFFFFF"/>
          <w:lang w:val="en-GB"/>
        </w:rPr>
        <w:t>working age</w:t>
      </w:r>
      <w:r w:rsidR="00D46E15">
        <w:rPr>
          <w:shd w:val="clear" w:color="auto" w:fill="FFFFFF"/>
          <w:lang w:val="en-GB"/>
        </w:rPr>
        <w:t xml:space="preserve"> </w:t>
      </w:r>
      <w:r w:rsidR="00E50D8C" w:rsidRPr="00801868">
        <w:rPr>
          <w:shd w:val="clear" w:color="auto" w:fill="FFFFFF"/>
          <w:lang w:val="en-GB"/>
        </w:rPr>
        <w:t>were</w:t>
      </w:r>
      <w:r w:rsidR="00E50D8C" w:rsidRPr="004E3598">
        <w:rPr>
          <w:shd w:val="clear" w:color="auto" w:fill="FFFFFF"/>
          <w:lang w:val="en-GB"/>
        </w:rPr>
        <w:t xml:space="preserve"> </w:t>
      </w:r>
      <w:r w:rsidR="00D46E15" w:rsidRPr="00D46E15">
        <w:rPr>
          <w:shd w:val="clear" w:color="auto" w:fill="FFFFFF"/>
          <w:lang w:val="en-GB"/>
        </w:rPr>
        <w:t>82</w:t>
      </w:r>
      <w:r w:rsidR="00D46E15">
        <w:rPr>
          <w:shd w:val="clear" w:color="auto" w:fill="FFFFFF"/>
          <w:lang w:val="en-GB"/>
        </w:rPr>
        <w:t>.</w:t>
      </w:r>
      <w:r w:rsidR="00D46E15" w:rsidRPr="00D46E15">
        <w:rPr>
          <w:shd w:val="clear" w:color="auto" w:fill="FFFFFF"/>
          <w:lang w:val="en-GB"/>
        </w:rPr>
        <w:t>2</w:t>
      </w:r>
      <w:r w:rsidR="00354532" w:rsidRPr="004E3598">
        <w:rPr>
          <w:shd w:val="clear" w:color="auto" w:fill="FFFFFF"/>
          <w:lang w:val="en-GB"/>
        </w:rPr>
        <w:t xml:space="preserve">% </w:t>
      </w:r>
      <w:r w:rsidR="00354532" w:rsidRPr="00354532">
        <w:rPr>
          <w:shd w:val="clear" w:color="auto" w:fill="FFFFFF"/>
          <w:lang w:val="en-GB"/>
        </w:rPr>
        <w:t xml:space="preserve">for the total population of that </w:t>
      </w:r>
      <w:r w:rsidR="00354532" w:rsidRPr="004E3598">
        <w:rPr>
          <w:shd w:val="clear" w:color="auto" w:fill="FFFFFF"/>
          <w:lang w:val="en-GB"/>
        </w:rPr>
        <w:t>age</w:t>
      </w:r>
      <w:r w:rsidR="00432687" w:rsidRPr="004E3598">
        <w:rPr>
          <w:shd w:val="clear" w:color="auto" w:fill="FFFFFF"/>
          <w:lang w:val="en-GB"/>
        </w:rPr>
        <w:t>:</w:t>
      </w:r>
      <w:r w:rsidR="00354532" w:rsidRPr="004E3598">
        <w:rPr>
          <w:shd w:val="clear" w:color="auto" w:fill="FFFFFF"/>
          <w:lang w:val="en-GB"/>
        </w:rPr>
        <w:t xml:space="preserve"> </w:t>
      </w:r>
      <w:r w:rsidR="00D46E15" w:rsidRPr="00D46E15">
        <w:rPr>
          <w:shd w:val="clear" w:color="auto" w:fill="FFFFFF"/>
          <w:lang w:val="en-GB"/>
        </w:rPr>
        <w:t>84</w:t>
      </w:r>
      <w:r w:rsidR="00D46E15">
        <w:rPr>
          <w:shd w:val="clear" w:color="auto" w:fill="FFFFFF"/>
          <w:lang w:val="en-GB"/>
        </w:rPr>
        <w:t>.</w:t>
      </w:r>
      <w:r w:rsidR="00D46E15" w:rsidRPr="00D46E15">
        <w:rPr>
          <w:shd w:val="clear" w:color="auto" w:fill="FFFFFF"/>
          <w:lang w:val="en-GB"/>
        </w:rPr>
        <w:t>5</w:t>
      </w:r>
      <w:r w:rsidR="00354532" w:rsidRPr="004E3598">
        <w:rPr>
          <w:shd w:val="clear" w:color="auto" w:fill="FFFFFF"/>
          <w:lang w:val="en-GB"/>
        </w:rPr>
        <w:t xml:space="preserve">% </w:t>
      </w:r>
      <w:r w:rsidR="00354532" w:rsidRPr="00354532">
        <w:rPr>
          <w:shd w:val="clear" w:color="auto" w:fill="FFFFFF"/>
          <w:lang w:val="en-GB"/>
        </w:rPr>
        <w:t xml:space="preserve">for men </w:t>
      </w:r>
      <w:r w:rsidR="00354532" w:rsidRPr="004E3598">
        <w:rPr>
          <w:shd w:val="clear" w:color="auto" w:fill="FFFFFF"/>
          <w:lang w:val="en-GB"/>
        </w:rPr>
        <w:t xml:space="preserve">and </w:t>
      </w:r>
      <w:r w:rsidR="00D46E15" w:rsidRPr="00D46E15">
        <w:rPr>
          <w:shd w:val="clear" w:color="auto" w:fill="FFFFFF"/>
          <w:lang w:val="en-GB"/>
        </w:rPr>
        <w:t>79</w:t>
      </w:r>
      <w:r w:rsidR="00D46E15">
        <w:rPr>
          <w:shd w:val="clear" w:color="auto" w:fill="FFFFFF"/>
          <w:lang w:val="en-GB"/>
        </w:rPr>
        <w:t>.</w:t>
      </w:r>
      <w:r w:rsidR="00D46E15" w:rsidRPr="00D46E15">
        <w:rPr>
          <w:shd w:val="clear" w:color="auto" w:fill="FFFFFF"/>
          <w:lang w:val="en-GB"/>
        </w:rPr>
        <w:t>7</w:t>
      </w:r>
      <w:r w:rsidR="00354532" w:rsidRPr="004E3598">
        <w:rPr>
          <w:shd w:val="clear" w:color="auto" w:fill="FFFFFF"/>
          <w:lang w:val="en-GB"/>
        </w:rPr>
        <w:t xml:space="preserve">% </w:t>
      </w:r>
      <w:r w:rsidR="00354532" w:rsidRPr="00354532">
        <w:rPr>
          <w:shd w:val="clear" w:color="auto" w:fill="FFFFFF"/>
          <w:lang w:val="en-GB"/>
        </w:rPr>
        <w:t>for women)</w:t>
      </w:r>
      <w:r w:rsidR="00E50D8C" w:rsidRPr="00184B71">
        <w:rPr>
          <w:shd w:val="clear" w:color="auto" w:fill="FFFFFF"/>
          <w:lang w:val="en-GB"/>
        </w:rPr>
        <w:t>.</w:t>
      </w:r>
      <w:r w:rsidR="00E75899">
        <w:rPr>
          <w:shd w:val="clear" w:color="auto" w:fill="FFFFFF"/>
          <w:lang w:val="en-GB"/>
        </w:rPr>
        <w:t xml:space="preserve"> </w:t>
      </w:r>
      <w:r w:rsidR="00C153D5" w:rsidRPr="00C153D5">
        <w:rPr>
          <w:shd w:val="clear" w:color="auto" w:fill="FFFFFF"/>
          <w:lang w:val="en-GB"/>
        </w:rPr>
        <w:t xml:space="preserve">Corresponding indicators for urban and rural residents accounted respectively </w:t>
      </w:r>
      <w:r w:rsidR="00C153D5" w:rsidRPr="004E3598">
        <w:rPr>
          <w:shd w:val="clear" w:color="auto" w:fill="FFFFFF"/>
          <w:lang w:val="en-GB"/>
        </w:rPr>
        <w:t xml:space="preserve">for: </w:t>
      </w:r>
      <w:r w:rsidR="008347BE" w:rsidRPr="008347BE">
        <w:rPr>
          <w:shd w:val="clear" w:color="auto" w:fill="FFFFFF"/>
          <w:lang w:val="en-GB"/>
        </w:rPr>
        <w:t>58</w:t>
      </w:r>
      <w:r w:rsidR="008347BE">
        <w:rPr>
          <w:shd w:val="clear" w:color="auto" w:fill="FFFFFF"/>
          <w:lang w:val="en-GB"/>
        </w:rPr>
        <w:t>.</w:t>
      </w:r>
      <w:r w:rsidR="008347BE" w:rsidRPr="008347BE">
        <w:rPr>
          <w:shd w:val="clear" w:color="auto" w:fill="FFFFFF"/>
          <w:lang w:val="en-GB"/>
        </w:rPr>
        <w:t>9</w:t>
      </w:r>
      <w:r w:rsidR="00C153D5" w:rsidRPr="00C153D5">
        <w:rPr>
          <w:shd w:val="clear" w:color="auto" w:fill="FFFFFF"/>
          <w:lang w:val="en-GB"/>
        </w:rPr>
        <w:t xml:space="preserve">% </w:t>
      </w:r>
      <w:r w:rsidR="00C153D5" w:rsidRPr="004E3598">
        <w:rPr>
          <w:shd w:val="clear" w:color="auto" w:fill="FFFFFF"/>
          <w:lang w:val="en-GB"/>
        </w:rPr>
        <w:t xml:space="preserve">and </w:t>
      </w:r>
      <w:r w:rsidR="008347BE" w:rsidRPr="008347BE">
        <w:rPr>
          <w:shd w:val="clear" w:color="auto" w:fill="FFFFFF"/>
          <w:lang w:val="en-GB"/>
        </w:rPr>
        <w:t>58</w:t>
      </w:r>
      <w:r w:rsidR="008347BE">
        <w:rPr>
          <w:shd w:val="clear" w:color="auto" w:fill="FFFFFF"/>
          <w:lang w:val="en-GB"/>
        </w:rPr>
        <w:t>.</w:t>
      </w:r>
      <w:r w:rsidR="008347BE" w:rsidRPr="008347BE">
        <w:rPr>
          <w:shd w:val="clear" w:color="auto" w:fill="FFFFFF"/>
          <w:lang w:val="en-GB"/>
        </w:rPr>
        <w:t>5</w:t>
      </w:r>
      <w:r w:rsidR="00C153D5" w:rsidRPr="004E3598">
        <w:rPr>
          <w:shd w:val="clear" w:color="auto" w:fill="FFFFFF"/>
          <w:lang w:val="en-GB"/>
        </w:rPr>
        <w:t xml:space="preserve">% </w:t>
      </w:r>
      <w:r w:rsidR="00C153D5" w:rsidRPr="00C153D5">
        <w:rPr>
          <w:shd w:val="clear" w:color="auto" w:fill="FFFFFF"/>
          <w:lang w:val="en-GB"/>
        </w:rPr>
        <w:t xml:space="preserve">(at </w:t>
      </w:r>
      <w:r w:rsidR="00A42CE0">
        <w:rPr>
          <w:shd w:val="clear" w:color="auto" w:fill="FFFFFF"/>
          <w:lang w:val="en-GB"/>
        </w:rPr>
        <w:t xml:space="preserve">the </w:t>
      </w:r>
      <w:r w:rsidR="00C153D5" w:rsidRPr="00C153D5">
        <w:rPr>
          <w:shd w:val="clear" w:color="auto" w:fill="FFFFFF"/>
          <w:lang w:val="en-GB"/>
        </w:rPr>
        <w:t>working age</w:t>
      </w:r>
      <w:r w:rsidR="00C153D5" w:rsidRPr="004E3598">
        <w:rPr>
          <w:shd w:val="clear" w:color="auto" w:fill="FFFFFF"/>
          <w:lang w:val="en-GB"/>
        </w:rPr>
        <w:t xml:space="preserve">: </w:t>
      </w:r>
      <w:r w:rsidR="008347BE" w:rsidRPr="008347BE">
        <w:rPr>
          <w:shd w:val="clear" w:color="auto" w:fill="FFFFFF"/>
          <w:lang w:val="en-GB"/>
        </w:rPr>
        <w:t>83</w:t>
      </w:r>
      <w:r w:rsidR="008347BE">
        <w:rPr>
          <w:shd w:val="clear" w:color="auto" w:fill="FFFFFF"/>
          <w:lang w:val="en-GB"/>
        </w:rPr>
        <w:t>.</w:t>
      </w:r>
      <w:r w:rsidR="008347BE" w:rsidRPr="008347BE">
        <w:rPr>
          <w:shd w:val="clear" w:color="auto" w:fill="FFFFFF"/>
          <w:lang w:val="en-GB"/>
        </w:rPr>
        <w:t>9</w:t>
      </w:r>
      <w:r w:rsidR="00C153D5" w:rsidRPr="004E3598">
        <w:rPr>
          <w:shd w:val="clear" w:color="auto" w:fill="FFFFFF"/>
          <w:lang w:val="en-GB"/>
        </w:rPr>
        <w:t xml:space="preserve">% and </w:t>
      </w:r>
      <w:r w:rsidR="00C153D5" w:rsidRPr="008347BE">
        <w:rPr>
          <w:shd w:val="clear" w:color="auto" w:fill="FFFFFF"/>
          <w:lang w:val="en-GB"/>
        </w:rPr>
        <w:t>7</w:t>
      </w:r>
      <w:r w:rsidR="00354532" w:rsidRPr="008347BE">
        <w:rPr>
          <w:shd w:val="clear" w:color="auto" w:fill="FFFFFF"/>
          <w:lang w:val="en-GB"/>
        </w:rPr>
        <w:t>9</w:t>
      </w:r>
      <w:r w:rsidR="00CC2C85" w:rsidRPr="008347BE">
        <w:rPr>
          <w:shd w:val="clear" w:color="auto" w:fill="FFFFFF"/>
          <w:lang w:val="en-GB"/>
        </w:rPr>
        <w:t>.</w:t>
      </w:r>
      <w:r w:rsidR="008347BE" w:rsidRPr="008347BE">
        <w:rPr>
          <w:shd w:val="clear" w:color="auto" w:fill="FFFFFF"/>
          <w:lang w:val="en-GB"/>
        </w:rPr>
        <w:t>8</w:t>
      </w:r>
      <w:r w:rsidR="00C153D5" w:rsidRPr="00C153D5">
        <w:rPr>
          <w:shd w:val="clear" w:color="auto" w:fill="FFFFFF"/>
          <w:lang w:val="en-GB"/>
        </w:rPr>
        <w:t>%).</w:t>
      </w:r>
      <w:r w:rsidR="006B0BFF">
        <w:rPr>
          <w:rFonts w:eastAsia="Times New Roman" w:cs="Times New Roman"/>
          <w:b/>
          <w:szCs w:val="19"/>
          <w:lang w:val="en-GB" w:eastAsia="pl-PL"/>
        </w:rPr>
        <w:t xml:space="preserve"> </w:t>
      </w:r>
    </w:p>
    <w:p w14:paraId="1F47F598" w14:textId="0E7D72EE" w:rsidR="001638AE" w:rsidRDefault="001F72AF" w:rsidP="001638AE">
      <w:pPr>
        <w:spacing w:before="0" w:after="360" w:line="288" w:lineRule="auto"/>
        <w:rPr>
          <w:rFonts w:eastAsia="Times New Roman" w:cs="Times New Roman"/>
          <w:szCs w:val="19"/>
          <w:lang w:val="en-GB" w:eastAsia="pl-PL"/>
        </w:rPr>
      </w:pPr>
      <w:r w:rsidRPr="001F72AF">
        <w:rPr>
          <w:shd w:val="clear" w:color="auto" w:fill="FFFFFF"/>
          <w:lang w:val="en-GB"/>
        </w:rPr>
        <w:t xml:space="preserve">Within the scope of population aged 15-89, the ratio of the number of not working persons (unemployed </w:t>
      </w:r>
      <w:r w:rsidR="003A3E6B">
        <w:rPr>
          <w:shd w:val="clear" w:color="auto" w:fill="FFFFFF"/>
          <w:lang w:val="en-GB"/>
        </w:rPr>
        <w:t>and</w:t>
      </w:r>
      <w:r w:rsidRPr="001F72AF">
        <w:rPr>
          <w:shd w:val="clear" w:color="auto" w:fill="FFFFFF"/>
          <w:lang w:val="en-GB"/>
        </w:rPr>
        <w:t xml:space="preserve"> economically inactive) to the employed </w:t>
      </w:r>
      <w:r w:rsidRPr="00E40924">
        <w:rPr>
          <w:shd w:val="clear" w:color="auto" w:fill="FFFFFF"/>
          <w:lang w:val="en-GB"/>
        </w:rPr>
        <w:t xml:space="preserve">persons </w:t>
      </w:r>
      <w:r w:rsidR="004E3598" w:rsidRPr="00E40924">
        <w:rPr>
          <w:shd w:val="clear" w:color="auto" w:fill="FFFFFF"/>
          <w:lang w:val="en-GB"/>
        </w:rPr>
        <w:t>slightly increased</w:t>
      </w:r>
      <w:r w:rsidR="00AB73B3" w:rsidRPr="00E40924">
        <w:rPr>
          <w:shd w:val="clear" w:color="auto" w:fill="FFFFFF"/>
          <w:lang w:val="en-GB"/>
        </w:rPr>
        <w:t xml:space="preserve"> </w:t>
      </w:r>
      <w:r w:rsidRPr="00E40924">
        <w:rPr>
          <w:shd w:val="clear" w:color="auto" w:fill="FFFFFF"/>
          <w:lang w:val="en-GB"/>
        </w:rPr>
        <w:t>compared to the previous</w:t>
      </w:r>
      <w:r w:rsidRPr="00E40924">
        <w:rPr>
          <w:rFonts w:eastAsia="Times New Roman" w:cs="Times New Roman"/>
          <w:b/>
          <w:szCs w:val="19"/>
          <w:lang w:val="en-GB" w:eastAsia="pl-PL"/>
        </w:rPr>
        <w:t xml:space="preserve"> </w:t>
      </w:r>
      <w:r w:rsidRPr="00E40924">
        <w:rPr>
          <w:rFonts w:eastAsia="Times New Roman" w:cs="Times New Roman"/>
          <w:szCs w:val="19"/>
          <w:lang w:val="en-GB" w:eastAsia="pl-PL"/>
        </w:rPr>
        <w:t xml:space="preserve">quarter </w:t>
      </w:r>
      <w:r w:rsidR="00411E42" w:rsidRPr="00E40924">
        <w:rPr>
          <w:rFonts w:eastAsia="Times New Roman" w:cs="Times New Roman"/>
          <w:szCs w:val="19"/>
          <w:lang w:val="en-GB" w:eastAsia="pl-PL"/>
        </w:rPr>
        <w:t xml:space="preserve">with a simultaneous decrease in this ratio compared to the </w:t>
      </w:r>
      <w:r w:rsidR="00E40924" w:rsidRPr="00E40924">
        <w:rPr>
          <w:rFonts w:eastAsia="Times New Roman" w:cs="Times New Roman"/>
          <w:szCs w:val="19"/>
          <w:lang w:val="en-GB" w:eastAsia="pl-PL"/>
        </w:rPr>
        <w:t>first</w:t>
      </w:r>
      <w:r w:rsidR="00411E42" w:rsidRPr="00E40924">
        <w:rPr>
          <w:rFonts w:eastAsia="Times New Roman" w:cs="Times New Roman"/>
          <w:szCs w:val="19"/>
          <w:lang w:val="en-GB" w:eastAsia="pl-PL"/>
        </w:rPr>
        <w:t xml:space="preserve"> quarter of 202</w:t>
      </w:r>
      <w:r w:rsidR="00E40924" w:rsidRPr="00E40924">
        <w:rPr>
          <w:rFonts w:eastAsia="Times New Roman" w:cs="Times New Roman"/>
          <w:szCs w:val="19"/>
          <w:lang w:val="en-GB" w:eastAsia="pl-PL"/>
        </w:rPr>
        <w:t>5</w:t>
      </w:r>
      <w:r w:rsidRPr="00E40924">
        <w:rPr>
          <w:rFonts w:eastAsia="Times New Roman" w:cs="Times New Roman"/>
          <w:szCs w:val="19"/>
          <w:lang w:val="en-GB" w:eastAsia="pl-PL"/>
        </w:rPr>
        <w:t>.</w:t>
      </w:r>
      <w:r w:rsidRPr="001F72AF">
        <w:rPr>
          <w:rFonts w:eastAsia="Times New Roman" w:cs="Times New Roman"/>
          <w:szCs w:val="19"/>
          <w:lang w:val="en-GB" w:eastAsia="pl-PL"/>
        </w:rPr>
        <w:t xml:space="preserve"> </w:t>
      </w:r>
      <w:r w:rsidRPr="00E40924">
        <w:rPr>
          <w:rFonts w:eastAsia="Times New Roman" w:cs="Times New Roman"/>
          <w:szCs w:val="19"/>
          <w:lang w:val="en-GB" w:eastAsia="pl-PL"/>
        </w:rPr>
        <w:t xml:space="preserve">In the </w:t>
      </w:r>
      <w:r w:rsidR="00E40924" w:rsidRPr="00E40924">
        <w:rPr>
          <w:rFonts w:eastAsia="Times New Roman" w:cs="Times New Roman"/>
          <w:szCs w:val="19"/>
          <w:lang w:val="en-GB" w:eastAsia="pl-PL"/>
        </w:rPr>
        <w:t>first</w:t>
      </w:r>
      <w:r w:rsidRPr="00E40924">
        <w:rPr>
          <w:rFonts w:eastAsia="Times New Roman" w:cs="Times New Roman"/>
          <w:szCs w:val="19"/>
          <w:lang w:val="en-GB" w:eastAsia="pl-PL"/>
        </w:rPr>
        <w:t xml:space="preserve"> quarter of</w:t>
      </w:r>
      <w:r w:rsidR="002C58DE" w:rsidRPr="00E40924">
        <w:rPr>
          <w:rFonts w:eastAsia="Times New Roman" w:cs="Times New Roman"/>
          <w:szCs w:val="19"/>
          <w:lang w:val="en-GB" w:eastAsia="pl-PL"/>
        </w:rPr>
        <w:t> </w:t>
      </w:r>
      <w:r w:rsidRPr="00E40924">
        <w:rPr>
          <w:rFonts w:eastAsia="Times New Roman" w:cs="Times New Roman"/>
          <w:szCs w:val="19"/>
          <w:lang w:val="en-GB" w:eastAsia="pl-PL"/>
        </w:rPr>
        <w:t>202</w:t>
      </w:r>
      <w:r w:rsidR="00E40924" w:rsidRPr="00E40924">
        <w:rPr>
          <w:rFonts w:eastAsia="Times New Roman" w:cs="Times New Roman"/>
          <w:szCs w:val="19"/>
          <w:lang w:val="en-GB" w:eastAsia="pl-PL"/>
        </w:rPr>
        <w:t>6</w:t>
      </w:r>
      <w:r w:rsidRPr="00E40924">
        <w:rPr>
          <w:rFonts w:eastAsia="Times New Roman" w:cs="Times New Roman"/>
          <w:szCs w:val="19"/>
          <w:lang w:val="en-GB" w:eastAsia="pl-PL"/>
        </w:rPr>
        <w:t xml:space="preserve">, there were </w:t>
      </w:r>
      <w:r w:rsidR="0019240B" w:rsidRPr="00E40924">
        <w:rPr>
          <w:rFonts w:eastAsia="Times New Roman" w:cs="Times New Roman"/>
          <w:szCs w:val="19"/>
          <w:lang w:val="en-GB" w:eastAsia="pl-PL"/>
        </w:rPr>
        <w:t>7</w:t>
      </w:r>
      <w:r w:rsidR="00E40924" w:rsidRPr="00E40924">
        <w:rPr>
          <w:rFonts w:eastAsia="Times New Roman" w:cs="Times New Roman"/>
          <w:szCs w:val="19"/>
          <w:lang w:val="en-GB" w:eastAsia="pl-PL"/>
        </w:rPr>
        <w:t>6</w:t>
      </w:r>
      <w:r w:rsidR="004E3598" w:rsidRPr="00E40924">
        <w:rPr>
          <w:rFonts w:eastAsia="Times New Roman" w:cs="Times New Roman"/>
          <w:szCs w:val="19"/>
          <w:lang w:val="en-GB" w:eastAsia="pl-PL"/>
        </w:rPr>
        <w:t>1</w:t>
      </w:r>
      <w:r w:rsidRPr="00E40924">
        <w:rPr>
          <w:rFonts w:eastAsia="Times New Roman" w:cs="Times New Roman"/>
          <w:szCs w:val="19"/>
          <w:lang w:val="en-GB" w:eastAsia="pl-PL"/>
        </w:rPr>
        <w:t xml:space="preserve"> unemployed or economically inactive persons aged 15-89 per 1</w:t>
      </w:r>
      <w:r w:rsidR="00C57BF7" w:rsidRPr="00E40924">
        <w:rPr>
          <w:rFonts w:eastAsia="Times New Roman" w:cs="Times New Roman"/>
          <w:szCs w:val="19"/>
          <w:lang w:val="en-GB" w:eastAsia="pl-PL"/>
        </w:rPr>
        <w:t> </w:t>
      </w:r>
      <w:r w:rsidRPr="00E40924">
        <w:rPr>
          <w:rFonts w:eastAsia="Times New Roman" w:cs="Times New Roman"/>
          <w:szCs w:val="19"/>
          <w:lang w:val="en-GB" w:eastAsia="pl-PL"/>
        </w:rPr>
        <w:t>000</w:t>
      </w:r>
      <w:r w:rsidR="00C57BF7" w:rsidRPr="00E40924">
        <w:rPr>
          <w:rFonts w:eastAsia="Times New Roman" w:cs="Times New Roman"/>
          <w:szCs w:val="19"/>
          <w:lang w:val="en-GB" w:eastAsia="pl-PL"/>
        </w:rPr>
        <w:t> </w:t>
      </w:r>
      <w:r w:rsidRPr="00E40924">
        <w:rPr>
          <w:rFonts w:eastAsia="Times New Roman" w:cs="Times New Roman"/>
          <w:szCs w:val="19"/>
          <w:lang w:val="en-GB" w:eastAsia="pl-PL"/>
        </w:rPr>
        <w:t>employed persons</w:t>
      </w:r>
      <w:r w:rsidRPr="001F72AF">
        <w:rPr>
          <w:rFonts w:eastAsia="Times New Roman" w:cs="Times New Roman"/>
          <w:szCs w:val="19"/>
          <w:lang w:val="en-GB" w:eastAsia="pl-PL"/>
        </w:rPr>
        <w:t xml:space="preserve"> (in the </w:t>
      </w:r>
      <w:r w:rsidR="00E40924">
        <w:rPr>
          <w:rFonts w:eastAsia="Times New Roman" w:cs="Times New Roman"/>
          <w:szCs w:val="19"/>
          <w:lang w:val="en-GB" w:eastAsia="pl-PL"/>
        </w:rPr>
        <w:t>fourth</w:t>
      </w:r>
      <w:r w:rsidRPr="004E3598">
        <w:rPr>
          <w:rFonts w:eastAsia="Times New Roman" w:cs="Times New Roman"/>
          <w:szCs w:val="19"/>
          <w:lang w:val="en-GB" w:eastAsia="pl-PL"/>
        </w:rPr>
        <w:t xml:space="preserve"> quarter of 2025 </w:t>
      </w:r>
      <w:r w:rsidRPr="00E40924">
        <w:rPr>
          <w:rFonts w:eastAsia="Times New Roman" w:cs="Times New Roman"/>
          <w:szCs w:val="19"/>
          <w:lang w:val="en-GB" w:eastAsia="pl-PL"/>
        </w:rPr>
        <w:t xml:space="preserve">– </w:t>
      </w:r>
      <w:r w:rsidR="0019240B" w:rsidRPr="00E40924">
        <w:rPr>
          <w:rFonts w:eastAsia="Times New Roman" w:cs="Times New Roman"/>
          <w:szCs w:val="19"/>
          <w:lang w:val="en-GB" w:eastAsia="pl-PL"/>
        </w:rPr>
        <w:t>7</w:t>
      </w:r>
      <w:r w:rsidR="00E40924" w:rsidRPr="00E40924">
        <w:rPr>
          <w:rFonts w:eastAsia="Times New Roman" w:cs="Times New Roman"/>
          <w:szCs w:val="19"/>
          <w:lang w:val="en-GB" w:eastAsia="pl-PL"/>
        </w:rPr>
        <w:t>51</w:t>
      </w:r>
      <w:r w:rsidRPr="004E3598">
        <w:rPr>
          <w:rFonts w:eastAsia="Times New Roman" w:cs="Times New Roman"/>
          <w:szCs w:val="19"/>
          <w:lang w:val="en-GB" w:eastAsia="pl-PL"/>
        </w:rPr>
        <w:t xml:space="preserve"> persons and in </w:t>
      </w:r>
      <w:r w:rsidRPr="00E40924">
        <w:rPr>
          <w:rFonts w:eastAsia="Times New Roman" w:cs="Times New Roman"/>
          <w:szCs w:val="19"/>
          <w:lang w:val="en-GB" w:eastAsia="pl-PL"/>
        </w:rPr>
        <w:t xml:space="preserve">the </w:t>
      </w:r>
      <w:r w:rsidR="0066608A" w:rsidRPr="00E40924">
        <w:rPr>
          <w:rFonts w:eastAsia="Times New Roman" w:cs="Times New Roman"/>
          <w:szCs w:val="19"/>
          <w:lang w:val="en-GB" w:eastAsia="pl-PL"/>
        </w:rPr>
        <w:t>f</w:t>
      </w:r>
      <w:r w:rsidR="00E40924" w:rsidRPr="00E40924">
        <w:rPr>
          <w:rFonts w:eastAsia="Times New Roman" w:cs="Times New Roman"/>
          <w:szCs w:val="19"/>
          <w:lang w:val="en-GB" w:eastAsia="pl-PL"/>
        </w:rPr>
        <w:t>irst</w:t>
      </w:r>
      <w:r w:rsidRPr="00E40924">
        <w:rPr>
          <w:rFonts w:eastAsia="Times New Roman" w:cs="Times New Roman"/>
          <w:szCs w:val="19"/>
          <w:lang w:val="en-GB" w:eastAsia="pl-PL"/>
        </w:rPr>
        <w:t xml:space="preserve"> quarter of</w:t>
      </w:r>
      <w:r w:rsidR="002C58DE" w:rsidRPr="00E40924">
        <w:rPr>
          <w:rFonts w:eastAsia="Times New Roman" w:cs="Times New Roman"/>
          <w:szCs w:val="19"/>
          <w:lang w:val="en-GB" w:eastAsia="pl-PL"/>
        </w:rPr>
        <w:t> </w:t>
      </w:r>
      <w:r w:rsidRPr="00E40924">
        <w:rPr>
          <w:rFonts w:eastAsia="Times New Roman" w:cs="Times New Roman"/>
          <w:szCs w:val="19"/>
          <w:lang w:val="en-GB" w:eastAsia="pl-PL"/>
        </w:rPr>
        <w:t>202</w:t>
      </w:r>
      <w:r w:rsidR="00E40924" w:rsidRPr="00E40924">
        <w:rPr>
          <w:rFonts w:eastAsia="Times New Roman" w:cs="Times New Roman"/>
          <w:szCs w:val="19"/>
          <w:lang w:val="en-GB" w:eastAsia="pl-PL"/>
        </w:rPr>
        <w:t>5</w:t>
      </w:r>
      <w:r w:rsidRPr="00E40924">
        <w:rPr>
          <w:rFonts w:eastAsia="Times New Roman" w:cs="Times New Roman"/>
          <w:szCs w:val="19"/>
          <w:lang w:val="en-GB" w:eastAsia="pl-PL"/>
        </w:rPr>
        <w:t xml:space="preserve"> – </w:t>
      </w:r>
      <w:r w:rsidR="0019240B" w:rsidRPr="00E40924">
        <w:rPr>
          <w:rFonts w:eastAsia="Times New Roman" w:cs="Times New Roman"/>
          <w:szCs w:val="19"/>
          <w:lang w:val="en-GB" w:eastAsia="pl-PL"/>
        </w:rPr>
        <w:t>7</w:t>
      </w:r>
      <w:r w:rsidR="00E40924" w:rsidRPr="00E40924">
        <w:rPr>
          <w:rFonts w:eastAsia="Times New Roman" w:cs="Times New Roman"/>
          <w:szCs w:val="19"/>
          <w:lang w:val="en-GB" w:eastAsia="pl-PL"/>
        </w:rPr>
        <w:t>8</w:t>
      </w:r>
      <w:r w:rsidR="004E3598" w:rsidRPr="00E40924">
        <w:rPr>
          <w:rFonts w:eastAsia="Times New Roman" w:cs="Times New Roman"/>
          <w:szCs w:val="19"/>
          <w:lang w:val="en-GB" w:eastAsia="pl-PL"/>
        </w:rPr>
        <w:t>0</w:t>
      </w:r>
      <w:r w:rsidR="00DD5C86" w:rsidRPr="00E40924">
        <w:rPr>
          <w:rFonts w:eastAsia="Times New Roman" w:cs="Times New Roman"/>
          <w:szCs w:val="19"/>
          <w:lang w:val="en-GB" w:eastAsia="pl-PL"/>
        </w:rPr>
        <w:t> </w:t>
      </w:r>
      <w:r w:rsidRPr="00E40924">
        <w:rPr>
          <w:rFonts w:eastAsia="Times New Roman" w:cs="Times New Roman"/>
          <w:szCs w:val="19"/>
          <w:lang w:val="en-GB" w:eastAsia="pl-PL"/>
        </w:rPr>
        <w:t>persons</w:t>
      </w:r>
      <w:r w:rsidRPr="004E3598">
        <w:rPr>
          <w:rFonts w:eastAsia="Times New Roman" w:cs="Times New Roman"/>
          <w:szCs w:val="19"/>
          <w:lang w:val="en-GB" w:eastAsia="pl-PL"/>
        </w:rPr>
        <w:t>).</w:t>
      </w:r>
      <w:r w:rsidR="00411E42">
        <w:rPr>
          <w:rFonts w:eastAsia="Times New Roman" w:cs="Times New Roman"/>
          <w:szCs w:val="19"/>
          <w:lang w:val="en-GB" w:eastAsia="pl-PL"/>
        </w:rPr>
        <w:t xml:space="preserve"> </w:t>
      </w:r>
    </w:p>
    <w:p w14:paraId="38C866E5" w14:textId="0BB20903" w:rsidR="00350184" w:rsidRDefault="006C3F54" w:rsidP="001638AE">
      <w:pPr>
        <w:pStyle w:val="Lead"/>
        <w:spacing w:before="480" w:after="0"/>
        <w:ind w:left="3686"/>
        <w:rPr>
          <w:lang w:val="en-GB"/>
        </w:rPr>
      </w:pPr>
      <w:r w:rsidRPr="00684629">
        <mc:AlternateContent>
          <mc:Choice Requires="wps">
            <w:drawing>
              <wp:anchor distT="45720" distB="45720" distL="114300" distR="114300" simplePos="0" relativeHeight="251645440" behindDoc="0" locked="0" layoutInCell="1" allowOverlap="1" wp14:anchorId="38BE1552" wp14:editId="228BB993">
                <wp:simplePos x="0" y="0"/>
                <wp:positionH relativeFrom="margin">
                  <wp:align>left</wp:align>
                </wp:positionH>
                <wp:positionV relativeFrom="paragraph">
                  <wp:posOffset>41901</wp:posOffset>
                </wp:positionV>
                <wp:extent cx="2181225" cy="1064260"/>
                <wp:effectExtent l="0" t="0" r="9525" b="2540"/>
                <wp:wrapSquare wrapText="bothSides"/>
                <wp:docPr id="15" name="Pole tekstowe 2" descr="Employment rate of persons aged 15-89 years - 56.8%&#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64525"/>
                        </a:xfrm>
                        <a:prstGeom prst="roundRect">
                          <a:avLst/>
                        </a:prstGeom>
                        <a:solidFill>
                          <a:srgbClr val="001D77"/>
                        </a:solidFill>
                        <a:ln w="9525">
                          <a:noFill/>
                          <a:miter lim="800000"/>
                          <a:headEnd/>
                          <a:tailEnd/>
                        </a:ln>
                      </wps:spPr>
                      <wps:txbx>
                        <w:txbxContent>
                          <w:p w14:paraId="6972CA75" w14:textId="02943F8B" w:rsidR="00DA385A" w:rsidRPr="0014599A" w:rsidRDefault="00DA385A" w:rsidP="001F72AF">
                            <w:pPr>
                              <w:spacing w:before="0" w:after="0" w:line="240" w:lineRule="auto"/>
                              <w:jc w:val="center"/>
                              <w:rPr>
                                <w:rFonts w:ascii="Fira Sans SemiBold" w:hAnsi="Fira Sans SemiBold"/>
                                <w:color w:val="FFFFFF" w:themeColor="background1"/>
                                <w:sz w:val="72"/>
                                <w:lang w:val="en-GB"/>
                              </w:rPr>
                            </w:pPr>
                            <w:r w:rsidRPr="004E3598">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4E3598">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8</w:t>
                            </w:r>
                            <w:r w:rsidRPr="0014599A">
                              <w:rPr>
                                <w:rFonts w:ascii="Fira Sans SemiBold" w:hAnsi="Fira Sans SemiBold"/>
                                <w:color w:val="FFFFFF" w:themeColor="background1"/>
                                <w:sz w:val="72"/>
                                <w:lang w:val="en-GB"/>
                              </w:rPr>
                              <w:t>%</w:t>
                            </w:r>
                          </w:p>
                          <w:p w14:paraId="73CDD619" w14:textId="5B545C10" w:rsidR="00DA385A" w:rsidRPr="0014599A" w:rsidRDefault="00DA385A" w:rsidP="00AD1045">
                            <w:pPr>
                              <w:spacing w:before="0" w:after="0" w:line="240" w:lineRule="auto"/>
                              <w:jc w:val="center"/>
                              <w:rPr>
                                <w:sz w:val="20"/>
                                <w:lang w:val="en-GB"/>
                              </w:rPr>
                            </w:pPr>
                            <w:r w:rsidRPr="0014599A">
                              <w:rPr>
                                <w:sz w:val="20"/>
                                <w:lang w:val="en-GB"/>
                              </w:rPr>
                              <w:t>Employment rate</w:t>
                            </w:r>
                          </w:p>
                          <w:p w14:paraId="3A9B76FE" w14:textId="26816ED0" w:rsidR="00DA385A" w:rsidRPr="0014599A" w:rsidRDefault="00DA385A"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8%&#10;&#10;" style="position:absolute;left:0;text-align:left;margin-left:0;margin-top:3.3pt;width:171.75pt;height:83.8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" fillcolor="#001d77" stroked="f">
                <v:stroke joinstyle="miter"/>
                <v:textbox>
                  <w:txbxContent>
                    <w:p w14:paraId="6972CA75" w14:textId="02943F8B" w:rsidR="00DA385A" w:rsidRPr="0014599A" w:rsidRDefault="00DA385A" w:rsidP="001F72AF">
                      <w:pPr>
                        <w:spacing w:before="0" w:after="0" w:line="240" w:lineRule="auto"/>
                        <w:jc w:val="center"/>
                        <w:rPr>
                          <w:rFonts w:ascii="Fira Sans SemiBold" w:hAnsi="Fira Sans SemiBold"/>
                          <w:color w:val="FFFFFF" w:themeColor="background1"/>
                          <w:sz w:val="72"/>
                          <w:lang w:val="en-GB"/>
                        </w:rPr>
                      </w:pPr>
                      <w:r w:rsidRPr="004E3598">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4E3598">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8</w:t>
                      </w:r>
                      <w:r w:rsidRPr="0014599A">
                        <w:rPr>
                          <w:rFonts w:ascii="Fira Sans SemiBold" w:hAnsi="Fira Sans SemiBold"/>
                          <w:color w:val="FFFFFF" w:themeColor="background1"/>
                          <w:sz w:val="72"/>
                          <w:lang w:val="en-GB"/>
                        </w:rPr>
                        <w:t>%</w:t>
                      </w:r>
                    </w:p>
                    <w:p w14:paraId="73CDD619" w14:textId="5B545C10" w:rsidR="00DA385A" w:rsidRPr="0014599A" w:rsidRDefault="00DA385A" w:rsidP="00AD1045">
                      <w:pPr>
                        <w:spacing w:before="0" w:after="0" w:line="240" w:lineRule="auto"/>
                        <w:jc w:val="center"/>
                        <w:rPr>
                          <w:sz w:val="20"/>
                          <w:lang w:val="en-GB"/>
                        </w:rPr>
                      </w:pPr>
                      <w:r w:rsidRPr="0014599A">
                        <w:rPr>
                          <w:sz w:val="20"/>
                          <w:lang w:val="en-GB"/>
                        </w:rPr>
                        <w:t>Employment rate</w:t>
                      </w:r>
                    </w:p>
                    <w:p w14:paraId="3A9B76FE" w14:textId="26816ED0" w:rsidR="00DA385A" w:rsidRPr="0014599A" w:rsidRDefault="00DA385A"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v:textbox>
                <w10:wrap type="square" anchorx="margin"/>
              </v:roundrect>
            </w:pict>
          </mc:Fallback>
        </mc:AlternateContent>
      </w:r>
      <w:r w:rsidR="00652E72" w:rsidRPr="00684629">
        <w:rPr>
          <w:lang w:val="en-GB"/>
        </w:rPr>
        <w:t xml:space="preserve">In the </w:t>
      </w:r>
      <w:r w:rsidR="0066608A">
        <w:rPr>
          <w:lang w:val="en-GB"/>
        </w:rPr>
        <w:t>f</w:t>
      </w:r>
      <w:r w:rsidR="00E40924">
        <w:rPr>
          <w:lang w:val="en-GB"/>
        </w:rPr>
        <w:t>irst</w:t>
      </w:r>
      <w:r w:rsidR="00652E72" w:rsidRPr="00684629">
        <w:rPr>
          <w:lang w:val="en-GB"/>
        </w:rPr>
        <w:t xml:space="preserve"> qu</w:t>
      </w:r>
      <w:r w:rsidR="00207086" w:rsidRPr="00684629">
        <w:rPr>
          <w:lang w:val="en-GB"/>
        </w:rPr>
        <w:t>arter of 202</w:t>
      </w:r>
      <w:r w:rsidR="00E40924">
        <w:rPr>
          <w:lang w:val="en-GB"/>
        </w:rPr>
        <w:t>6</w:t>
      </w:r>
      <w:r w:rsidR="00207086" w:rsidRPr="00684629">
        <w:rPr>
          <w:lang w:val="en-GB"/>
        </w:rPr>
        <w:t>,</w:t>
      </w:r>
      <w:r w:rsidR="00207086" w:rsidRPr="001126EA">
        <w:rPr>
          <w:lang w:val="en-GB"/>
        </w:rPr>
        <w:t xml:space="preserve"> </w:t>
      </w:r>
      <w:r w:rsidR="009146F6" w:rsidRPr="001126EA">
        <w:rPr>
          <w:lang w:val="en-GB"/>
        </w:rPr>
        <w:t>employed</w:t>
      </w:r>
      <w:r w:rsidR="009146F6">
        <w:rPr>
          <w:lang w:val="en-GB"/>
        </w:rPr>
        <w:t xml:space="preserve"> persons accounted </w:t>
      </w:r>
      <w:r w:rsidR="009146F6" w:rsidRPr="004E3598">
        <w:rPr>
          <w:lang w:val="en-GB"/>
        </w:rPr>
        <w:t>for</w:t>
      </w:r>
      <w:r w:rsidR="00E479CC" w:rsidRPr="004E3598">
        <w:rPr>
          <w:lang w:val="en-GB"/>
        </w:rPr>
        <w:t xml:space="preserve"> 5</w:t>
      </w:r>
      <w:r w:rsidR="00F736F3">
        <w:rPr>
          <w:lang w:val="en-GB"/>
        </w:rPr>
        <w:t>6</w:t>
      </w:r>
      <w:r w:rsidR="004A6D44" w:rsidRPr="004E3598">
        <w:rPr>
          <w:lang w:val="en-GB"/>
        </w:rPr>
        <w:t>.</w:t>
      </w:r>
      <w:r w:rsidR="00F736F3">
        <w:rPr>
          <w:lang w:val="en-GB"/>
        </w:rPr>
        <w:t>8</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w:t>
      </w:r>
      <w:r w:rsidR="00E479CC" w:rsidRPr="009554A3">
        <w:rPr>
          <w:lang w:val="en-GB"/>
        </w:rPr>
        <w:t xml:space="preserve"> </w:t>
      </w:r>
      <w:r w:rsidR="00350184" w:rsidRPr="00350184">
        <w:rPr>
          <w:lang w:val="en-GB"/>
        </w:rPr>
        <w:t xml:space="preserve">The </w:t>
      </w:r>
      <w:r w:rsidR="008F4A09">
        <w:rPr>
          <w:lang w:val="en-GB"/>
        </w:rPr>
        <w:t xml:space="preserve">employment rate </w:t>
      </w:r>
      <w:r w:rsidR="00350184" w:rsidRPr="00411E42">
        <w:rPr>
          <w:lang w:val="en-GB"/>
        </w:rPr>
        <w:t xml:space="preserve">was </w:t>
      </w:r>
      <w:r w:rsidR="004E3598" w:rsidRPr="00411E42">
        <w:rPr>
          <w:lang w:val="en-GB"/>
        </w:rPr>
        <w:t>lower</w:t>
      </w:r>
      <w:r w:rsidR="00350184" w:rsidRPr="00411E42">
        <w:rPr>
          <w:lang w:val="en-GB"/>
        </w:rPr>
        <w:t xml:space="preserve"> than noted in the </w:t>
      </w:r>
      <w:r w:rsidR="00F736F3">
        <w:rPr>
          <w:lang w:val="en-GB"/>
        </w:rPr>
        <w:t>fourth</w:t>
      </w:r>
      <w:r w:rsidR="00350184" w:rsidRPr="00411E42">
        <w:rPr>
          <w:lang w:val="en-GB"/>
        </w:rPr>
        <w:t xml:space="preserve"> quarter of 2025 (by 0.</w:t>
      </w:r>
      <w:r w:rsidR="00F736F3">
        <w:rPr>
          <w:lang w:val="en-GB"/>
        </w:rPr>
        <w:t>3</w:t>
      </w:r>
      <w:r w:rsidR="00350184" w:rsidRPr="00411E42">
        <w:rPr>
          <w:lang w:val="en-GB"/>
        </w:rPr>
        <w:t xml:space="preserve"> pp.)</w:t>
      </w:r>
      <w:r w:rsidR="004E3598" w:rsidRPr="00411E42">
        <w:rPr>
          <w:lang w:val="en-GB"/>
        </w:rPr>
        <w:t xml:space="preserve"> </w:t>
      </w:r>
      <w:r w:rsidR="004E3598">
        <w:rPr>
          <w:lang w:val="en-GB"/>
        </w:rPr>
        <w:t>but hi</w:t>
      </w:r>
      <w:r w:rsidR="008D4F34">
        <w:rPr>
          <w:lang w:val="en-GB"/>
        </w:rPr>
        <w:t xml:space="preserve">gher than </w:t>
      </w:r>
      <w:r w:rsidR="0019240B" w:rsidRPr="0019240B">
        <w:rPr>
          <w:lang w:val="en-GB"/>
        </w:rPr>
        <w:t xml:space="preserve">recorded in the </w:t>
      </w:r>
      <w:r w:rsidR="0082482F">
        <w:rPr>
          <w:lang w:val="en-GB"/>
        </w:rPr>
        <w:t>f</w:t>
      </w:r>
      <w:r w:rsidR="00F736F3">
        <w:rPr>
          <w:lang w:val="en-GB"/>
        </w:rPr>
        <w:t>irst</w:t>
      </w:r>
      <w:r w:rsidR="0082482F">
        <w:rPr>
          <w:lang w:val="en-GB"/>
        </w:rPr>
        <w:t xml:space="preserve"> quarter of 202</w:t>
      </w:r>
      <w:r w:rsidR="00F736F3">
        <w:rPr>
          <w:lang w:val="en-GB"/>
        </w:rPr>
        <w:t>5</w:t>
      </w:r>
      <w:r w:rsidR="0019240B" w:rsidRPr="0019240B">
        <w:rPr>
          <w:lang w:val="en-GB"/>
        </w:rPr>
        <w:t xml:space="preserve"> </w:t>
      </w:r>
      <w:r w:rsidR="0019240B" w:rsidRPr="008D4F34">
        <w:rPr>
          <w:lang w:val="en-GB"/>
        </w:rPr>
        <w:t>(by 0.</w:t>
      </w:r>
      <w:r w:rsidR="00F736F3">
        <w:rPr>
          <w:lang w:val="en-GB"/>
        </w:rPr>
        <w:t>6</w:t>
      </w:r>
      <w:r w:rsidR="0019240B" w:rsidRPr="008D4F34">
        <w:rPr>
          <w:lang w:val="en-GB"/>
        </w:rPr>
        <w:t xml:space="preserve"> p</w:t>
      </w:r>
      <w:r w:rsidR="002B2EEE" w:rsidRPr="008D4F34">
        <w:rPr>
          <w:lang w:val="en-GB"/>
        </w:rPr>
        <w:t>p.</w:t>
      </w:r>
      <w:r w:rsidR="0019240B" w:rsidRPr="008D4F34">
        <w:rPr>
          <w:lang w:val="en-GB"/>
        </w:rPr>
        <w:t>).</w:t>
      </w:r>
    </w:p>
    <w:p w14:paraId="3EBCB496" w14:textId="359D4F22" w:rsidR="00350184" w:rsidRDefault="00350184" w:rsidP="00675674">
      <w:pPr>
        <w:pStyle w:val="Lead"/>
        <w:spacing w:before="0" w:after="0"/>
        <w:ind w:left="3686"/>
        <w:rPr>
          <w:lang w:val="en-GB"/>
        </w:rPr>
      </w:pPr>
    </w:p>
    <w:p w14:paraId="1F696CE5" w14:textId="4CB6A221" w:rsidR="00BD12D4" w:rsidRDefault="00BD12D4" w:rsidP="00675674">
      <w:pPr>
        <w:pStyle w:val="Lead"/>
        <w:spacing w:before="0" w:after="0"/>
        <w:rPr>
          <w:lang w:val="en-GB"/>
        </w:rPr>
      </w:pPr>
    </w:p>
    <w:p w14:paraId="382AFC2C" w14:textId="77777777" w:rsidR="008F4A09" w:rsidRDefault="008F4A09" w:rsidP="00675674">
      <w:pPr>
        <w:pStyle w:val="Nagwek1"/>
        <w:spacing w:before="0"/>
        <w:rPr>
          <w:rFonts w:ascii="Fira Sans" w:hAnsi="Fira Sans"/>
          <w:b/>
          <w:spacing w:val="-2"/>
          <w:szCs w:val="19"/>
          <w:lang w:val="en-GB"/>
        </w:rPr>
      </w:pPr>
    </w:p>
    <w:p w14:paraId="7481044C" w14:textId="78D901E7" w:rsidR="00705190" w:rsidRPr="009725E0" w:rsidRDefault="00722FB9" w:rsidP="00675674">
      <w:pPr>
        <w:pStyle w:val="Nagwek1"/>
        <w:spacing w:before="0"/>
        <w:rPr>
          <w:lang w:val="en-GB"/>
        </w:rPr>
      </w:pPr>
      <w:r w:rsidRPr="009725E0">
        <w:rPr>
          <w:rFonts w:ascii="Fira Sans" w:hAnsi="Fira Sans"/>
          <w:b/>
          <w:spacing w:val="-2"/>
          <w:szCs w:val="19"/>
          <w:lang w:val="en-GB"/>
        </w:rPr>
        <w:t>Employed persons</w:t>
      </w:r>
      <w:r w:rsidRPr="009725E0">
        <w:rPr>
          <w:lang w:val="en-GB"/>
        </w:rPr>
        <w:t xml:space="preserve"> aged 15-89 by the LFS</w:t>
      </w:r>
    </w:p>
    <w:p w14:paraId="0985CF7C" w14:textId="3A7B9048" w:rsidR="00BD12D4" w:rsidRDefault="00EE03E9" w:rsidP="00675674">
      <w:pPr>
        <w:spacing w:before="60" w:after="60" w:line="288" w:lineRule="auto"/>
        <w:rPr>
          <w:rFonts w:eastAsia="Times New Roman" w:cs="Times New Roman"/>
          <w:szCs w:val="19"/>
          <w:lang w:val="en-GB" w:eastAsia="pl-PL"/>
        </w:rPr>
      </w:pPr>
      <w:r w:rsidRPr="00ED03A7">
        <w:rPr>
          <w:rFonts w:eastAsia="Times New Roman" w:cs="Times New Roman"/>
          <w:szCs w:val="19"/>
          <w:lang w:val="en-GB" w:eastAsia="pl-PL"/>
        </w:rPr>
        <w:t>In</w:t>
      </w:r>
      <w:r w:rsidR="00E479CC" w:rsidRPr="00ED03A7">
        <w:rPr>
          <w:rFonts w:eastAsia="Times New Roman" w:cs="Times New Roman"/>
          <w:szCs w:val="19"/>
          <w:lang w:val="en-GB" w:eastAsia="pl-PL"/>
        </w:rPr>
        <w:t xml:space="preserve"> </w:t>
      </w:r>
      <w:r w:rsidR="00D93643" w:rsidRPr="00ED03A7">
        <w:rPr>
          <w:rFonts w:eastAsia="Times New Roman" w:cs="Times New Roman"/>
          <w:szCs w:val="19"/>
          <w:lang w:val="en-GB" w:eastAsia="pl-PL"/>
        </w:rPr>
        <w:t xml:space="preserve">the </w:t>
      </w:r>
      <w:r w:rsidR="0066608A" w:rsidRPr="00ED03A7">
        <w:rPr>
          <w:rFonts w:eastAsia="Times New Roman" w:cs="Times New Roman"/>
          <w:szCs w:val="19"/>
          <w:lang w:val="en-GB" w:eastAsia="pl-PL"/>
        </w:rPr>
        <w:t>f</w:t>
      </w:r>
      <w:r w:rsidR="001638AE" w:rsidRPr="00ED03A7">
        <w:rPr>
          <w:rFonts w:eastAsia="Times New Roman" w:cs="Times New Roman"/>
          <w:szCs w:val="19"/>
          <w:lang w:val="en-GB" w:eastAsia="pl-PL"/>
        </w:rPr>
        <w:t>irst</w:t>
      </w:r>
      <w:r w:rsidR="00A71388" w:rsidRPr="00ED03A7">
        <w:rPr>
          <w:rFonts w:eastAsia="Times New Roman" w:cs="Times New Roman"/>
          <w:szCs w:val="19"/>
          <w:lang w:val="en-GB" w:eastAsia="pl-PL"/>
        </w:rPr>
        <w:t xml:space="preserve"> </w:t>
      </w:r>
      <w:r w:rsidR="00D93643" w:rsidRPr="00ED03A7">
        <w:rPr>
          <w:rFonts w:eastAsia="Times New Roman" w:cs="Times New Roman"/>
          <w:szCs w:val="19"/>
          <w:lang w:val="en-GB" w:eastAsia="pl-PL"/>
        </w:rPr>
        <w:t>quarter of 202</w:t>
      </w:r>
      <w:r w:rsidR="001638AE" w:rsidRPr="00ED03A7">
        <w:rPr>
          <w:rFonts w:eastAsia="Times New Roman" w:cs="Times New Roman"/>
          <w:szCs w:val="19"/>
          <w:lang w:val="en-GB" w:eastAsia="pl-PL"/>
        </w:rPr>
        <w:t>6</w:t>
      </w:r>
      <w:r w:rsidRPr="00ED03A7">
        <w:rPr>
          <w:rFonts w:eastAsia="Times New Roman" w:cs="Times New Roman"/>
          <w:szCs w:val="19"/>
          <w:lang w:val="en-GB" w:eastAsia="pl-PL"/>
        </w:rPr>
        <w:t xml:space="preserve">, </w:t>
      </w:r>
      <w:r w:rsidR="00D71C42" w:rsidRPr="00ED03A7">
        <w:rPr>
          <w:rFonts w:eastAsia="Times New Roman" w:cs="Times New Roman"/>
          <w:szCs w:val="19"/>
          <w:lang w:val="en-GB" w:eastAsia="pl-PL"/>
        </w:rPr>
        <w:t>population of employed persons aged 15</w:t>
      </w:r>
      <w:r w:rsidR="007801E6" w:rsidRPr="00ED03A7">
        <w:rPr>
          <w:rFonts w:eastAsia="Times New Roman" w:cs="Times New Roman"/>
          <w:szCs w:val="19"/>
          <w:lang w:val="en-GB" w:eastAsia="pl-PL"/>
        </w:rPr>
        <w:t>-</w:t>
      </w:r>
      <w:r w:rsidR="00D71C42" w:rsidRPr="00ED03A7">
        <w:rPr>
          <w:rFonts w:eastAsia="Times New Roman" w:cs="Times New Roman"/>
          <w:szCs w:val="19"/>
          <w:lang w:val="en-GB" w:eastAsia="pl-PL"/>
        </w:rPr>
        <w:t xml:space="preserve">89 </w:t>
      </w:r>
      <w:r w:rsidR="00AD6DE5" w:rsidRPr="00ED03A7">
        <w:rPr>
          <w:rFonts w:eastAsia="Times New Roman" w:cs="Times New Roman"/>
          <w:szCs w:val="19"/>
          <w:lang w:val="en-GB" w:eastAsia="pl-PL"/>
        </w:rPr>
        <w:t>amounted to</w:t>
      </w:r>
      <w:r w:rsidR="00675674" w:rsidRPr="00ED03A7">
        <w:rPr>
          <w:rFonts w:eastAsia="Times New Roman" w:cs="Times New Roman"/>
          <w:szCs w:val="19"/>
          <w:lang w:val="en-GB" w:eastAsia="pl-PL"/>
        </w:rPr>
        <w:t> </w:t>
      </w:r>
      <w:r w:rsidR="001638AE" w:rsidRPr="00ED03A7">
        <w:rPr>
          <w:rFonts w:eastAsia="Times New Roman" w:cs="Times New Roman"/>
          <w:szCs w:val="19"/>
          <w:lang w:val="en-GB" w:eastAsia="pl-PL"/>
        </w:rPr>
        <w:t>17 237</w:t>
      </w:r>
      <w:r w:rsidR="00432687" w:rsidRPr="00ED03A7">
        <w:rPr>
          <w:rFonts w:eastAsia="Times New Roman" w:cs="Times New Roman"/>
          <w:szCs w:val="19"/>
          <w:lang w:val="en-GB" w:eastAsia="pl-PL"/>
        </w:rPr>
        <w:t> </w:t>
      </w:r>
      <w:r w:rsidR="00684AFD" w:rsidRPr="00ED03A7">
        <w:rPr>
          <w:rFonts w:eastAsia="Times New Roman" w:cs="Times New Roman"/>
          <w:szCs w:val="19"/>
          <w:lang w:val="en-GB" w:eastAsia="pl-PL"/>
        </w:rPr>
        <w:t>thousand</w:t>
      </w:r>
      <w:r w:rsidR="00E479CC" w:rsidRPr="00ED03A7">
        <w:rPr>
          <w:rFonts w:eastAsia="Times New Roman" w:cs="Times New Roman"/>
          <w:szCs w:val="19"/>
          <w:lang w:val="en-GB" w:eastAsia="pl-PL"/>
        </w:rPr>
        <w:t xml:space="preserve"> </w:t>
      </w:r>
      <w:r w:rsidR="00073349" w:rsidRPr="00ED03A7">
        <w:rPr>
          <w:rFonts w:eastAsia="Times New Roman" w:cs="Times New Roman"/>
          <w:szCs w:val="19"/>
          <w:lang w:val="en-GB" w:eastAsia="pl-PL"/>
        </w:rPr>
        <w:t>persons</w:t>
      </w:r>
      <w:r w:rsidR="009638F7" w:rsidRPr="00ED03A7">
        <w:rPr>
          <w:rFonts w:eastAsia="Times New Roman" w:cs="Times New Roman"/>
          <w:szCs w:val="19"/>
          <w:lang w:val="en-GB" w:eastAsia="pl-PL"/>
        </w:rPr>
        <w:t xml:space="preserve"> </w:t>
      </w:r>
      <w:r w:rsidR="0082482F" w:rsidRPr="00ED03A7">
        <w:rPr>
          <w:rFonts w:eastAsia="Times New Roman" w:cs="Times New Roman"/>
          <w:szCs w:val="19"/>
          <w:lang w:val="en-GB" w:eastAsia="pl-PL"/>
        </w:rPr>
        <w:t xml:space="preserve">and </w:t>
      </w:r>
      <w:r w:rsidR="00F87A4E" w:rsidRPr="00ED03A7">
        <w:rPr>
          <w:rFonts w:eastAsia="Times New Roman" w:cs="Times New Roman"/>
          <w:szCs w:val="19"/>
          <w:lang w:val="en-GB" w:eastAsia="pl-PL"/>
        </w:rPr>
        <w:t xml:space="preserve">was </w:t>
      </w:r>
      <w:r w:rsidR="00ED03A7" w:rsidRPr="00ED03A7">
        <w:rPr>
          <w:rFonts w:eastAsia="Times New Roman" w:cs="Times New Roman"/>
          <w:szCs w:val="19"/>
          <w:lang w:val="en-GB" w:eastAsia="pl-PL"/>
        </w:rPr>
        <w:t>lower than in</w:t>
      </w:r>
      <w:r w:rsidR="00DE2EE4" w:rsidRPr="00ED03A7">
        <w:rPr>
          <w:rFonts w:eastAsia="Times New Roman" w:cs="Times New Roman"/>
          <w:szCs w:val="19"/>
          <w:lang w:val="en-GB" w:eastAsia="pl-PL"/>
        </w:rPr>
        <w:t xml:space="preserve"> the </w:t>
      </w:r>
      <w:r w:rsidR="00ED03A7" w:rsidRPr="00ED03A7">
        <w:rPr>
          <w:rFonts w:eastAsia="Times New Roman" w:cs="Times New Roman"/>
          <w:szCs w:val="19"/>
          <w:lang w:val="en-GB" w:eastAsia="pl-PL"/>
        </w:rPr>
        <w:t>fourth</w:t>
      </w:r>
      <w:r w:rsidR="00DE2EE4" w:rsidRPr="00ED03A7">
        <w:rPr>
          <w:rFonts w:eastAsia="Times New Roman" w:cs="Times New Roman"/>
          <w:szCs w:val="19"/>
          <w:lang w:val="en-GB" w:eastAsia="pl-PL"/>
        </w:rPr>
        <w:t xml:space="preserve"> quarter of 2025 </w:t>
      </w:r>
      <w:r w:rsidR="0082482F" w:rsidRPr="00ED03A7">
        <w:rPr>
          <w:rFonts w:eastAsia="Times New Roman" w:cs="Times New Roman"/>
          <w:szCs w:val="19"/>
          <w:lang w:val="en-GB" w:eastAsia="pl-PL"/>
        </w:rPr>
        <w:t xml:space="preserve">(by </w:t>
      </w:r>
      <w:r w:rsidR="00ED03A7" w:rsidRPr="00ED03A7">
        <w:rPr>
          <w:rFonts w:eastAsia="Times New Roman" w:cs="Times New Roman"/>
          <w:szCs w:val="19"/>
          <w:lang w:val="en-GB" w:eastAsia="pl-PL"/>
        </w:rPr>
        <w:t>109</w:t>
      </w:r>
      <w:r w:rsidR="005E75A8">
        <w:rPr>
          <w:rFonts w:eastAsia="Times New Roman" w:cs="Times New Roman"/>
          <w:szCs w:val="19"/>
          <w:lang w:val="en-GB" w:eastAsia="pl-PL"/>
        </w:rPr>
        <w:t> </w:t>
      </w:r>
      <w:r w:rsidR="0082482F" w:rsidRPr="00ED03A7">
        <w:rPr>
          <w:rFonts w:eastAsia="Times New Roman" w:cs="Times New Roman"/>
          <w:szCs w:val="19"/>
          <w:lang w:val="en-GB" w:eastAsia="pl-PL"/>
        </w:rPr>
        <w:t xml:space="preserve">thousand, i.e. </w:t>
      </w:r>
      <w:r w:rsidR="00DE2EE4" w:rsidRPr="00ED03A7">
        <w:rPr>
          <w:rFonts w:eastAsia="Times New Roman" w:cs="Times New Roman"/>
          <w:szCs w:val="19"/>
          <w:lang w:val="en-GB" w:eastAsia="pl-PL"/>
        </w:rPr>
        <w:t>by 0.</w:t>
      </w:r>
      <w:r w:rsidR="00ED03A7" w:rsidRPr="00ED03A7">
        <w:rPr>
          <w:rFonts w:eastAsia="Times New Roman" w:cs="Times New Roman"/>
          <w:szCs w:val="19"/>
          <w:lang w:val="en-GB" w:eastAsia="pl-PL"/>
        </w:rPr>
        <w:t>6</w:t>
      </w:r>
      <w:r w:rsidR="00DE2EE4" w:rsidRPr="00ED03A7">
        <w:rPr>
          <w:rFonts w:eastAsia="Times New Roman" w:cs="Times New Roman"/>
          <w:szCs w:val="19"/>
          <w:lang w:val="en-GB" w:eastAsia="pl-PL"/>
        </w:rPr>
        <w:t>%</w:t>
      </w:r>
      <w:r w:rsidR="0082482F" w:rsidRPr="00ED03A7">
        <w:rPr>
          <w:rFonts w:eastAsia="Times New Roman" w:cs="Times New Roman"/>
          <w:szCs w:val="19"/>
          <w:lang w:val="en-GB" w:eastAsia="pl-PL"/>
        </w:rPr>
        <w:t>)</w:t>
      </w:r>
      <w:r w:rsidR="00DE2EE4" w:rsidRPr="00ED03A7">
        <w:rPr>
          <w:rFonts w:eastAsia="Times New Roman" w:cs="Times New Roman"/>
          <w:szCs w:val="19"/>
          <w:lang w:val="en-GB" w:eastAsia="pl-PL"/>
        </w:rPr>
        <w:t xml:space="preserve">, </w:t>
      </w:r>
      <w:r w:rsidR="008321DA" w:rsidRPr="00ED03A7">
        <w:rPr>
          <w:rFonts w:eastAsia="Times New Roman" w:cs="Times New Roman"/>
          <w:szCs w:val="19"/>
          <w:lang w:val="en-GB" w:eastAsia="pl-PL"/>
        </w:rPr>
        <w:t>while compared to the f</w:t>
      </w:r>
      <w:r w:rsidR="00ED03A7" w:rsidRPr="00ED03A7">
        <w:rPr>
          <w:rFonts w:eastAsia="Times New Roman" w:cs="Times New Roman"/>
          <w:szCs w:val="19"/>
          <w:lang w:val="en-GB" w:eastAsia="pl-PL"/>
        </w:rPr>
        <w:t>irst</w:t>
      </w:r>
      <w:r w:rsidR="008321DA" w:rsidRPr="00ED03A7">
        <w:rPr>
          <w:rFonts w:eastAsia="Times New Roman" w:cs="Times New Roman"/>
          <w:szCs w:val="19"/>
          <w:lang w:val="en-GB" w:eastAsia="pl-PL"/>
        </w:rPr>
        <w:t xml:space="preserve"> quarter of 202</w:t>
      </w:r>
      <w:r w:rsidR="00ED03A7" w:rsidRPr="00ED03A7">
        <w:rPr>
          <w:rFonts w:eastAsia="Times New Roman" w:cs="Times New Roman"/>
          <w:szCs w:val="19"/>
          <w:lang w:val="en-GB" w:eastAsia="pl-PL"/>
        </w:rPr>
        <w:t>5</w:t>
      </w:r>
      <w:r w:rsidR="008321DA" w:rsidRPr="00ED03A7">
        <w:rPr>
          <w:rFonts w:eastAsia="Times New Roman" w:cs="Times New Roman"/>
          <w:szCs w:val="19"/>
          <w:lang w:val="en-GB" w:eastAsia="pl-PL"/>
        </w:rPr>
        <w:t xml:space="preserve"> it increased </w:t>
      </w:r>
      <w:r w:rsidR="00DE2EE4" w:rsidRPr="00ED03A7">
        <w:rPr>
          <w:rFonts w:eastAsia="Times New Roman" w:cs="Times New Roman"/>
          <w:szCs w:val="19"/>
          <w:lang w:val="en-GB" w:eastAsia="pl-PL"/>
        </w:rPr>
        <w:t xml:space="preserve">by </w:t>
      </w:r>
      <w:r w:rsidR="00ED03A7" w:rsidRPr="00ED03A7">
        <w:rPr>
          <w:rFonts w:eastAsia="Times New Roman" w:cs="Times New Roman"/>
          <w:szCs w:val="19"/>
          <w:lang w:val="en-GB" w:eastAsia="pl-PL"/>
        </w:rPr>
        <w:t>177 </w:t>
      </w:r>
      <w:r w:rsidR="0082482F" w:rsidRPr="00ED03A7">
        <w:rPr>
          <w:rFonts w:eastAsia="Times New Roman" w:cs="Times New Roman"/>
          <w:szCs w:val="19"/>
          <w:lang w:val="en-GB" w:eastAsia="pl-PL"/>
        </w:rPr>
        <w:t xml:space="preserve">thousand i.e. by </w:t>
      </w:r>
      <w:r w:rsidR="00ED03A7" w:rsidRPr="00ED03A7">
        <w:rPr>
          <w:rFonts w:eastAsia="Times New Roman" w:cs="Times New Roman"/>
          <w:szCs w:val="19"/>
          <w:lang w:val="en-GB" w:eastAsia="pl-PL"/>
        </w:rPr>
        <w:t>1</w:t>
      </w:r>
      <w:r w:rsidR="00DE2EE4" w:rsidRPr="00ED03A7">
        <w:rPr>
          <w:rFonts w:eastAsia="Times New Roman" w:cs="Times New Roman"/>
          <w:szCs w:val="19"/>
          <w:lang w:val="en-GB" w:eastAsia="pl-PL"/>
        </w:rPr>
        <w:t>.</w:t>
      </w:r>
      <w:r w:rsidR="00ED03A7" w:rsidRPr="00ED03A7">
        <w:rPr>
          <w:rFonts w:eastAsia="Times New Roman" w:cs="Times New Roman"/>
          <w:szCs w:val="19"/>
          <w:lang w:val="en-GB" w:eastAsia="pl-PL"/>
        </w:rPr>
        <w:t>0</w:t>
      </w:r>
      <w:r w:rsidR="00DE2EE4" w:rsidRPr="00ED03A7">
        <w:rPr>
          <w:rFonts w:eastAsia="Times New Roman" w:cs="Times New Roman"/>
          <w:szCs w:val="19"/>
          <w:lang w:val="en-GB" w:eastAsia="pl-PL"/>
        </w:rPr>
        <w:t>%.</w:t>
      </w:r>
      <w:r w:rsidR="00411E42">
        <w:rPr>
          <w:rFonts w:eastAsia="Times New Roman" w:cs="Times New Roman"/>
          <w:szCs w:val="19"/>
          <w:lang w:val="en-GB" w:eastAsia="pl-PL"/>
        </w:rPr>
        <w:t xml:space="preserve"> </w:t>
      </w:r>
    </w:p>
    <w:p w14:paraId="31AC5A1F" w14:textId="04B04AFF" w:rsidR="00BD12D4" w:rsidRDefault="00BD12D4" w:rsidP="00675674">
      <w:pPr>
        <w:spacing w:before="60" w:line="288" w:lineRule="auto"/>
        <w:rPr>
          <w:rFonts w:eastAsia="Times New Roman" w:cs="Times New Roman"/>
          <w:szCs w:val="19"/>
          <w:lang w:val="en-GB" w:eastAsia="pl-PL"/>
        </w:rPr>
      </w:pPr>
      <w:r w:rsidRPr="0053541B">
        <w:rPr>
          <w:rFonts w:eastAsia="Times New Roman" w:cs="Times New Roman"/>
          <w:szCs w:val="19"/>
          <w:lang w:val="en-GB" w:eastAsia="pl-PL"/>
        </w:rPr>
        <w:t xml:space="preserve">The number of working-age persons in the </w:t>
      </w:r>
      <w:r w:rsidR="0053541B" w:rsidRPr="0053541B">
        <w:rPr>
          <w:rFonts w:eastAsia="Times New Roman" w:cs="Times New Roman"/>
          <w:szCs w:val="19"/>
          <w:lang w:val="en-GB" w:eastAsia="pl-PL"/>
        </w:rPr>
        <w:t>first</w:t>
      </w:r>
      <w:r w:rsidRPr="0053541B">
        <w:rPr>
          <w:rFonts w:eastAsia="Times New Roman" w:cs="Times New Roman"/>
          <w:szCs w:val="19"/>
          <w:lang w:val="en-GB" w:eastAsia="pl-PL"/>
        </w:rPr>
        <w:t xml:space="preserve"> quarter of 202</w:t>
      </w:r>
      <w:r w:rsidR="0053541B" w:rsidRPr="0053541B">
        <w:rPr>
          <w:rFonts w:eastAsia="Times New Roman" w:cs="Times New Roman"/>
          <w:szCs w:val="19"/>
          <w:lang w:val="en-GB" w:eastAsia="pl-PL"/>
        </w:rPr>
        <w:t>6</w:t>
      </w:r>
      <w:r w:rsidRPr="0053541B">
        <w:rPr>
          <w:rFonts w:eastAsia="Times New Roman" w:cs="Times New Roman"/>
          <w:szCs w:val="19"/>
          <w:lang w:val="en-GB" w:eastAsia="pl-PL"/>
        </w:rPr>
        <w:t xml:space="preserve"> amounted to</w:t>
      </w:r>
      <w:r w:rsidR="001C0C17" w:rsidRPr="0053541B">
        <w:rPr>
          <w:rFonts w:eastAsia="Times New Roman" w:cs="Times New Roman"/>
          <w:szCs w:val="19"/>
          <w:lang w:val="en-GB" w:eastAsia="pl-PL"/>
        </w:rPr>
        <w:t xml:space="preserve"> </w:t>
      </w:r>
      <w:r w:rsidR="0053541B" w:rsidRPr="0053541B">
        <w:rPr>
          <w:rFonts w:eastAsia="Times New Roman" w:cs="Times New Roman"/>
          <w:szCs w:val="19"/>
          <w:lang w:val="en-GB" w:eastAsia="pl-PL"/>
        </w:rPr>
        <w:t>16</w:t>
      </w:r>
      <w:r w:rsidR="0053541B">
        <w:rPr>
          <w:rFonts w:eastAsia="Times New Roman" w:cs="Times New Roman"/>
          <w:szCs w:val="19"/>
          <w:lang w:val="en-GB" w:eastAsia="pl-PL"/>
        </w:rPr>
        <w:t> </w:t>
      </w:r>
      <w:r w:rsidR="0053541B" w:rsidRPr="0053541B">
        <w:rPr>
          <w:rFonts w:eastAsia="Times New Roman" w:cs="Times New Roman"/>
          <w:szCs w:val="19"/>
          <w:lang w:val="en-GB" w:eastAsia="pl-PL"/>
        </w:rPr>
        <w:t>386</w:t>
      </w:r>
      <w:r w:rsidR="001C0C17" w:rsidRPr="0053541B">
        <w:rPr>
          <w:rFonts w:eastAsia="Times New Roman" w:cs="Times New Roman"/>
          <w:szCs w:val="19"/>
          <w:lang w:val="en-GB" w:eastAsia="pl-PL"/>
        </w:rPr>
        <w:t> </w:t>
      </w:r>
      <w:r w:rsidRPr="0053541B">
        <w:rPr>
          <w:rFonts w:eastAsia="Times New Roman" w:cs="Times New Roman"/>
          <w:szCs w:val="19"/>
          <w:lang w:val="en-GB" w:eastAsia="pl-PL"/>
        </w:rPr>
        <w:t xml:space="preserve">thousand. Compared to the </w:t>
      </w:r>
      <w:r w:rsidR="0053541B" w:rsidRPr="0053541B">
        <w:rPr>
          <w:rFonts w:eastAsia="Times New Roman" w:cs="Times New Roman"/>
          <w:szCs w:val="19"/>
          <w:lang w:val="en-GB" w:eastAsia="pl-PL"/>
        </w:rPr>
        <w:t>fourth</w:t>
      </w:r>
      <w:r w:rsidRPr="0053541B">
        <w:rPr>
          <w:rFonts w:eastAsia="Times New Roman" w:cs="Times New Roman"/>
          <w:szCs w:val="19"/>
          <w:lang w:val="en-GB" w:eastAsia="pl-PL"/>
        </w:rPr>
        <w:t xml:space="preserve"> quarter of 2025, there was a </w:t>
      </w:r>
      <w:r w:rsidR="008321DA" w:rsidRPr="0053541B">
        <w:rPr>
          <w:rFonts w:eastAsia="Times New Roman" w:cs="Times New Roman"/>
          <w:szCs w:val="19"/>
          <w:lang w:val="en-GB" w:eastAsia="pl-PL"/>
        </w:rPr>
        <w:t>de</w:t>
      </w:r>
      <w:r w:rsidRPr="0053541B">
        <w:rPr>
          <w:rFonts w:eastAsia="Times New Roman" w:cs="Times New Roman"/>
          <w:szCs w:val="19"/>
          <w:lang w:val="en-GB" w:eastAsia="pl-PL"/>
        </w:rPr>
        <w:t>crease in this group of</w:t>
      </w:r>
      <w:r w:rsidR="00675674" w:rsidRPr="0053541B">
        <w:rPr>
          <w:rFonts w:eastAsia="Times New Roman" w:cs="Times New Roman"/>
          <w:szCs w:val="19"/>
          <w:lang w:val="en-GB" w:eastAsia="pl-PL"/>
        </w:rPr>
        <w:t> </w:t>
      </w:r>
      <w:r w:rsidRPr="0053541B">
        <w:rPr>
          <w:rFonts w:eastAsia="Times New Roman" w:cs="Times New Roman"/>
          <w:szCs w:val="19"/>
          <w:lang w:val="en-GB" w:eastAsia="pl-PL"/>
        </w:rPr>
        <w:t xml:space="preserve">persons – by </w:t>
      </w:r>
      <w:r w:rsidR="0053541B" w:rsidRPr="0053541B">
        <w:rPr>
          <w:rFonts w:eastAsia="Times New Roman" w:cs="Times New Roman"/>
          <w:szCs w:val="19"/>
          <w:lang w:val="en-GB" w:eastAsia="pl-PL"/>
        </w:rPr>
        <w:t>80</w:t>
      </w:r>
      <w:r w:rsidRPr="0053541B">
        <w:rPr>
          <w:rFonts w:eastAsia="Times New Roman" w:cs="Times New Roman"/>
          <w:szCs w:val="19"/>
          <w:lang w:val="en-GB" w:eastAsia="pl-PL"/>
        </w:rPr>
        <w:t xml:space="preserve"> thousand, i.e. by 0.</w:t>
      </w:r>
      <w:r w:rsidR="0053541B" w:rsidRPr="0053541B">
        <w:rPr>
          <w:rFonts w:eastAsia="Times New Roman" w:cs="Times New Roman"/>
          <w:szCs w:val="19"/>
          <w:lang w:val="en-GB" w:eastAsia="pl-PL"/>
        </w:rPr>
        <w:t>5</w:t>
      </w:r>
      <w:r w:rsidRPr="0053541B">
        <w:rPr>
          <w:rFonts w:eastAsia="Times New Roman" w:cs="Times New Roman"/>
          <w:szCs w:val="19"/>
          <w:lang w:val="en-GB" w:eastAsia="pl-PL"/>
        </w:rPr>
        <w:t xml:space="preserve">%, while compared to the </w:t>
      </w:r>
      <w:r w:rsidR="0066608A" w:rsidRPr="0053541B">
        <w:rPr>
          <w:rFonts w:eastAsia="Times New Roman" w:cs="Times New Roman"/>
          <w:szCs w:val="19"/>
          <w:lang w:val="en-GB" w:eastAsia="pl-PL"/>
        </w:rPr>
        <w:t>f</w:t>
      </w:r>
      <w:r w:rsidR="0053541B" w:rsidRPr="0053541B">
        <w:rPr>
          <w:rFonts w:eastAsia="Times New Roman" w:cs="Times New Roman"/>
          <w:szCs w:val="19"/>
          <w:lang w:val="en-GB" w:eastAsia="pl-PL"/>
        </w:rPr>
        <w:t>irst</w:t>
      </w:r>
      <w:r w:rsidRPr="0053541B">
        <w:rPr>
          <w:rFonts w:eastAsia="Times New Roman" w:cs="Times New Roman"/>
          <w:szCs w:val="19"/>
          <w:lang w:val="en-GB" w:eastAsia="pl-PL"/>
        </w:rPr>
        <w:t xml:space="preserve"> quarter of 202</w:t>
      </w:r>
      <w:r w:rsidR="0053541B" w:rsidRPr="0053541B">
        <w:rPr>
          <w:rFonts w:eastAsia="Times New Roman" w:cs="Times New Roman"/>
          <w:szCs w:val="19"/>
          <w:lang w:val="en-GB" w:eastAsia="pl-PL"/>
        </w:rPr>
        <w:t>5</w:t>
      </w:r>
      <w:r w:rsidRPr="0053541B">
        <w:rPr>
          <w:rFonts w:eastAsia="Times New Roman" w:cs="Times New Roman"/>
          <w:szCs w:val="19"/>
          <w:lang w:val="en-GB" w:eastAsia="pl-PL"/>
        </w:rPr>
        <w:t xml:space="preserve"> – a</w:t>
      </w:r>
      <w:r w:rsidR="0053541B" w:rsidRPr="0053541B">
        <w:rPr>
          <w:rFonts w:eastAsia="Times New Roman" w:cs="Times New Roman"/>
          <w:szCs w:val="19"/>
          <w:lang w:val="en-GB" w:eastAsia="pl-PL"/>
        </w:rPr>
        <w:t xml:space="preserve">n </w:t>
      </w:r>
      <w:r w:rsidR="00CF529B" w:rsidRPr="0053541B">
        <w:rPr>
          <w:rFonts w:eastAsia="Times New Roman" w:cs="Times New Roman"/>
          <w:szCs w:val="19"/>
          <w:lang w:val="en-GB" w:eastAsia="pl-PL"/>
        </w:rPr>
        <w:t>increase</w:t>
      </w:r>
      <w:r w:rsidRPr="0053541B">
        <w:rPr>
          <w:rFonts w:eastAsia="Times New Roman" w:cs="Times New Roman"/>
          <w:szCs w:val="19"/>
          <w:lang w:val="en-GB" w:eastAsia="pl-PL"/>
        </w:rPr>
        <w:t xml:space="preserve"> by </w:t>
      </w:r>
      <w:r w:rsidR="008321DA" w:rsidRPr="0053541B">
        <w:rPr>
          <w:rFonts w:eastAsia="Times New Roman" w:cs="Times New Roman"/>
          <w:szCs w:val="19"/>
          <w:lang w:val="en-GB" w:eastAsia="pl-PL"/>
        </w:rPr>
        <w:t>1</w:t>
      </w:r>
      <w:r w:rsidR="0053541B" w:rsidRPr="0053541B">
        <w:rPr>
          <w:rFonts w:eastAsia="Times New Roman" w:cs="Times New Roman"/>
          <w:szCs w:val="19"/>
          <w:lang w:val="en-GB" w:eastAsia="pl-PL"/>
        </w:rPr>
        <w:t>06</w:t>
      </w:r>
      <w:r w:rsidRPr="0053541B">
        <w:rPr>
          <w:rFonts w:eastAsia="Times New Roman" w:cs="Times New Roman"/>
          <w:szCs w:val="19"/>
          <w:lang w:val="en-GB" w:eastAsia="pl-PL"/>
        </w:rPr>
        <w:t xml:space="preserve"> thousand, i.e. by 0.</w:t>
      </w:r>
      <w:r w:rsidR="0053541B" w:rsidRPr="0053541B">
        <w:rPr>
          <w:rFonts w:eastAsia="Times New Roman" w:cs="Times New Roman"/>
          <w:szCs w:val="19"/>
          <w:lang w:val="en-GB" w:eastAsia="pl-PL"/>
        </w:rPr>
        <w:t>7</w:t>
      </w:r>
      <w:r w:rsidRPr="0053541B">
        <w:rPr>
          <w:rFonts w:eastAsia="Times New Roman" w:cs="Times New Roman"/>
          <w:szCs w:val="19"/>
          <w:lang w:val="en-GB" w:eastAsia="pl-PL"/>
        </w:rPr>
        <w:t>%.</w:t>
      </w:r>
    </w:p>
    <w:p w14:paraId="2860A094" w14:textId="77777777" w:rsidR="001638AE" w:rsidRDefault="001638AE" w:rsidP="00675674">
      <w:pPr>
        <w:spacing w:line="288" w:lineRule="auto"/>
        <w:ind w:left="851" w:hanging="851"/>
        <w:rPr>
          <w:b/>
          <w:shd w:val="clear" w:color="auto" w:fill="FFFFFF"/>
          <w:lang w:val="en-GB"/>
        </w:rPr>
      </w:pPr>
    </w:p>
    <w:p w14:paraId="13E536FC" w14:textId="77777777" w:rsidR="001638AE" w:rsidRDefault="001638AE" w:rsidP="00675674">
      <w:pPr>
        <w:spacing w:line="288" w:lineRule="auto"/>
        <w:ind w:left="851" w:hanging="851"/>
        <w:rPr>
          <w:b/>
          <w:shd w:val="clear" w:color="auto" w:fill="FFFFFF"/>
          <w:lang w:val="en-GB"/>
        </w:rPr>
      </w:pPr>
    </w:p>
    <w:p w14:paraId="1BD119A1" w14:textId="77777777" w:rsidR="001638AE" w:rsidRDefault="001638AE" w:rsidP="00675674">
      <w:pPr>
        <w:spacing w:line="288" w:lineRule="auto"/>
        <w:ind w:left="851" w:hanging="851"/>
        <w:rPr>
          <w:b/>
          <w:shd w:val="clear" w:color="auto" w:fill="FFFFFF"/>
          <w:lang w:val="en-GB"/>
        </w:rPr>
      </w:pPr>
    </w:p>
    <w:p w14:paraId="50297380" w14:textId="77777777" w:rsidR="001638AE" w:rsidRDefault="001638AE" w:rsidP="00675674">
      <w:pPr>
        <w:spacing w:line="288" w:lineRule="auto"/>
        <w:ind w:left="851" w:hanging="851"/>
        <w:rPr>
          <w:b/>
          <w:shd w:val="clear" w:color="auto" w:fill="FFFFFF"/>
          <w:lang w:val="en-GB"/>
        </w:rPr>
      </w:pPr>
    </w:p>
    <w:p w14:paraId="50AD4975" w14:textId="3FD1013E" w:rsidR="0058669E" w:rsidRDefault="0058669E" w:rsidP="00675674">
      <w:pPr>
        <w:spacing w:line="288" w:lineRule="auto"/>
        <w:ind w:left="851" w:hanging="851"/>
        <w:rPr>
          <w:b/>
          <w:shd w:val="clear" w:color="auto" w:fill="FFFFFF"/>
          <w:lang w:val="en-GB"/>
        </w:rPr>
      </w:pPr>
      <w:r w:rsidRPr="0053285E">
        <w:rPr>
          <w:b/>
          <w:shd w:val="clear" w:color="auto" w:fill="FFFFFF"/>
          <w:lang w:val="en-GB"/>
        </w:rPr>
        <w:t xml:space="preserve">Chart </w:t>
      </w:r>
      <w:r w:rsidR="00350184">
        <w:rPr>
          <w:b/>
          <w:shd w:val="clear" w:color="auto" w:fill="FFFFFF"/>
          <w:lang w:val="en-GB"/>
        </w:rPr>
        <w:t>2</w:t>
      </w:r>
      <w:r w:rsidRPr="0053285E">
        <w:rPr>
          <w:b/>
          <w:shd w:val="clear" w:color="auto" w:fill="FFFFFF"/>
          <w:lang w:val="en-GB"/>
        </w:rPr>
        <w:t>.</w:t>
      </w:r>
      <w:r w:rsidRPr="0053285E">
        <w:rPr>
          <w:b/>
          <w:shd w:val="clear" w:color="auto" w:fill="FFFFFF"/>
          <w:lang w:val="en-GB"/>
        </w:rPr>
        <w:tab/>
        <w:t xml:space="preserve">Employed persons and employment rate of persons aged 15-89 and </w:t>
      </w:r>
      <w:r w:rsidR="00C27C30">
        <w:rPr>
          <w:b/>
          <w:shd w:val="clear" w:color="auto" w:fill="FFFFFF"/>
          <w:lang w:val="en-GB"/>
        </w:rPr>
        <w:t>at</w:t>
      </w:r>
      <w:r w:rsidRPr="0053285E">
        <w:rPr>
          <w:b/>
          <w:shd w:val="clear" w:color="auto" w:fill="FFFFFF"/>
          <w:lang w:val="en-GB"/>
        </w:rPr>
        <w:t xml:space="preserve"> the</w:t>
      </w:r>
      <w:r w:rsidR="00965D47">
        <w:rPr>
          <w:b/>
          <w:shd w:val="clear" w:color="auto" w:fill="FFFFFF"/>
          <w:lang w:val="en-GB"/>
        </w:rPr>
        <w:t xml:space="preserve"> </w:t>
      </w:r>
      <w:r w:rsidR="00965D47">
        <w:rPr>
          <w:b/>
          <w:shd w:val="clear" w:color="auto" w:fill="FFFFFF"/>
          <w:lang w:val="en-GB"/>
        </w:rPr>
        <w:br/>
      </w:r>
      <w:r w:rsidRPr="0053285E">
        <w:rPr>
          <w:b/>
          <w:shd w:val="clear" w:color="auto" w:fill="FFFFFF"/>
          <w:lang w:val="en-GB"/>
        </w:rPr>
        <w:t>working age</w:t>
      </w:r>
    </w:p>
    <w:p w14:paraId="0AB5AEE0" w14:textId="0296A185" w:rsidR="00CF529B" w:rsidRDefault="00CF529B" w:rsidP="00965D47">
      <w:pPr>
        <w:spacing w:line="288" w:lineRule="auto"/>
        <w:ind w:left="851" w:hanging="851"/>
        <w:rPr>
          <w:b/>
          <w:shd w:val="clear" w:color="auto" w:fill="FFFFFF"/>
          <w:lang w:val="en-GB"/>
        </w:rPr>
      </w:pPr>
      <w:r w:rsidRPr="00E5325C">
        <w:rPr>
          <w:rFonts w:eastAsia="Times New Roman" w:cs="Times New Roman"/>
          <w:noProof/>
          <w:szCs w:val="19"/>
          <w:lang w:eastAsia="pl-PL"/>
        </w:rPr>
        <mc:AlternateContent>
          <mc:Choice Requires="wps">
            <w:drawing>
              <wp:anchor distT="45720" distB="45720" distL="114300" distR="114300" simplePos="0" relativeHeight="251774464" behindDoc="1" locked="0" layoutInCell="1" allowOverlap="1" wp14:anchorId="77894FFB" wp14:editId="4B6E1C56">
                <wp:simplePos x="0" y="0"/>
                <wp:positionH relativeFrom="column">
                  <wp:posOffset>5278203</wp:posOffset>
                </wp:positionH>
                <wp:positionV relativeFrom="paragraph">
                  <wp:posOffset>432628</wp:posOffset>
                </wp:positionV>
                <wp:extent cx="1657985" cy="1097280"/>
                <wp:effectExtent l="0" t="0" r="0" b="0"/>
                <wp:wrapTight wrapText="bothSides">
                  <wp:wrapPolygon edited="0">
                    <wp:start x="745" y="0"/>
                    <wp:lineTo x="745" y="21000"/>
                    <wp:lineTo x="20599" y="21000"/>
                    <wp:lineTo x="20599" y="0"/>
                    <wp:lineTo x="745" y="0"/>
                  </wp:wrapPolygon>
                </wp:wrapTight>
                <wp:docPr id="3" name="Pole tekstowe 2" descr="The size of the working population changes throughout the year i.e. due to the seasonality of certain types of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097280"/>
                        </a:xfrm>
                        <a:prstGeom prst="rect">
                          <a:avLst/>
                        </a:prstGeom>
                        <a:noFill/>
                        <a:ln w="9525">
                          <a:noFill/>
                          <a:miter lim="800000"/>
                          <a:headEnd/>
                          <a:tailEnd/>
                        </a:ln>
                      </wps:spPr>
                      <wps:txbx>
                        <w:txbxContent>
                          <w:p w14:paraId="400965CB" w14:textId="442786D4" w:rsidR="00DA385A" w:rsidRPr="002847A4" w:rsidRDefault="00DA385A" w:rsidP="00510AFB">
                            <w:pPr>
                              <w:pStyle w:val="tekstzboku"/>
                              <w:spacing w:before="0"/>
                              <w:rPr>
                                <w:lang w:val="en-GB"/>
                              </w:rPr>
                            </w:pPr>
                            <w:r w:rsidRPr="002847A4">
                              <w:rPr>
                                <w:lang w:val="en-GB"/>
                              </w:rPr>
                              <w:t>The size of the working population changes throughout the year i</w:t>
                            </w:r>
                            <w:r>
                              <w:rPr>
                                <w:lang w:val="en-GB"/>
                              </w:rPr>
                              <w:t>.e.</w:t>
                            </w:r>
                            <w:r w:rsidRPr="002847A4">
                              <w:rPr>
                                <w:lang w:val="en-GB"/>
                              </w:rPr>
                              <w:t xml:space="preserve"> due to the seasonality of </w:t>
                            </w:r>
                            <w:r>
                              <w:rPr>
                                <w:lang w:val="en-GB"/>
                              </w:rPr>
                              <w:t>certain types of</w:t>
                            </w:r>
                            <w:r w:rsidRPr="002847A4">
                              <w:rPr>
                                <w:lang w:val="en-GB"/>
                              </w:rPr>
                              <w:t xml:space="preserve"> work</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94FFB" id="_x0000_s1030" type="#_x0000_t202" alt="The size of the working population changes throughout the year i.e. due to the seasonality of certain types of work" style="position:absolute;left:0;text-align:left;margin-left:415.6pt;margin-top:34.05pt;width:130.55pt;height:86.4pt;z-index:-25154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" filled="f" stroked="f">
                <v:textbox inset=",0">
                  <w:txbxContent>
                    <w:p w14:paraId="400965CB" w14:textId="442786D4" w:rsidR="00DA385A" w:rsidRPr="002847A4" w:rsidRDefault="00DA385A" w:rsidP="00510AFB">
                      <w:pPr>
                        <w:pStyle w:val="tekstzboku"/>
                        <w:spacing w:before="0"/>
                        <w:rPr>
                          <w:lang w:val="en-GB"/>
                        </w:rPr>
                      </w:pPr>
                      <w:r w:rsidRPr="002847A4">
                        <w:rPr>
                          <w:lang w:val="en-GB"/>
                        </w:rPr>
                        <w:t>The size of the working population changes throughout the year i</w:t>
                      </w:r>
                      <w:r>
                        <w:rPr>
                          <w:lang w:val="en-GB"/>
                        </w:rPr>
                        <w:t>.e.</w:t>
                      </w:r>
                      <w:r w:rsidRPr="002847A4">
                        <w:rPr>
                          <w:lang w:val="en-GB"/>
                        </w:rPr>
                        <w:t xml:space="preserve"> due to the seasonality of </w:t>
                      </w:r>
                      <w:r>
                        <w:rPr>
                          <w:lang w:val="en-GB"/>
                        </w:rPr>
                        <w:t>certain types of</w:t>
                      </w:r>
                      <w:r w:rsidRPr="002847A4">
                        <w:rPr>
                          <w:lang w:val="en-GB"/>
                        </w:rPr>
                        <w:t xml:space="preserve"> work</w:t>
                      </w:r>
                    </w:p>
                  </w:txbxContent>
                </v:textbox>
                <w10:wrap type="tight"/>
              </v:shape>
            </w:pict>
          </mc:Fallback>
        </mc:AlternateContent>
      </w:r>
      <w:r w:rsidR="0053541B">
        <w:rPr>
          <w:b/>
          <w:noProof/>
          <w:shd w:val="clear" w:color="auto" w:fill="FFFFFF"/>
          <w:lang w:val="en-GB"/>
        </w:rPr>
        <w:drawing>
          <wp:inline distT="0" distB="0" distL="0" distR="0" wp14:anchorId="147FCA03" wp14:editId="624812A5">
            <wp:extent cx="4997828" cy="2544417"/>
            <wp:effectExtent l="0" t="0" r="0" b="8890"/>
            <wp:docPr id="24" name="Obraz 24" descr="Chart 2. Employed persons and employment rate of persons aged 15-89 and at the working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391" cy="2566595"/>
                    </a:xfrm>
                    <a:prstGeom prst="rect">
                      <a:avLst/>
                    </a:prstGeom>
                    <a:noFill/>
                  </pic:spPr>
                </pic:pic>
              </a:graphicData>
            </a:graphic>
          </wp:inline>
        </w:drawing>
      </w:r>
    </w:p>
    <w:p w14:paraId="785E78C2" w14:textId="77777777" w:rsidR="00AB73B3" w:rsidRDefault="00AB73B3" w:rsidP="00CF529B">
      <w:pPr>
        <w:spacing w:before="60" w:after="60" w:line="276" w:lineRule="auto"/>
        <w:jc w:val="both"/>
        <w:rPr>
          <w:shd w:val="clear" w:color="auto" w:fill="FFFFFF"/>
          <w:lang w:val="en-GB"/>
        </w:rPr>
      </w:pPr>
    </w:p>
    <w:p w14:paraId="5EDA88CF" w14:textId="4A958615" w:rsidR="00947E7F" w:rsidRDefault="00041712" w:rsidP="00675674">
      <w:pPr>
        <w:spacing w:before="60" w:after="60" w:line="276" w:lineRule="auto"/>
        <w:rPr>
          <w:shd w:val="clear" w:color="auto" w:fill="FFFFFF"/>
          <w:lang w:val="en-GB"/>
        </w:rPr>
      </w:pPr>
      <w:r>
        <w:rPr>
          <w:shd w:val="clear" w:color="auto" w:fill="FFFFFF"/>
          <w:lang w:val="en-GB"/>
        </w:rPr>
        <w:t>In the f</w:t>
      </w:r>
      <w:r w:rsidR="0053541B">
        <w:rPr>
          <w:shd w:val="clear" w:color="auto" w:fill="FFFFFF"/>
          <w:lang w:val="en-GB"/>
        </w:rPr>
        <w:t>irst</w:t>
      </w:r>
      <w:r>
        <w:rPr>
          <w:shd w:val="clear" w:color="auto" w:fill="FFFFFF"/>
          <w:lang w:val="en-GB"/>
        </w:rPr>
        <w:t xml:space="preserve"> quarter</w:t>
      </w:r>
      <w:r w:rsidR="00DC2DDA">
        <w:rPr>
          <w:shd w:val="clear" w:color="auto" w:fill="FFFFFF"/>
          <w:lang w:val="en-GB"/>
        </w:rPr>
        <w:t xml:space="preserve"> of 202</w:t>
      </w:r>
      <w:r w:rsidR="0053541B">
        <w:rPr>
          <w:shd w:val="clear" w:color="auto" w:fill="FFFFFF"/>
          <w:lang w:val="en-GB"/>
        </w:rPr>
        <w:t>6</w:t>
      </w:r>
      <w:r w:rsidR="00DC2DDA">
        <w:rPr>
          <w:shd w:val="clear" w:color="auto" w:fill="FFFFFF"/>
          <w:lang w:val="en-GB"/>
        </w:rPr>
        <w:t>, i</w:t>
      </w:r>
      <w:r w:rsidR="00E503F9" w:rsidRPr="008B0461">
        <w:rPr>
          <w:shd w:val="clear" w:color="auto" w:fill="FFFFFF"/>
          <w:lang w:val="en-GB"/>
        </w:rPr>
        <w:t xml:space="preserve">n the population of employed persons, taking into account </w:t>
      </w:r>
      <w:r w:rsidR="00E54F21" w:rsidRPr="008B0461">
        <w:rPr>
          <w:shd w:val="clear" w:color="auto" w:fill="FFFFFF"/>
          <w:lang w:val="en-GB"/>
        </w:rPr>
        <w:t xml:space="preserve">division by </w:t>
      </w:r>
      <w:r w:rsidR="00E503F9" w:rsidRPr="008B0461">
        <w:rPr>
          <w:shd w:val="clear" w:color="auto" w:fill="FFFFFF"/>
          <w:lang w:val="en-GB"/>
        </w:rPr>
        <w:t xml:space="preserve">sex, men still predominated </w:t>
      </w:r>
      <w:r w:rsidR="00E503F9" w:rsidRPr="00DC2DDA">
        <w:rPr>
          <w:shd w:val="clear" w:color="auto" w:fill="FFFFFF"/>
          <w:lang w:val="en-GB"/>
        </w:rPr>
        <w:t>constitut</w:t>
      </w:r>
      <w:r w:rsidR="00E84A12" w:rsidRPr="00DC2DDA">
        <w:rPr>
          <w:shd w:val="clear" w:color="auto" w:fill="FFFFFF"/>
          <w:lang w:val="en-GB"/>
        </w:rPr>
        <w:t>ing</w:t>
      </w:r>
      <w:r w:rsidR="00E503F9" w:rsidRPr="00DC2DDA">
        <w:rPr>
          <w:shd w:val="clear" w:color="auto" w:fill="FFFFFF"/>
          <w:lang w:val="en-GB"/>
        </w:rPr>
        <w:t xml:space="preserve"> 5</w:t>
      </w:r>
      <w:r w:rsidR="00491828" w:rsidRPr="00DC2DDA">
        <w:rPr>
          <w:rFonts w:eastAsia="Times New Roman" w:cs="Times New Roman"/>
          <w:szCs w:val="19"/>
          <w:lang w:val="en-GB" w:eastAsia="pl-PL"/>
        </w:rPr>
        <w:t>3</w:t>
      </w:r>
      <w:r w:rsidR="00267A29" w:rsidRPr="00DC2DDA">
        <w:rPr>
          <w:rFonts w:eastAsia="Times New Roman" w:cs="Times New Roman"/>
          <w:szCs w:val="19"/>
          <w:lang w:val="en-GB" w:eastAsia="pl-PL"/>
        </w:rPr>
        <w:t>.</w:t>
      </w:r>
      <w:r w:rsidR="0053541B">
        <w:rPr>
          <w:rFonts w:eastAsia="Times New Roman" w:cs="Times New Roman"/>
          <w:szCs w:val="19"/>
          <w:lang w:val="en-GB" w:eastAsia="pl-PL"/>
        </w:rPr>
        <w:t>5</w:t>
      </w:r>
      <w:r w:rsidR="00E503F9" w:rsidRPr="00DC2DDA">
        <w:rPr>
          <w:rFonts w:eastAsia="Times New Roman" w:cs="Times New Roman"/>
          <w:szCs w:val="19"/>
          <w:lang w:val="en-GB" w:eastAsia="pl-PL"/>
        </w:rPr>
        <w:t xml:space="preserve">% </w:t>
      </w:r>
      <w:r w:rsidR="00E503F9" w:rsidRPr="008B0461">
        <w:rPr>
          <w:shd w:val="clear" w:color="auto" w:fill="FFFFFF"/>
          <w:lang w:val="en-GB"/>
        </w:rPr>
        <w:t xml:space="preserve">(i.e. </w:t>
      </w:r>
      <w:r w:rsidR="00E503F9" w:rsidRPr="00DC2DDA">
        <w:rPr>
          <w:rFonts w:eastAsia="Times New Roman" w:cs="Times New Roman"/>
          <w:szCs w:val="19"/>
          <w:lang w:val="en-GB" w:eastAsia="pl-PL"/>
        </w:rPr>
        <w:t>9 </w:t>
      </w:r>
      <w:r w:rsidR="0053541B" w:rsidRPr="0053541B">
        <w:rPr>
          <w:rFonts w:eastAsia="Times New Roman" w:cs="Times New Roman"/>
          <w:szCs w:val="19"/>
          <w:lang w:val="en-GB" w:eastAsia="pl-PL"/>
        </w:rPr>
        <w:t>223</w:t>
      </w:r>
      <w:r w:rsidR="00E503F9" w:rsidRPr="00DC2DDA">
        <w:rPr>
          <w:rFonts w:eastAsia="Times New Roman" w:cs="Times New Roman"/>
          <w:szCs w:val="19"/>
          <w:lang w:val="en-GB" w:eastAsia="pl-PL"/>
        </w:rPr>
        <w:t xml:space="preserve"> </w:t>
      </w:r>
      <w:r w:rsidR="00E503F9" w:rsidRPr="00DC2DDA">
        <w:rPr>
          <w:shd w:val="clear" w:color="auto" w:fill="FFFFFF"/>
          <w:lang w:val="en-GB"/>
        </w:rPr>
        <w:t>thousand</w:t>
      </w:r>
      <w:r w:rsidR="00E54F21" w:rsidRPr="00DC2DDA">
        <w:rPr>
          <w:shd w:val="clear" w:color="auto" w:fill="FFFFFF"/>
          <w:lang w:val="en-GB"/>
        </w:rPr>
        <w:t xml:space="preserve"> </w:t>
      </w:r>
      <w:r w:rsidR="00E54F21" w:rsidRPr="008B0461">
        <w:rPr>
          <w:shd w:val="clear" w:color="auto" w:fill="FFFFFF"/>
          <w:lang w:val="en-GB"/>
        </w:rPr>
        <w:t>persons</w:t>
      </w:r>
      <w:r w:rsidR="00E503F9" w:rsidRPr="008B0461">
        <w:rPr>
          <w:shd w:val="clear" w:color="auto" w:fill="FFFFFF"/>
          <w:lang w:val="en-GB"/>
        </w:rPr>
        <w:t>) of this gro</w:t>
      </w:r>
      <w:r w:rsidR="00E34617">
        <w:rPr>
          <w:shd w:val="clear" w:color="auto" w:fill="FFFFFF"/>
          <w:lang w:val="en-GB"/>
        </w:rPr>
        <w:t>up. R</w:t>
      </w:r>
      <w:r w:rsidR="00E503F9" w:rsidRPr="008B0461">
        <w:rPr>
          <w:shd w:val="clear" w:color="auto" w:fill="FFFFFF"/>
          <w:lang w:val="en-GB"/>
        </w:rPr>
        <w:t xml:space="preserve">egarding the place of residence, there were more employed persons living in urban </w:t>
      </w:r>
      <w:r w:rsidR="00E503F9" w:rsidRPr="00DC2DDA">
        <w:rPr>
          <w:shd w:val="clear" w:color="auto" w:fill="FFFFFF"/>
          <w:lang w:val="en-GB"/>
        </w:rPr>
        <w:t>areas (6</w:t>
      </w:r>
      <w:r w:rsidR="00922ADA" w:rsidRPr="00DC2DDA">
        <w:rPr>
          <w:shd w:val="clear" w:color="auto" w:fill="FFFFFF"/>
          <w:lang w:val="en-GB"/>
        </w:rPr>
        <w:t>0.</w:t>
      </w:r>
      <w:r w:rsidR="00B31F8E">
        <w:rPr>
          <w:shd w:val="clear" w:color="auto" w:fill="FFFFFF"/>
          <w:lang w:val="en-GB"/>
        </w:rPr>
        <w:t>5</w:t>
      </w:r>
      <w:r w:rsidR="00E503F9" w:rsidRPr="00DC2DDA">
        <w:rPr>
          <w:shd w:val="clear" w:color="auto" w:fill="FFFFFF"/>
          <w:lang w:val="en-GB"/>
        </w:rPr>
        <w:t>%, i.e.</w:t>
      </w:r>
      <w:r w:rsidR="007C46E2" w:rsidRPr="00DC2DDA">
        <w:rPr>
          <w:shd w:val="clear" w:color="auto" w:fill="FFFFFF"/>
          <w:lang w:val="en-GB"/>
        </w:rPr>
        <w:t> </w:t>
      </w:r>
      <w:r w:rsidR="00B31F8E" w:rsidRPr="00B31F8E">
        <w:rPr>
          <w:rFonts w:eastAsia="Times New Roman" w:cs="Times New Roman"/>
          <w:szCs w:val="19"/>
          <w:lang w:val="en-GB" w:eastAsia="pl-PL"/>
        </w:rPr>
        <w:t>10 422</w:t>
      </w:r>
      <w:r w:rsidR="00E503F9" w:rsidRPr="00DC2DDA">
        <w:rPr>
          <w:shd w:val="clear" w:color="auto" w:fill="FFFFFF"/>
          <w:lang w:val="en-GB"/>
        </w:rPr>
        <w:t> </w:t>
      </w:r>
      <w:r w:rsidR="00E503F9" w:rsidRPr="008B0461">
        <w:rPr>
          <w:shd w:val="clear" w:color="auto" w:fill="FFFFFF"/>
          <w:lang w:val="en-GB"/>
        </w:rPr>
        <w:t>thousand), which is a direct consequence of the higher population in urban than rural areas</w:t>
      </w:r>
      <w:r w:rsidR="00517A4C">
        <w:rPr>
          <w:shd w:val="clear" w:color="auto" w:fill="FFFFFF"/>
          <w:lang w:val="en-GB"/>
        </w:rPr>
        <w:t>.</w:t>
      </w:r>
    </w:p>
    <w:p w14:paraId="69E5FB18" w14:textId="5E44DCB4" w:rsidR="002A27E3" w:rsidRDefault="002A27E3" w:rsidP="00B66457">
      <w:pPr>
        <w:spacing w:before="60" w:after="360" w:line="288" w:lineRule="auto"/>
        <w:rPr>
          <w:shd w:val="clear" w:color="auto" w:fill="FFFFFF"/>
          <w:lang w:val="en-GB"/>
        </w:rPr>
      </w:pPr>
      <w:r w:rsidRPr="002A27E3">
        <w:rPr>
          <w:shd w:val="clear" w:color="auto" w:fill="FFFFFF"/>
          <w:lang w:val="en-GB"/>
        </w:rPr>
        <w:t xml:space="preserve">Chart 3 presents the directions and magnitude of changes in the population </w:t>
      </w:r>
      <w:r>
        <w:rPr>
          <w:shd w:val="clear" w:color="auto" w:fill="FFFFFF"/>
          <w:lang w:val="en-GB"/>
        </w:rPr>
        <w:t xml:space="preserve">of employed persons </w:t>
      </w:r>
      <w:r w:rsidRPr="002A27E3">
        <w:rPr>
          <w:shd w:val="clear" w:color="auto" w:fill="FFFFFF"/>
          <w:lang w:val="en-GB"/>
        </w:rPr>
        <w:t xml:space="preserve">aged 15-89 compared to the previous quarter and the same quarter of the previous year, depending on </w:t>
      </w:r>
      <w:r>
        <w:rPr>
          <w:shd w:val="clear" w:color="auto" w:fill="FFFFFF"/>
          <w:lang w:val="en-GB"/>
        </w:rPr>
        <w:t>sex</w:t>
      </w:r>
      <w:r w:rsidRPr="002A27E3">
        <w:rPr>
          <w:shd w:val="clear" w:color="auto" w:fill="FFFFFF"/>
          <w:lang w:val="en-GB"/>
        </w:rPr>
        <w:t xml:space="preserve"> and place of residence of </w:t>
      </w:r>
      <w:r w:rsidR="009109F8">
        <w:rPr>
          <w:shd w:val="clear" w:color="auto" w:fill="FFFFFF"/>
          <w:lang w:val="en-GB"/>
        </w:rPr>
        <w:t xml:space="preserve">the </w:t>
      </w:r>
      <w:r>
        <w:rPr>
          <w:shd w:val="clear" w:color="auto" w:fill="FFFFFF"/>
          <w:lang w:val="en-GB"/>
        </w:rPr>
        <w:t>employed persons</w:t>
      </w:r>
      <w:r w:rsidRPr="002A27E3">
        <w:rPr>
          <w:shd w:val="clear" w:color="auto" w:fill="FFFFFF"/>
          <w:lang w:val="en-GB"/>
        </w:rPr>
        <w:t>.</w:t>
      </w:r>
    </w:p>
    <w:p w14:paraId="0AAF561A" w14:textId="539167F6" w:rsidR="00792316" w:rsidRDefault="00BA6A71" w:rsidP="00DD4E34">
      <w:pPr>
        <w:ind w:left="851" w:hanging="851"/>
        <w:rPr>
          <w:b/>
          <w:shd w:val="clear" w:color="auto" w:fill="FFFFFF"/>
          <w:lang w:val="en-GB"/>
        </w:rPr>
      </w:pPr>
      <w:r w:rsidRPr="00BA6A71">
        <w:rPr>
          <w:b/>
          <w:shd w:val="clear" w:color="auto" w:fill="FFFFFF"/>
          <w:lang w:val="en-GB"/>
        </w:rPr>
        <w:t>Chart 3.</w:t>
      </w:r>
      <w:r w:rsidR="002D15CF">
        <w:rPr>
          <w:b/>
          <w:shd w:val="clear" w:color="auto" w:fill="FFFFFF"/>
          <w:lang w:val="en-GB"/>
        </w:rPr>
        <w:tab/>
      </w:r>
      <w:r w:rsidRPr="00BA6A71">
        <w:rPr>
          <w:b/>
          <w:shd w:val="clear" w:color="auto" w:fill="FFFFFF"/>
          <w:lang w:val="en-GB"/>
        </w:rPr>
        <w:t xml:space="preserve">Changes in the number of employed persons aged 15-89 between the </w:t>
      </w:r>
      <w:r w:rsidR="00FD0914">
        <w:rPr>
          <w:b/>
          <w:shd w:val="clear" w:color="auto" w:fill="FFFFFF"/>
          <w:lang w:val="en-GB"/>
        </w:rPr>
        <w:t>1</w:t>
      </w:r>
      <w:r w:rsidR="00FD0914">
        <w:rPr>
          <w:b/>
          <w:shd w:val="clear" w:color="auto" w:fill="FFFFFF"/>
          <w:vertAlign w:val="superscript"/>
          <w:lang w:val="en-GB"/>
        </w:rPr>
        <w:t>st</w:t>
      </w:r>
      <w:r w:rsidRPr="00BA6A71">
        <w:rPr>
          <w:b/>
          <w:shd w:val="clear" w:color="auto" w:fill="FFFFFF"/>
          <w:lang w:val="en-GB"/>
        </w:rPr>
        <w:t xml:space="preserve"> quarter of</w:t>
      </w:r>
      <w:r w:rsidR="00B562B1">
        <w:rPr>
          <w:b/>
          <w:shd w:val="clear" w:color="auto" w:fill="FFFFFF"/>
          <w:lang w:val="en-GB"/>
        </w:rPr>
        <w:t> </w:t>
      </w:r>
      <w:r w:rsidRPr="00BA6A71">
        <w:rPr>
          <w:b/>
          <w:shd w:val="clear" w:color="auto" w:fill="FFFFFF"/>
          <w:lang w:val="en-GB"/>
        </w:rPr>
        <w:t>202</w:t>
      </w:r>
      <w:r w:rsidR="00FD0914">
        <w:rPr>
          <w:b/>
          <w:shd w:val="clear" w:color="auto" w:fill="FFFFFF"/>
          <w:lang w:val="en-GB"/>
        </w:rPr>
        <w:t>6</w:t>
      </w:r>
      <w:r w:rsidRPr="00BA6A71">
        <w:rPr>
          <w:b/>
          <w:shd w:val="clear" w:color="auto" w:fill="FFFFFF"/>
          <w:lang w:val="en-GB"/>
        </w:rPr>
        <w:t xml:space="preserve"> and the </w:t>
      </w:r>
      <w:r w:rsidR="00FD0914">
        <w:rPr>
          <w:b/>
          <w:shd w:val="clear" w:color="auto" w:fill="FFFFFF"/>
          <w:lang w:val="en-GB"/>
        </w:rPr>
        <w:t>4</w:t>
      </w:r>
      <w:r w:rsidR="00FD0914">
        <w:rPr>
          <w:b/>
          <w:shd w:val="clear" w:color="auto" w:fill="FFFFFF"/>
          <w:vertAlign w:val="superscript"/>
          <w:lang w:val="en-GB"/>
        </w:rPr>
        <w:t>th</w:t>
      </w:r>
      <w:r w:rsidRPr="00BA6A71">
        <w:rPr>
          <w:b/>
          <w:shd w:val="clear" w:color="auto" w:fill="FFFFFF"/>
          <w:lang w:val="en-GB"/>
        </w:rPr>
        <w:t xml:space="preserve"> quarter of 202</w:t>
      </w:r>
      <w:r w:rsidR="00904A1E">
        <w:rPr>
          <w:b/>
          <w:shd w:val="clear" w:color="auto" w:fill="FFFFFF"/>
          <w:lang w:val="en-GB"/>
        </w:rPr>
        <w:t xml:space="preserve">5 </w:t>
      </w:r>
      <w:r w:rsidR="00D86CEC">
        <w:rPr>
          <w:b/>
          <w:shd w:val="clear" w:color="auto" w:fill="FFFFFF"/>
          <w:lang w:val="en-GB"/>
        </w:rPr>
        <w:t>as well as</w:t>
      </w:r>
      <w:r w:rsidR="00904A1E">
        <w:rPr>
          <w:b/>
          <w:shd w:val="clear" w:color="auto" w:fill="FFFFFF"/>
          <w:lang w:val="en-GB"/>
        </w:rPr>
        <w:t xml:space="preserve"> the </w:t>
      </w:r>
      <w:r w:rsidR="00FD0914">
        <w:rPr>
          <w:b/>
          <w:shd w:val="clear" w:color="auto" w:fill="FFFFFF"/>
          <w:lang w:val="en-GB"/>
        </w:rPr>
        <w:t>1</w:t>
      </w:r>
      <w:r w:rsidR="00FD0914">
        <w:rPr>
          <w:b/>
          <w:shd w:val="clear" w:color="auto" w:fill="FFFFFF"/>
          <w:vertAlign w:val="superscript"/>
          <w:lang w:val="en-GB"/>
        </w:rPr>
        <w:t>st</w:t>
      </w:r>
      <w:r w:rsidR="00904A1E">
        <w:rPr>
          <w:b/>
          <w:shd w:val="clear" w:color="auto" w:fill="FFFFFF"/>
          <w:lang w:val="en-GB"/>
        </w:rPr>
        <w:t xml:space="preserve"> quarter of 202</w:t>
      </w:r>
      <w:r w:rsidR="00FD0914">
        <w:rPr>
          <w:b/>
          <w:shd w:val="clear" w:color="auto" w:fill="FFFFFF"/>
          <w:lang w:val="en-GB"/>
        </w:rPr>
        <w:t>5</w:t>
      </w:r>
    </w:p>
    <w:p w14:paraId="406C2B73" w14:textId="5C260B97" w:rsidR="00DD4E34" w:rsidRDefault="009D0287" w:rsidP="005D5252">
      <w:pPr>
        <w:spacing w:before="240"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0663476D" wp14:editId="542E479B">
            <wp:extent cx="5064291" cy="2261850"/>
            <wp:effectExtent l="0" t="0" r="3175" b="5715"/>
            <wp:docPr id="7" name="Obraz 7" descr="Chart 3. Changes in the number of employed persons aged 15-89 between the first quarter of 2026 and the fourth quarter of 2025 as well as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2884" cy="2270154"/>
                    </a:xfrm>
                    <a:prstGeom prst="rect">
                      <a:avLst/>
                    </a:prstGeom>
                    <a:noFill/>
                  </pic:spPr>
                </pic:pic>
              </a:graphicData>
            </a:graphic>
          </wp:inline>
        </w:drawing>
      </w:r>
    </w:p>
    <w:p w14:paraId="137DD128" w14:textId="48D902E5" w:rsidR="00BA6A71" w:rsidRDefault="005D5252" w:rsidP="00B562B1">
      <w:pPr>
        <w:spacing w:before="240" w:line="288" w:lineRule="auto"/>
        <w:rPr>
          <w:rFonts w:eastAsia="Times New Roman" w:cs="Times New Roman"/>
          <w:szCs w:val="19"/>
          <w:lang w:val="en-GB" w:eastAsia="pl-PL"/>
        </w:rPr>
      </w:pPr>
      <w:r w:rsidRPr="005D5252">
        <w:rPr>
          <w:rFonts w:eastAsia="Times New Roman" w:cs="Times New Roman"/>
          <w:szCs w:val="19"/>
          <w:lang w:val="en-GB" w:eastAsia="pl-PL"/>
        </w:rPr>
        <w:t xml:space="preserve">In the </w:t>
      </w:r>
      <w:r w:rsidR="00A22E92">
        <w:rPr>
          <w:rFonts w:eastAsia="Times New Roman" w:cs="Times New Roman"/>
          <w:szCs w:val="19"/>
          <w:lang w:val="en-GB" w:eastAsia="pl-PL"/>
        </w:rPr>
        <w:t>first</w:t>
      </w:r>
      <w:r w:rsidRPr="005D5252">
        <w:rPr>
          <w:rFonts w:eastAsia="Times New Roman" w:cs="Times New Roman"/>
          <w:szCs w:val="19"/>
          <w:lang w:val="en-GB" w:eastAsia="pl-PL"/>
        </w:rPr>
        <w:t xml:space="preserve"> quarter of 202</w:t>
      </w:r>
      <w:r w:rsidR="00A22E92">
        <w:rPr>
          <w:rFonts w:eastAsia="Times New Roman" w:cs="Times New Roman"/>
          <w:szCs w:val="19"/>
          <w:lang w:val="en-GB" w:eastAsia="pl-PL"/>
        </w:rPr>
        <w:t>6</w:t>
      </w:r>
      <w:r w:rsidRPr="005D5252">
        <w:rPr>
          <w:rFonts w:eastAsia="Times New Roman" w:cs="Times New Roman"/>
          <w:szCs w:val="19"/>
          <w:lang w:val="en-GB" w:eastAsia="pl-PL"/>
        </w:rPr>
        <w:t xml:space="preserve">, the total employment </w:t>
      </w:r>
      <w:r w:rsidRPr="00774C83">
        <w:rPr>
          <w:rFonts w:eastAsia="Times New Roman" w:cs="Times New Roman"/>
          <w:szCs w:val="19"/>
          <w:lang w:val="en-GB" w:eastAsia="pl-PL"/>
        </w:rPr>
        <w:t>rate amounted to 5</w:t>
      </w:r>
      <w:r w:rsidR="00A22E92">
        <w:rPr>
          <w:rFonts w:eastAsia="Times New Roman" w:cs="Times New Roman"/>
          <w:szCs w:val="19"/>
          <w:lang w:val="en-GB" w:eastAsia="pl-PL"/>
        </w:rPr>
        <w:t>6</w:t>
      </w:r>
      <w:r w:rsidRPr="00774C83">
        <w:rPr>
          <w:rFonts w:eastAsia="Times New Roman" w:cs="Times New Roman"/>
          <w:szCs w:val="19"/>
          <w:lang w:val="en-GB" w:eastAsia="pl-PL"/>
        </w:rPr>
        <w:t>.</w:t>
      </w:r>
      <w:r w:rsidR="00A22E92">
        <w:rPr>
          <w:rFonts w:eastAsia="Times New Roman" w:cs="Times New Roman"/>
          <w:szCs w:val="19"/>
          <w:lang w:val="en-GB" w:eastAsia="pl-PL"/>
        </w:rPr>
        <w:t>8</w:t>
      </w:r>
      <w:r w:rsidRPr="00774C83">
        <w:rPr>
          <w:rFonts w:eastAsia="Times New Roman" w:cs="Times New Roman"/>
          <w:szCs w:val="19"/>
          <w:lang w:val="en-GB" w:eastAsia="pl-PL"/>
        </w:rPr>
        <w:t xml:space="preserve">% and was </w:t>
      </w:r>
      <w:r w:rsidR="00A31938" w:rsidRPr="00774C83">
        <w:rPr>
          <w:rFonts w:eastAsia="Times New Roman" w:cs="Times New Roman"/>
          <w:szCs w:val="19"/>
          <w:lang w:val="en-GB" w:eastAsia="pl-PL"/>
        </w:rPr>
        <w:t>lower</w:t>
      </w:r>
      <w:r w:rsidRPr="00774C83">
        <w:rPr>
          <w:rFonts w:eastAsia="Times New Roman" w:cs="Times New Roman"/>
          <w:szCs w:val="19"/>
          <w:lang w:val="en-GB" w:eastAsia="pl-PL"/>
        </w:rPr>
        <w:t xml:space="preserve"> than noted in the </w:t>
      </w:r>
      <w:r w:rsidR="00A22E92">
        <w:rPr>
          <w:rFonts w:eastAsia="Times New Roman" w:cs="Times New Roman"/>
          <w:szCs w:val="19"/>
          <w:lang w:val="en-GB" w:eastAsia="pl-PL"/>
        </w:rPr>
        <w:t>fourth</w:t>
      </w:r>
      <w:r w:rsidRPr="00774C83">
        <w:rPr>
          <w:rFonts w:eastAsia="Times New Roman" w:cs="Times New Roman"/>
          <w:szCs w:val="19"/>
          <w:lang w:val="en-GB" w:eastAsia="pl-PL"/>
        </w:rPr>
        <w:t xml:space="preserve"> quarter of 2025 – by 0.</w:t>
      </w:r>
      <w:r w:rsidR="00A22E92">
        <w:rPr>
          <w:rFonts w:eastAsia="Times New Roman" w:cs="Times New Roman"/>
          <w:szCs w:val="19"/>
          <w:lang w:val="en-GB" w:eastAsia="pl-PL"/>
        </w:rPr>
        <w:t>3</w:t>
      </w:r>
      <w:r w:rsidRPr="00774C83">
        <w:rPr>
          <w:rFonts w:eastAsia="Times New Roman" w:cs="Times New Roman"/>
          <w:szCs w:val="19"/>
          <w:lang w:val="en-GB" w:eastAsia="pl-PL"/>
        </w:rPr>
        <w:t xml:space="preserve"> pp. </w:t>
      </w:r>
      <w:r w:rsidR="00DD4E34" w:rsidRPr="00774C83">
        <w:rPr>
          <w:rFonts w:eastAsia="Times New Roman" w:cs="Times New Roman"/>
          <w:szCs w:val="19"/>
          <w:lang w:val="en-GB" w:eastAsia="pl-PL"/>
        </w:rPr>
        <w:t xml:space="preserve">and </w:t>
      </w:r>
      <w:r w:rsidR="00A31938" w:rsidRPr="00774C83">
        <w:rPr>
          <w:rFonts w:eastAsia="Times New Roman" w:cs="Times New Roman"/>
          <w:szCs w:val="19"/>
          <w:lang w:val="en-GB" w:eastAsia="pl-PL"/>
        </w:rPr>
        <w:t xml:space="preserve">higher than </w:t>
      </w:r>
      <w:r w:rsidR="00DD4E34" w:rsidRPr="00774C83">
        <w:rPr>
          <w:rFonts w:eastAsia="Times New Roman" w:cs="Times New Roman"/>
          <w:szCs w:val="19"/>
          <w:lang w:val="en-GB" w:eastAsia="pl-PL"/>
        </w:rPr>
        <w:t>in the</w:t>
      </w:r>
      <w:r w:rsidR="00DD4E34" w:rsidRPr="00DD4E34">
        <w:rPr>
          <w:rFonts w:eastAsia="Times New Roman" w:cs="Times New Roman"/>
          <w:szCs w:val="19"/>
          <w:lang w:val="en-GB" w:eastAsia="pl-PL"/>
        </w:rPr>
        <w:t xml:space="preserve"> </w:t>
      </w:r>
      <w:r w:rsidR="00A22E92">
        <w:rPr>
          <w:rFonts w:eastAsia="Times New Roman" w:cs="Times New Roman"/>
          <w:szCs w:val="19"/>
          <w:lang w:val="en-GB" w:eastAsia="pl-PL"/>
        </w:rPr>
        <w:t>first</w:t>
      </w:r>
      <w:r w:rsidR="00DD4E34" w:rsidRPr="00DD4E34">
        <w:rPr>
          <w:rFonts w:eastAsia="Times New Roman" w:cs="Times New Roman"/>
          <w:szCs w:val="19"/>
          <w:lang w:val="en-GB" w:eastAsia="pl-PL"/>
        </w:rPr>
        <w:t xml:space="preserve"> quarter of </w:t>
      </w:r>
      <w:r w:rsidR="00DD4E34" w:rsidRPr="00E33816">
        <w:rPr>
          <w:rFonts w:eastAsia="Times New Roman" w:cs="Times New Roman"/>
          <w:szCs w:val="19"/>
          <w:lang w:val="en-GB" w:eastAsia="pl-PL"/>
        </w:rPr>
        <w:t>202</w:t>
      </w:r>
      <w:r w:rsidR="00A22E92">
        <w:rPr>
          <w:rFonts w:eastAsia="Times New Roman" w:cs="Times New Roman"/>
          <w:szCs w:val="19"/>
          <w:lang w:val="en-GB" w:eastAsia="pl-PL"/>
        </w:rPr>
        <w:t>5</w:t>
      </w:r>
      <w:r w:rsidR="00DD4E34" w:rsidRPr="00E33816">
        <w:rPr>
          <w:rFonts w:eastAsia="Times New Roman" w:cs="Times New Roman"/>
          <w:szCs w:val="19"/>
          <w:lang w:val="en-GB" w:eastAsia="pl-PL"/>
        </w:rPr>
        <w:t xml:space="preserve"> – by 0.</w:t>
      </w:r>
      <w:r w:rsidR="00A22E92">
        <w:rPr>
          <w:rFonts w:eastAsia="Times New Roman" w:cs="Times New Roman"/>
          <w:szCs w:val="19"/>
          <w:lang w:val="en-GB" w:eastAsia="pl-PL"/>
        </w:rPr>
        <w:t>6</w:t>
      </w:r>
      <w:r w:rsidR="00DD4E34" w:rsidRPr="00E33816">
        <w:rPr>
          <w:rFonts w:eastAsia="Times New Roman" w:cs="Times New Roman"/>
          <w:szCs w:val="19"/>
          <w:lang w:val="en-GB" w:eastAsia="pl-PL"/>
        </w:rPr>
        <w:t> </w:t>
      </w:r>
      <w:r w:rsidR="00DD4E34">
        <w:rPr>
          <w:rFonts w:eastAsia="Times New Roman" w:cs="Times New Roman"/>
          <w:szCs w:val="19"/>
          <w:lang w:val="en-GB" w:eastAsia="pl-PL"/>
        </w:rPr>
        <w:t>pp</w:t>
      </w:r>
      <w:r w:rsidRPr="005D5252">
        <w:rPr>
          <w:rFonts w:eastAsia="Times New Roman" w:cs="Times New Roman"/>
          <w:szCs w:val="19"/>
          <w:lang w:val="en-GB" w:eastAsia="pl-PL"/>
        </w:rPr>
        <w:t>.</w:t>
      </w:r>
      <w:r w:rsidR="00774C83">
        <w:rPr>
          <w:rFonts w:eastAsia="Times New Roman" w:cs="Times New Roman"/>
          <w:szCs w:val="19"/>
          <w:lang w:val="en-GB" w:eastAsia="pl-PL"/>
        </w:rPr>
        <w:t xml:space="preserve"> </w:t>
      </w:r>
    </w:p>
    <w:p w14:paraId="2067C238" w14:textId="0444ED4D" w:rsidR="002A27E3" w:rsidRPr="005D5252" w:rsidRDefault="002A27E3" w:rsidP="00B562B1">
      <w:pPr>
        <w:spacing w:line="288" w:lineRule="auto"/>
        <w:rPr>
          <w:rFonts w:eastAsia="Times New Roman" w:cs="Times New Roman"/>
          <w:szCs w:val="19"/>
          <w:lang w:val="en-GB" w:eastAsia="pl-PL"/>
        </w:rPr>
      </w:pPr>
      <w:r w:rsidRPr="002A27E3">
        <w:rPr>
          <w:rFonts w:eastAsia="Times New Roman" w:cs="Times New Roman"/>
          <w:szCs w:val="19"/>
          <w:lang w:val="en-GB" w:eastAsia="pl-PL"/>
        </w:rPr>
        <w:t>Chart 4 presents changes in the employment rate for the population aged 15-89 compared to</w:t>
      </w:r>
      <w:r w:rsidR="00B562B1">
        <w:rPr>
          <w:rFonts w:eastAsia="Times New Roman" w:cs="Times New Roman"/>
          <w:szCs w:val="19"/>
          <w:lang w:val="en-GB" w:eastAsia="pl-PL"/>
        </w:rPr>
        <w:t> </w:t>
      </w:r>
      <w:r w:rsidRPr="002A27E3">
        <w:rPr>
          <w:rFonts w:eastAsia="Times New Roman" w:cs="Times New Roman"/>
          <w:szCs w:val="19"/>
          <w:lang w:val="en-GB" w:eastAsia="pl-PL"/>
        </w:rPr>
        <w:t xml:space="preserve">the previous quarter and the same quarter of the previous year, depending on </w:t>
      </w:r>
      <w:r>
        <w:rPr>
          <w:rFonts w:eastAsia="Times New Roman" w:cs="Times New Roman"/>
          <w:szCs w:val="19"/>
          <w:lang w:val="en-GB" w:eastAsia="pl-PL"/>
        </w:rPr>
        <w:t xml:space="preserve">sex </w:t>
      </w:r>
      <w:r w:rsidRPr="002A27E3">
        <w:rPr>
          <w:rFonts w:eastAsia="Times New Roman" w:cs="Times New Roman"/>
          <w:szCs w:val="19"/>
          <w:lang w:val="en-GB" w:eastAsia="pl-PL"/>
        </w:rPr>
        <w:t>and place of residence of the employed</w:t>
      </w:r>
      <w:r>
        <w:rPr>
          <w:rFonts w:eastAsia="Times New Roman" w:cs="Times New Roman"/>
          <w:szCs w:val="19"/>
          <w:lang w:val="en-GB" w:eastAsia="pl-PL"/>
        </w:rPr>
        <w:t xml:space="preserve"> persons</w:t>
      </w:r>
      <w:r w:rsidRPr="002A27E3">
        <w:rPr>
          <w:rFonts w:eastAsia="Times New Roman" w:cs="Times New Roman"/>
          <w:szCs w:val="19"/>
          <w:lang w:val="en-GB" w:eastAsia="pl-PL"/>
        </w:rPr>
        <w:t>.</w:t>
      </w:r>
    </w:p>
    <w:p w14:paraId="00913598" w14:textId="77777777" w:rsidR="00B66457" w:rsidRDefault="00B66457" w:rsidP="00EE73E5">
      <w:pPr>
        <w:ind w:left="851" w:hanging="851"/>
        <w:jc w:val="both"/>
        <w:rPr>
          <w:b/>
          <w:shd w:val="clear" w:color="auto" w:fill="FFFFFF"/>
          <w:lang w:val="en-GB"/>
        </w:rPr>
      </w:pPr>
    </w:p>
    <w:p w14:paraId="6B4D78B7" w14:textId="77777777" w:rsidR="00B66457" w:rsidRDefault="00B66457" w:rsidP="00EE73E5">
      <w:pPr>
        <w:ind w:left="851" w:hanging="851"/>
        <w:jc w:val="both"/>
        <w:rPr>
          <w:b/>
          <w:shd w:val="clear" w:color="auto" w:fill="FFFFFF"/>
          <w:lang w:val="en-GB"/>
        </w:rPr>
      </w:pPr>
    </w:p>
    <w:p w14:paraId="70CB3098" w14:textId="77777777" w:rsidR="00B66457" w:rsidRDefault="00B66457" w:rsidP="00EE73E5">
      <w:pPr>
        <w:ind w:left="851" w:hanging="851"/>
        <w:jc w:val="both"/>
        <w:rPr>
          <w:b/>
          <w:shd w:val="clear" w:color="auto" w:fill="FFFFFF"/>
          <w:lang w:val="en-GB"/>
        </w:rPr>
      </w:pPr>
    </w:p>
    <w:p w14:paraId="268B33FC" w14:textId="77777777" w:rsidR="00B66457" w:rsidRDefault="00B66457" w:rsidP="00EE73E5">
      <w:pPr>
        <w:ind w:left="851" w:hanging="851"/>
        <w:jc w:val="both"/>
        <w:rPr>
          <w:b/>
          <w:shd w:val="clear" w:color="auto" w:fill="FFFFFF"/>
          <w:lang w:val="en-GB"/>
        </w:rPr>
      </w:pPr>
    </w:p>
    <w:p w14:paraId="5859B5E3" w14:textId="6FC81D01" w:rsidR="00BA6A71" w:rsidRDefault="005D5252" w:rsidP="00EE73E5">
      <w:pPr>
        <w:ind w:left="851" w:hanging="851"/>
        <w:jc w:val="both"/>
        <w:rPr>
          <w:b/>
          <w:shd w:val="clear" w:color="auto" w:fill="FFFFFF"/>
          <w:lang w:val="en-GB"/>
        </w:rPr>
      </w:pPr>
      <w:r>
        <w:rPr>
          <w:b/>
          <w:shd w:val="clear" w:color="auto" w:fill="FFFFFF"/>
          <w:lang w:val="en-GB"/>
        </w:rPr>
        <w:t>Chart 4.</w:t>
      </w:r>
      <w:r w:rsidR="002D15CF">
        <w:rPr>
          <w:b/>
          <w:shd w:val="clear" w:color="auto" w:fill="FFFFFF"/>
          <w:lang w:val="en-GB"/>
        </w:rPr>
        <w:tab/>
      </w:r>
      <w:r>
        <w:rPr>
          <w:b/>
          <w:shd w:val="clear" w:color="auto" w:fill="FFFFFF"/>
          <w:lang w:val="en-GB"/>
        </w:rPr>
        <w:t xml:space="preserve">Changes in the employment rate </w:t>
      </w:r>
      <w:r w:rsidR="007F7A44">
        <w:rPr>
          <w:b/>
          <w:shd w:val="clear" w:color="auto" w:fill="FFFFFF"/>
          <w:lang w:val="en-GB"/>
        </w:rPr>
        <w:t xml:space="preserve">of </w:t>
      </w:r>
      <w:r>
        <w:rPr>
          <w:b/>
          <w:shd w:val="clear" w:color="auto" w:fill="FFFFFF"/>
          <w:lang w:val="en-GB"/>
        </w:rPr>
        <w:t xml:space="preserve">persons aged 15-89 between the </w:t>
      </w:r>
      <w:r w:rsidR="00B66457">
        <w:rPr>
          <w:b/>
          <w:shd w:val="clear" w:color="auto" w:fill="FFFFFF"/>
          <w:lang w:val="en-GB"/>
        </w:rPr>
        <w:t>1</w:t>
      </w:r>
      <w:r w:rsidR="00B66457">
        <w:rPr>
          <w:b/>
          <w:shd w:val="clear" w:color="auto" w:fill="FFFFFF"/>
          <w:vertAlign w:val="superscript"/>
          <w:lang w:val="en-GB"/>
        </w:rPr>
        <w:t>st</w:t>
      </w:r>
      <w:r w:rsidR="005F2D86">
        <w:rPr>
          <w:b/>
          <w:shd w:val="clear" w:color="auto" w:fill="FFFFFF"/>
          <w:lang w:val="en-GB"/>
        </w:rPr>
        <w:t xml:space="preserve"> quarter of</w:t>
      </w:r>
      <w:r w:rsidR="00EE73E5">
        <w:rPr>
          <w:b/>
          <w:shd w:val="clear" w:color="auto" w:fill="FFFFFF"/>
          <w:lang w:val="en-GB"/>
        </w:rPr>
        <w:t> </w:t>
      </w:r>
      <w:r w:rsidR="005F2D86">
        <w:rPr>
          <w:b/>
          <w:shd w:val="clear" w:color="auto" w:fill="FFFFFF"/>
          <w:lang w:val="en-GB"/>
        </w:rPr>
        <w:t>202</w:t>
      </w:r>
      <w:r w:rsidR="00B66457">
        <w:rPr>
          <w:b/>
          <w:shd w:val="clear" w:color="auto" w:fill="FFFFFF"/>
          <w:lang w:val="en-GB"/>
        </w:rPr>
        <w:t>6</w:t>
      </w:r>
      <w:r w:rsidR="005F2D86">
        <w:rPr>
          <w:b/>
          <w:shd w:val="clear" w:color="auto" w:fill="FFFFFF"/>
          <w:lang w:val="en-GB"/>
        </w:rPr>
        <w:t xml:space="preserve"> and the </w:t>
      </w:r>
      <w:r w:rsidR="00B66457">
        <w:rPr>
          <w:b/>
          <w:shd w:val="clear" w:color="auto" w:fill="FFFFFF"/>
          <w:lang w:val="en-GB"/>
        </w:rPr>
        <w:t>4</w:t>
      </w:r>
      <w:r w:rsidR="00B66457">
        <w:rPr>
          <w:b/>
          <w:shd w:val="clear" w:color="auto" w:fill="FFFFFF"/>
          <w:vertAlign w:val="superscript"/>
          <w:lang w:val="en-GB"/>
        </w:rPr>
        <w:t>th</w:t>
      </w:r>
      <w:r>
        <w:rPr>
          <w:b/>
          <w:shd w:val="clear" w:color="auto" w:fill="FFFFFF"/>
          <w:lang w:val="en-GB"/>
        </w:rPr>
        <w:t xml:space="preserve"> quarter of </w:t>
      </w:r>
      <w:r w:rsidRPr="00D86CEC">
        <w:rPr>
          <w:b/>
          <w:shd w:val="clear" w:color="auto" w:fill="FFFFFF"/>
          <w:lang w:val="en-GB"/>
        </w:rPr>
        <w:t xml:space="preserve">2025 </w:t>
      </w:r>
      <w:r w:rsidR="00D86CEC" w:rsidRPr="00D86CEC">
        <w:rPr>
          <w:b/>
          <w:shd w:val="clear" w:color="auto" w:fill="FFFFFF"/>
          <w:lang w:val="en-GB"/>
        </w:rPr>
        <w:t>as well as</w:t>
      </w:r>
      <w:r>
        <w:rPr>
          <w:b/>
          <w:shd w:val="clear" w:color="auto" w:fill="FFFFFF"/>
          <w:lang w:val="en-GB"/>
        </w:rPr>
        <w:t xml:space="preserve"> the </w:t>
      </w:r>
      <w:r w:rsidR="00B66457">
        <w:rPr>
          <w:b/>
          <w:shd w:val="clear" w:color="auto" w:fill="FFFFFF"/>
          <w:lang w:val="en-GB"/>
        </w:rPr>
        <w:t>1</w:t>
      </w:r>
      <w:r w:rsidR="00B66457">
        <w:rPr>
          <w:b/>
          <w:shd w:val="clear" w:color="auto" w:fill="FFFFFF"/>
          <w:vertAlign w:val="superscript"/>
          <w:lang w:val="en-GB"/>
        </w:rPr>
        <w:t>st</w:t>
      </w:r>
      <w:r>
        <w:rPr>
          <w:b/>
          <w:shd w:val="clear" w:color="auto" w:fill="FFFFFF"/>
          <w:lang w:val="en-GB"/>
        </w:rPr>
        <w:t xml:space="preserve"> quarter of 202</w:t>
      </w:r>
      <w:r w:rsidR="00B66457">
        <w:rPr>
          <w:b/>
          <w:shd w:val="clear" w:color="auto" w:fill="FFFFFF"/>
          <w:lang w:val="en-GB"/>
        </w:rPr>
        <w:t>5</w:t>
      </w:r>
    </w:p>
    <w:p w14:paraId="6AE2E7D3" w14:textId="0EA49CF7" w:rsidR="003068E1" w:rsidRDefault="00B66457" w:rsidP="009E1A30">
      <w:pPr>
        <w:spacing w:before="240"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755B8046" wp14:editId="6AECC454">
            <wp:extent cx="4975381" cy="2266122"/>
            <wp:effectExtent l="0" t="0" r="0" b="1270"/>
            <wp:docPr id="37" name="Obraz 37" descr="Chart 4. Changes in the employment rate of persons aged 15-89 between the first quarter of 2026 and the fourth quarter of 2025 as well as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2803" cy="2283166"/>
                    </a:xfrm>
                    <a:prstGeom prst="rect">
                      <a:avLst/>
                    </a:prstGeom>
                    <a:noFill/>
                  </pic:spPr>
                </pic:pic>
              </a:graphicData>
            </a:graphic>
          </wp:inline>
        </w:drawing>
      </w:r>
    </w:p>
    <w:p w14:paraId="79F83B2B" w14:textId="7E4C7FAF" w:rsidR="009E1A30" w:rsidRPr="0053285E" w:rsidRDefault="00675674" w:rsidP="00B40977">
      <w:pPr>
        <w:spacing w:before="240" w:line="288" w:lineRule="auto"/>
        <w:rPr>
          <w:rFonts w:eastAsia="Times New Roman" w:cs="Times New Roman"/>
          <w:szCs w:val="19"/>
          <w:lang w:val="en-GB" w:eastAsia="pl-PL"/>
        </w:rPr>
      </w:pPr>
      <w:r w:rsidRPr="00E5325C">
        <w:rPr>
          <w:rFonts w:eastAsia="Times New Roman" w:cs="Times New Roman"/>
          <w:noProof/>
          <w:szCs w:val="19"/>
          <w:lang w:eastAsia="pl-PL"/>
        </w:rPr>
        <mc:AlternateContent>
          <mc:Choice Requires="wps">
            <w:drawing>
              <wp:anchor distT="45720" distB="45720" distL="114300" distR="114300" simplePos="0" relativeHeight="251772416" behindDoc="1" locked="0" layoutInCell="1" allowOverlap="1" wp14:anchorId="63B957BE" wp14:editId="08B6162E">
                <wp:simplePos x="0" y="0"/>
                <wp:positionH relativeFrom="column">
                  <wp:posOffset>5283145</wp:posOffset>
                </wp:positionH>
                <wp:positionV relativeFrom="paragraph">
                  <wp:posOffset>410789</wp:posOffset>
                </wp:positionV>
                <wp:extent cx="1657985" cy="985520"/>
                <wp:effectExtent l="0" t="0" r="0" b="5080"/>
                <wp:wrapTight wrapText="bothSides">
                  <wp:wrapPolygon edited="0">
                    <wp:start x="745" y="0"/>
                    <wp:lineTo x="745" y="21294"/>
                    <wp:lineTo x="20599" y="21294"/>
                    <wp:lineTo x="20599" y="0"/>
                    <wp:lineTo x="745" y="0"/>
                  </wp:wrapPolygon>
                </wp:wrapTight>
                <wp:docPr id="33" name="Pole tekstowe 2" descr="The number of full-time employed persons was lower than in the fourth quarter of 2025 and higher than in the first quarter of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985520"/>
                        </a:xfrm>
                        <a:prstGeom prst="rect">
                          <a:avLst/>
                        </a:prstGeom>
                        <a:noFill/>
                        <a:ln w="9525">
                          <a:noFill/>
                          <a:miter lim="800000"/>
                          <a:headEnd/>
                          <a:tailEnd/>
                        </a:ln>
                      </wps:spPr>
                      <wps:txbx>
                        <w:txbxContent>
                          <w:p w14:paraId="7FB261EB" w14:textId="4C3695CA" w:rsidR="00DA385A" w:rsidRPr="00787A13" w:rsidRDefault="00DA385A" w:rsidP="00787A13">
                            <w:pPr>
                              <w:pStyle w:val="tekstzboku"/>
                              <w:spacing w:before="0"/>
                              <w:rPr>
                                <w:lang w:val="en-GB"/>
                              </w:rPr>
                            </w:pPr>
                            <w:r w:rsidRPr="00774C83">
                              <w:rPr>
                                <w:lang w:val="en-GB"/>
                              </w:rPr>
                              <w:t xml:space="preserve">The number of full-time employed persons was lower than in the </w:t>
                            </w:r>
                            <w:r>
                              <w:rPr>
                                <w:lang w:val="en-GB"/>
                              </w:rPr>
                              <w:t>fourth</w:t>
                            </w:r>
                            <w:r w:rsidRPr="00774C83">
                              <w:rPr>
                                <w:lang w:val="en-GB"/>
                              </w:rPr>
                              <w:t xml:space="preserve"> quarter of 2025 and</w:t>
                            </w:r>
                            <w:r>
                              <w:rPr>
                                <w:lang w:val="en-GB"/>
                              </w:rPr>
                              <w:t xml:space="preserve"> higher than</w:t>
                            </w:r>
                            <w:r w:rsidRPr="00774C83">
                              <w:rPr>
                                <w:lang w:val="en-GB"/>
                              </w:rPr>
                              <w:t xml:space="preserve"> in the f</w:t>
                            </w:r>
                            <w:r>
                              <w:rPr>
                                <w:lang w:val="en-GB"/>
                              </w:rPr>
                              <w:t>irst</w:t>
                            </w:r>
                            <w:r w:rsidRPr="00774C83">
                              <w:rPr>
                                <w:lang w:val="en-GB"/>
                              </w:rPr>
                              <w:t xml:space="preserve"> quarter of 202</w:t>
                            </w:r>
                            <w:r>
                              <w:rPr>
                                <w:lang w:val="en-GB"/>
                              </w:rPr>
                              <w:t>5</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957BE" id="_x0000_s1031" type="#_x0000_t202" alt="The number of full-time employed persons was lower than in the fourth quarter of 2025 and higher than in the first quarter of 2025" style="position:absolute;margin-left:416pt;margin-top:32.35pt;width:130.55pt;height:77.6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" filled="f" stroked="f">
                <v:textbox inset=",0">
                  <w:txbxContent>
                    <w:p w14:paraId="7FB261EB" w14:textId="4C3695CA" w:rsidR="00DA385A" w:rsidRPr="00787A13" w:rsidRDefault="00DA385A" w:rsidP="00787A13">
                      <w:pPr>
                        <w:pStyle w:val="tekstzboku"/>
                        <w:spacing w:before="0"/>
                        <w:rPr>
                          <w:lang w:val="en-GB"/>
                        </w:rPr>
                      </w:pPr>
                      <w:r w:rsidRPr="00774C83">
                        <w:rPr>
                          <w:lang w:val="en-GB"/>
                        </w:rPr>
                        <w:t xml:space="preserve">The number of full-time employed persons was lower than in the </w:t>
                      </w:r>
                      <w:r>
                        <w:rPr>
                          <w:lang w:val="en-GB"/>
                        </w:rPr>
                        <w:t>fourth</w:t>
                      </w:r>
                      <w:r w:rsidRPr="00774C83">
                        <w:rPr>
                          <w:lang w:val="en-GB"/>
                        </w:rPr>
                        <w:t xml:space="preserve"> quarter of 2025 and</w:t>
                      </w:r>
                      <w:r>
                        <w:rPr>
                          <w:lang w:val="en-GB"/>
                        </w:rPr>
                        <w:t xml:space="preserve"> higher than</w:t>
                      </w:r>
                      <w:r w:rsidRPr="00774C83">
                        <w:rPr>
                          <w:lang w:val="en-GB"/>
                        </w:rPr>
                        <w:t xml:space="preserve"> in the f</w:t>
                      </w:r>
                      <w:r>
                        <w:rPr>
                          <w:lang w:val="en-GB"/>
                        </w:rPr>
                        <w:t>irst</w:t>
                      </w:r>
                      <w:r w:rsidRPr="00774C83">
                        <w:rPr>
                          <w:lang w:val="en-GB"/>
                        </w:rPr>
                        <w:t xml:space="preserve"> quarter of 202</w:t>
                      </w:r>
                      <w:r>
                        <w:rPr>
                          <w:lang w:val="en-GB"/>
                        </w:rPr>
                        <w:t>5</w:t>
                      </w:r>
                    </w:p>
                  </w:txbxContent>
                </v:textbox>
                <w10:wrap type="tight"/>
              </v:shape>
            </w:pict>
          </mc:Fallback>
        </mc:AlternateContent>
      </w:r>
      <w:r w:rsidR="009E1A30" w:rsidRPr="00E5325C">
        <w:rPr>
          <w:rFonts w:eastAsia="Times New Roman" w:cs="Times New Roman"/>
          <w:szCs w:val="19"/>
          <w:lang w:val="en-GB" w:eastAsia="pl-PL"/>
        </w:rPr>
        <w:t xml:space="preserve">The LFS </w:t>
      </w:r>
      <w:r w:rsidR="009E1A30" w:rsidRPr="00FE7B0A">
        <w:rPr>
          <w:rFonts w:eastAsia="Times New Roman" w:cs="Times New Roman"/>
          <w:szCs w:val="19"/>
          <w:lang w:val="en-GB" w:eastAsia="pl-PL"/>
        </w:rPr>
        <w:t>results indicate</w:t>
      </w:r>
      <w:r w:rsidR="00CE4D01" w:rsidRPr="00FE7B0A">
        <w:rPr>
          <w:rFonts w:eastAsia="Times New Roman" w:cs="Times New Roman"/>
          <w:szCs w:val="19"/>
          <w:lang w:val="en-GB" w:eastAsia="pl-PL"/>
        </w:rPr>
        <w:t xml:space="preserve">, </w:t>
      </w:r>
      <w:r w:rsidR="00342ECD" w:rsidRPr="00FE7B0A">
        <w:rPr>
          <w:rFonts w:eastAsia="Times New Roman" w:cs="Times New Roman"/>
          <w:szCs w:val="19"/>
          <w:lang w:val="en-GB" w:eastAsia="pl-PL"/>
        </w:rPr>
        <w:t xml:space="preserve">among other things, </w:t>
      </w:r>
      <w:r w:rsidR="009E1A30" w:rsidRPr="00FE7B0A">
        <w:rPr>
          <w:rFonts w:eastAsia="Times New Roman" w:cs="Times New Roman"/>
          <w:szCs w:val="19"/>
          <w:lang w:val="en-GB" w:eastAsia="pl-PL"/>
        </w:rPr>
        <w:t>that</w:t>
      </w:r>
      <w:r w:rsidR="009E1A30" w:rsidRPr="0053285E">
        <w:rPr>
          <w:rFonts w:eastAsia="Times New Roman" w:cs="Times New Roman"/>
          <w:szCs w:val="19"/>
          <w:lang w:val="en-GB" w:eastAsia="pl-PL"/>
        </w:rPr>
        <w:t xml:space="preserve"> in the </w:t>
      </w:r>
      <w:r w:rsidR="009A6F97">
        <w:rPr>
          <w:rFonts w:eastAsia="Times New Roman" w:cs="Times New Roman"/>
          <w:szCs w:val="19"/>
          <w:lang w:val="en-GB" w:eastAsia="pl-PL"/>
        </w:rPr>
        <w:t>f</w:t>
      </w:r>
      <w:r w:rsidR="00B66457">
        <w:rPr>
          <w:rFonts w:eastAsia="Times New Roman" w:cs="Times New Roman"/>
          <w:szCs w:val="19"/>
          <w:lang w:val="en-GB" w:eastAsia="pl-PL"/>
        </w:rPr>
        <w:t>irst</w:t>
      </w:r>
      <w:r w:rsidR="009E1A30" w:rsidRPr="0053285E">
        <w:rPr>
          <w:rFonts w:eastAsia="Times New Roman" w:cs="Times New Roman"/>
          <w:szCs w:val="19"/>
          <w:lang w:val="en-GB" w:eastAsia="pl-PL"/>
        </w:rPr>
        <w:t xml:space="preserve"> quarter of 202</w:t>
      </w:r>
      <w:r w:rsidR="00B66457">
        <w:rPr>
          <w:rFonts w:eastAsia="Times New Roman" w:cs="Times New Roman"/>
          <w:szCs w:val="19"/>
          <w:lang w:val="en-GB" w:eastAsia="pl-PL"/>
        </w:rPr>
        <w:t>6</w:t>
      </w:r>
      <w:r w:rsidR="009E1A30" w:rsidRPr="0053285E">
        <w:rPr>
          <w:rFonts w:eastAsia="Times New Roman" w:cs="Times New Roman"/>
          <w:szCs w:val="19"/>
          <w:lang w:val="en-GB" w:eastAsia="pl-PL"/>
        </w:rPr>
        <w:t>:</w:t>
      </w:r>
    </w:p>
    <w:p w14:paraId="4302EB3D" w14:textId="41988627" w:rsidR="009E1A30" w:rsidRPr="00B8107A" w:rsidRDefault="004040CE" w:rsidP="00B562B1">
      <w:pPr>
        <w:pStyle w:val="Akapitzlist"/>
        <w:numPr>
          <w:ilvl w:val="0"/>
          <w:numId w:val="7"/>
        </w:numPr>
        <w:spacing w:line="288" w:lineRule="auto"/>
        <w:ind w:left="426" w:hanging="357"/>
        <w:rPr>
          <w:szCs w:val="19"/>
          <w:lang w:val="en-GB"/>
        </w:rPr>
      </w:pPr>
      <w:r>
        <w:rPr>
          <w:rFonts w:eastAsia="Times New Roman" w:cs="Times New Roman"/>
          <w:szCs w:val="19"/>
          <w:lang w:val="en-GB" w:eastAsia="pl-PL"/>
        </w:rPr>
        <w:t>f</w:t>
      </w:r>
      <w:r w:rsidR="008F4A09" w:rsidRPr="008F4A09">
        <w:rPr>
          <w:rFonts w:eastAsia="Times New Roman" w:cs="Times New Roman"/>
          <w:szCs w:val="19"/>
          <w:lang w:val="en-GB" w:eastAsia="pl-PL"/>
        </w:rPr>
        <w:t xml:space="preserve">ull-time work was performed by </w:t>
      </w:r>
      <w:r w:rsidR="00B66457" w:rsidRPr="00B66457">
        <w:rPr>
          <w:rFonts w:eastAsia="Times New Roman" w:cs="Times New Roman"/>
          <w:szCs w:val="19"/>
          <w:lang w:val="en-GB" w:eastAsia="pl-PL"/>
        </w:rPr>
        <w:t>15 959</w:t>
      </w:r>
      <w:r w:rsidR="009E1A30" w:rsidRPr="00E33816">
        <w:rPr>
          <w:rFonts w:eastAsia="Times New Roman" w:cs="Times New Roman"/>
          <w:szCs w:val="19"/>
          <w:lang w:val="en-GB" w:eastAsia="pl-PL"/>
        </w:rPr>
        <w:t xml:space="preserve"> </w:t>
      </w:r>
      <w:r w:rsidR="009E1A30" w:rsidRPr="002C0605">
        <w:rPr>
          <w:rFonts w:eastAsia="Times New Roman" w:cs="Times New Roman"/>
          <w:szCs w:val="19"/>
          <w:lang w:val="en-GB" w:eastAsia="pl-PL"/>
        </w:rPr>
        <w:t>thousand</w:t>
      </w:r>
      <w:r w:rsidR="009E1A30">
        <w:rPr>
          <w:rFonts w:eastAsia="Times New Roman" w:cs="Times New Roman"/>
          <w:szCs w:val="19"/>
          <w:lang w:val="en-GB" w:eastAsia="pl-PL"/>
        </w:rPr>
        <w:t xml:space="preserve"> persons (i.</w:t>
      </w:r>
      <w:r w:rsidR="009E1A30" w:rsidRPr="00E33816">
        <w:rPr>
          <w:rFonts w:eastAsia="Times New Roman" w:cs="Times New Roman"/>
          <w:szCs w:val="19"/>
          <w:lang w:val="en-GB" w:eastAsia="pl-PL"/>
        </w:rPr>
        <w:t>e. 9</w:t>
      </w:r>
      <w:r w:rsidR="00B8107A" w:rsidRPr="00E33816">
        <w:rPr>
          <w:rFonts w:eastAsia="Times New Roman" w:cs="Times New Roman"/>
          <w:szCs w:val="19"/>
          <w:lang w:val="en-GB" w:eastAsia="pl-PL"/>
        </w:rPr>
        <w:t>2.</w:t>
      </w:r>
      <w:r w:rsidR="00331604" w:rsidRPr="00E33816">
        <w:rPr>
          <w:rFonts w:eastAsia="Times New Roman" w:cs="Times New Roman"/>
          <w:szCs w:val="19"/>
          <w:lang w:val="en-GB" w:eastAsia="pl-PL"/>
        </w:rPr>
        <w:t>6</w:t>
      </w:r>
      <w:r w:rsidR="009E1A30" w:rsidRPr="00E33816">
        <w:rPr>
          <w:rFonts w:eastAsia="Times New Roman" w:cs="Times New Roman"/>
          <w:szCs w:val="19"/>
          <w:lang w:val="en-GB" w:eastAsia="pl-PL"/>
        </w:rPr>
        <w:t>%)</w:t>
      </w:r>
      <w:r w:rsidR="008F4A09">
        <w:rPr>
          <w:rFonts w:eastAsia="Times New Roman" w:cs="Times New Roman"/>
          <w:szCs w:val="19"/>
          <w:lang w:val="en-GB" w:eastAsia="pl-PL"/>
        </w:rPr>
        <w:t xml:space="preserve">, </w:t>
      </w:r>
      <w:r w:rsidR="008F4A09" w:rsidRPr="008F4A09">
        <w:rPr>
          <w:rFonts w:eastAsia="Times New Roman" w:cs="Times New Roman"/>
          <w:szCs w:val="19"/>
          <w:lang w:val="en-GB" w:eastAsia="pl-PL"/>
        </w:rPr>
        <w:t xml:space="preserve">while </w:t>
      </w:r>
      <w:r w:rsidR="008F4A09" w:rsidRPr="008F4A09">
        <w:rPr>
          <w:rFonts w:eastAsia="Times New Roman" w:cs="Times New Roman"/>
          <w:szCs w:val="19"/>
          <w:lang w:val="en-US" w:eastAsia="pl-PL"/>
        </w:rPr>
        <w:t xml:space="preserve">1 278 </w:t>
      </w:r>
      <w:r w:rsidR="008F4A09" w:rsidRPr="008F4A09">
        <w:rPr>
          <w:rFonts w:eastAsia="Times New Roman" w:cs="Times New Roman"/>
          <w:szCs w:val="19"/>
          <w:lang w:val="en-GB" w:eastAsia="pl-PL"/>
        </w:rPr>
        <w:t>thousand persons  worked part-time</w:t>
      </w:r>
      <w:r w:rsidR="000621B5">
        <w:rPr>
          <w:rFonts w:eastAsia="Times New Roman" w:cs="Times New Roman"/>
          <w:szCs w:val="19"/>
          <w:lang w:val="en-GB" w:eastAsia="pl-PL"/>
        </w:rPr>
        <w:t xml:space="preserve"> </w:t>
      </w:r>
      <w:r w:rsidR="000621B5" w:rsidRPr="008F4A09">
        <w:rPr>
          <w:rFonts w:eastAsia="Times New Roman" w:cs="Times New Roman"/>
          <w:szCs w:val="19"/>
          <w:lang w:val="en-GB" w:eastAsia="pl-PL"/>
        </w:rPr>
        <w:t>(i.e. 7.</w:t>
      </w:r>
      <w:r w:rsidR="000621B5">
        <w:rPr>
          <w:rFonts w:eastAsia="Times New Roman" w:cs="Times New Roman"/>
          <w:szCs w:val="19"/>
          <w:lang w:val="en-GB" w:eastAsia="pl-PL"/>
        </w:rPr>
        <w:t>4</w:t>
      </w:r>
      <w:r w:rsidR="000621B5" w:rsidRPr="008F4A09">
        <w:rPr>
          <w:rFonts w:eastAsia="Times New Roman" w:cs="Times New Roman"/>
          <w:szCs w:val="19"/>
          <w:lang w:val="en-GB" w:eastAsia="pl-PL"/>
        </w:rPr>
        <w:t>%)</w:t>
      </w:r>
      <w:r w:rsidR="00B40977">
        <w:rPr>
          <w:rFonts w:eastAsia="Times New Roman" w:cs="Times New Roman"/>
          <w:szCs w:val="19"/>
          <w:lang w:val="en-GB" w:eastAsia="pl-PL"/>
        </w:rPr>
        <w:t>,</w:t>
      </w:r>
    </w:p>
    <w:p w14:paraId="72CE086B" w14:textId="4C3903B0" w:rsidR="00B8107A" w:rsidRPr="002C0605" w:rsidRDefault="001C5383" w:rsidP="00B562B1">
      <w:pPr>
        <w:pStyle w:val="Akapitzlist"/>
        <w:numPr>
          <w:ilvl w:val="0"/>
          <w:numId w:val="7"/>
        </w:numPr>
        <w:spacing w:line="288" w:lineRule="auto"/>
        <w:ind w:left="426" w:hanging="357"/>
        <w:rPr>
          <w:szCs w:val="19"/>
          <w:lang w:val="en-GB"/>
        </w:rPr>
      </w:pPr>
      <w:r w:rsidRPr="001C5383">
        <w:rPr>
          <w:szCs w:val="19"/>
          <w:lang w:val="en-GB"/>
        </w:rPr>
        <w:t>13 039</w:t>
      </w:r>
      <w:r w:rsidR="00B8107A" w:rsidRPr="00E33816">
        <w:rPr>
          <w:szCs w:val="19"/>
          <w:lang w:val="en-GB"/>
        </w:rPr>
        <w:t xml:space="preserve"> thousand </w:t>
      </w:r>
      <w:r w:rsidR="00B8107A" w:rsidRPr="00B8107A">
        <w:rPr>
          <w:szCs w:val="19"/>
          <w:lang w:val="en-GB"/>
        </w:rPr>
        <w:t>p</w:t>
      </w:r>
      <w:r w:rsidR="00B8107A">
        <w:rPr>
          <w:szCs w:val="19"/>
          <w:lang w:val="en-GB"/>
        </w:rPr>
        <w:t>ersons</w:t>
      </w:r>
      <w:r w:rsidR="00B8107A" w:rsidRPr="00B8107A">
        <w:rPr>
          <w:szCs w:val="19"/>
          <w:lang w:val="en-GB"/>
        </w:rPr>
        <w:t xml:space="preserve"> </w:t>
      </w:r>
      <w:r w:rsidR="00C53AAF" w:rsidRPr="00E33816">
        <w:rPr>
          <w:szCs w:val="19"/>
          <w:lang w:val="en-GB"/>
        </w:rPr>
        <w:t xml:space="preserve">worked </w:t>
      </w:r>
      <w:r w:rsidR="00C53AAF" w:rsidRPr="00B8107A">
        <w:rPr>
          <w:szCs w:val="19"/>
          <w:lang w:val="en-GB"/>
        </w:rPr>
        <w:t>in the private sector</w:t>
      </w:r>
      <w:r w:rsidR="00C53AAF">
        <w:rPr>
          <w:szCs w:val="19"/>
          <w:lang w:val="en-GB"/>
        </w:rPr>
        <w:t xml:space="preserve"> </w:t>
      </w:r>
      <w:r w:rsidR="00B40977">
        <w:rPr>
          <w:szCs w:val="19"/>
          <w:lang w:val="en-GB"/>
        </w:rPr>
        <w:t>(</w:t>
      </w:r>
      <w:r w:rsidR="00B8107A" w:rsidRPr="00E33816">
        <w:rPr>
          <w:szCs w:val="19"/>
          <w:lang w:val="en-GB"/>
        </w:rPr>
        <w:t>75.</w:t>
      </w:r>
      <w:r w:rsidR="00E33816" w:rsidRPr="00E33816">
        <w:rPr>
          <w:szCs w:val="19"/>
          <w:lang w:val="en-GB"/>
        </w:rPr>
        <w:t>6</w:t>
      </w:r>
      <w:r w:rsidR="00B8107A" w:rsidRPr="00E33816">
        <w:rPr>
          <w:szCs w:val="19"/>
          <w:lang w:val="en-GB"/>
        </w:rPr>
        <w:t>%</w:t>
      </w:r>
      <w:r w:rsidR="00B40977">
        <w:rPr>
          <w:szCs w:val="19"/>
          <w:lang w:val="en-GB"/>
        </w:rPr>
        <w:t>)</w:t>
      </w:r>
      <w:r w:rsidR="00B8107A" w:rsidRPr="00E33816">
        <w:rPr>
          <w:szCs w:val="19"/>
          <w:lang w:val="en-GB"/>
        </w:rPr>
        <w:t xml:space="preserve"> </w:t>
      </w:r>
      <w:r w:rsidR="00B8107A" w:rsidRPr="00B8107A">
        <w:rPr>
          <w:szCs w:val="19"/>
          <w:lang w:val="en-GB"/>
        </w:rPr>
        <w:t xml:space="preserve">and </w:t>
      </w:r>
      <w:r w:rsidR="00C53AAF" w:rsidRPr="001C5383">
        <w:rPr>
          <w:szCs w:val="19"/>
          <w:lang w:val="en-GB"/>
        </w:rPr>
        <w:t>4</w:t>
      </w:r>
      <w:r w:rsidR="00C53AAF">
        <w:rPr>
          <w:szCs w:val="19"/>
          <w:lang w:val="en-GB"/>
        </w:rPr>
        <w:t> </w:t>
      </w:r>
      <w:r w:rsidR="00C53AAF" w:rsidRPr="001C5383">
        <w:rPr>
          <w:szCs w:val="19"/>
          <w:lang w:val="en-GB"/>
        </w:rPr>
        <w:t>199</w:t>
      </w:r>
      <w:r w:rsidR="00C53AAF" w:rsidRPr="00E33816">
        <w:rPr>
          <w:szCs w:val="19"/>
          <w:lang w:val="en-GB"/>
        </w:rPr>
        <w:t xml:space="preserve"> thousand </w:t>
      </w:r>
      <w:r w:rsidR="00C53AAF">
        <w:rPr>
          <w:szCs w:val="19"/>
          <w:lang w:val="en-GB"/>
        </w:rPr>
        <w:t>persons</w:t>
      </w:r>
      <w:r w:rsidR="00C53AAF" w:rsidRPr="00E33816">
        <w:rPr>
          <w:szCs w:val="19"/>
          <w:lang w:val="en-GB"/>
        </w:rPr>
        <w:t xml:space="preserve"> </w:t>
      </w:r>
      <w:r w:rsidR="00C53AAF">
        <w:rPr>
          <w:szCs w:val="19"/>
          <w:lang w:val="en-GB"/>
        </w:rPr>
        <w:t xml:space="preserve">worked </w:t>
      </w:r>
      <w:r w:rsidR="00B40977" w:rsidRPr="00B8107A">
        <w:rPr>
          <w:szCs w:val="19"/>
          <w:lang w:val="en-GB"/>
        </w:rPr>
        <w:t xml:space="preserve">in the public </w:t>
      </w:r>
      <w:r w:rsidR="00B40977" w:rsidRPr="00E33816">
        <w:rPr>
          <w:szCs w:val="19"/>
          <w:lang w:val="en-GB"/>
        </w:rPr>
        <w:t xml:space="preserve">sector </w:t>
      </w:r>
      <w:r w:rsidR="00B40977">
        <w:rPr>
          <w:szCs w:val="19"/>
          <w:lang w:val="en-GB"/>
        </w:rPr>
        <w:t>(</w:t>
      </w:r>
      <w:r w:rsidR="00B40977" w:rsidRPr="00E33816">
        <w:rPr>
          <w:szCs w:val="19"/>
          <w:lang w:val="en-GB"/>
        </w:rPr>
        <w:t>24.4</w:t>
      </w:r>
      <w:r w:rsidR="00B40977" w:rsidRPr="00B8107A">
        <w:rPr>
          <w:szCs w:val="19"/>
          <w:lang w:val="en-GB"/>
        </w:rPr>
        <w:t>%</w:t>
      </w:r>
      <w:r w:rsidR="00B40977">
        <w:rPr>
          <w:szCs w:val="19"/>
          <w:lang w:val="en-GB"/>
        </w:rPr>
        <w:t>),</w:t>
      </w:r>
    </w:p>
    <w:p w14:paraId="4FC11816" w14:textId="01C50A20" w:rsidR="009E1A30" w:rsidRPr="00D54E35" w:rsidRDefault="00B40977" w:rsidP="00B562B1">
      <w:pPr>
        <w:pStyle w:val="Akapitzlist"/>
        <w:numPr>
          <w:ilvl w:val="0"/>
          <w:numId w:val="7"/>
        </w:numPr>
        <w:spacing w:line="288" w:lineRule="auto"/>
        <w:ind w:left="426" w:hanging="357"/>
        <w:rPr>
          <w:rFonts w:eastAsia="Times New Roman" w:cs="Times New Roman"/>
          <w:szCs w:val="19"/>
          <w:lang w:val="en-GB" w:eastAsia="pl-PL"/>
        </w:rPr>
      </w:pPr>
      <w:r>
        <w:rPr>
          <w:rFonts w:eastAsia="Times New Roman" w:cs="Times New Roman"/>
          <w:szCs w:val="19"/>
          <w:lang w:val="en-GB" w:eastAsia="pl-PL"/>
        </w:rPr>
        <w:t>t</w:t>
      </w:r>
      <w:r w:rsidRPr="00B40977">
        <w:rPr>
          <w:rFonts w:eastAsia="Times New Roman" w:cs="Times New Roman"/>
          <w:szCs w:val="19"/>
          <w:lang w:val="en-GB" w:eastAsia="pl-PL"/>
        </w:rPr>
        <w:t xml:space="preserve">he average number of hours worked per employee during the reference week amounted to 38.4 hours in the main job and 38.8 hours in total in the main and </w:t>
      </w:r>
      <w:r w:rsidR="000B5FF8">
        <w:rPr>
          <w:rFonts w:eastAsia="Times New Roman" w:cs="Times New Roman"/>
          <w:szCs w:val="19"/>
          <w:lang w:val="en-GB" w:eastAsia="pl-PL"/>
        </w:rPr>
        <w:t>second</w:t>
      </w:r>
      <w:r w:rsidRPr="00B40977">
        <w:rPr>
          <w:rFonts w:eastAsia="Times New Roman" w:cs="Times New Roman"/>
          <w:szCs w:val="19"/>
          <w:lang w:val="en-GB" w:eastAsia="pl-PL"/>
        </w:rPr>
        <w:t xml:space="preserve"> job</w:t>
      </w:r>
      <w:r>
        <w:rPr>
          <w:rFonts w:eastAsia="Times New Roman" w:cs="Times New Roman"/>
          <w:szCs w:val="19"/>
          <w:lang w:val="en-GB" w:eastAsia="pl-PL"/>
        </w:rPr>
        <w:t>,</w:t>
      </w:r>
    </w:p>
    <w:p w14:paraId="3DC5D7B0" w14:textId="6F2FCC2A" w:rsidR="009E1A30" w:rsidRPr="002F77EB" w:rsidRDefault="009E1A30" w:rsidP="00B562B1">
      <w:pPr>
        <w:pStyle w:val="Akapitzlist"/>
        <w:numPr>
          <w:ilvl w:val="0"/>
          <w:numId w:val="7"/>
        </w:numPr>
        <w:spacing w:line="288" w:lineRule="auto"/>
        <w:ind w:left="426" w:hanging="357"/>
        <w:rPr>
          <w:rFonts w:eastAsia="Times New Roman" w:cs="Times New Roman"/>
          <w:szCs w:val="19"/>
          <w:lang w:val="en-GB" w:eastAsia="pl-PL"/>
        </w:rPr>
      </w:pPr>
      <w:r w:rsidRPr="002F77EB">
        <w:rPr>
          <w:rFonts w:eastAsia="Times New Roman" w:cs="Times New Roman"/>
          <w:szCs w:val="19"/>
          <w:lang w:val="en-GB" w:eastAsia="pl-PL"/>
        </w:rPr>
        <w:t xml:space="preserve">a vast majority of </w:t>
      </w:r>
      <w:r w:rsidRPr="002F77EB">
        <w:rPr>
          <w:shd w:val="clear" w:color="auto" w:fill="FFFFFF"/>
          <w:lang w:val="en-GB"/>
        </w:rPr>
        <w:t>employees employed in public companies/institutions or by a private employer</w:t>
      </w:r>
      <w:r w:rsidRPr="002F77EB">
        <w:rPr>
          <w:rFonts w:eastAsia="Times New Roman" w:cs="Times New Roman"/>
          <w:szCs w:val="19"/>
          <w:lang w:val="en-GB" w:eastAsia="pl-PL"/>
        </w:rPr>
        <w:t xml:space="preserve"> performed their work on the basis of the contract for an indefinite period (8</w:t>
      </w:r>
      <w:r w:rsidR="00E33816" w:rsidRPr="002F77EB">
        <w:rPr>
          <w:rFonts w:eastAsia="Times New Roman" w:cs="Times New Roman"/>
          <w:szCs w:val="19"/>
          <w:lang w:val="en-GB" w:eastAsia="pl-PL"/>
        </w:rPr>
        <w:t>4</w:t>
      </w:r>
      <w:r w:rsidRPr="002F77EB">
        <w:rPr>
          <w:rFonts w:eastAsia="Times New Roman" w:cs="Times New Roman"/>
          <w:szCs w:val="19"/>
          <w:lang w:val="en-GB" w:eastAsia="pl-PL"/>
        </w:rPr>
        <w:t>.</w:t>
      </w:r>
      <w:r w:rsidR="005918DE" w:rsidRPr="002F77EB">
        <w:rPr>
          <w:rFonts w:eastAsia="Times New Roman" w:cs="Times New Roman"/>
          <w:szCs w:val="19"/>
          <w:lang w:val="en-GB" w:eastAsia="pl-PL"/>
        </w:rPr>
        <w:t>7</w:t>
      </w:r>
      <w:r w:rsidRPr="002F77EB" w:rsidDel="00CB3101">
        <w:rPr>
          <w:rFonts w:eastAsia="Times New Roman" w:cs="Times New Roman"/>
          <w:szCs w:val="19"/>
          <w:lang w:val="en-GB" w:eastAsia="pl-PL"/>
        </w:rPr>
        <w:t>%</w:t>
      </w:r>
      <w:r w:rsidRPr="002F77EB">
        <w:rPr>
          <w:rFonts w:eastAsia="Times New Roman" w:cs="Times New Roman"/>
          <w:szCs w:val="19"/>
          <w:lang w:val="en-GB" w:eastAsia="pl-PL"/>
        </w:rPr>
        <w:t xml:space="preserve">, i.e. </w:t>
      </w:r>
      <w:r w:rsidR="005918DE" w:rsidRPr="002F77EB">
        <w:rPr>
          <w:rFonts w:eastAsia="Times New Roman" w:cs="Times New Roman"/>
          <w:szCs w:val="19"/>
          <w:lang w:val="en-GB" w:eastAsia="pl-PL"/>
        </w:rPr>
        <w:t>11 772</w:t>
      </w:r>
      <w:r w:rsidRPr="002F77EB">
        <w:rPr>
          <w:rFonts w:eastAsia="Times New Roman" w:cs="Times New Roman"/>
          <w:szCs w:val="19"/>
          <w:lang w:val="en-GB" w:eastAsia="pl-PL"/>
        </w:rPr>
        <w:t xml:space="preserve"> thousand persons),</w:t>
      </w:r>
    </w:p>
    <w:p w14:paraId="69F050A7" w14:textId="4D2BEE96" w:rsidR="009E1A30" w:rsidRPr="00E0359B" w:rsidRDefault="009E1A30" w:rsidP="0027500A">
      <w:pPr>
        <w:pStyle w:val="Akapitzlist"/>
        <w:numPr>
          <w:ilvl w:val="0"/>
          <w:numId w:val="7"/>
        </w:numPr>
        <w:spacing w:line="288" w:lineRule="auto"/>
        <w:ind w:left="426" w:hanging="357"/>
        <w:rPr>
          <w:shd w:val="clear" w:color="auto" w:fill="FFFFFF"/>
          <w:lang w:val="en-GB"/>
        </w:rPr>
      </w:pPr>
      <w:r w:rsidRPr="00E0359B">
        <w:rPr>
          <w:rFonts w:eastAsia="Times New Roman" w:cs="Times New Roman"/>
          <w:szCs w:val="19"/>
          <w:lang w:val="en-GB" w:eastAsia="pl-PL"/>
        </w:rPr>
        <w:t>the sections</w:t>
      </w:r>
      <w:r w:rsidR="008820C7" w:rsidRPr="00E0359B">
        <w:rPr>
          <w:rStyle w:val="Odwoanieprzypisudolnego"/>
          <w:rFonts w:eastAsia="Times New Roman" w:cs="Times New Roman"/>
          <w:szCs w:val="19"/>
          <w:lang w:val="en-GB" w:eastAsia="pl-PL"/>
        </w:rPr>
        <w:footnoteReference w:id="4"/>
      </w:r>
      <w:r w:rsidRPr="00E0359B">
        <w:rPr>
          <w:rFonts w:eastAsia="Times New Roman" w:cs="Times New Roman"/>
          <w:szCs w:val="19"/>
          <w:lang w:val="en-GB" w:eastAsia="pl-PL"/>
        </w:rPr>
        <w:t xml:space="preserve"> where the most people worked were: Manufacturing – 1</w:t>
      </w:r>
      <w:r w:rsidR="002F77EB" w:rsidRPr="00E0359B">
        <w:rPr>
          <w:rFonts w:eastAsia="Times New Roman" w:cs="Times New Roman"/>
          <w:szCs w:val="19"/>
          <w:lang w:val="en-GB" w:eastAsia="pl-PL"/>
        </w:rPr>
        <w:t>8</w:t>
      </w:r>
      <w:r w:rsidRPr="00E0359B">
        <w:rPr>
          <w:rFonts w:eastAsia="Times New Roman" w:cs="Times New Roman"/>
          <w:szCs w:val="19"/>
          <w:lang w:val="en-GB" w:eastAsia="pl-PL"/>
        </w:rPr>
        <w:t>.</w:t>
      </w:r>
      <w:r w:rsidR="002F77EB" w:rsidRPr="00E0359B">
        <w:rPr>
          <w:rFonts w:eastAsia="Times New Roman" w:cs="Times New Roman"/>
          <w:szCs w:val="19"/>
          <w:lang w:val="en-GB" w:eastAsia="pl-PL"/>
        </w:rPr>
        <w:t>5</w:t>
      </w:r>
      <w:r w:rsidRPr="00E0359B">
        <w:rPr>
          <w:rFonts w:eastAsia="Times New Roman" w:cs="Times New Roman"/>
          <w:szCs w:val="19"/>
          <w:lang w:val="en-GB" w:eastAsia="pl-PL"/>
        </w:rPr>
        <w:t>% of all employed persons (</w:t>
      </w:r>
      <w:r w:rsidR="002F77EB" w:rsidRPr="00E0359B">
        <w:rPr>
          <w:rFonts w:eastAsia="Times New Roman" w:cs="Times New Roman"/>
          <w:szCs w:val="19"/>
          <w:lang w:val="en-GB" w:eastAsia="pl-PL"/>
        </w:rPr>
        <w:t>3 182</w:t>
      </w:r>
      <w:r w:rsidRPr="00E0359B">
        <w:rPr>
          <w:rFonts w:eastAsia="Times New Roman" w:cs="Times New Roman"/>
          <w:szCs w:val="19"/>
          <w:lang w:val="en-GB" w:eastAsia="pl-PL"/>
        </w:rPr>
        <w:t xml:space="preserve"> thousand persons); </w:t>
      </w:r>
      <w:r w:rsidR="00E0359B" w:rsidRPr="00E0359B">
        <w:rPr>
          <w:rFonts w:eastAsia="Times New Roman" w:cs="Times New Roman"/>
          <w:szCs w:val="19"/>
          <w:lang w:val="en-GB" w:eastAsia="pl-PL"/>
        </w:rPr>
        <w:t>W</w:t>
      </w:r>
      <w:r w:rsidR="002F77EB" w:rsidRPr="00E0359B">
        <w:rPr>
          <w:rFonts w:eastAsia="Times New Roman" w:cs="Times New Roman"/>
          <w:szCs w:val="19"/>
          <w:lang w:val="en-GB" w:eastAsia="pl-PL"/>
        </w:rPr>
        <w:t>holesale and retail trade</w:t>
      </w:r>
      <w:r w:rsidR="0066220A" w:rsidRPr="00E0359B">
        <w:rPr>
          <w:shd w:val="clear" w:color="auto" w:fill="FFFFFF"/>
          <w:lang w:val="en-GB"/>
        </w:rPr>
        <w:t xml:space="preserve"> </w:t>
      </w:r>
      <w:r w:rsidRPr="00E0359B">
        <w:rPr>
          <w:shd w:val="clear" w:color="auto" w:fill="FFFFFF"/>
          <w:lang w:val="en-GB"/>
        </w:rPr>
        <w:t xml:space="preserve">– </w:t>
      </w:r>
      <w:r w:rsidRPr="00E0359B">
        <w:rPr>
          <w:rFonts w:eastAsia="Times New Roman" w:cs="Times New Roman"/>
          <w:szCs w:val="19"/>
          <w:lang w:val="en-GB" w:eastAsia="pl-PL"/>
        </w:rPr>
        <w:t>1</w:t>
      </w:r>
      <w:r w:rsidR="002F77EB" w:rsidRPr="00E0359B">
        <w:rPr>
          <w:rFonts w:eastAsia="Times New Roman" w:cs="Times New Roman"/>
          <w:szCs w:val="19"/>
          <w:lang w:val="en-GB" w:eastAsia="pl-PL"/>
        </w:rPr>
        <w:t>1</w:t>
      </w:r>
      <w:r w:rsidR="00D54E35" w:rsidRPr="00E0359B">
        <w:rPr>
          <w:rFonts w:eastAsia="Times New Roman" w:cs="Times New Roman"/>
          <w:szCs w:val="19"/>
          <w:lang w:val="en-GB" w:eastAsia="pl-PL"/>
        </w:rPr>
        <w:t>.</w:t>
      </w:r>
      <w:r w:rsidR="00F12C30" w:rsidRPr="00E0359B">
        <w:rPr>
          <w:rFonts w:eastAsia="Times New Roman" w:cs="Times New Roman"/>
          <w:szCs w:val="19"/>
          <w:lang w:val="en-GB" w:eastAsia="pl-PL"/>
        </w:rPr>
        <w:t>9</w:t>
      </w:r>
      <w:r w:rsidRPr="00E0359B">
        <w:rPr>
          <w:rFonts w:eastAsia="Times New Roman" w:cs="Times New Roman"/>
          <w:szCs w:val="19"/>
          <w:lang w:val="en-GB" w:eastAsia="pl-PL"/>
        </w:rPr>
        <w:t>% (</w:t>
      </w:r>
      <w:r w:rsidR="002F77EB" w:rsidRPr="00E0359B">
        <w:rPr>
          <w:rFonts w:eastAsia="Times New Roman" w:cs="Times New Roman"/>
          <w:szCs w:val="19"/>
          <w:lang w:val="en-GB" w:eastAsia="pl-PL"/>
        </w:rPr>
        <w:t>2 043</w:t>
      </w:r>
      <w:r w:rsidR="00491DF7" w:rsidRPr="00E0359B">
        <w:rPr>
          <w:rFonts w:eastAsia="Times New Roman" w:cs="Times New Roman"/>
          <w:szCs w:val="19"/>
          <w:lang w:val="en-GB" w:eastAsia="pl-PL"/>
        </w:rPr>
        <w:t> </w:t>
      </w:r>
      <w:r w:rsidRPr="00E0359B">
        <w:rPr>
          <w:rFonts w:eastAsia="Times New Roman" w:cs="Times New Roman"/>
          <w:szCs w:val="19"/>
          <w:lang w:val="en-GB" w:eastAsia="pl-PL"/>
        </w:rPr>
        <w:t xml:space="preserve">thousand), Education – </w:t>
      </w:r>
      <w:r w:rsidR="00EB715D" w:rsidRPr="00E0359B">
        <w:rPr>
          <w:rFonts w:eastAsia="Times New Roman" w:cs="Times New Roman"/>
          <w:szCs w:val="19"/>
          <w:lang w:val="en-GB" w:eastAsia="pl-PL"/>
        </w:rPr>
        <w:t>7</w:t>
      </w:r>
      <w:r w:rsidR="00D54E35" w:rsidRPr="00E0359B">
        <w:rPr>
          <w:rFonts w:eastAsia="Times New Roman" w:cs="Times New Roman"/>
          <w:szCs w:val="19"/>
          <w:lang w:val="en-GB" w:eastAsia="pl-PL"/>
        </w:rPr>
        <w:t>.</w:t>
      </w:r>
      <w:r w:rsidR="00EB715D" w:rsidRPr="00E0359B">
        <w:rPr>
          <w:rFonts w:eastAsia="Times New Roman" w:cs="Times New Roman"/>
          <w:szCs w:val="19"/>
          <w:lang w:val="en-GB" w:eastAsia="pl-PL"/>
        </w:rPr>
        <w:t>9</w:t>
      </w:r>
      <w:r w:rsidRPr="00E0359B">
        <w:rPr>
          <w:rFonts w:eastAsia="Times New Roman" w:cs="Times New Roman"/>
          <w:szCs w:val="19"/>
          <w:lang w:val="en-GB" w:eastAsia="pl-PL"/>
        </w:rPr>
        <w:t>% (</w:t>
      </w:r>
      <w:r w:rsidR="00E0359B" w:rsidRPr="00E0359B">
        <w:rPr>
          <w:rFonts w:eastAsia="Times New Roman" w:cs="Times New Roman"/>
          <w:szCs w:val="19"/>
          <w:lang w:val="en-GB" w:eastAsia="pl-PL"/>
        </w:rPr>
        <w:t>1 369</w:t>
      </w:r>
      <w:r w:rsidRPr="00E0359B">
        <w:rPr>
          <w:rFonts w:eastAsia="Times New Roman" w:cs="Times New Roman"/>
          <w:szCs w:val="19"/>
          <w:lang w:val="en-GB" w:eastAsia="pl-PL"/>
        </w:rPr>
        <w:t> thousand) and Construction – 7.</w:t>
      </w:r>
      <w:r w:rsidR="00E0359B" w:rsidRPr="00E0359B">
        <w:rPr>
          <w:rFonts w:eastAsia="Times New Roman" w:cs="Times New Roman"/>
          <w:szCs w:val="19"/>
          <w:lang w:val="en-GB" w:eastAsia="pl-PL"/>
        </w:rPr>
        <w:t>1</w:t>
      </w:r>
      <w:r w:rsidRPr="00E0359B">
        <w:rPr>
          <w:rFonts w:eastAsia="Times New Roman" w:cs="Times New Roman"/>
          <w:szCs w:val="19"/>
          <w:lang w:val="en-GB" w:eastAsia="pl-PL"/>
        </w:rPr>
        <w:t>% (</w:t>
      </w:r>
      <w:r w:rsidR="00E0359B" w:rsidRPr="00E0359B">
        <w:rPr>
          <w:rFonts w:eastAsia="Times New Roman" w:cs="Times New Roman"/>
          <w:szCs w:val="19"/>
          <w:lang w:val="en-GB" w:eastAsia="pl-PL"/>
        </w:rPr>
        <w:t>1 225</w:t>
      </w:r>
      <w:r w:rsidRPr="00E0359B">
        <w:rPr>
          <w:rFonts w:eastAsia="Times New Roman" w:cs="Times New Roman"/>
          <w:szCs w:val="19"/>
          <w:lang w:val="en-GB" w:eastAsia="pl-PL"/>
        </w:rPr>
        <w:t xml:space="preserve"> thousand). </w:t>
      </w:r>
    </w:p>
    <w:p w14:paraId="273B4371" w14:textId="34A7E29C" w:rsidR="0070734E" w:rsidRDefault="00947E7F" w:rsidP="00B66457">
      <w:pPr>
        <w:spacing w:before="360"/>
        <w:ind w:left="851" w:hanging="851"/>
        <w:rPr>
          <w:b/>
          <w:shd w:val="clear" w:color="auto" w:fill="FFFFFF"/>
          <w:lang w:val="en-GB"/>
        </w:rPr>
      </w:pPr>
      <w:r w:rsidRPr="00E7139D">
        <w:rPr>
          <w:b/>
          <w:shd w:val="clear" w:color="auto" w:fill="FFFFFF"/>
          <w:lang w:val="en-GB"/>
        </w:rPr>
        <w:t xml:space="preserve">Chart </w:t>
      </w:r>
      <w:r w:rsidR="00E7139D" w:rsidRPr="00E7139D">
        <w:rPr>
          <w:b/>
          <w:shd w:val="clear" w:color="auto" w:fill="FFFFFF"/>
          <w:lang w:val="en-GB"/>
        </w:rPr>
        <w:t>5</w:t>
      </w:r>
      <w:r w:rsidRPr="00E7139D">
        <w:rPr>
          <w:b/>
          <w:shd w:val="clear" w:color="auto" w:fill="FFFFFF"/>
          <w:lang w:val="en-GB"/>
        </w:rPr>
        <w:t>.</w:t>
      </w:r>
      <w:r w:rsidRPr="00E7139D">
        <w:rPr>
          <w:b/>
          <w:shd w:val="clear" w:color="auto" w:fill="FFFFFF"/>
          <w:lang w:val="en-GB"/>
        </w:rPr>
        <w:tab/>
        <w:t xml:space="preserve">Structure of employed persons aged 15-89 by </w:t>
      </w:r>
      <w:r w:rsidRPr="00E7139D">
        <w:rPr>
          <w:b/>
          <w:szCs w:val="19"/>
          <w:shd w:val="clear" w:color="auto" w:fill="FFFFFF"/>
          <w:lang w:val="en-GB"/>
        </w:rPr>
        <w:t xml:space="preserve">employment status in the main job in </w:t>
      </w:r>
      <w:r w:rsidRPr="00E7139D">
        <w:rPr>
          <w:b/>
          <w:shd w:val="clear" w:color="auto" w:fill="FFFFFF"/>
          <w:lang w:val="en-GB"/>
        </w:rPr>
        <w:t xml:space="preserve">the </w:t>
      </w:r>
      <w:r w:rsidR="00F559BD">
        <w:rPr>
          <w:b/>
          <w:shd w:val="clear" w:color="auto" w:fill="FFFFFF"/>
          <w:lang w:val="en-GB"/>
        </w:rPr>
        <w:t>f</w:t>
      </w:r>
      <w:r w:rsidR="00FB415D">
        <w:rPr>
          <w:b/>
          <w:shd w:val="clear" w:color="auto" w:fill="FFFFFF"/>
          <w:lang w:val="en-GB"/>
        </w:rPr>
        <w:t>irst</w:t>
      </w:r>
      <w:r w:rsidRPr="00E7139D">
        <w:rPr>
          <w:b/>
          <w:shd w:val="clear" w:color="auto" w:fill="FFFFFF"/>
          <w:lang w:val="en-GB"/>
        </w:rPr>
        <w:t xml:space="preserve"> quarter of 202</w:t>
      </w:r>
      <w:r w:rsidR="00FB415D">
        <w:rPr>
          <w:b/>
          <w:shd w:val="clear" w:color="auto" w:fill="FFFFFF"/>
          <w:lang w:val="en-GB"/>
        </w:rPr>
        <w:t>6</w:t>
      </w:r>
      <w:r w:rsidRPr="00E7139D">
        <w:rPr>
          <w:b/>
          <w:shd w:val="clear" w:color="auto" w:fill="FFFFFF"/>
          <w:lang w:val="en-GB"/>
        </w:rPr>
        <w:t xml:space="preserve"> (in %)</w:t>
      </w:r>
    </w:p>
    <w:p w14:paraId="20E3EF56" w14:textId="7F53D8AC" w:rsidR="00FB415D" w:rsidRDefault="00FB415D" w:rsidP="00B66457">
      <w:pPr>
        <w:spacing w:before="360"/>
        <w:ind w:left="851" w:hanging="851"/>
        <w:rPr>
          <w:b/>
          <w:noProof/>
          <w:shd w:val="clear" w:color="auto" w:fill="FFFFFF"/>
          <w:lang w:val="en-GB"/>
        </w:rPr>
      </w:pPr>
      <w:r>
        <w:rPr>
          <w:b/>
          <w:noProof/>
          <w:shd w:val="clear" w:color="auto" w:fill="FFFFFF"/>
          <w:lang w:val="en-GB"/>
        </w:rPr>
        <w:drawing>
          <wp:anchor distT="0" distB="0" distL="114300" distR="114300" simplePos="0" relativeHeight="251815424" behindDoc="1" locked="0" layoutInCell="1" allowOverlap="1" wp14:anchorId="2F9A7726" wp14:editId="55217430">
            <wp:simplePos x="0" y="0"/>
            <wp:positionH relativeFrom="column">
              <wp:posOffset>-210710</wp:posOffset>
            </wp:positionH>
            <wp:positionV relativeFrom="paragraph">
              <wp:posOffset>25041</wp:posOffset>
            </wp:positionV>
            <wp:extent cx="5309870" cy="2243455"/>
            <wp:effectExtent l="0" t="0" r="5080" b="4445"/>
            <wp:wrapTopAndBottom/>
            <wp:docPr id="41" name="Obraz 41" descr="Chart 5. Structure of employed persons aged 15-89 by employment status in the main job in the first quarter of 2026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9870" cy="2243455"/>
                    </a:xfrm>
                    <a:prstGeom prst="rect">
                      <a:avLst/>
                    </a:prstGeom>
                    <a:noFill/>
                  </pic:spPr>
                </pic:pic>
              </a:graphicData>
            </a:graphic>
            <wp14:sizeRelH relativeFrom="page">
              <wp14:pctWidth>0</wp14:pctWidth>
            </wp14:sizeRelH>
            <wp14:sizeRelV relativeFrom="page">
              <wp14:pctHeight>0</wp14:pctHeight>
            </wp14:sizeRelV>
          </wp:anchor>
        </w:drawing>
      </w:r>
    </w:p>
    <w:p w14:paraId="20591EB3" w14:textId="77777777" w:rsidR="00F3288C" w:rsidRDefault="00F3288C" w:rsidP="00F3288C">
      <w:pPr>
        <w:pStyle w:val="Lead"/>
        <w:spacing w:before="480" w:after="0"/>
        <w:rPr>
          <w:lang w:val="en-GB"/>
        </w:rPr>
      </w:pPr>
    </w:p>
    <w:p w14:paraId="49AED34B" w14:textId="0EF851CD" w:rsidR="00E8634F" w:rsidRDefault="00F3288C" w:rsidP="00F3288C">
      <w:pPr>
        <w:pStyle w:val="Lead"/>
        <w:spacing w:before="240" w:after="0"/>
        <w:rPr>
          <w:lang w:val="en-GB"/>
        </w:rPr>
      </w:pPr>
      <w:r w:rsidRPr="00C02194">
        <mc:AlternateContent>
          <mc:Choice Requires="wps">
            <w:drawing>
              <wp:anchor distT="45720" distB="45720" distL="114300" distR="114300" simplePos="0" relativeHeight="251639296" behindDoc="0" locked="0" layoutInCell="1" allowOverlap="1" wp14:anchorId="408264D0" wp14:editId="304E98FC">
                <wp:simplePos x="0" y="0"/>
                <wp:positionH relativeFrom="margin">
                  <wp:align>left</wp:align>
                </wp:positionH>
                <wp:positionV relativeFrom="paragraph">
                  <wp:posOffset>65405</wp:posOffset>
                </wp:positionV>
                <wp:extent cx="2204085" cy="1226820"/>
                <wp:effectExtent l="0" t="0" r="5715" b="0"/>
                <wp:wrapSquare wrapText="bothSides"/>
                <wp:docPr id="18" name="Pole tekstowe 2" descr="Unemployment rate of persons aged 15-89 years - 3.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26820"/>
                        </a:xfrm>
                        <a:prstGeom prst="roundRect">
                          <a:avLst/>
                        </a:prstGeom>
                        <a:solidFill>
                          <a:srgbClr val="001D77"/>
                        </a:solidFill>
                        <a:ln w="9525">
                          <a:noFill/>
                          <a:miter lim="800000"/>
                          <a:headEnd/>
                          <a:tailEnd/>
                        </a:ln>
                      </wps:spPr>
                      <wps:txbx>
                        <w:txbxContent>
                          <w:p w14:paraId="2A0DE0F8" w14:textId="0FF6A464" w:rsidR="00DA385A" w:rsidRPr="00E33816" w:rsidRDefault="00DA385A" w:rsidP="00AD1045">
                            <w:pPr>
                              <w:spacing w:after="0" w:line="240" w:lineRule="auto"/>
                              <w:jc w:val="center"/>
                              <w:rPr>
                                <w:rFonts w:ascii="Fira Sans SemiBold" w:hAnsi="Fira Sans SemiBold"/>
                                <w:color w:val="FFFFFF" w:themeColor="background1"/>
                                <w:sz w:val="72"/>
                                <w:lang w:val="en-GB"/>
                              </w:rPr>
                            </w:pPr>
                            <w:r w:rsidRPr="00E33816">
                              <w:rPr>
                                <w:rFonts w:ascii="Fira Sans SemiBold" w:hAnsi="Fira Sans SemiBold"/>
                                <w:color w:val="FFFFFF" w:themeColor="background1"/>
                                <w:sz w:val="72"/>
                                <w:lang w:val="en-GB"/>
                              </w:rPr>
                              <w:t>3.</w:t>
                            </w:r>
                            <w:r>
                              <w:rPr>
                                <w:rFonts w:ascii="Fira Sans SemiBold" w:hAnsi="Fira Sans SemiBold"/>
                                <w:color w:val="FFFFFF" w:themeColor="background1"/>
                                <w:sz w:val="72"/>
                                <w:lang w:val="en-GB"/>
                              </w:rPr>
                              <w:t>3</w:t>
                            </w:r>
                            <w:r w:rsidRPr="00E33816">
                              <w:rPr>
                                <w:rFonts w:ascii="Fira Sans SemiBold" w:hAnsi="Fira Sans SemiBold"/>
                                <w:color w:val="FFFFFF" w:themeColor="background1"/>
                                <w:sz w:val="72"/>
                                <w:lang w:val="en-GB"/>
                              </w:rPr>
                              <w:t>%</w:t>
                            </w:r>
                          </w:p>
                          <w:p w14:paraId="5149F9A3" w14:textId="3DD29530" w:rsidR="00DA385A" w:rsidRPr="00DF34C4" w:rsidRDefault="00DA385A"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2" alt="Unemployment rate of persons aged 15-89 years - 3.3%&#10;" style="position:absolute;margin-left:0;margin-top:5.15pt;width:173.55pt;height:96.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" fillcolor="#001d77" stroked="f">
                <v:stroke joinstyle="miter"/>
                <v:textbox>
                  <w:txbxContent>
                    <w:p w14:paraId="2A0DE0F8" w14:textId="0FF6A464" w:rsidR="00DA385A" w:rsidRPr="00E33816" w:rsidRDefault="00DA385A" w:rsidP="00AD1045">
                      <w:pPr>
                        <w:spacing w:after="0" w:line="240" w:lineRule="auto"/>
                        <w:jc w:val="center"/>
                        <w:rPr>
                          <w:rFonts w:ascii="Fira Sans SemiBold" w:hAnsi="Fira Sans SemiBold"/>
                          <w:color w:val="FFFFFF" w:themeColor="background1"/>
                          <w:sz w:val="72"/>
                          <w:lang w:val="en-GB"/>
                        </w:rPr>
                      </w:pPr>
                      <w:r w:rsidRPr="00E33816">
                        <w:rPr>
                          <w:rFonts w:ascii="Fira Sans SemiBold" w:hAnsi="Fira Sans SemiBold"/>
                          <w:color w:val="FFFFFF" w:themeColor="background1"/>
                          <w:sz w:val="72"/>
                          <w:lang w:val="en-GB"/>
                        </w:rPr>
                        <w:t>3.</w:t>
                      </w:r>
                      <w:r>
                        <w:rPr>
                          <w:rFonts w:ascii="Fira Sans SemiBold" w:hAnsi="Fira Sans SemiBold"/>
                          <w:color w:val="FFFFFF" w:themeColor="background1"/>
                          <w:sz w:val="72"/>
                          <w:lang w:val="en-GB"/>
                        </w:rPr>
                        <w:t>3</w:t>
                      </w:r>
                      <w:r w:rsidRPr="00E33816">
                        <w:rPr>
                          <w:rFonts w:ascii="Fira Sans SemiBold" w:hAnsi="Fira Sans SemiBold"/>
                          <w:color w:val="FFFFFF" w:themeColor="background1"/>
                          <w:sz w:val="72"/>
                          <w:lang w:val="en-GB"/>
                        </w:rPr>
                        <w:t>%</w:t>
                      </w:r>
                    </w:p>
                    <w:p w14:paraId="5149F9A3" w14:textId="3DD29530" w:rsidR="00DA385A" w:rsidRPr="00DF34C4" w:rsidRDefault="00DA385A"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v:textbox>
                <w10:wrap type="square" anchorx="margin"/>
              </v:roundrect>
            </w:pict>
          </mc:Fallback>
        </mc:AlternateContent>
      </w:r>
      <w:r w:rsidR="00EF1C49" w:rsidRPr="00C02194">
        <w:rPr>
          <w:lang w:val="en-GB"/>
        </w:rPr>
        <w:t xml:space="preserve">In the </w:t>
      </w:r>
      <w:r w:rsidR="00A06793">
        <w:rPr>
          <w:lang w:val="en-GB"/>
        </w:rPr>
        <w:t>first</w:t>
      </w:r>
      <w:r w:rsidR="00EF1C49" w:rsidRPr="00C02194">
        <w:rPr>
          <w:lang w:val="en-GB"/>
        </w:rPr>
        <w:t xml:space="preserve"> quarter of </w:t>
      </w:r>
      <w:r w:rsidR="00EC47CD">
        <w:rPr>
          <w:lang w:val="en-GB"/>
        </w:rPr>
        <w:t>202</w:t>
      </w:r>
      <w:r w:rsidR="00A06793">
        <w:rPr>
          <w:lang w:val="en-GB"/>
        </w:rPr>
        <w:t>6</w:t>
      </w:r>
      <w:r w:rsidR="00EF1C49" w:rsidRPr="009554A3">
        <w:rPr>
          <w:lang w:val="en-GB"/>
        </w:rPr>
        <w:t xml:space="preserve">, </w:t>
      </w:r>
      <w:r w:rsidR="00EF1C49" w:rsidRPr="00A06793">
        <w:rPr>
          <w:lang w:val="en-GB"/>
        </w:rPr>
        <w:t xml:space="preserve">unemployed persons accounted for </w:t>
      </w:r>
      <w:r w:rsidR="007E07AB" w:rsidRPr="00A06793">
        <w:rPr>
          <w:lang w:val="en-GB"/>
        </w:rPr>
        <w:t>3</w:t>
      </w:r>
      <w:r w:rsidR="0070734E" w:rsidRPr="00A06793">
        <w:rPr>
          <w:lang w:val="en-GB"/>
        </w:rPr>
        <w:t>.</w:t>
      </w:r>
      <w:r w:rsidR="00A06793" w:rsidRPr="00A06793">
        <w:rPr>
          <w:lang w:val="en-GB"/>
        </w:rPr>
        <w:t>3</w:t>
      </w:r>
      <w:r w:rsidR="000F607C" w:rsidRPr="00A06793">
        <w:rPr>
          <w:lang w:val="en-GB"/>
        </w:rPr>
        <w:t xml:space="preserve">% </w:t>
      </w:r>
      <w:r w:rsidR="000D4326" w:rsidRPr="00A06793">
        <w:rPr>
          <w:lang w:val="en-GB"/>
        </w:rPr>
        <w:t xml:space="preserve">of the economically active population aged </w:t>
      </w:r>
      <w:r w:rsidR="000F607C" w:rsidRPr="00A06793">
        <w:rPr>
          <w:lang w:val="en-GB"/>
        </w:rPr>
        <w:t>15</w:t>
      </w:r>
      <w:r w:rsidR="007801E6" w:rsidRPr="00A06793">
        <w:rPr>
          <w:lang w:val="en-GB"/>
        </w:rPr>
        <w:t>-</w:t>
      </w:r>
      <w:r w:rsidR="000F607C" w:rsidRPr="00A06793">
        <w:rPr>
          <w:lang w:val="en-GB"/>
        </w:rPr>
        <w:t xml:space="preserve">89. </w:t>
      </w:r>
      <w:r w:rsidR="00BC67CD" w:rsidRPr="00A06793">
        <w:rPr>
          <w:lang w:val="en-GB"/>
        </w:rPr>
        <w:t xml:space="preserve">The unemployment rate was </w:t>
      </w:r>
      <w:r w:rsidR="00A06793" w:rsidRPr="00A06793">
        <w:rPr>
          <w:lang w:val="en-GB"/>
        </w:rPr>
        <w:t xml:space="preserve">slightly </w:t>
      </w:r>
      <w:r w:rsidR="007E07AB" w:rsidRPr="00A06793">
        <w:rPr>
          <w:lang w:val="en-GB"/>
        </w:rPr>
        <w:t>higher</w:t>
      </w:r>
      <w:r w:rsidR="00BC67CD" w:rsidRPr="00A06793">
        <w:rPr>
          <w:lang w:val="en-GB"/>
        </w:rPr>
        <w:t xml:space="preserve"> compared to the previous quarter (by</w:t>
      </w:r>
      <w:r w:rsidR="007E07AB" w:rsidRPr="00A06793">
        <w:rPr>
          <w:lang w:val="en-GB"/>
        </w:rPr>
        <w:t> </w:t>
      </w:r>
      <w:r w:rsidR="00BC67CD" w:rsidRPr="00A06793">
        <w:rPr>
          <w:lang w:val="en-GB"/>
        </w:rPr>
        <w:t>0.</w:t>
      </w:r>
      <w:r w:rsidR="009F7701" w:rsidRPr="00A06793">
        <w:rPr>
          <w:lang w:val="en-GB"/>
        </w:rPr>
        <w:t>1</w:t>
      </w:r>
      <w:r w:rsidR="00BC67CD" w:rsidRPr="00A06793">
        <w:rPr>
          <w:lang w:val="en-GB"/>
        </w:rPr>
        <w:t xml:space="preserve"> pp.)</w:t>
      </w:r>
      <w:r w:rsidR="00103584">
        <w:rPr>
          <w:lang w:val="en-GB"/>
        </w:rPr>
        <w:t>,</w:t>
      </w:r>
      <w:r w:rsidR="00BC67CD" w:rsidRPr="00A06793">
        <w:rPr>
          <w:lang w:val="en-GB"/>
        </w:rPr>
        <w:t xml:space="preserve"> </w:t>
      </w:r>
      <w:r w:rsidR="00A06793" w:rsidRPr="00A06793">
        <w:rPr>
          <w:lang w:val="en-GB"/>
        </w:rPr>
        <w:t>but also slightly lower</w:t>
      </w:r>
      <w:r w:rsidR="00BC67CD" w:rsidRPr="00A06793">
        <w:rPr>
          <w:lang w:val="en-GB"/>
        </w:rPr>
        <w:t xml:space="preserve"> </w:t>
      </w:r>
      <w:r w:rsidR="00A06793" w:rsidRPr="00A06793">
        <w:rPr>
          <w:lang w:val="en-GB"/>
        </w:rPr>
        <w:t xml:space="preserve">than in </w:t>
      </w:r>
      <w:r w:rsidR="007E07AB" w:rsidRPr="00A06793">
        <w:rPr>
          <w:lang w:val="en-GB"/>
        </w:rPr>
        <w:t>the</w:t>
      </w:r>
      <w:r w:rsidR="00BC67CD" w:rsidRPr="00A06793">
        <w:rPr>
          <w:lang w:val="en-GB"/>
        </w:rPr>
        <w:t xml:space="preserve"> </w:t>
      </w:r>
      <w:r w:rsidR="00A06793" w:rsidRPr="00A06793">
        <w:rPr>
          <w:lang w:val="en-GB"/>
        </w:rPr>
        <w:t>first</w:t>
      </w:r>
      <w:r w:rsidR="00BC67CD" w:rsidRPr="00A06793">
        <w:rPr>
          <w:lang w:val="en-GB"/>
        </w:rPr>
        <w:t xml:space="preserve"> quarter of 202</w:t>
      </w:r>
      <w:r w:rsidR="00A06793" w:rsidRPr="00A06793">
        <w:rPr>
          <w:lang w:val="en-GB"/>
        </w:rPr>
        <w:t>5</w:t>
      </w:r>
      <w:r w:rsidR="00BC67CD" w:rsidRPr="00A06793">
        <w:rPr>
          <w:lang w:val="en-GB"/>
        </w:rPr>
        <w:t xml:space="preserve"> (by</w:t>
      </w:r>
      <w:r w:rsidR="007E07AB" w:rsidRPr="00A06793">
        <w:rPr>
          <w:lang w:val="en-GB"/>
        </w:rPr>
        <w:t> </w:t>
      </w:r>
      <w:r w:rsidR="00BC67CD" w:rsidRPr="00A06793">
        <w:rPr>
          <w:lang w:val="en-GB"/>
        </w:rPr>
        <w:t>0.</w:t>
      </w:r>
      <w:r w:rsidR="00A06793" w:rsidRPr="00A06793">
        <w:rPr>
          <w:lang w:val="en-GB"/>
        </w:rPr>
        <w:t>1</w:t>
      </w:r>
      <w:r w:rsidR="007E07AB" w:rsidRPr="00A06793">
        <w:rPr>
          <w:lang w:val="en-GB"/>
        </w:rPr>
        <w:t> </w:t>
      </w:r>
      <w:r w:rsidR="00BC67CD" w:rsidRPr="00A06793">
        <w:rPr>
          <w:lang w:val="en-GB"/>
        </w:rPr>
        <w:t>pp.).</w:t>
      </w:r>
    </w:p>
    <w:p w14:paraId="7A4508F2" w14:textId="6A81CCF7" w:rsidR="00F3288C" w:rsidRDefault="00F3288C" w:rsidP="00C03034">
      <w:pPr>
        <w:pStyle w:val="Nagwek1"/>
        <w:spacing w:before="120"/>
        <w:rPr>
          <w:rFonts w:ascii="Fira Sans" w:hAnsi="Fira Sans"/>
          <w:b/>
          <w:szCs w:val="19"/>
          <w:lang w:val="en-GB"/>
        </w:rPr>
      </w:pPr>
    </w:p>
    <w:p w14:paraId="6EACF820" w14:textId="772873E9" w:rsidR="000A27DF" w:rsidRPr="00693943" w:rsidRDefault="00ED59C3" w:rsidP="00F3288C">
      <w:pPr>
        <w:pStyle w:val="Nagwek1"/>
        <w:spacing w:before="240"/>
        <w:rPr>
          <w:rFonts w:ascii="Fira Sans" w:hAnsi="Fira Sans"/>
          <w:b/>
          <w:szCs w:val="19"/>
          <w:lang w:val="en-GB"/>
        </w:rPr>
      </w:pPr>
      <w:r w:rsidRPr="00693943">
        <w:rPr>
          <w:noProof/>
          <w:color w:val="C00000"/>
          <w:szCs w:val="19"/>
        </w:rPr>
        <mc:AlternateContent>
          <mc:Choice Requires="wps">
            <w:drawing>
              <wp:anchor distT="45720" distB="45720" distL="114300" distR="114300" simplePos="0" relativeHeight="251780608" behindDoc="1" locked="0" layoutInCell="1" allowOverlap="1" wp14:anchorId="16514DEC" wp14:editId="127C3066">
                <wp:simplePos x="0" y="0"/>
                <wp:positionH relativeFrom="column">
                  <wp:posOffset>5309567</wp:posOffset>
                </wp:positionH>
                <wp:positionV relativeFrom="paragraph">
                  <wp:posOffset>85531</wp:posOffset>
                </wp:positionV>
                <wp:extent cx="1645920" cy="1120775"/>
                <wp:effectExtent l="0" t="0" r="0" b="3175"/>
                <wp:wrapTight wrapText="bothSides">
                  <wp:wrapPolygon edited="0">
                    <wp:start x="750" y="0"/>
                    <wp:lineTo x="750" y="21294"/>
                    <wp:lineTo x="20750" y="21294"/>
                    <wp:lineTo x="20750" y="0"/>
                    <wp:lineTo x="750" y="0"/>
                  </wp:wrapPolygon>
                </wp:wrapTight>
                <wp:docPr id="29" name="Pole tekstowe 2" descr="The number of unemployed persons was higher than recorded in the previous quarter but lower than in the corresponding period of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120775"/>
                        </a:xfrm>
                        <a:prstGeom prst="rect">
                          <a:avLst/>
                        </a:prstGeom>
                        <a:noFill/>
                        <a:ln w="9525">
                          <a:noFill/>
                          <a:miter lim="800000"/>
                          <a:headEnd/>
                          <a:tailEnd/>
                        </a:ln>
                      </wps:spPr>
                      <wps:txbx>
                        <w:txbxContent>
                          <w:p w14:paraId="18BDBA16" w14:textId="77C5466F" w:rsidR="00DA385A" w:rsidRPr="00C84B47" w:rsidRDefault="00DA385A" w:rsidP="00567B55">
                            <w:pPr>
                              <w:pStyle w:val="tekstzboku"/>
                              <w:spacing w:before="0"/>
                              <w:rPr>
                                <w:bCs w:val="0"/>
                                <w:lang w:val="en-GB"/>
                              </w:rPr>
                            </w:pPr>
                            <w:r w:rsidRPr="00774C83">
                              <w:rPr>
                                <w:bCs w:val="0"/>
                                <w:lang w:val="en-GB"/>
                              </w:rPr>
                              <w:t xml:space="preserve">The number of unemployed persons </w:t>
                            </w:r>
                            <w:r>
                              <w:rPr>
                                <w:bCs w:val="0"/>
                                <w:lang w:val="en-GB"/>
                              </w:rPr>
                              <w:t xml:space="preserve">was higher than </w:t>
                            </w:r>
                            <w:r w:rsidRPr="00774C83">
                              <w:rPr>
                                <w:bCs w:val="0"/>
                                <w:lang w:val="en-GB"/>
                              </w:rPr>
                              <w:t>recorded in the previous quarter</w:t>
                            </w:r>
                            <w:r>
                              <w:rPr>
                                <w:bCs w:val="0"/>
                                <w:lang w:val="en-GB"/>
                              </w:rPr>
                              <w:t xml:space="preserve"> </w:t>
                            </w:r>
                            <w:r w:rsidR="00AF6769">
                              <w:rPr>
                                <w:bCs w:val="0"/>
                                <w:lang w:val="en-GB"/>
                              </w:rPr>
                              <w:t>but</w:t>
                            </w:r>
                            <w:r>
                              <w:rPr>
                                <w:bCs w:val="0"/>
                                <w:lang w:val="en-GB"/>
                              </w:rPr>
                              <w:t xml:space="preserve"> lower</w:t>
                            </w:r>
                            <w:r w:rsidRPr="00C11912">
                              <w:rPr>
                                <w:bCs w:val="0"/>
                                <w:lang w:val="en-GB"/>
                              </w:rPr>
                              <w:t xml:space="preserve"> </w:t>
                            </w:r>
                            <w:r w:rsidRPr="00774C83">
                              <w:rPr>
                                <w:bCs w:val="0"/>
                                <w:lang w:val="en-GB"/>
                              </w:rPr>
                              <w:t>than in the corresponding period of the previous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14DEC" id="_x0000_s1033" type="#_x0000_t202" alt="The number of unemployed persons was higher than recorded in the previous quarter but lower than in the corresponding period of the previous year" style="position:absolute;margin-left:418.1pt;margin-top:6.75pt;width:129.6pt;height:88.25pt;z-index:-25153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" filled="f" stroked="f">
                <v:textbox inset=",0">
                  <w:txbxContent>
                    <w:p w14:paraId="18BDBA16" w14:textId="77C5466F" w:rsidR="00DA385A" w:rsidRPr="00C84B47" w:rsidRDefault="00DA385A" w:rsidP="00567B55">
                      <w:pPr>
                        <w:pStyle w:val="tekstzboku"/>
                        <w:spacing w:before="0"/>
                        <w:rPr>
                          <w:bCs w:val="0"/>
                          <w:lang w:val="en-GB"/>
                        </w:rPr>
                      </w:pPr>
                      <w:r w:rsidRPr="00774C83">
                        <w:rPr>
                          <w:bCs w:val="0"/>
                          <w:lang w:val="en-GB"/>
                        </w:rPr>
                        <w:t xml:space="preserve">The number of unemployed persons </w:t>
                      </w:r>
                      <w:r>
                        <w:rPr>
                          <w:bCs w:val="0"/>
                          <w:lang w:val="en-GB"/>
                        </w:rPr>
                        <w:t xml:space="preserve">was higher than </w:t>
                      </w:r>
                      <w:r w:rsidRPr="00774C83">
                        <w:rPr>
                          <w:bCs w:val="0"/>
                          <w:lang w:val="en-GB"/>
                        </w:rPr>
                        <w:t>recorded in the previous quarter</w:t>
                      </w:r>
                      <w:r>
                        <w:rPr>
                          <w:bCs w:val="0"/>
                          <w:lang w:val="en-GB"/>
                        </w:rPr>
                        <w:t xml:space="preserve"> </w:t>
                      </w:r>
                      <w:r w:rsidR="00AF6769">
                        <w:rPr>
                          <w:bCs w:val="0"/>
                          <w:lang w:val="en-GB"/>
                        </w:rPr>
                        <w:t>but</w:t>
                      </w:r>
                      <w:r>
                        <w:rPr>
                          <w:bCs w:val="0"/>
                          <w:lang w:val="en-GB"/>
                        </w:rPr>
                        <w:t xml:space="preserve"> lower</w:t>
                      </w:r>
                      <w:r w:rsidRPr="00C11912">
                        <w:rPr>
                          <w:bCs w:val="0"/>
                          <w:lang w:val="en-GB"/>
                        </w:rPr>
                        <w:t xml:space="preserve"> </w:t>
                      </w:r>
                      <w:r w:rsidRPr="00774C83">
                        <w:rPr>
                          <w:bCs w:val="0"/>
                          <w:lang w:val="en-GB"/>
                        </w:rPr>
                        <w:t>than in the corresponding period of the previous year</w:t>
                      </w:r>
                    </w:p>
                  </w:txbxContent>
                </v:textbox>
                <w10:wrap type="tight"/>
              </v:shape>
            </w:pict>
          </mc:Fallback>
        </mc:AlternateContent>
      </w:r>
      <w:r w:rsidR="00364D77"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w:t>
      </w:r>
      <w:r w:rsidR="00364D77" w:rsidRPr="00693943">
        <w:rPr>
          <w:rFonts w:ascii="Fira Sans" w:hAnsi="Fira Sans"/>
          <w:b/>
          <w:szCs w:val="19"/>
          <w:lang w:val="en-GB"/>
        </w:rPr>
        <w:t>by the LFS</w:t>
      </w:r>
      <w:r w:rsidR="005D1913" w:rsidRPr="00693943">
        <w:rPr>
          <w:rFonts w:ascii="Fira Sans" w:hAnsi="Fira Sans"/>
          <w:b/>
          <w:szCs w:val="19"/>
          <w:lang w:val="en-GB"/>
        </w:rPr>
        <w:t xml:space="preserve"> </w:t>
      </w:r>
    </w:p>
    <w:p w14:paraId="7264DEFC" w14:textId="71EB9E65" w:rsidR="00774C83" w:rsidRDefault="002660C8" w:rsidP="00F3288C">
      <w:pPr>
        <w:spacing w:line="288" w:lineRule="auto"/>
        <w:rPr>
          <w:rFonts w:eastAsia="Times New Roman" w:cs="Times New Roman"/>
          <w:szCs w:val="19"/>
          <w:lang w:val="en-GB" w:eastAsia="pl-PL"/>
        </w:rPr>
      </w:pPr>
      <w:bookmarkStart w:id="1" w:name="_Hlk74913153"/>
      <w:r>
        <w:rPr>
          <w:rFonts w:eastAsia="Times New Roman" w:cs="Times New Roman"/>
          <w:szCs w:val="19"/>
          <w:lang w:val="en-GB" w:eastAsia="pl-PL"/>
        </w:rPr>
        <w:t>I</w:t>
      </w:r>
      <w:r w:rsidRPr="002660C8">
        <w:rPr>
          <w:rFonts w:eastAsia="Times New Roman" w:cs="Times New Roman"/>
          <w:szCs w:val="19"/>
          <w:lang w:val="en-GB" w:eastAsia="pl-PL"/>
        </w:rPr>
        <w:t xml:space="preserve">n the </w:t>
      </w:r>
      <w:r w:rsidR="00F559BD">
        <w:rPr>
          <w:rFonts w:eastAsia="Times New Roman" w:cs="Times New Roman"/>
          <w:szCs w:val="19"/>
          <w:lang w:val="en-GB" w:eastAsia="pl-PL"/>
        </w:rPr>
        <w:t>f</w:t>
      </w:r>
      <w:r w:rsidR="00A06793">
        <w:rPr>
          <w:rFonts w:eastAsia="Times New Roman" w:cs="Times New Roman"/>
          <w:szCs w:val="19"/>
          <w:lang w:val="en-GB" w:eastAsia="pl-PL"/>
        </w:rPr>
        <w:t>irst</w:t>
      </w:r>
      <w:r w:rsidRPr="002660C8">
        <w:rPr>
          <w:rFonts w:eastAsia="Times New Roman" w:cs="Times New Roman"/>
          <w:szCs w:val="19"/>
          <w:lang w:val="en-GB" w:eastAsia="pl-PL"/>
        </w:rPr>
        <w:t xml:space="preserve"> quarter of 202</w:t>
      </w:r>
      <w:r w:rsidR="00A06793">
        <w:rPr>
          <w:rFonts w:eastAsia="Times New Roman" w:cs="Times New Roman"/>
          <w:szCs w:val="19"/>
          <w:lang w:val="en-GB" w:eastAsia="pl-PL"/>
        </w:rPr>
        <w:t>6</w:t>
      </w:r>
      <w:r w:rsidRPr="002660C8">
        <w:rPr>
          <w:rFonts w:eastAsia="Times New Roman" w:cs="Times New Roman"/>
          <w:szCs w:val="19"/>
          <w:lang w:val="en-GB" w:eastAsia="pl-PL"/>
        </w:rPr>
        <w:t xml:space="preserve">, the </w:t>
      </w:r>
      <w:r w:rsidR="00BC67CD">
        <w:rPr>
          <w:rFonts w:eastAsia="Times New Roman" w:cs="Times New Roman"/>
          <w:szCs w:val="19"/>
          <w:lang w:val="en-GB" w:eastAsia="pl-PL"/>
        </w:rPr>
        <w:t xml:space="preserve">size of the unemployed population </w:t>
      </w:r>
      <w:r w:rsidRPr="002660C8">
        <w:rPr>
          <w:rFonts w:eastAsia="Times New Roman" w:cs="Times New Roman"/>
          <w:szCs w:val="19"/>
          <w:lang w:val="en-GB" w:eastAsia="pl-PL"/>
        </w:rPr>
        <w:t>aged 15-74</w:t>
      </w:r>
      <w:r w:rsidR="00BC67CD">
        <w:rPr>
          <w:rFonts w:eastAsia="Times New Roman" w:cs="Times New Roman"/>
          <w:szCs w:val="19"/>
          <w:lang w:val="en-GB" w:eastAsia="pl-PL"/>
        </w:rPr>
        <w:t xml:space="preserve"> (</w:t>
      </w:r>
      <w:r>
        <w:rPr>
          <w:rFonts w:eastAsia="Times New Roman" w:cs="Times New Roman"/>
          <w:szCs w:val="19"/>
          <w:lang w:val="en-GB" w:eastAsia="pl-PL"/>
        </w:rPr>
        <w:t>featured</w:t>
      </w:r>
      <w:r w:rsidRPr="002660C8">
        <w:rPr>
          <w:rFonts w:eastAsia="Times New Roman" w:cs="Times New Roman"/>
          <w:szCs w:val="19"/>
          <w:lang w:val="en-GB" w:eastAsia="pl-PL"/>
        </w:rPr>
        <w:t xml:space="preserve"> </w:t>
      </w:r>
      <w:r>
        <w:rPr>
          <w:rFonts w:eastAsia="Times New Roman" w:cs="Times New Roman"/>
          <w:szCs w:val="19"/>
          <w:lang w:val="en-GB" w:eastAsia="pl-PL"/>
        </w:rPr>
        <w:t xml:space="preserve">by </w:t>
      </w:r>
      <w:r w:rsidRPr="002660C8">
        <w:rPr>
          <w:rFonts w:eastAsia="Times New Roman" w:cs="Times New Roman"/>
          <w:szCs w:val="19"/>
          <w:lang w:val="en-GB" w:eastAsia="pl-PL"/>
        </w:rPr>
        <w:t>the international criteria</w:t>
      </w:r>
      <w:r>
        <w:rPr>
          <w:rStyle w:val="Odwoanieprzypisudolnego"/>
          <w:rFonts w:eastAsia="Times New Roman" w:cs="Times New Roman"/>
          <w:szCs w:val="19"/>
          <w:lang w:val="en-GB" w:eastAsia="pl-PL"/>
        </w:rPr>
        <w:footnoteReference w:id="5"/>
      </w:r>
      <w:r w:rsidRPr="002660C8">
        <w:rPr>
          <w:rFonts w:eastAsia="Times New Roman" w:cs="Times New Roman"/>
          <w:szCs w:val="19"/>
          <w:lang w:val="en-GB" w:eastAsia="pl-PL"/>
        </w:rPr>
        <w:t xml:space="preserve"> used in the </w:t>
      </w:r>
      <w:r w:rsidR="00774C83">
        <w:rPr>
          <w:rFonts w:eastAsia="Times New Roman" w:cs="Times New Roman"/>
          <w:szCs w:val="19"/>
          <w:lang w:val="en-GB" w:eastAsia="pl-PL"/>
        </w:rPr>
        <w:t>LFS</w:t>
      </w:r>
      <w:r w:rsidR="00BC67CD">
        <w:rPr>
          <w:rFonts w:eastAsia="Times New Roman" w:cs="Times New Roman"/>
          <w:szCs w:val="19"/>
          <w:lang w:val="en-GB" w:eastAsia="pl-PL"/>
        </w:rPr>
        <w:t>)</w:t>
      </w:r>
      <w:r w:rsidRPr="002660C8">
        <w:rPr>
          <w:rFonts w:eastAsia="Times New Roman" w:cs="Times New Roman"/>
          <w:szCs w:val="19"/>
          <w:lang w:val="en-GB" w:eastAsia="pl-PL"/>
        </w:rPr>
        <w:t xml:space="preserve"> </w:t>
      </w:r>
      <w:r w:rsidR="00BC67CD">
        <w:rPr>
          <w:rFonts w:eastAsia="Times New Roman" w:cs="Times New Roman"/>
          <w:szCs w:val="19"/>
          <w:lang w:val="en-GB" w:eastAsia="pl-PL"/>
        </w:rPr>
        <w:t>amounted to</w:t>
      </w:r>
      <w:r w:rsidRPr="002660C8">
        <w:rPr>
          <w:rFonts w:eastAsia="Times New Roman" w:cs="Times New Roman"/>
          <w:szCs w:val="19"/>
          <w:lang w:val="en-GB" w:eastAsia="pl-PL"/>
        </w:rPr>
        <w:t xml:space="preserve"> </w:t>
      </w:r>
      <w:r w:rsidR="007E07AB" w:rsidRPr="000B3999">
        <w:rPr>
          <w:rFonts w:eastAsia="Times New Roman" w:cs="Times New Roman"/>
          <w:szCs w:val="19"/>
          <w:lang w:val="en-GB" w:eastAsia="pl-PL"/>
        </w:rPr>
        <w:t>5</w:t>
      </w:r>
      <w:r w:rsidR="00A06793">
        <w:rPr>
          <w:rFonts w:eastAsia="Times New Roman" w:cs="Times New Roman"/>
          <w:szCs w:val="19"/>
          <w:lang w:val="en-GB" w:eastAsia="pl-PL"/>
        </w:rPr>
        <w:t>80</w:t>
      </w:r>
      <w:r>
        <w:rPr>
          <w:rFonts w:eastAsia="Times New Roman" w:cs="Times New Roman"/>
          <w:szCs w:val="19"/>
          <w:lang w:val="en-GB" w:eastAsia="pl-PL"/>
        </w:rPr>
        <w:t xml:space="preserve"> thousand</w:t>
      </w:r>
      <w:r w:rsidR="00585E27">
        <w:rPr>
          <w:rStyle w:val="Odwoanieprzypisudolnego"/>
          <w:rFonts w:eastAsia="Times New Roman" w:cs="Times New Roman"/>
          <w:szCs w:val="19"/>
          <w:lang w:val="en-GB" w:eastAsia="pl-PL"/>
        </w:rPr>
        <w:footnoteReference w:id="6"/>
      </w:r>
      <w:r w:rsidR="00BC67CD">
        <w:rPr>
          <w:rFonts w:eastAsia="Times New Roman" w:cs="Times New Roman"/>
          <w:szCs w:val="19"/>
          <w:lang w:val="en-GB" w:eastAsia="pl-PL"/>
        </w:rPr>
        <w:t xml:space="preserve"> </w:t>
      </w:r>
      <w:r w:rsidR="0070734E" w:rsidRPr="0070734E">
        <w:rPr>
          <w:rFonts w:eastAsia="Times New Roman" w:cs="Times New Roman"/>
          <w:szCs w:val="19"/>
          <w:lang w:val="en-GB" w:eastAsia="pl-PL"/>
        </w:rPr>
        <w:t xml:space="preserve">and was </w:t>
      </w:r>
      <w:r w:rsidR="007E07AB" w:rsidRPr="000B3999">
        <w:rPr>
          <w:rFonts w:eastAsia="Times New Roman" w:cs="Times New Roman"/>
          <w:szCs w:val="19"/>
          <w:lang w:val="en-GB" w:eastAsia="pl-PL"/>
        </w:rPr>
        <w:t>higher</w:t>
      </w:r>
      <w:r w:rsidR="0070734E" w:rsidRPr="000B3999">
        <w:rPr>
          <w:rFonts w:eastAsia="Times New Roman" w:cs="Times New Roman"/>
          <w:szCs w:val="19"/>
          <w:lang w:val="en-GB" w:eastAsia="pl-PL"/>
        </w:rPr>
        <w:t xml:space="preserve"> </w:t>
      </w:r>
      <w:r w:rsidR="0070734E" w:rsidRPr="0070734E">
        <w:rPr>
          <w:rFonts w:eastAsia="Times New Roman" w:cs="Times New Roman"/>
          <w:szCs w:val="19"/>
          <w:lang w:val="en-GB" w:eastAsia="pl-PL"/>
        </w:rPr>
        <w:t xml:space="preserve">than in the </w:t>
      </w:r>
      <w:r w:rsidR="00A06793">
        <w:rPr>
          <w:rFonts w:eastAsia="Times New Roman" w:cs="Times New Roman"/>
          <w:szCs w:val="19"/>
          <w:lang w:val="en-GB" w:eastAsia="pl-PL"/>
        </w:rPr>
        <w:t>fourth</w:t>
      </w:r>
      <w:r w:rsidR="0070734E" w:rsidRPr="0070734E">
        <w:rPr>
          <w:rFonts w:eastAsia="Times New Roman" w:cs="Times New Roman"/>
          <w:szCs w:val="19"/>
          <w:lang w:val="en-GB" w:eastAsia="pl-PL"/>
        </w:rPr>
        <w:t xml:space="preserve"> quarter of 2025 –</w:t>
      </w:r>
      <w:r w:rsidR="000B3999">
        <w:rPr>
          <w:rFonts w:eastAsia="Times New Roman" w:cs="Times New Roman"/>
          <w:szCs w:val="19"/>
          <w:lang w:val="en-GB" w:eastAsia="pl-PL"/>
        </w:rPr>
        <w:t xml:space="preserve"> </w:t>
      </w:r>
      <w:r w:rsidR="0070734E" w:rsidRPr="0070734E">
        <w:rPr>
          <w:rFonts w:eastAsia="Times New Roman" w:cs="Times New Roman"/>
          <w:szCs w:val="19"/>
          <w:lang w:val="en-GB" w:eastAsia="pl-PL"/>
        </w:rPr>
        <w:t xml:space="preserve">by </w:t>
      </w:r>
      <w:r w:rsidR="00A06793">
        <w:rPr>
          <w:rFonts w:eastAsia="Times New Roman" w:cs="Times New Roman"/>
          <w:szCs w:val="19"/>
          <w:lang w:val="en-GB" w:eastAsia="pl-PL"/>
        </w:rPr>
        <w:t>2</w:t>
      </w:r>
      <w:r w:rsidR="000B3999" w:rsidRPr="000B3999">
        <w:rPr>
          <w:rFonts w:eastAsia="Times New Roman" w:cs="Times New Roman"/>
          <w:szCs w:val="19"/>
          <w:lang w:val="en-GB" w:eastAsia="pl-PL"/>
        </w:rPr>
        <w:t>,</w:t>
      </w:r>
      <w:r w:rsidR="00A06793">
        <w:rPr>
          <w:rFonts w:eastAsia="Times New Roman" w:cs="Times New Roman"/>
          <w:szCs w:val="19"/>
          <w:lang w:val="en-GB" w:eastAsia="pl-PL"/>
        </w:rPr>
        <w:t>3</w:t>
      </w:r>
      <w:r w:rsidR="0070734E" w:rsidRPr="0070734E">
        <w:rPr>
          <w:rFonts w:eastAsia="Times New Roman" w:cs="Times New Roman"/>
          <w:szCs w:val="19"/>
          <w:lang w:val="en-GB" w:eastAsia="pl-PL"/>
        </w:rPr>
        <w:t>%</w:t>
      </w:r>
      <w:r w:rsidR="00F12C30">
        <w:rPr>
          <w:rFonts w:eastAsia="Times New Roman" w:cs="Times New Roman"/>
          <w:szCs w:val="19"/>
          <w:lang w:val="en-GB" w:eastAsia="pl-PL"/>
        </w:rPr>
        <w:t xml:space="preserve"> (increase by </w:t>
      </w:r>
      <w:r w:rsidR="00A06793">
        <w:rPr>
          <w:rFonts w:eastAsia="Times New Roman" w:cs="Times New Roman"/>
          <w:szCs w:val="19"/>
          <w:lang w:val="en-GB" w:eastAsia="pl-PL"/>
        </w:rPr>
        <w:t>13</w:t>
      </w:r>
      <w:r w:rsidR="00F12C30">
        <w:rPr>
          <w:rFonts w:eastAsia="Times New Roman" w:cs="Times New Roman"/>
          <w:szCs w:val="19"/>
          <w:lang w:val="en-GB" w:eastAsia="pl-PL"/>
        </w:rPr>
        <w:t xml:space="preserve"> thousand persons)</w:t>
      </w:r>
      <w:r w:rsidR="0070734E" w:rsidRPr="0070734E">
        <w:rPr>
          <w:rFonts w:eastAsia="Times New Roman" w:cs="Times New Roman"/>
          <w:szCs w:val="19"/>
          <w:lang w:val="en-GB" w:eastAsia="pl-PL"/>
        </w:rPr>
        <w:t xml:space="preserve">, </w:t>
      </w:r>
      <w:r w:rsidR="00A06793">
        <w:rPr>
          <w:rFonts w:eastAsia="Times New Roman" w:cs="Times New Roman"/>
          <w:szCs w:val="19"/>
          <w:lang w:val="en-GB" w:eastAsia="pl-PL"/>
        </w:rPr>
        <w:t>but</w:t>
      </w:r>
      <w:r w:rsidR="00774C83" w:rsidRPr="004A0FAC">
        <w:rPr>
          <w:rFonts w:eastAsia="Times New Roman" w:cs="Times New Roman"/>
          <w:szCs w:val="19"/>
          <w:lang w:val="en-GB" w:eastAsia="pl-PL"/>
        </w:rPr>
        <w:t xml:space="preserve"> </w:t>
      </w:r>
      <w:r w:rsidR="00A06793">
        <w:rPr>
          <w:rFonts w:eastAsia="Times New Roman" w:cs="Times New Roman"/>
          <w:szCs w:val="19"/>
          <w:lang w:val="en-GB" w:eastAsia="pl-PL"/>
        </w:rPr>
        <w:t>lower</w:t>
      </w:r>
      <w:r w:rsidR="00774C83" w:rsidRPr="004A0FAC">
        <w:rPr>
          <w:rFonts w:eastAsia="Times New Roman" w:cs="Times New Roman"/>
          <w:szCs w:val="19"/>
          <w:lang w:val="en-GB" w:eastAsia="pl-PL"/>
        </w:rPr>
        <w:t xml:space="preserve"> than in the f</w:t>
      </w:r>
      <w:r w:rsidR="00A06793">
        <w:rPr>
          <w:rFonts w:eastAsia="Times New Roman" w:cs="Times New Roman"/>
          <w:szCs w:val="19"/>
          <w:lang w:val="en-GB" w:eastAsia="pl-PL"/>
        </w:rPr>
        <w:t>irst</w:t>
      </w:r>
      <w:r w:rsidR="00774C83" w:rsidRPr="004A0FAC">
        <w:rPr>
          <w:rFonts w:eastAsia="Times New Roman" w:cs="Times New Roman"/>
          <w:szCs w:val="19"/>
          <w:lang w:val="en-GB" w:eastAsia="pl-PL"/>
        </w:rPr>
        <w:t xml:space="preserve"> quarter of 202</w:t>
      </w:r>
      <w:r w:rsidR="00A06793">
        <w:rPr>
          <w:rFonts w:eastAsia="Times New Roman" w:cs="Times New Roman"/>
          <w:szCs w:val="19"/>
          <w:lang w:val="en-GB" w:eastAsia="pl-PL"/>
        </w:rPr>
        <w:t>5</w:t>
      </w:r>
      <w:r w:rsidR="00951413">
        <w:rPr>
          <w:rFonts w:eastAsia="Times New Roman" w:cs="Times New Roman"/>
          <w:szCs w:val="19"/>
          <w:lang w:val="en-GB" w:eastAsia="pl-PL"/>
        </w:rPr>
        <w:t xml:space="preserve"> </w:t>
      </w:r>
      <w:r w:rsidR="00951413" w:rsidRPr="0070734E">
        <w:rPr>
          <w:rFonts w:eastAsia="Times New Roman" w:cs="Times New Roman"/>
          <w:szCs w:val="19"/>
          <w:lang w:val="en-GB" w:eastAsia="pl-PL"/>
        </w:rPr>
        <w:t>–</w:t>
      </w:r>
      <w:r w:rsidR="00951413">
        <w:rPr>
          <w:rFonts w:eastAsia="Times New Roman" w:cs="Times New Roman"/>
          <w:szCs w:val="19"/>
          <w:lang w:val="en-GB" w:eastAsia="pl-PL"/>
        </w:rPr>
        <w:t xml:space="preserve"> </w:t>
      </w:r>
      <w:r w:rsidR="00774C83" w:rsidRPr="004A0FAC">
        <w:rPr>
          <w:rFonts w:eastAsia="Times New Roman" w:cs="Times New Roman"/>
          <w:szCs w:val="19"/>
          <w:lang w:val="en-GB" w:eastAsia="pl-PL"/>
        </w:rPr>
        <w:t xml:space="preserve">by </w:t>
      </w:r>
      <w:r w:rsidR="00A06793">
        <w:rPr>
          <w:rFonts w:eastAsia="Times New Roman" w:cs="Times New Roman"/>
          <w:szCs w:val="19"/>
          <w:lang w:val="en-GB" w:eastAsia="pl-PL"/>
        </w:rPr>
        <w:t>3</w:t>
      </w:r>
      <w:r w:rsidR="00774C83" w:rsidRPr="004A0FAC">
        <w:rPr>
          <w:rFonts w:eastAsia="Times New Roman" w:cs="Times New Roman"/>
          <w:szCs w:val="19"/>
          <w:lang w:val="en-GB" w:eastAsia="pl-PL"/>
        </w:rPr>
        <w:t>.</w:t>
      </w:r>
      <w:r w:rsidR="00A06793">
        <w:rPr>
          <w:rFonts w:eastAsia="Times New Roman" w:cs="Times New Roman"/>
          <w:szCs w:val="19"/>
          <w:lang w:val="en-GB" w:eastAsia="pl-PL"/>
        </w:rPr>
        <w:t>3</w:t>
      </w:r>
      <w:r w:rsidR="00774C83" w:rsidRPr="004A0FAC">
        <w:rPr>
          <w:rFonts w:eastAsia="Times New Roman" w:cs="Times New Roman"/>
          <w:szCs w:val="19"/>
          <w:lang w:val="en-GB" w:eastAsia="pl-PL"/>
        </w:rPr>
        <w:t>%</w:t>
      </w:r>
      <w:r w:rsidR="00F12C30">
        <w:rPr>
          <w:rFonts w:eastAsia="Times New Roman" w:cs="Times New Roman"/>
          <w:szCs w:val="19"/>
          <w:lang w:val="en-GB" w:eastAsia="pl-PL"/>
        </w:rPr>
        <w:t xml:space="preserve"> (</w:t>
      </w:r>
      <w:r w:rsidR="00A06793">
        <w:rPr>
          <w:rFonts w:eastAsia="Times New Roman" w:cs="Times New Roman"/>
          <w:szCs w:val="19"/>
          <w:lang w:val="en-GB" w:eastAsia="pl-PL"/>
        </w:rPr>
        <w:t>de</w:t>
      </w:r>
      <w:r w:rsidR="00F12C30">
        <w:rPr>
          <w:rFonts w:eastAsia="Times New Roman" w:cs="Times New Roman"/>
          <w:szCs w:val="19"/>
          <w:lang w:val="en-GB" w:eastAsia="pl-PL"/>
        </w:rPr>
        <w:t xml:space="preserve">crease by </w:t>
      </w:r>
      <w:r w:rsidR="00A06793">
        <w:rPr>
          <w:rFonts w:eastAsia="Times New Roman" w:cs="Times New Roman"/>
          <w:szCs w:val="19"/>
          <w:lang w:val="en-GB" w:eastAsia="pl-PL"/>
        </w:rPr>
        <w:t>20</w:t>
      </w:r>
      <w:r w:rsidR="00F12C30">
        <w:rPr>
          <w:rFonts w:eastAsia="Times New Roman" w:cs="Times New Roman"/>
          <w:szCs w:val="19"/>
          <w:lang w:val="en-GB" w:eastAsia="pl-PL"/>
        </w:rPr>
        <w:t xml:space="preserve"> thousand)</w:t>
      </w:r>
      <w:r w:rsidR="00774C83" w:rsidRPr="004A0FAC">
        <w:rPr>
          <w:rFonts w:eastAsia="Times New Roman" w:cs="Times New Roman"/>
          <w:szCs w:val="19"/>
          <w:lang w:val="en-GB" w:eastAsia="pl-PL"/>
        </w:rPr>
        <w:t>.</w:t>
      </w:r>
    </w:p>
    <w:p w14:paraId="7AA1F6AF" w14:textId="0F4D0AC5" w:rsidR="00454BCD" w:rsidRDefault="00454BCD" w:rsidP="00DB3984">
      <w:pPr>
        <w:spacing w:line="288" w:lineRule="auto"/>
        <w:ind w:left="851" w:hanging="851"/>
        <w:rPr>
          <w:b/>
          <w:shd w:val="clear" w:color="auto" w:fill="FFFFFF"/>
          <w:lang w:val="en-GB"/>
        </w:rPr>
      </w:pPr>
      <w:r w:rsidRPr="0053285E">
        <w:rPr>
          <w:b/>
          <w:shd w:val="clear" w:color="auto" w:fill="FFFFFF"/>
          <w:lang w:val="en-GB"/>
        </w:rPr>
        <w:t xml:space="preserve">Chart </w:t>
      </w:r>
      <w:r w:rsidR="00C26B4A">
        <w:rPr>
          <w:b/>
          <w:shd w:val="clear" w:color="auto" w:fill="FFFFFF"/>
          <w:lang w:val="en-GB"/>
        </w:rPr>
        <w:t>6</w:t>
      </w:r>
      <w:r w:rsidRPr="0053285E">
        <w:rPr>
          <w:b/>
          <w:shd w:val="clear" w:color="auto" w:fill="FFFFFF"/>
          <w:lang w:val="en-GB"/>
        </w:rPr>
        <w:t>.</w:t>
      </w:r>
      <w:r w:rsidRPr="0053285E">
        <w:rPr>
          <w:b/>
          <w:shd w:val="clear" w:color="auto" w:fill="FFFFFF"/>
          <w:lang w:val="en-GB"/>
        </w:rPr>
        <w:tab/>
      </w:r>
      <w:r w:rsidRPr="00C04D84">
        <w:rPr>
          <w:b/>
          <w:shd w:val="clear" w:color="auto" w:fill="FFFFFF"/>
          <w:lang w:val="en-GB"/>
        </w:rPr>
        <w:t>Unemployed persons aged 15-74 and unemployment rate of persons aged 15-89</w:t>
      </w:r>
    </w:p>
    <w:p w14:paraId="48CBDB3C" w14:textId="48D04E2E" w:rsidR="00B55E7E" w:rsidRPr="00454BCD" w:rsidRDefault="00A06793" w:rsidP="00DB3984">
      <w:pPr>
        <w:spacing w:line="288" w:lineRule="auto"/>
        <w:ind w:left="851" w:hanging="851"/>
        <w:rPr>
          <w:b/>
          <w:shd w:val="clear" w:color="auto" w:fill="FFFFFF"/>
          <w:lang w:val="en-GB"/>
        </w:rPr>
      </w:pPr>
      <w:r>
        <w:rPr>
          <w:b/>
          <w:noProof/>
          <w:shd w:val="clear" w:color="auto" w:fill="FFFFFF"/>
          <w:lang w:val="en-GB"/>
        </w:rPr>
        <w:drawing>
          <wp:inline distT="0" distB="0" distL="0" distR="0" wp14:anchorId="0D7DB358" wp14:editId="0C48DB87">
            <wp:extent cx="4890052" cy="2356365"/>
            <wp:effectExtent l="0" t="0" r="6350" b="6350"/>
            <wp:docPr id="4" name="Obraz 4" descr="Chart 6. Unemployed persons aged 15-74 and unemployment rate of persons aged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2406" cy="2400868"/>
                    </a:xfrm>
                    <a:prstGeom prst="rect">
                      <a:avLst/>
                    </a:prstGeom>
                    <a:noFill/>
                  </pic:spPr>
                </pic:pic>
              </a:graphicData>
            </a:graphic>
          </wp:inline>
        </w:drawing>
      </w:r>
    </w:p>
    <w:p w14:paraId="32FFAF18" w14:textId="1633ABEF" w:rsidR="0035004B" w:rsidRDefault="00921904" w:rsidP="00C914ED">
      <w:pPr>
        <w:spacing w:before="0" w:line="288" w:lineRule="auto"/>
        <w:rPr>
          <w:rFonts w:eastAsia="Times New Roman" w:cs="Times New Roman"/>
          <w:szCs w:val="19"/>
          <w:lang w:val="en-GB" w:eastAsia="pl-PL"/>
        </w:rPr>
      </w:pPr>
      <w:r w:rsidRPr="00921904">
        <w:rPr>
          <w:rFonts w:eastAsia="Times New Roman" w:cs="Times New Roman"/>
          <w:szCs w:val="19"/>
          <w:lang w:val="en-GB" w:eastAsia="pl-PL"/>
        </w:rPr>
        <w:t xml:space="preserve">In the </w:t>
      </w:r>
      <w:r w:rsidR="00F559BD">
        <w:rPr>
          <w:rFonts w:eastAsia="Times New Roman" w:cs="Times New Roman"/>
          <w:szCs w:val="19"/>
          <w:lang w:val="en-GB" w:eastAsia="pl-PL"/>
        </w:rPr>
        <w:t>f</w:t>
      </w:r>
      <w:r w:rsidR="00C914ED">
        <w:rPr>
          <w:rFonts w:eastAsia="Times New Roman" w:cs="Times New Roman"/>
          <w:szCs w:val="19"/>
          <w:lang w:val="en-GB" w:eastAsia="pl-PL"/>
        </w:rPr>
        <w:t>irst</w:t>
      </w:r>
      <w:r w:rsidRPr="00921904">
        <w:rPr>
          <w:rFonts w:eastAsia="Times New Roman" w:cs="Times New Roman"/>
          <w:szCs w:val="19"/>
          <w:lang w:val="en-GB" w:eastAsia="pl-PL"/>
        </w:rPr>
        <w:t xml:space="preserve"> quarter of 202</w:t>
      </w:r>
      <w:r w:rsidR="00C914ED">
        <w:rPr>
          <w:rFonts w:eastAsia="Times New Roman" w:cs="Times New Roman"/>
          <w:szCs w:val="19"/>
          <w:lang w:val="en-GB" w:eastAsia="pl-PL"/>
        </w:rPr>
        <w:t>6</w:t>
      </w:r>
      <w:r w:rsidRPr="00921904">
        <w:rPr>
          <w:rFonts w:eastAsia="Times New Roman" w:cs="Times New Roman"/>
          <w:szCs w:val="19"/>
          <w:lang w:val="en-GB" w:eastAsia="pl-PL"/>
        </w:rPr>
        <w:t xml:space="preserve">, the population of unemployed </w:t>
      </w:r>
      <w:r w:rsidR="00D73411">
        <w:rPr>
          <w:rFonts w:eastAsia="Times New Roman" w:cs="Times New Roman"/>
          <w:szCs w:val="19"/>
          <w:lang w:val="en-GB" w:eastAsia="pl-PL"/>
        </w:rPr>
        <w:t>men</w:t>
      </w:r>
      <w:r w:rsidRPr="00921904">
        <w:rPr>
          <w:rFonts w:eastAsia="Times New Roman" w:cs="Times New Roman"/>
          <w:szCs w:val="19"/>
          <w:lang w:val="en-GB" w:eastAsia="pl-PL"/>
        </w:rPr>
        <w:t xml:space="preserve"> w</w:t>
      </w:r>
      <w:r w:rsidR="00F559BD">
        <w:rPr>
          <w:rFonts w:eastAsia="Times New Roman" w:cs="Times New Roman"/>
          <w:szCs w:val="19"/>
          <w:lang w:val="en-GB" w:eastAsia="pl-PL"/>
        </w:rPr>
        <w:t>as</w:t>
      </w:r>
      <w:r w:rsidRPr="00921904">
        <w:rPr>
          <w:rFonts w:eastAsia="Times New Roman" w:cs="Times New Roman"/>
          <w:szCs w:val="19"/>
          <w:lang w:val="en-GB" w:eastAsia="pl-PL"/>
        </w:rPr>
        <w:t xml:space="preserve"> </w:t>
      </w:r>
      <w:r w:rsidR="00276506">
        <w:rPr>
          <w:rFonts w:eastAsia="Times New Roman" w:cs="Times New Roman"/>
          <w:szCs w:val="19"/>
          <w:lang w:val="en-GB" w:eastAsia="pl-PL"/>
        </w:rPr>
        <w:t xml:space="preserve">slightly </w:t>
      </w:r>
      <w:r w:rsidR="003F7CC2">
        <w:rPr>
          <w:rFonts w:eastAsia="Times New Roman" w:cs="Times New Roman"/>
          <w:szCs w:val="19"/>
          <w:lang w:val="en-GB" w:eastAsia="pl-PL"/>
        </w:rPr>
        <w:t xml:space="preserve">higher than the </w:t>
      </w:r>
      <w:r w:rsidR="003F7CC2" w:rsidRPr="003F7CC2">
        <w:rPr>
          <w:rFonts w:eastAsia="Times New Roman" w:cs="Times New Roman"/>
          <w:szCs w:val="19"/>
          <w:lang w:val="en-GB" w:eastAsia="pl-PL"/>
        </w:rPr>
        <w:t xml:space="preserve">population of unemployed </w:t>
      </w:r>
      <w:r w:rsidR="00D73411">
        <w:rPr>
          <w:rFonts w:eastAsia="Times New Roman" w:cs="Times New Roman"/>
          <w:szCs w:val="19"/>
          <w:lang w:val="en-GB" w:eastAsia="pl-PL"/>
        </w:rPr>
        <w:t>women</w:t>
      </w:r>
      <w:r w:rsidRPr="00921904">
        <w:rPr>
          <w:rFonts w:eastAsia="Times New Roman" w:cs="Times New Roman"/>
          <w:szCs w:val="19"/>
          <w:lang w:val="en-GB" w:eastAsia="pl-PL"/>
        </w:rPr>
        <w:t xml:space="preserve"> (</w:t>
      </w:r>
      <w:r w:rsidR="00C914ED" w:rsidRPr="00C914ED">
        <w:rPr>
          <w:rFonts w:eastAsia="Times New Roman" w:cs="Times New Roman"/>
          <w:szCs w:val="19"/>
          <w:lang w:val="en-GB" w:eastAsia="pl-PL"/>
        </w:rPr>
        <w:t>298</w:t>
      </w:r>
      <w:r>
        <w:rPr>
          <w:rFonts w:eastAsia="Times New Roman" w:cs="Times New Roman"/>
          <w:szCs w:val="19"/>
          <w:lang w:val="en-GB" w:eastAsia="pl-PL"/>
        </w:rPr>
        <w:t xml:space="preserve"> thousand </w:t>
      </w:r>
      <w:r w:rsidRPr="00921904">
        <w:rPr>
          <w:rFonts w:eastAsia="Times New Roman" w:cs="Times New Roman"/>
          <w:szCs w:val="19"/>
          <w:lang w:val="en-GB" w:eastAsia="pl-PL"/>
        </w:rPr>
        <w:t xml:space="preserve">unemployed </w:t>
      </w:r>
      <w:r w:rsidR="00D73411">
        <w:rPr>
          <w:rFonts w:eastAsia="Times New Roman" w:cs="Times New Roman"/>
          <w:szCs w:val="19"/>
          <w:lang w:val="en-GB" w:eastAsia="pl-PL"/>
        </w:rPr>
        <w:t>men</w:t>
      </w:r>
      <w:r w:rsidRPr="00921904">
        <w:rPr>
          <w:rFonts w:eastAsia="Times New Roman" w:cs="Times New Roman"/>
          <w:szCs w:val="19"/>
          <w:lang w:val="en-GB" w:eastAsia="pl-PL"/>
        </w:rPr>
        <w:t xml:space="preserve"> </w:t>
      </w:r>
      <w:r w:rsidR="002150CE">
        <w:rPr>
          <w:rFonts w:eastAsia="Times New Roman" w:cs="Times New Roman"/>
          <w:szCs w:val="19"/>
          <w:lang w:val="en-GB" w:eastAsia="pl-PL"/>
        </w:rPr>
        <w:t>versus</w:t>
      </w:r>
      <w:r w:rsidRPr="00921904">
        <w:rPr>
          <w:rFonts w:eastAsia="Times New Roman" w:cs="Times New Roman"/>
          <w:szCs w:val="19"/>
          <w:lang w:val="en-GB" w:eastAsia="pl-PL"/>
        </w:rPr>
        <w:t xml:space="preserve"> </w:t>
      </w:r>
      <w:r w:rsidR="003F7CC2" w:rsidRPr="00276506">
        <w:rPr>
          <w:rFonts w:eastAsia="Times New Roman" w:cs="Times New Roman"/>
          <w:szCs w:val="19"/>
          <w:lang w:val="en-GB" w:eastAsia="pl-PL"/>
        </w:rPr>
        <w:t>2</w:t>
      </w:r>
      <w:r w:rsidR="00276506" w:rsidRPr="00276506">
        <w:rPr>
          <w:rFonts w:eastAsia="Times New Roman" w:cs="Times New Roman"/>
          <w:szCs w:val="19"/>
          <w:lang w:val="en-GB" w:eastAsia="pl-PL"/>
        </w:rPr>
        <w:t>82</w:t>
      </w:r>
      <w:r>
        <w:rPr>
          <w:rFonts w:eastAsia="Times New Roman" w:cs="Times New Roman"/>
          <w:szCs w:val="19"/>
          <w:lang w:val="en-GB" w:eastAsia="pl-PL"/>
        </w:rPr>
        <w:t xml:space="preserve"> thousand</w:t>
      </w:r>
      <w:r w:rsidRPr="00921904">
        <w:rPr>
          <w:rFonts w:eastAsia="Times New Roman" w:cs="Times New Roman"/>
          <w:szCs w:val="19"/>
          <w:lang w:val="en-GB" w:eastAsia="pl-PL"/>
        </w:rPr>
        <w:t xml:space="preserve"> unemployed </w:t>
      </w:r>
      <w:r w:rsidR="00D73411">
        <w:rPr>
          <w:rFonts w:eastAsia="Times New Roman" w:cs="Times New Roman"/>
          <w:szCs w:val="19"/>
          <w:lang w:val="en-GB" w:eastAsia="pl-PL"/>
        </w:rPr>
        <w:t>women</w:t>
      </w:r>
      <w:r w:rsidRPr="00921904">
        <w:rPr>
          <w:rFonts w:eastAsia="Times New Roman" w:cs="Times New Roman"/>
          <w:szCs w:val="19"/>
          <w:lang w:val="en-GB" w:eastAsia="pl-PL"/>
        </w:rPr>
        <w:t>).</w:t>
      </w:r>
      <w:r>
        <w:rPr>
          <w:rFonts w:eastAsia="Times New Roman" w:cs="Times New Roman"/>
          <w:szCs w:val="19"/>
          <w:lang w:val="en-GB" w:eastAsia="pl-PL"/>
        </w:rPr>
        <w:t xml:space="preserve"> </w:t>
      </w:r>
      <w:r w:rsidR="002150CE">
        <w:rPr>
          <w:rFonts w:eastAsia="Times New Roman" w:cs="Times New Roman"/>
          <w:szCs w:val="19"/>
          <w:lang w:val="en-GB" w:eastAsia="pl-PL"/>
        </w:rPr>
        <w:t xml:space="preserve">The </w:t>
      </w:r>
      <w:r w:rsidR="00EE06FD">
        <w:rPr>
          <w:rFonts w:eastAsia="Times New Roman" w:cs="Times New Roman"/>
          <w:szCs w:val="19"/>
          <w:lang w:val="en-GB" w:eastAsia="pl-PL"/>
        </w:rPr>
        <w:t>number</w:t>
      </w:r>
      <w:r w:rsidR="002150CE">
        <w:rPr>
          <w:rFonts w:eastAsia="Times New Roman" w:cs="Times New Roman"/>
          <w:szCs w:val="19"/>
          <w:lang w:val="en-GB" w:eastAsia="pl-PL"/>
        </w:rPr>
        <w:t xml:space="preserve"> of unemployed persons living in </w:t>
      </w:r>
      <w:r w:rsidR="0035004B" w:rsidRPr="00693943">
        <w:rPr>
          <w:rFonts w:eastAsia="Times New Roman" w:cs="Times New Roman"/>
          <w:szCs w:val="19"/>
          <w:lang w:val="en-GB" w:eastAsia="pl-PL"/>
        </w:rPr>
        <w:t xml:space="preserve">urban </w:t>
      </w:r>
      <w:r w:rsidR="002150CE">
        <w:rPr>
          <w:rFonts w:eastAsia="Times New Roman" w:cs="Times New Roman"/>
          <w:szCs w:val="19"/>
          <w:lang w:val="en-GB" w:eastAsia="pl-PL"/>
        </w:rPr>
        <w:t>areas</w:t>
      </w:r>
      <w:r w:rsidR="0035004B" w:rsidRPr="00693943">
        <w:rPr>
          <w:rFonts w:eastAsia="Times New Roman" w:cs="Times New Roman"/>
          <w:szCs w:val="19"/>
          <w:lang w:val="en-GB" w:eastAsia="pl-PL"/>
        </w:rPr>
        <w:t xml:space="preserve"> </w:t>
      </w:r>
      <w:r w:rsidR="002150CE">
        <w:rPr>
          <w:rFonts w:eastAsia="Times New Roman" w:cs="Times New Roman"/>
          <w:szCs w:val="19"/>
          <w:lang w:val="en-GB" w:eastAsia="pl-PL"/>
        </w:rPr>
        <w:t>was</w:t>
      </w:r>
      <w:r w:rsidR="0035004B">
        <w:rPr>
          <w:rFonts w:eastAsia="Times New Roman" w:cs="Times New Roman"/>
          <w:szCs w:val="19"/>
          <w:lang w:val="en-GB" w:eastAsia="pl-PL"/>
        </w:rPr>
        <w:t xml:space="preserve"> </w:t>
      </w:r>
      <w:r w:rsidR="00C914ED" w:rsidRPr="00C914ED">
        <w:rPr>
          <w:rFonts w:eastAsia="Times New Roman" w:cs="Times New Roman"/>
          <w:szCs w:val="19"/>
          <w:lang w:val="en-GB" w:eastAsia="pl-PL"/>
        </w:rPr>
        <w:t>318</w:t>
      </w:r>
      <w:r w:rsidR="00283C00">
        <w:rPr>
          <w:rFonts w:eastAsia="Times New Roman" w:cs="Times New Roman"/>
          <w:szCs w:val="19"/>
          <w:lang w:val="en-GB" w:eastAsia="pl-PL"/>
        </w:rPr>
        <w:t> </w:t>
      </w:r>
      <w:r w:rsidR="00EE06FD">
        <w:rPr>
          <w:rFonts w:eastAsia="Times New Roman" w:cs="Times New Roman"/>
          <w:szCs w:val="19"/>
          <w:lang w:val="en-GB" w:eastAsia="pl-PL"/>
        </w:rPr>
        <w:t>thousand</w:t>
      </w:r>
      <w:r w:rsidR="0035004B" w:rsidRPr="00693943">
        <w:rPr>
          <w:rFonts w:eastAsia="Times New Roman" w:cs="Times New Roman"/>
          <w:szCs w:val="19"/>
          <w:lang w:val="en-GB" w:eastAsia="pl-PL"/>
        </w:rPr>
        <w:t xml:space="preserve"> </w:t>
      </w:r>
      <w:r w:rsidR="00EE06FD">
        <w:rPr>
          <w:rFonts w:eastAsia="Times New Roman" w:cs="Times New Roman"/>
          <w:szCs w:val="19"/>
          <w:lang w:val="en-GB" w:eastAsia="pl-PL"/>
        </w:rPr>
        <w:t xml:space="preserve">and in rural areas </w:t>
      </w:r>
      <w:r w:rsidR="00C914ED" w:rsidRPr="00C914ED">
        <w:rPr>
          <w:rFonts w:eastAsia="Times New Roman" w:cs="Times New Roman"/>
          <w:szCs w:val="19"/>
          <w:lang w:val="en-GB" w:eastAsia="pl-PL"/>
        </w:rPr>
        <w:t>261</w:t>
      </w:r>
      <w:r w:rsidR="00EE06FD">
        <w:rPr>
          <w:rFonts w:eastAsia="Times New Roman" w:cs="Times New Roman"/>
          <w:szCs w:val="19"/>
          <w:lang w:val="en-GB" w:eastAsia="pl-PL"/>
        </w:rPr>
        <w:t xml:space="preserve"> thousand</w:t>
      </w:r>
      <w:r w:rsidR="00C31205">
        <w:rPr>
          <w:rFonts w:eastAsia="Times New Roman" w:cs="Times New Roman"/>
          <w:szCs w:val="19"/>
          <w:lang w:val="en-GB" w:eastAsia="pl-PL"/>
        </w:rPr>
        <w:t>.</w:t>
      </w:r>
    </w:p>
    <w:p w14:paraId="24272A23" w14:textId="0D885191" w:rsidR="00E0790B" w:rsidRPr="00E0790B" w:rsidRDefault="0086085F" w:rsidP="00C914ED">
      <w:pPr>
        <w:spacing w:line="288" w:lineRule="auto"/>
        <w:rPr>
          <w:rFonts w:eastAsia="Times New Roman" w:cs="Times New Roman"/>
          <w:szCs w:val="19"/>
          <w:lang w:val="en-GB" w:eastAsia="pl-PL"/>
        </w:rPr>
      </w:pPr>
      <w:r w:rsidRPr="0086085F">
        <w:rPr>
          <w:rFonts w:eastAsia="Times New Roman" w:cs="Times New Roman"/>
          <w:szCs w:val="19"/>
          <w:lang w:val="en-GB" w:eastAsia="pl-PL"/>
        </w:rPr>
        <w:t>Chart 7 presents the directions and magnitude of changes in the unemployed p</w:t>
      </w:r>
      <w:r>
        <w:rPr>
          <w:rFonts w:eastAsia="Times New Roman" w:cs="Times New Roman"/>
          <w:szCs w:val="19"/>
          <w:lang w:val="en-GB" w:eastAsia="pl-PL"/>
        </w:rPr>
        <w:t>ersons</w:t>
      </w:r>
      <w:r w:rsidR="0094082E">
        <w:rPr>
          <w:rFonts w:eastAsia="Times New Roman" w:cs="Times New Roman"/>
          <w:szCs w:val="19"/>
          <w:lang w:val="en-GB" w:eastAsia="pl-PL"/>
        </w:rPr>
        <w:t xml:space="preserve"> population</w:t>
      </w:r>
      <w:r w:rsidRPr="0086085F">
        <w:rPr>
          <w:rFonts w:eastAsia="Times New Roman" w:cs="Times New Roman"/>
          <w:szCs w:val="19"/>
          <w:lang w:val="en-GB" w:eastAsia="pl-PL"/>
        </w:rPr>
        <w:t xml:space="preserve"> depending on </w:t>
      </w:r>
      <w:r w:rsidR="00004BE2">
        <w:rPr>
          <w:rFonts w:eastAsia="Times New Roman" w:cs="Times New Roman"/>
          <w:szCs w:val="19"/>
          <w:lang w:val="en-GB" w:eastAsia="pl-PL"/>
        </w:rPr>
        <w:t>sex</w:t>
      </w:r>
      <w:r w:rsidRPr="0086085F">
        <w:rPr>
          <w:rFonts w:eastAsia="Times New Roman" w:cs="Times New Roman"/>
          <w:szCs w:val="19"/>
          <w:lang w:val="en-GB" w:eastAsia="pl-PL"/>
        </w:rPr>
        <w:t xml:space="preserve"> and place of residence.</w:t>
      </w:r>
    </w:p>
    <w:p w14:paraId="5C191709" w14:textId="0ACB0D39" w:rsidR="002D15CF" w:rsidRDefault="002D15CF" w:rsidP="00C914ED">
      <w:pPr>
        <w:spacing w:before="0" w:line="288" w:lineRule="auto"/>
        <w:ind w:left="851" w:hanging="851"/>
        <w:rPr>
          <w:b/>
          <w:shd w:val="clear" w:color="auto" w:fill="FFFFFF"/>
          <w:lang w:val="en-GB"/>
        </w:rPr>
      </w:pPr>
      <w:r w:rsidRPr="00117CD0">
        <w:rPr>
          <w:b/>
          <w:shd w:val="clear" w:color="auto" w:fill="FFFFFF"/>
          <w:lang w:val="en-GB"/>
        </w:rPr>
        <w:t>Chart 7.</w:t>
      </w:r>
      <w:r w:rsidR="00DB3984" w:rsidRPr="00117CD0">
        <w:rPr>
          <w:b/>
          <w:shd w:val="clear" w:color="auto" w:fill="FFFFFF"/>
          <w:lang w:val="en-GB"/>
        </w:rPr>
        <w:tab/>
      </w:r>
      <w:r w:rsidRPr="00117CD0">
        <w:rPr>
          <w:b/>
          <w:shd w:val="clear" w:color="auto" w:fill="FFFFFF"/>
          <w:lang w:val="en-GB"/>
        </w:rPr>
        <w:t>Changes</w:t>
      </w:r>
      <w:r w:rsidRPr="002D15CF">
        <w:rPr>
          <w:b/>
          <w:shd w:val="clear" w:color="auto" w:fill="FFFFFF"/>
          <w:lang w:val="en-GB"/>
        </w:rPr>
        <w:t xml:space="preserve"> in the number of unemployed persons aged 15-74 between the </w:t>
      </w:r>
      <w:r w:rsidR="00C914ED">
        <w:rPr>
          <w:b/>
          <w:shd w:val="clear" w:color="auto" w:fill="FFFFFF"/>
          <w:lang w:val="en-GB"/>
        </w:rPr>
        <w:t>1</w:t>
      </w:r>
      <w:r w:rsidR="00C914ED">
        <w:rPr>
          <w:b/>
          <w:shd w:val="clear" w:color="auto" w:fill="FFFFFF"/>
          <w:vertAlign w:val="superscript"/>
          <w:lang w:val="en-GB"/>
        </w:rPr>
        <w:t>st</w:t>
      </w:r>
      <w:r w:rsidR="003A6AB6">
        <w:rPr>
          <w:b/>
          <w:shd w:val="clear" w:color="auto" w:fill="FFFFFF"/>
          <w:lang w:val="en-GB"/>
        </w:rPr>
        <w:t xml:space="preserve"> quarter of 202</w:t>
      </w:r>
      <w:r w:rsidR="00C914ED">
        <w:rPr>
          <w:b/>
          <w:shd w:val="clear" w:color="auto" w:fill="FFFFFF"/>
          <w:lang w:val="en-GB"/>
        </w:rPr>
        <w:t>6</w:t>
      </w:r>
      <w:r w:rsidR="003A6AB6">
        <w:rPr>
          <w:b/>
          <w:shd w:val="clear" w:color="auto" w:fill="FFFFFF"/>
          <w:lang w:val="en-GB"/>
        </w:rPr>
        <w:t xml:space="preserve"> and the </w:t>
      </w:r>
      <w:r w:rsidR="00C914ED">
        <w:rPr>
          <w:b/>
          <w:shd w:val="clear" w:color="auto" w:fill="FFFFFF"/>
          <w:lang w:val="en-GB"/>
        </w:rPr>
        <w:t>4</w:t>
      </w:r>
      <w:r w:rsidR="00C914ED">
        <w:rPr>
          <w:b/>
          <w:shd w:val="clear" w:color="auto" w:fill="FFFFFF"/>
          <w:vertAlign w:val="superscript"/>
          <w:lang w:val="en-GB"/>
        </w:rPr>
        <w:t>th</w:t>
      </w:r>
      <w:r w:rsidR="003A6AB6">
        <w:rPr>
          <w:b/>
          <w:shd w:val="clear" w:color="auto" w:fill="FFFFFF"/>
          <w:lang w:val="en-GB"/>
        </w:rPr>
        <w:t xml:space="preserve"> </w:t>
      </w:r>
      <w:r w:rsidRPr="002D15CF">
        <w:rPr>
          <w:b/>
          <w:shd w:val="clear" w:color="auto" w:fill="FFFFFF"/>
          <w:lang w:val="en-GB"/>
        </w:rPr>
        <w:t xml:space="preserve">quarter of 2025 </w:t>
      </w:r>
      <w:r w:rsidRPr="00D86CEC">
        <w:rPr>
          <w:b/>
          <w:shd w:val="clear" w:color="auto" w:fill="FFFFFF"/>
          <w:lang w:val="en-GB"/>
        </w:rPr>
        <w:t>a</w:t>
      </w:r>
      <w:r w:rsidR="00D86CEC">
        <w:rPr>
          <w:b/>
          <w:shd w:val="clear" w:color="auto" w:fill="FFFFFF"/>
          <w:lang w:val="en-GB"/>
        </w:rPr>
        <w:t>s well as</w:t>
      </w:r>
      <w:r w:rsidRPr="002D15CF">
        <w:rPr>
          <w:b/>
          <w:shd w:val="clear" w:color="auto" w:fill="FFFFFF"/>
          <w:lang w:val="en-GB"/>
        </w:rPr>
        <w:t xml:space="preserve"> the </w:t>
      </w:r>
      <w:r w:rsidR="00C914ED">
        <w:rPr>
          <w:b/>
          <w:shd w:val="clear" w:color="auto" w:fill="FFFFFF"/>
          <w:lang w:val="en-GB"/>
        </w:rPr>
        <w:t>1</w:t>
      </w:r>
      <w:r w:rsidR="00C914ED">
        <w:rPr>
          <w:b/>
          <w:shd w:val="clear" w:color="auto" w:fill="FFFFFF"/>
          <w:vertAlign w:val="superscript"/>
          <w:lang w:val="en-GB"/>
        </w:rPr>
        <w:t>st</w:t>
      </w:r>
      <w:r w:rsidR="003A6AB6">
        <w:rPr>
          <w:b/>
          <w:shd w:val="clear" w:color="auto" w:fill="FFFFFF"/>
          <w:lang w:val="en-GB"/>
        </w:rPr>
        <w:t xml:space="preserve"> </w:t>
      </w:r>
      <w:r w:rsidRPr="002D15CF">
        <w:rPr>
          <w:b/>
          <w:shd w:val="clear" w:color="auto" w:fill="FFFFFF"/>
          <w:lang w:val="en-GB"/>
        </w:rPr>
        <w:t>quarter of 202</w:t>
      </w:r>
      <w:r w:rsidR="00C914ED">
        <w:rPr>
          <w:b/>
          <w:shd w:val="clear" w:color="auto" w:fill="FFFFFF"/>
          <w:lang w:val="en-GB"/>
        </w:rPr>
        <w:t>5</w:t>
      </w:r>
    </w:p>
    <w:p w14:paraId="10C32C0E" w14:textId="40F3C22C" w:rsidR="0067289A" w:rsidRDefault="004D5B83" w:rsidP="004D5B83">
      <w:pPr>
        <w:spacing w:after="0" w:line="288" w:lineRule="auto"/>
        <w:ind w:left="851" w:hanging="851"/>
        <w:rPr>
          <w:b/>
          <w:shd w:val="clear" w:color="auto" w:fill="FFFFFF"/>
          <w:lang w:val="en-GB"/>
        </w:rPr>
      </w:pPr>
      <w:r>
        <w:rPr>
          <w:b/>
          <w:noProof/>
          <w:shd w:val="clear" w:color="auto" w:fill="FFFFFF"/>
          <w:lang w:val="en-GB"/>
        </w:rPr>
        <w:drawing>
          <wp:inline distT="0" distB="0" distL="0" distR="0" wp14:anchorId="1A3F6521" wp14:editId="4C8F33EA">
            <wp:extent cx="4715123" cy="1952104"/>
            <wp:effectExtent l="0" t="0" r="0" b="0"/>
            <wp:docPr id="45" name="Obraz 45" descr="Chart 7. Changes in the number of unemployed persons aged 15-74 between the first quarter of 2026 and the fourth quarter of 2025 as well as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7801" cy="2027734"/>
                    </a:xfrm>
                    <a:prstGeom prst="rect">
                      <a:avLst/>
                    </a:prstGeom>
                    <a:noFill/>
                  </pic:spPr>
                </pic:pic>
              </a:graphicData>
            </a:graphic>
          </wp:inline>
        </w:drawing>
      </w:r>
    </w:p>
    <w:p w14:paraId="42885FA0" w14:textId="6C1708AB" w:rsidR="0046363E" w:rsidRDefault="00880B4F" w:rsidP="00852523">
      <w:pPr>
        <w:spacing w:before="240" w:line="288" w:lineRule="auto"/>
        <w:rPr>
          <w:rFonts w:eastAsia="Times New Roman" w:cs="Times New Roman"/>
          <w:szCs w:val="19"/>
          <w:lang w:val="en-GB" w:eastAsia="pl-PL"/>
        </w:rPr>
      </w:pPr>
      <w:r w:rsidRPr="00880B4F">
        <w:rPr>
          <w:rFonts w:eastAsia="Times New Roman" w:cs="Times New Roman"/>
          <w:szCs w:val="19"/>
          <w:lang w:val="en-GB" w:eastAsia="pl-PL"/>
        </w:rPr>
        <w:lastRenderedPageBreak/>
        <w:t xml:space="preserve">In the </w:t>
      </w:r>
      <w:r w:rsidR="00F559BD">
        <w:rPr>
          <w:rFonts w:eastAsia="Times New Roman" w:cs="Times New Roman"/>
          <w:szCs w:val="19"/>
          <w:lang w:val="en-GB" w:eastAsia="pl-PL"/>
        </w:rPr>
        <w:t>f</w:t>
      </w:r>
      <w:r w:rsidR="002B0750">
        <w:rPr>
          <w:rFonts w:eastAsia="Times New Roman" w:cs="Times New Roman"/>
          <w:szCs w:val="19"/>
          <w:lang w:val="en-GB" w:eastAsia="pl-PL"/>
        </w:rPr>
        <w:t>irst</w:t>
      </w:r>
      <w:r w:rsidR="005728D7" w:rsidRPr="00880B4F">
        <w:rPr>
          <w:rFonts w:eastAsia="Times New Roman" w:cs="Times New Roman"/>
          <w:szCs w:val="19"/>
          <w:lang w:val="en-GB" w:eastAsia="pl-PL"/>
        </w:rPr>
        <w:t xml:space="preserve"> </w:t>
      </w:r>
      <w:r w:rsidRPr="00880B4F">
        <w:rPr>
          <w:rFonts w:eastAsia="Times New Roman" w:cs="Times New Roman"/>
          <w:szCs w:val="19"/>
          <w:lang w:val="en-GB" w:eastAsia="pl-PL"/>
        </w:rPr>
        <w:t>quarter of 202</w:t>
      </w:r>
      <w:r w:rsidR="002B0750">
        <w:rPr>
          <w:rFonts w:eastAsia="Times New Roman" w:cs="Times New Roman"/>
          <w:szCs w:val="19"/>
          <w:lang w:val="en-GB" w:eastAsia="pl-PL"/>
        </w:rPr>
        <w:t>6</w:t>
      </w:r>
      <w:r w:rsidRPr="00880B4F">
        <w:rPr>
          <w:rFonts w:eastAsia="Times New Roman" w:cs="Times New Roman"/>
          <w:szCs w:val="19"/>
          <w:lang w:val="en-GB" w:eastAsia="pl-PL"/>
        </w:rPr>
        <w:t xml:space="preserve">, </w:t>
      </w:r>
      <w:r w:rsidRPr="00352C29">
        <w:rPr>
          <w:rFonts w:eastAsia="Times New Roman" w:cs="Times New Roman"/>
          <w:szCs w:val="19"/>
          <w:lang w:val="en-GB" w:eastAsia="pl-PL"/>
        </w:rPr>
        <w:t xml:space="preserve">the unemployment rate </w:t>
      </w:r>
      <w:r w:rsidR="008106A2" w:rsidRPr="00352C29">
        <w:rPr>
          <w:rFonts w:eastAsia="Times New Roman" w:cs="Times New Roman"/>
          <w:szCs w:val="19"/>
          <w:lang w:val="en-GB" w:eastAsia="pl-PL"/>
        </w:rPr>
        <w:t>according</w:t>
      </w:r>
      <w:r w:rsidR="008106A2">
        <w:rPr>
          <w:rFonts w:eastAsia="Times New Roman" w:cs="Times New Roman"/>
          <w:szCs w:val="19"/>
          <w:lang w:val="en-GB" w:eastAsia="pl-PL"/>
        </w:rPr>
        <w:t xml:space="preserve"> to the </w:t>
      </w:r>
      <w:r w:rsidR="0094082E">
        <w:rPr>
          <w:rFonts w:eastAsia="Times New Roman" w:cs="Times New Roman"/>
          <w:szCs w:val="19"/>
          <w:lang w:val="en-GB" w:eastAsia="pl-PL"/>
        </w:rPr>
        <w:t xml:space="preserve">LFS </w:t>
      </w:r>
      <w:r>
        <w:rPr>
          <w:rFonts w:eastAsia="Times New Roman" w:cs="Times New Roman"/>
          <w:szCs w:val="19"/>
          <w:lang w:val="en-GB" w:eastAsia="pl-PL"/>
        </w:rPr>
        <w:t xml:space="preserve">amounted </w:t>
      </w:r>
      <w:r w:rsidRPr="00276506">
        <w:rPr>
          <w:rFonts w:eastAsia="Times New Roman" w:cs="Times New Roman"/>
          <w:szCs w:val="19"/>
          <w:lang w:val="en-GB" w:eastAsia="pl-PL"/>
        </w:rPr>
        <w:t xml:space="preserve">to </w:t>
      </w:r>
      <w:r w:rsidR="008844C2" w:rsidRPr="00276506">
        <w:rPr>
          <w:rFonts w:eastAsia="Times New Roman" w:cs="Times New Roman"/>
          <w:szCs w:val="19"/>
          <w:lang w:val="en-GB" w:eastAsia="pl-PL"/>
        </w:rPr>
        <w:t>3</w:t>
      </w:r>
      <w:r w:rsidR="005728D7" w:rsidRPr="00276506">
        <w:rPr>
          <w:rFonts w:eastAsia="Times New Roman" w:cs="Times New Roman"/>
          <w:szCs w:val="19"/>
          <w:lang w:val="en-GB" w:eastAsia="pl-PL"/>
        </w:rPr>
        <w:t>.</w:t>
      </w:r>
      <w:r w:rsidR="002B0750">
        <w:rPr>
          <w:rFonts w:eastAsia="Times New Roman" w:cs="Times New Roman"/>
          <w:szCs w:val="19"/>
          <w:lang w:val="en-GB" w:eastAsia="pl-PL"/>
        </w:rPr>
        <w:t>3</w:t>
      </w:r>
      <w:r w:rsidRPr="00880B4F">
        <w:rPr>
          <w:rFonts w:eastAsia="Times New Roman" w:cs="Times New Roman"/>
          <w:szCs w:val="19"/>
          <w:lang w:val="en-GB" w:eastAsia="pl-PL"/>
        </w:rPr>
        <w:t xml:space="preserve">% </w:t>
      </w:r>
      <w:r>
        <w:rPr>
          <w:rFonts w:eastAsia="Times New Roman" w:cs="Times New Roman"/>
          <w:szCs w:val="19"/>
          <w:lang w:val="en-GB" w:eastAsia="pl-PL"/>
        </w:rPr>
        <w:t xml:space="preserve">and </w:t>
      </w:r>
      <w:r w:rsidR="00352C29" w:rsidRPr="00276506">
        <w:rPr>
          <w:rFonts w:eastAsia="Times New Roman" w:cs="Times New Roman"/>
          <w:szCs w:val="19"/>
          <w:lang w:val="en-GB" w:eastAsia="pl-PL"/>
        </w:rPr>
        <w:t xml:space="preserve">was </w:t>
      </w:r>
      <w:r w:rsidR="00F12C30">
        <w:rPr>
          <w:rFonts w:eastAsia="Times New Roman" w:cs="Times New Roman"/>
          <w:szCs w:val="19"/>
          <w:lang w:val="en-GB" w:eastAsia="pl-PL"/>
        </w:rPr>
        <w:t xml:space="preserve">slightly </w:t>
      </w:r>
      <w:r w:rsidR="008844C2" w:rsidRPr="00276506">
        <w:rPr>
          <w:rFonts w:eastAsia="Times New Roman" w:cs="Times New Roman"/>
          <w:szCs w:val="19"/>
          <w:lang w:val="en-GB" w:eastAsia="pl-PL"/>
        </w:rPr>
        <w:t>higher</w:t>
      </w:r>
      <w:r w:rsidR="00352C29" w:rsidRPr="00276506">
        <w:rPr>
          <w:rFonts w:eastAsia="Times New Roman" w:cs="Times New Roman"/>
          <w:szCs w:val="19"/>
          <w:lang w:val="en-GB" w:eastAsia="pl-PL"/>
        </w:rPr>
        <w:t xml:space="preserve"> than </w:t>
      </w:r>
      <w:r w:rsidR="00352C29">
        <w:rPr>
          <w:rFonts w:eastAsia="Times New Roman" w:cs="Times New Roman"/>
          <w:szCs w:val="19"/>
          <w:lang w:val="en-GB" w:eastAsia="pl-PL"/>
        </w:rPr>
        <w:t>not</w:t>
      </w:r>
      <w:r w:rsidR="00352C29" w:rsidRPr="00352C29">
        <w:rPr>
          <w:rFonts w:eastAsia="Times New Roman" w:cs="Times New Roman"/>
          <w:szCs w:val="19"/>
          <w:lang w:val="en-GB" w:eastAsia="pl-PL"/>
        </w:rPr>
        <w:t xml:space="preserve">ed in the </w:t>
      </w:r>
      <w:r w:rsidR="002B0750">
        <w:rPr>
          <w:rFonts w:eastAsia="Times New Roman" w:cs="Times New Roman"/>
          <w:szCs w:val="19"/>
          <w:lang w:val="en-GB" w:eastAsia="pl-PL"/>
        </w:rPr>
        <w:t>fourth</w:t>
      </w:r>
      <w:r w:rsidR="00352C29" w:rsidRPr="00352C29">
        <w:rPr>
          <w:rFonts w:eastAsia="Times New Roman" w:cs="Times New Roman"/>
          <w:szCs w:val="19"/>
          <w:lang w:val="en-GB" w:eastAsia="pl-PL"/>
        </w:rPr>
        <w:t xml:space="preserve"> quarter of </w:t>
      </w:r>
      <w:r w:rsidR="00352C29" w:rsidRPr="00276506">
        <w:rPr>
          <w:rFonts w:eastAsia="Times New Roman" w:cs="Times New Roman"/>
          <w:szCs w:val="19"/>
          <w:lang w:val="en-GB" w:eastAsia="pl-PL"/>
        </w:rPr>
        <w:t>2025 (by 0.</w:t>
      </w:r>
      <w:r w:rsidR="00276506" w:rsidRPr="00276506">
        <w:rPr>
          <w:rFonts w:eastAsia="Times New Roman" w:cs="Times New Roman"/>
          <w:szCs w:val="19"/>
          <w:lang w:val="en-GB" w:eastAsia="pl-PL"/>
        </w:rPr>
        <w:t>1</w:t>
      </w:r>
      <w:r w:rsidR="00352C29" w:rsidRPr="00276506">
        <w:rPr>
          <w:rFonts w:eastAsia="Times New Roman" w:cs="Times New Roman"/>
          <w:szCs w:val="19"/>
          <w:lang w:val="en-GB" w:eastAsia="pl-PL"/>
        </w:rPr>
        <w:t xml:space="preserve"> pp</w:t>
      </w:r>
      <w:r w:rsidR="00352C29">
        <w:rPr>
          <w:rFonts w:eastAsia="Times New Roman" w:cs="Times New Roman"/>
          <w:szCs w:val="19"/>
          <w:lang w:val="en-GB" w:eastAsia="pl-PL"/>
        </w:rPr>
        <w:t>.</w:t>
      </w:r>
      <w:r w:rsidR="00352C29" w:rsidRPr="00352C29">
        <w:rPr>
          <w:rFonts w:eastAsia="Times New Roman" w:cs="Times New Roman"/>
          <w:szCs w:val="19"/>
          <w:lang w:val="en-GB" w:eastAsia="pl-PL"/>
        </w:rPr>
        <w:t xml:space="preserve">), </w:t>
      </w:r>
      <w:r w:rsidR="008844C2">
        <w:rPr>
          <w:rFonts w:eastAsia="Times New Roman" w:cs="Times New Roman"/>
          <w:szCs w:val="19"/>
          <w:lang w:val="en-GB" w:eastAsia="pl-PL"/>
        </w:rPr>
        <w:t>and</w:t>
      </w:r>
      <w:r w:rsidR="00352C29" w:rsidRPr="00352C29">
        <w:rPr>
          <w:rFonts w:eastAsia="Times New Roman" w:cs="Times New Roman"/>
          <w:szCs w:val="19"/>
          <w:lang w:val="en-GB" w:eastAsia="pl-PL"/>
        </w:rPr>
        <w:t xml:space="preserve"> </w:t>
      </w:r>
      <w:r w:rsidR="002F54C6">
        <w:rPr>
          <w:rFonts w:eastAsia="Times New Roman" w:cs="Times New Roman"/>
          <w:szCs w:val="19"/>
          <w:lang w:val="en-GB" w:eastAsia="pl-PL"/>
        </w:rPr>
        <w:t xml:space="preserve">slightly </w:t>
      </w:r>
      <w:r w:rsidR="002B0750">
        <w:rPr>
          <w:rFonts w:eastAsia="Times New Roman" w:cs="Times New Roman"/>
          <w:szCs w:val="19"/>
          <w:lang w:val="en-GB" w:eastAsia="pl-PL"/>
        </w:rPr>
        <w:t>lower</w:t>
      </w:r>
      <w:r w:rsidR="002F54C6">
        <w:rPr>
          <w:rFonts w:eastAsia="Times New Roman" w:cs="Times New Roman"/>
          <w:szCs w:val="19"/>
          <w:lang w:val="en-GB" w:eastAsia="pl-PL"/>
        </w:rPr>
        <w:t xml:space="preserve"> than </w:t>
      </w:r>
      <w:r w:rsidR="00352C29" w:rsidRPr="00352C29">
        <w:rPr>
          <w:rFonts w:eastAsia="Times New Roman" w:cs="Times New Roman"/>
          <w:szCs w:val="19"/>
          <w:lang w:val="en-GB" w:eastAsia="pl-PL"/>
        </w:rPr>
        <w:t xml:space="preserve">observed in the </w:t>
      </w:r>
      <w:r w:rsidR="00F559BD">
        <w:rPr>
          <w:rFonts w:eastAsia="Times New Roman" w:cs="Times New Roman"/>
          <w:szCs w:val="19"/>
          <w:lang w:val="en-GB" w:eastAsia="pl-PL"/>
        </w:rPr>
        <w:t>f</w:t>
      </w:r>
      <w:r w:rsidR="002B0750">
        <w:rPr>
          <w:rFonts w:eastAsia="Times New Roman" w:cs="Times New Roman"/>
          <w:szCs w:val="19"/>
          <w:lang w:val="en-GB" w:eastAsia="pl-PL"/>
        </w:rPr>
        <w:t>irst</w:t>
      </w:r>
      <w:r w:rsidR="00352C29" w:rsidRPr="00352C29">
        <w:rPr>
          <w:rFonts w:eastAsia="Times New Roman" w:cs="Times New Roman"/>
          <w:szCs w:val="19"/>
          <w:lang w:val="en-GB" w:eastAsia="pl-PL"/>
        </w:rPr>
        <w:t xml:space="preserve"> quarter of 202</w:t>
      </w:r>
      <w:r w:rsidR="002B0750">
        <w:rPr>
          <w:rFonts w:eastAsia="Times New Roman" w:cs="Times New Roman"/>
          <w:szCs w:val="19"/>
          <w:lang w:val="en-GB" w:eastAsia="pl-PL"/>
        </w:rPr>
        <w:t>5</w:t>
      </w:r>
      <w:r w:rsidR="00352C29" w:rsidRPr="00352C29">
        <w:rPr>
          <w:rFonts w:eastAsia="Times New Roman" w:cs="Times New Roman"/>
          <w:szCs w:val="19"/>
          <w:lang w:val="en-GB" w:eastAsia="pl-PL"/>
        </w:rPr>
        <w:t xml:space="preserve"> (</w:t>
      </w:r>
      <w:r w:rsidR="00352C29" w:rsidRPr="00276506">
        <w:rPr>
          <w:rFonts w:eastAsia="Times New Roman" w:cs="Times New Roman"/>
          <w:szCs w:val="19"/>
          <w:lang w:val="en-GB" w:eastAsia="pl-PL"/>
        </w:rPr>
        <w:t>by 0.</w:t>
      </w:r>
      <w:r w:rsidR="002B0750">
        <w:rPr>
          <w:rFonts w:eastAsia="Times New Roman" w:cs="Times New Roman"/>
          <w:szCs w:val="19"/>
          <w:lang w:val="en-GB" w:eastAsia="pl-PL"/>
        </w:rPr>
        <w:t>1</w:t>
      </w:r>
      <w:r w:rsidR="00352C29" w:rsidRPr="00276506">
        <w:rPr>
          <w:rFonts w:eastAsia="Times New Roman" w:cs="Times New Roman"/>
          <w:szCs w:val="19"/>
          <w:lang w:val="en-GB" w:eastAsia="pl-PL"/>
        </w:rPr>
        <w:t xml:space="preserve"> p</w:t>
      </w:r>
      <w:r w:rsidR="00352C29">
        <w:rPr>
          <w:rFonts w:eastAsia="Times New Roman" w:cs="Times New Roman"/>
          <w:szCs w:val="19"/>
          <w:lang w:val="en-GB" w:eastAsia="pl-PL"/>
        </w:rPr>
        <w:t>p.</w:t>
      </w:r>
      <w:r w:rsidR="00352C29" w:rsidRPr="00352C29">
        <w:rPr>
          <w:rFonts w:eastAsia="Times New Roman" w:cs="Times New Roman"/>
          <w:szCs w:val="19"/>
          <w:lang w:val="en-GB" w:eastAsia="pl-PL"/>
        </w:rPr>
        <w:t>).</w:t>
      </w:r>
    </w:p>
    <w:p w14:paraId="53C8122C" w14:textId="5CFB277A" w:rsidR="00E8054C" w:rsidRDefault="004E4DF8" w:rsidP="00852523">
      <w:pPr>
        <w:spacing w:line="288" w:lineRule="auto"/>
        <w:rPr>
          <w:rFonts w:eastAsia="Times New Roman" w:cs="Times New Roman"/>
          <w:szCs w:val="19"/>
          <w:lang w:val="en-GB" w:eastAsia="pl-PL"/>
        </w:rPr>
      </w:pPr>
      <w:r>
        <w:rPr>
          <w:rFonts w:eastAsia="Times New Roman" w:cs="Times New Roman"/>
          <w:szCs w:val="19"/>
          <w:lang w:val="en-GB" w:eastAsia="pl-PL"/>
        </w:rPr>
        <w:t>C</w:t>
      </w:r>
      <w:r w:rsidR="00E8054C" w:rsidRPr="00E8054C">
        <w:rPr>
          <w:rFonts w:eastAsia="Times New Roman" w:cs="Times New Roman"/>
          <w:szCs w:val="19"/>
          <w:lang w:val="en-GB" w:eastAsia="pl-PL"/>
        </w:rPr>
        <w:t xml:space="preserve">hart 8 presents changes in the intensity of unemployment by </w:t>
      </w:r>
      <w:r w:rsidR="00E8054C">
        <w:rPr>
          <w:rFonts w:eastAsia="Times New Roman" w:cs="Times New Roman"/>
          <w:szCs w:val="19"/>
          <w:lang w:val="en-GB" w:eastAsia="pl-PL"/>
        </w:rPr>
        <w:t>sex</w:t>
      </w:r>
      <w:r w:rsidR="00E8054C" w:rsidRPr="00E8054C">
        <w:rPr>
          <w:rFonts w:eastAsia="Times New Roman" w:cs="Times New Roman"/>
          <w:szCs w:val="19"/>
          <w:lang w:val="en-GB" w:eastAsia="pl-PL"/>
        </w:rPr>
        <w:t xml:space="preserve"> and place of residence of unemployed persons.</w:t>
      </w:r>
    </w:p>
    <w:p w14:paraId="2A3F37FE" w14:textId="0ED19EB1" w:rsidR="00442C80" w:rsidRDefault="00442C80" w:rsidP="00E0790B">
      <w:pPr>
        <w:spacing w:before="360" w:line="288" w:lineRule="auto"/>
        <w:ind w:left="851" w:hanging="851"/>
        <w:rPr>
          <w:b/>
          <w:shd w:val="clear" w:color="auto" w:fill="FFFFFF"/>
          <w:lang w:val="en-GB"/>
        </w:rPr>
      </w:pPr>
      <w:r>
        <w:rPr>
          <w:b/>
          <w:shd w:val="clear" w:color="auto" w:fill="FFFFFF"/>
          <w:lang w:val="en-GB"/>
        </w:rPr>
        <w:t xml:space="preserve">Chart </w:t>
      </w:r>
      <w:r w:rsidR="00A55971">
        <w:rPr>
          <w:b/>
          <w:shd w:val="clear" w:color="auto" w:fill="FFFFFF"/>
          <w:lang w:val="en-GB"/>
        </w:rPr>
        <w:t>8</w:t>
      </w:r>
      <w:r>
        <w:rPr>
          <w:b/>
          <w:shd w:val="clear" w:color="auto" w:fill="FFFFFF"/>
          <w:lang w:val="en-GB"/>
        </w:rPr>
        <w:t>.</w:t>
      </w:r>
      <w:r>
        <w:rPr>
          <w:b/>
          <w:shd w:val="clear" w:color="auto" w:fill="FFFFFF"/>
          <w:lang w:val="en-GB"/>
        </w:rPr>
        <w:tab/>
        <w:t xml:space="preserve">Changes in the unemployment rate </w:t>
      </w:r>
      <w:r w:rsidR="00FC035E">
        <w:rPr>
          <w:b/>
          <w:shd w:val="clear" w:color="auto" w:fill="FFFFFF"/>
          <w:lang w:val="en-GB"/>
        </w:rPr>
        <w:t xml:space="preserve">of </w:t>
      </w:r>
      <w:r>
        <w:rPr>
          <w:b/>
          <w:shd w:val="clear" w:color="auto" w:fill="FFFFFF"/>
          <w:lang w:val="en-GB"/>
        </w:rPr>
        <w:t xml:space="preserve">persons aged 15-89 between the </w:t>
      </w:r>
      <w:r w:rsidR="00A770E9">
        <w:rPr>
          <w:b/>
          <w:shd w:val="clear" w:color="auto" w:fill="FFFFFF"/>
          <w:lang w:val="en-GB"/>
        </w:rPr>
        <w:t>1</w:t>
      </w:r>
      <w:r w:rsidR="00A770E9">
        <w:rPr>
          <w:b/>
          <w:shd w:val="clear" w:color="auto" w:fill="FFFFFF"/>
          <w:vertAlign w:val="superscript"/>
          <w:lang w:val="en-GB"/>
        </w:rPr>
        <w:t>st</w:t>
      </w:r>
      <w:r w:rsidR="00A55971">
        <w:rPr>
          <w:b/>
          <w:shd w:val="clear" w:color="auto" w:fill="FFFFFF"/>
          <w:lang w:val="en-GB"/>
        </w:rPr>
        <w:t xml:space="preserve"> quarter of 202</w:t>
      </w:r>
      <w:r w:rsidR="00A770E9">
        <w:rPr>
          <w:b/>
          <w:shd w:val="clear" w:color="auto" w:fill="FFFFFF"/>
          <w:lang w:val="en-GB"/>
        </w:rPr>
        <w:t>6</w:t>
      </w:r>
      <w:r w:rsidR="00A55971">
        <w:rPr>
          <w:b/>
          <w:shd w:val="clear" w:color="auto" w:fill="FFFFFF"/>
          <w:lang w:val="en-GB"/>
        </w:rPr>
        <w:t xml:space="preserve"> and the </w:t>
      </w:r>
      <w:r w:rsidR="00A770E9">
        <w:rPr>
          <w:b/>
          <w:shd w:val="clear" w:color="auto" w:fill="FFFFFF"/>
          <w:lang w:val="en-GB"/>
        </w:rPr>
        <w:t>4</w:t>
      </w:r>
      <w:r w:rsidR="00A770E9">
        <w:rPr>
          <w:b/>
          <w:shd w:val="clear" w:color="auto" w:fill="FFFFFF"/>
          <w:vertAlign w:val="superscript"/>
          <w:lang w:val="en-GB"/>
        </w:rPr>
        <w:t>th</w:t>
      </w:r>
      <w:r>
        <w:rPr>
          <w:b/>
          <w:shd w:val="clear" w:color="auto" w:fill="FFFFFF"/>
          <w:lang w:val="en-GB"/>
        </w:rPr>
        <w:t xml:space="preserve"> quarter of 2025 </w:t>
      </w:r>
      <w:r w:rsidRPr="00D86CEC">
        <w:rPr>
          <w:b/>
          <w:shd w:val="clear" w:color="auto" w:fill="FFFFFF"/>
          <w:lang w:val="en-GB"/>
        </w:rPr>
        <w:t>a</w:t>
      </w:r>
      <w:r w:rsidR="00D86CEC">
        <w:rPr>
          <w:b/>
          <w:shd w:val="clear" w:color="auto" w:fill="FFFFFF"/>
          <w:lang w:val="en-GB"/>
        </w:rPr>
        <w:t>s well as</w:t>
      </w:r>
      <w:r>
        <w:rPr>
          <w:b/>
          <w:shd w:val="clear" w:color="auto" w:fill="FFFFFF"/>
          <w:lang w:val="en-GB"/>
        </w:rPr>
        <w:t xml:space="preserve"> the </w:t>
      </w:r>
      <w:r w:rsidR="00A770E9">
        <w:rPr>
          <w:b/>
          <w:shd w:val="clear" w:color="auto" w:fill="FFFFFF"/>
          <w:lang w:val="en-GB"/>
        </w:rPr>
        <w:t>1</w:t>
      </w:r>
      <w:r w:rsidR="00A770E9">
        <w:rPr>
          <w:b/>
          <w:shd w:val="clear" w:color="auto" w:fill="FFFFFF"/>
          <w:vertAlign w:val="superscript"/>
          <w:lang w:val="en-GB"/>
        </w:rPr>
        <w:t>st</w:t>
      </w:r>
      <w:r>
        <w:rPr>
          <w:b/>
          <w:shd w:val="clear" w:color="auto" w:fill="FFFFFF"/>
          <w:lang w:val="en-GB"/>
        </w:rPr>
        <w:t xml:space="preserve"> quarter of 202</w:t>
      </w:r>
      <w:r w:rsidR="00A770E9">
        <w:rPr>
          <w:b/>
          <w:shd w:val="clear" w:color="auto" w:fill="FFFFFF"/>
          <w:lang w:val="en-GB"/>
        </w:rPr>
        <w:t>5</w:t>
      </w:r>
    </w:p>
    <w:p w14:paraId="149940F6" w14:textId="247DA162" w:rsidR="00276506" w:rsidRDefault="00A770E9" w:rsidP="00442C80">
      <w:pPr>
        <w:spacing w:line="288" w:lineRule="auto"/>
        <w:ind w:left="851" w:hanging="851"/>
        <w:rPr>
          <w:b/>
          <w:shd w:val="clear" w:color="auto" w:fill="FFFFFF"/>
          <w:lang w:val="en-GB"/>
        </w:rPr>
      </w:pPr>
      <w:r>
        <w:rPr>
          <w:b/>
          <w:noProof/>
          <w:shd w:val="clear" w:color="auto" w:fill="FFFFFF"/>
          <w:lang w:val="en-GB"/>
        </w:rPr>
        <w:drawing>
          <wp:inline distT="0" distB="0" distL="0" distR="0" wp14:anchorId="5DB45C09" wp14:editId="0EC46D79">
            <wp:extent cx="5041127" cy="2301974"/>
            <wp:effectExtent l="0" t="0" r="7620" b="3175"/>
            <wp:docPr id="30" name="Obraz 30" descr="Chart 8. Changes in the unemployment rate of persons aged 15-89 between the first quarter of 2026 and the fourth quarter of 2025 as well as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7527" cy="2309463"/>
                    </a:xfrm>
                    <a:prstGeom prst="rect">
                      <a:avLst/>
                    </a:prstGeom>
                    <a:noFill/>
                  </pic:spPr>
                </pic:pic>
              </a:graphicData>
            </a:graphic>
          </wp:inline>
        </w:drawing>
      </w:r>
    </w:p>
    <w:p w14:paraId="60C89222" w14:textId="0A8057A3" w:rsidR="001D7CB7" w:rsidRDefault="00E75899" w:rsidP="00852523">
      <w:pPr>
        <w:spacing w:before="240" w:line="288" w:lineRule="auto"/>
        <w:rPr>
          <w:rFonts w:eastAsia="Times New Roman" w:cs="Times New Roman"/>
          <w:szCs w:val="19"/>
          <w:lang w:val="en-GB" w:eastAsia="pl-PL"/>
        </w:rPr>
      </w:pPr>
      <w:r w:rsidRPr="00041790">
        <w:rPr>
          <w:noProof/>
          <w:lang w:eastAsia="pl-PL"/>
        </w:rPr>
        <mc:AlternateContent>
          <mc:Choice Requires="wps">
            <w:drawing>
              <wp:anchor distT="45720" distB="45720" distL="114300" distR="114300" simplePos="0" relativeHeight="251662848" behindDoc="1" locked="0" layoutInCell="1" allowOverlap="1" wp14:anchorId="7E0E9FFD" wp14:editId="4FCC4D72">
                <wp:simplePos x="0" y="0"/>
                <wp:positionH relativeFrom="page">
                  <wp:posOffset>5748958</wp:posOffset>
                </wp:positionH>
                <wp:positionV relativeFrom="paragraph">
                  <wp:posOffset>225673</wp:posOffset>
                </wp:positionV>
                <wp:extent cx="1714500" cy="962025"/>
                <wp:effectExtent l="0" t="0" r="0" b="0"/>
                <wp:wrapTight wrapText="bothSides">
                  <wp:wrapPolygon edited="0">
                    <wp:start x="720" y="0"/>
                    <wp:lineTo x="720" y="20958"/>
                    <wp:lineTo x="20640" y="20958"/>
                    <wp:lineTo x="20640" y="0"/>
                    <wp:lineTo x="720" y="0"/>
                  </wp:wrapPolygon>
                </wp:wrapTight>
                <wp:docPr id="19" name="Pole tekstowe 2" descr="As in previous periods, the highest unemployment rate was observed among the youngest persons, i.e. aged 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62025"/>
                        </a:xfrm>
                        <a:prstGeom prst="rect">
                          <a:avLst/>
                        </a:prstGeom>
                        <a:noFill/>
                        <a:ln w="9525">
                          <a:noFill/>
                          <a:miter lim="800000"/>
                          <a:headEnd/>
                          <a:tailEnd/>
                        </a:ln>
                      </wps:spPr>
                      <wps:txbx>
                        <w:txbxContent>
                          <w:p w14:paraId="383AF3D1" w14:textId="668B4BC0" w:rsidR="00DA385A" w:rsidRPr="00342483" w:rsidRDefault="00DA385A" w:rsidP="00342483">
                            <w:pPr>
                              <w:pStyle w:val="tekstzboku"/>
                              <w:spacing w:before="100" w:beforeAutospacing="1"/>
                              <w:rPr>
                                <w:lang w:val="en-GB"/>
                              </w:rPr>
                            </w:pPr>
                            <w:r w:rsidRPr="008B5F54">
                              <w:rPr>
                                <w:lang w:val="en-GB"/>
                              </w:rPr>
                              <w:t>As in previous periods, the highest unemployment rate was observed among the youngest p</w:t>
                            </w:r>
                            <w:r>
                              <w:rPr>
                                <w:lang w:val="en-GB"/>
                              </w:rPr>
                              <w:t>ersons</w:t>
                            </w:r>
                            <w:r w:rsidRPr="008B5F54">
                              <w:rPr>
                                <w:lang w:val="en-GB"/>
                              </w:rPr>
                              <w:t>, i.e. aged 15-24</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4" type="#_x0000_t202" alt="As in previous periods, the highest unemployment rate was observed among the youngest persons, i.e. aged 15-24" style="position:absolute;margin-left:452.65pt;margin-top:17.75pt;width:135pt;height:75.7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" filled="f" stroked="f">
                <v:textbox inset=",0">
                  <w:txbxContent>
                    <w:p w14:paraId="383AF3D1" w14:textId="668B4BC0" w:rsidR="00DA385A" w:rsidRPr="00342483" w:rsidRDefault="00DA385A" w:rsidP="00342483">
                      <w:pPr>
                        <w:pStyle w:val="tekstzboku"/>
                        <w:spacing w:before="100" w:beforeAutospacing="1"/>
                        <w:rPr>
                          <w:lang w:val="en-GB"/>
                        </w:rPr>
                      </w:pPr>
                      <w:r w:rsidRPr="008B5F54">
                        <w:rPr>
                          <w:lang w:val="en-GB"/>
                        </w:rPr>
                        <w:t>As in previous periods, the highest unemployment rate was observed among the youngest p</w:t>
                      </w:r>
                      <w:r>
                        <w:rPr>
                          <w:lang w:val="en-GB"/>
                        </w:rPr>
                        <w:t>ersons</w:t>
                      </w:r>
                      <w:r w:rsidRPr="008B5F54">
                        <w:rPr>
                          <w:lang w:val="en-GB"/>
                        </w:rPr>
                        <w:t>, i.e. aged 15-24</w:t>
                      </w:r>
                    </w:p>
                  </w:txbxContent>
                </v:textbox>
                <w10:wrap type="tight" anchorx="page"/>
              </v:shape>
            </w:pict>
          </mc:Fallback>
        </mc:AlternateContent>
      </w:r>
      <w:r w:rsidR="002328D0" w:rsidRPr="00131D4E">
        <w:rPr>
          <w:rFonts w:eastAsia="Times New Roman" w:cs="Times New Roman"/>
          <w:szCs w:val="19"/>
          <w:lang w:val="en-GB" w:eastAsia="pl-PL"/>
        </w:rPr>
        <w:t>C</w:t>
      </w:r>
      <w:r w:rsidR="00A1391D" w:rsidRPr="00131D4E">
        <w:rPr>
          <w:rFonts w:eastAsia="Times New Roman" w:cs="Times New Roman"/>
          <w:szCs w:val="19"/>
          <w:lang w:val="en-GB" w:eastAsia="pl-PL"/>
        </w:rPr>
        <w:t xml:space="preserve">hanges in unemployment rate are </w:t>
      </w:r>
      <w:r w:rsidR="00B30D3F" w:rsidRPr="00131D4E">
        <w:rPr>
          <w:rFonts w:eastAsia="Times New Roman" w:cs="Times New Roman"/>
          <w:szCs w:val="19"/>
          <w:lang w:val="en-GB" w:eastAsia="pl-PL"/>
        </w:rPr>
        <w:t xml:space="preserve">also </w:t>
      </w:r>
      <w:r w:rsidR="00A1391D" w:rsidRPr="00131D4E">
        <w:rPr>
          <w:rFonts w:eastAsia="Times New Roman" w:cs="Times New Roman"/>
          <w:szCs w:val="19"/>
          <w:lang w:val="en-GB" w:eastAsia="pl-PL"/>
        </w:rPr>
        <w:t xml:space="preserve">noticeable </w:t>
      </w:r>
      <w:r w:rsidR="00B30D3F" w:rsidRPr="00131D4E">
        <w:rPr>
          <w:rFonts w:eastAsia="Times New Roman" w:cs="Times New Roman"/>
          <w:szCs w:val="19"/>
          <w:lang w:val="en-GB" w:eastAsia="pl-PL"/>
        </w:rPr>
        <w:t xml:space="preserve">when </w:t>
      </w:r>
      <w:r w:rsidR="00A1391D" w:rsidRPr="00131D4E">
        <w:rPr>
          <w:rFonts w:eastAsia="Times New Roman" w:cs="Times New Roman"/>
          <w:szCs w:val="19"/>
          <w:lang w:val="en-GB" w:eastAsia="pl-PL"/>
        </w:rPr>
        <w:t xml:space="preserve">taking into account the division of population by age groups. </w:t>
      </w:r>
      <w:r w:rsidR="00FE4DFD" w:rsidRPr="007B0118">
        <w:rPr>
          <w:rFonts w:eastAsia="Times New Roman" w:cs="Times New Roman"/>
          <w:szCs w:val="19"/>
          <w:lang w:val="en-GB" w:eastAsia="pl-PL"/>
        </w:rPr>
        <w:t xml:space="preserve">The highest unemployment rate was recorded </w:t>
      </w:r>
      <w:r w:rsidR="00DB330B">
        <w:rPr>
          <w:rFonts w:eastAsia="Times New Roman" w:cs="Times New Roman"/>
          <w:szCs w:val="19"/>
          <w:lang w:val="en-GB" w:eastAsia="pl-PL"/>
        </w:rPr>
        <w:t>for</w:t>
      </w:r>
      <w:r w:rsidR="00FE4DFD" w:rsidRPr="007B0118">
        <w:rPr>
          <w:rFonts w:eastAsia="Times New Roman" w:cs="Times New Roman"/>
          <w:szCs w:val="19"/>
          <w:lang w:val="en-GB" w:eastAsia="pl-PL"/>
        </w:rPr>
        <w:t xml:space="preserve"> the youngest</w:t>
      </w:r>
      <w:r w:rsidR="003E74ED">
        <w:rPr>
          <w:rFonts w:eastAsia="Times New Roman" w:cs="Times New Roman"/>
          <w:szCs w:val="19"/>
          <w:lang w:val="en-GB" w:eastAsia="pl-PL"/>
        </w:rPr>
        <w:t xml:space="preserve"> age group</w:t>
      </w:r>
      <w:r w:rsidR="00FE4DFD" w:rsidRPr="007B0118">
        <w:rPr>
          <w:rFonts w:eastAsia="Times New Roman" w:cs="Times New Roman"/>
          <w:szCs w:val="19"/>
          <w:lang w:val="en-GB" w:eastAsia="pl-PL"/>
        </w:rPr>
        <w:t>, i.e. in the age group</w:t>
      </w:r>
      <w:r w:rsidR="00B432FE">
        <w:rPr>
          <w:rFonts w:eastAsia="Times New Roman" w:cs="Times New Roman"/>
          <w:szCs w:val="19"/>
          <w:lang w:val="en-GB" w:eastAsia="pl-PL"/>
        </w:rPr>
        <w:t xml:space="preserve"> </w:t>
      </w:r>
      <w:r w:rsidR="00FE4DFD" w:rsidRPr="007B0118">
        <w:rPr>
          <w:rFonts w:eastAsia="Times New Roman" w:cs="Times New Roman"/>
          <w:szCs w:val="19"/>
          <w:lang w:val="en-GB" w:eastAsia="pl-PL"/>
        </w:rPr>
        <w:t xml:space="preserve">15-24 years – </w:t>
      </w:r>
      <w:r w:rsidR="00276506" w:rsidRPr="00276506">
        <w:rPr>
          <w:rFonts w:eastAsia="Times New Roman" w:cs="Times New Roman"/>
          <w:szCs w:val="19"/>
          <w:lang w:val="en-GB" w:eastAsia="pl-PL"/>
        </w:rPr>
        <w:t>1</w:t>
      </w:r>
      <w:r w:rsidR="00A770E9">
        <w:rPr>
          <w:rFonts w:eastAsia="Times New Roman" w:cs="Times New Roman"/>
          <w:szCs w:val="19"/>
          <w:lang w:val="en-GB" w:eastAsia="pl-PL"/>
        </w:rPr>
        <w:t>2</w:t>
      </w:r>
      <w:r w:rsidR="00401885" w:rsidRPr="00276506">
        <w:rPr>
          <w:rFonts w:eastAsia="Times New Roman" w:cs="Times New Roman"/>
          <w:szCs w:val="19"/>
          <w:lang w:val="en-GB" w:eastAsia="pl-PL"/>
        </w:rPr>
        <w:t>.</w:t>
      </w:r>
      <w:r w:rsidR="00A770E9">
        <w:rPr>
          <w:rFonts w:eastAsia="Times New Roman" w:cs="Times New Roman"/>
          <w:szCs w:val="19"/>
          <w:lang w:val="en-GB" w:eastAsia="pl-PL"/>
        </w:rPr>
        <w:t>5</w:t>
      </w:r>
      <w:r w:rsidR="00FE4DFD" w:rsidRPr="007B0118">
        <w:rPr>
          <w:rFonts w:eastAsia="Times New Roman" w:cs="Times New Roman"/>
          <w:szCs w:val="19"/>
          <w:lang w:val="en-GB" w:eastAsia="pl-PL"/>
        </w:rPr>
        <w:t xml:space="preserve">%. </w:t>
      </w:r>
      <w:r w:rsidR="002F00A8" w:rsidRPr="002F00A8">
        <w:rPr>
          <w:rFonts w:eastAsia="Times New Roman" w:cs="Times New Roman"/>
          <w:szCs w:val="19"/>
          <w:lang w:val="en-GB" w:eastAsia="pl-PL"/>
        </w:rPr>
        <w:t xml:space="preserve">Significantly lower unemployment rates </w:t>
      </w:r>
      <w:r w:rsidR="003E74ED">
        <w:rPr>
          <w:rFonts w:eastAsia="Times New Roman" w:cs="Times New Roman"/>
          <w:szCs w:val="19"/>
          <w:lang w:val="en-GB" w:eastAsia="pl-PL"/>
        </w:rPr>
        <w:t>were observed</w:t>
      </w:r>
      <w:r w:rsidR="002F00A8" w:rsidRPr="002F00A8">
        <w:rPr>
          <w:rFonts w:eastAsia="Times New Roman" w:cs="Times New Roman"/>
          <w:szCs w:val="19"/>
          <w:lang w:val="en-GB" w:eastAsia="pl-PL"/>
        </w:rPr>
        <w:t xml:space="preserve"> in other</w:t>
      </w:r>
      <w:r w:rsidR="003E74ED">
        <w:rPr>
          <w:rFonts w:eastAsia="Times New Roman" w:cs="Times New Roman"/>
          <w:szCs w:val="19"/>
          <w:lang w:val="en-GB" w:eastAsia="pl-PL"/>
        </w:rPr>
        <w:t xml:space="preserve"> </w:t>
      </w:r>
      <w:r w:rsidR="002F00A8" w:rsidRPr="002F00A8">
        <w:rPr>
          <w:rFonts w:eastAsia="Times New Roman" w:cs="Times New Roman"/>
          <w:szCs w:val="19"/>
          <w:lang w:val="en-GB" w:eastAsia="pl-PL"/>
        </w:rPr>
        <w:t xml:space="preserve">age groups. </w:t>
      </w:r>
      <w:r w:rsidR="00DB330B" w:rsidRPr="00DB330B">
        <w:rPr>
          <w:rFonts w:eastAsia="Times New Roman" w:cs="Times New Roman"/>
          <w:szCs w:val="19"/>
          <w:lang w:val="en-GB" w:eastAsia="pl-PL"/>
        </w:rPr>
        <w:t xml:space="preserve">The unemployment rate </w:t>
      </w:r>
      <w:r w:rsidR="00DB330B" w:rsidRPr="00276506">
        <w:rPr>
          <w:rFonts w:eastAsia="Times New Roman" w:cs="Times New Roman"/>
          <w:szCs w:val="19"/>
          <w:lang w:val="en-GB" w:eastAsia="pl-PL"/>
        </w:rPr>
        <w:t xml:space="preserve">was </w:t>
      </w:r>
      <w:r w:rsidR="00276506" w:rsidRPr="00276506">
        <w:rPr>
          <w:rFonts w:eastAsia="Times New Roman" w:cs="Times New Roman"/>
          <w:szCs w:val="19"/>
          <w:lang w:val="en-GB" w:eastAsia="pl-PL"/>
        </w:rPr>
        <w:t>3</w:t>
      </w:r>
      <w:r w:rsidR="00DB330B" w:rsidRPr="00276506">
        <w:rPr>
          <w:rFonts w:eastAsia="Times New Roman" w:cs="Times New Roman"/>
          <w:szCs w:val="19"/>
          <w:lang w:val="en-GB" w:eastAsia="pl-PL"/>
        </w:rPr>
        <w:t>.</w:t>
      </w:r>
      <w:r w:rsidR="00A770E9">
        <w:rPr>
          <w:rFonts w:eastAsia="Times New Roman" w:cs="Times New Roman"/>
          <w:szCs w:val="19"/>
          <w:lang w:val="en-GB" w:eastAsia="pl-PL"/>
        </w:rPr>
        <w:t>2</w:t>
      </w:r>
      <w:r w:rsidR="00DB330B" w:rsidRPr="00276506">
        <w:rPr>
          <w:rFonts w:eastAsia="Times New Roman" w:cs="Times New Roman"/>
          <w:szCs w:val="19"/>
          <w:lang w:val="en-GB" w:eastAsia="pl-PL"/>
        </w:rPr>
        <w:t xml:space="preserve">% </w:t>
      </w:r>
      <w:r w:rsidR="00DB330B" w:rsidRPr="00DB330B">
        <w:rPr>
          <w:rFonts w:eastAsia="Times New Roman" w:cs="Times New Roman"/>
          <w:szCs w:val="19"/>
          <w:lang w:val="en-GB" w:eastAsia="pl-PL"/>
        </w:rPr>
        <w:t>for pe</w:t>
      </w:r>
      <w:r w:rsidR="00DB330B">
        <w:rPr>
          <w:rFonts w:eastAsia="Times New Roman" w:cs="Times New Roman"/>
          <w:szCs w:val="19"/>
          <w:lang w:val="en-GB" w:eastAsia="pl-PL"/>
        </w:rPr>
        <w:t>rsons</w:t>
      </w:r>
      <w:r w:rsidR="00DB330B" w:rsidRPr="00DB330B">
        <w:rPr>
          <w:rFonts w:eastAsia="Times New Roman" w:cs="Times New Roman"/>
          <w:szCs w:val="19"/>
          <w:lang w:val="en-GB" w:eastAsia="pl-PL"/>
        </w:rPr>
        <w:t xml:space="preserve"> aged </w:t>
      </w:r>
      <w:r w:rsidR="009965E8">
        <w:rPr>
          <w:rFonts w:eastAsia="Times New Roman" w:cs="Times New Roman"/>
          <w:szCs w:val="19"/>
          <w:lang w:val="en-GB" w:eastAsia="pl-PL"/>
        </w:rPr>
        <w:br/>
      </w:r>
      <w:r w:rsidR="00DB330B" w:rsidRPr="00DB330B">
        <w:rPr>
          <w:rFonts w:eastAsia="Times New Roman" w:cs="Times New Roman"/>
          <w:szCs w:val="19"/>
          <w:lang w:val="en-GB" w:eastAsia="pl-PL"/>
        </w:rPr>
        <w:t xml:space="preserve">25-34, </w:t>
      </w:r>
      <w:r w:rsidR="00DB330B" w:rsidRPr="00276506">
        <w:rPr>
          <w:rFonts w:eastAsia="Times New Roman" w:cs="Times New Roman"/>
          <w:szCs w:val="19"/>
          <w:lang w:val="en-GB" w:eastAsia="pl-PL"/>
        </w:rPr>
        <w:t>2.</w:t>
      </w:r>
      <w:r w:rsidR="00A770E9">
        <w:rPr>
          <w:rFonts w:eastAsia="Times New Roman" w:cs="Times New Roman"/>
          <w:szCs w:val="19"/>
          <w:lang w:val="en-GB" w:eastAsia="pl-PL"/>
        </w:rPr>
        <w:t>3</w:t>
      </w:r>
      <w:r w:rsidR="00DB330B" w:rsidRPr="00276506">
        <w:rPr>
          <w:rFonts w:eastAsia="Times New Roman" w:cs="Times New Roman"/>
          <w:szCs w:val="19"/>
          <w:lang w:val="en-GB" w:eastAsia="pl-PL"/>
        </w:rPr>
        <w:t>%</w:t>
      </w:r>
      <w:r w:rsidR="00DB330B" w:rsidRPr="00DB330B">
        <w:rPr>
          <w:rFonts w:eastAsia="Times New Roman" w:cs="Times New Roman"/>
          <w:szCs w:val="19"/>
          <w:lang w:val="en-GB" w:eastAsia="pl-PL"/>
        </w:rPr>
        <w:t xml:space="preserve"> for aged 35-44, </w:t>
      </w:r>
      <w:r w:rsidR="00DB330B" w:rsidRPr="00276506">
        <w:rPr>
          <w:rFonts w:eastAsia="Times New Roman" w:cs="Times New Roman"/>
          <w:szCs w:val="19"/>
          <w:lang w:val="en-GB" w:eastAsia="pl-PL"/>
        </w:rPr>
        <w:t xml:space="preserve">and </w:t>
      </w:r>
      <w:r w:rsidR="00A473A8" w:rsidRPr="00276506">
        <w:rPr>
          <w:rFonts w:eastAsia="Times New Roman" w:cs="Times New Roman"/>
          <w:szCs w:val="19"/>
          <w:lang w:val="en-GB" w:eastAsia="pl-PL"/>
        </w:rPr>
        <w:t>2</w:t>
      </w:r>
      <w:r w:rsidR="00401885" w:rsidRPr="00276506">
        <w:rPr>
          <w:rFonts w:eastAsia="Times New Roman" w:cs="Times New Roman"/>
          <w:szCs w:val="19"/>
          <w:lang w:val="en-GB" w:eastAsia="pl-PL"/>
        </w:rPr>
        <w:t>.</w:t>
      </w:r>
      <w:r w:rsidR="00A770E9">
        <w:rPr>
          <w:rFonts w:eastAsia="Times New Roman" w:cs="Times New Roman"/>
          <w:szCs w:val="19"/>
          <w:lang w:val="en-GB" w:eastAsia="pl-PL"/>
        </w:rPr>
        <w:t>8</w:t>
      </w:r>
      <w:r w:rsidR="00DB330B" w:rsidRPr="00276506">
        <w:rPr>
          <w:rFonts w:eastAsia="Times New Roman" w:cs="Times New Roman"/>
          <w:szCs w:val="19"/>
          <w:lang w:val="en-GB" w:eastAsia="pl-PL"/>
        </w:rPr>
        <w:t xml:space="preserve">% </w:t>
      </w:r>
      <w:r w:rsidR="00FE27BA" w:rsidRPr="00276506">
        <w:rPr>
          <w:rFonts w:eastAsia="Times New Roman" w:cs="Times New Roman"/>
          <w:szCs w:val="19"/>
          <w:lang w:val="en-GB" w:eastAsia="pl-PL"/>
        </w:rPr>
        <w:t xml:space="preserve">in </w:t>
      </w:r>
      <w:r w:rsidR="009D0287">
        <w:rPr>
          <w:rFonts w:eastAsia="Times New Roman" w:cs="Times New Roman"/>
          <w:szCs w:val="19"/>
          <w:lang w:val="en-GB" w:eastAsia="pl-PL"/>
        </w:rPr>
        <w:t xml:space="preserve">the </w:t>
      </w:r>
      <w:r w:rsidR="00FE27BA">
        <w:rPr>
          <w:rFonts w:eastAsia="Times New Roman" w:cs="Times New Roman"/>
          <w:szCs w:val="19"/>
          <w:lang w:val="en-GB" w:eastAsia="pl-PL"/>
        </w:rPr>
        <w:t>group of</w:t>
      </w:r>
      <w:r w:rsidR="00DB330B" w:rsidRPr="00DB330B">
        <w:rPr>
          <w:rFonts w:eastAsia="Times New Roman" w:cs="Times New Roman"/>
          <w:szCs w:val="19"/>
          <w:lang w:val="en-GB" w:eastAsia="pl-PL"/>
        </w:rPr>
        <w:t xml:space="preserve"> </w:t>
      </w:r>
      <w:r w:rsidR="00FE27BA">
        <w:rPr>
          <w:rFonts w:eastAsia="Times New Roman" w:cs="Times New Roman"/>
          <w:szCs w:val="19"/>
          <w:lang w:val="en-GB" w:eastAsia="pl-PL"/>
        </w:rPr>
        <w:t xml:space="preserve">persons </w:t>
      </w:r>
      <w:r w:rsidR="009D0287">
        <w:rPr>
          <w:rFonts w:eastAsia="Times New Roman" w:cs="Times New Roman"/>
          <w:szCs w:val="19"/>
          <w:lang w:val="en-GB" w:eastAsia="pl-PL"/>
        </w:rPr>
        <w:t>of</w:t>
      </w:r>
      <w:r w:rsidR="00FE27BA">
        <w:rPr>
          <w:rFonts w:eastAsia="Times New Roman" w:cs="Times New Roman"/>
          <w:szCs w:val="19"/>
          <w:lang w:val="en-GB" w:eastAsia="pl-PL"/>
        </w:rPr>
        <w:t xml:space="preserve"> non-mobile </w:t>
      </w:r>
      <w:r w:rsidR="00DB330B" w:rsidRPr="00DB330B">
        <w:rPr>
          <w:rFonts w:eastAsia="Times New Roman" w:cs="Times New Roman"/>
          <w:szCs w:val="19"/>
          <w:lang w:val="en-GB" w:eastAsia="pl-PL"/>
        </w:rPr>
        <w:t>age</w:t>
      </w:r>
      <w:r w:rsidR="00283C00">
        <w:rPr>
          <w:rStyle w:val="Odwoanieprzypisudolnego"/>
          <w:rFonts w:eastAsia="Times New Roman" w:cs="Times New Roman"/>
          <w:szCs w:val="19"/>
          <w:lang w:val="en-GB" w:eastAsia="pl-PL"/>
        </w:rPr>
        <w:footnoteReference w:id="7"/>
      </w:r>
      <w:r w:rsidR="00DB330B" w:rsidRPr="00DB330B">
        <w:rPr>
          <w:rFonts w:eastAsia="Times New Roman" w:cs="Times New Roman"/>
          <w:szCs w:val="19"/>
          <w:lang w:val="en-GB" w:eastAsia="pl-PL"/>
        </w:rPr>
        <w:t xml:space="preserve"> </w:t>
      </w:r>
      <w:r w:rsidR="00FE27BA">
        <w:rPr>
          <w:rFonts w:eastAsia="Times New Roman" w:cs="Times New Roman"/>
          <w:szCs w:val="19"/>
          <w:lang w:val="en-GB" w:eastAsia="pl-PL"/>
        </w:rPr>
        <w:t>(</w:t>
      </w:r>
      <w:r w:rsidR="00DB330B" w:rsidRPr="00DB330B">
        <w:rPr>
          <w:rFonts w:eastAsia="Times New Roman" w:cs="Times New Roman"/>
          <w:szCs w:val="19"/>
          <w:lang w:val="en-GB" w:eastAsia="pl-PL"/>
        </w:rPr>
        <w:t>45-</w:t>
      </w:r>
      <w:r w:rsidR="00FE27BA">
        <w:rPr>
          <w:rFonts w:eastAsia="Times New Roman" w:cs="Times New Roman"/>
          <w:szCs w:val="19"/>
          <w:lang w:val="en-GB" w:eastAsia="pl-PL"/>
        </w:rPr>
        <w:t>5</w:t>
      </w:r>
      <w:r w:rsidR="00DB330B" w:rsidRPr="00DB330B">
        <w:rPr>
          <w:rFonts w:eastAsia="Times New Roman" w:cs="Times New Roman"/>
          <w:szCs w:val="19"/>
          <w:lang w:val="en-GB" w:eastAsia="pl-PL"/>
        </w:rPr>
        <w:t>9</w:t>
      </w:r>
      <w:r w:rsidR="00FE27BA">
        <w:rPr>
          <w:rFonts w:eastAsia="Times New Roman" w:cs="Times New Roman"/>
          <w:szCs w:val="19"/>
          <w:lang w:val="en-GB" w:eastAsia="pl-PL"/>
        </w:rPr>
        <w:t>/64)</w:t>
      </w:r>
      <w:r w:rsidR="00DB330B" w:rsidRPr="00DB330B">
        <w:rPr>
          <w:rFonts w:eastAsia="Times New Roman" w:cs="Times New Roman"/>
          <w:szCs w:val="19"/>
          <w:lang w:val="en-GB" w:eastAsia="pl-PL"/>
        </w:rPr>
        <w:t>.</w:t>
      </w:r>
      <w:r w:rsidR="00852523">
        <w:rPr>
          <w:rFonts w:eastAsia="Times New Roman" w:cs="Times New Roman"/>
          <w:szCs w:val="19"/>
          <w:lang w:val="en-GB" w:eastAsia="pl-PL"/>
        </w:rPr>
        <w:t xml:space="preserve"> </w:t>
      </w:r>
      <w:r w:rsidR="003037FF">
        <w:rPr>
          <w:rFonts w:eastAsia="Times New Roman" w:cs="Times New Roman"/>
          <w:szCs w:val="19"/>
          <w:lang w:val="en-GB" w:eastAsia="pl-PL"/>
        </w:rPr>
        <w:br/>
      </w:r>
      <w:r w:rsidR="00852523" w:rsidRPr="00852523">
        <w:rPr>
          <w:rFonts w:eastAsia="Times New Roman" w:cs="Times New Roman"/>
          <w:szCs w:val="19"/>
          <w:lang w:val="en-GB" w:eastAsia="pl-PL"/>
        </w:rPr>
        <w:t xml:space="preserve">The unemployment rate for </w:t>
      </w:r>
      <w:r w:rsidR="00852523">
        <w:rPr>
          <w:rFonts w:eastAsia="Times New Roman" w:cs="Times New Roman"/>
          <w:szCs w:val="19"/>
          <w:lang w:val="en-GB" w:eastAsia="pl-PL"/>
        </w:rPr>
        <w:t>persons</w:t>
      </w:r>
      <w:r w:rsidR="00852523" w:rsidRPr="00852523">
        <w:rPr>
          <w:rFonts w:eastAsia="Times New Roman" w:cs="Times New Roman"/>
          <w:szCs w:val="19"/>
          <w:lang w:val="en-GB" w:eastAsia="pl-PL"/>
        </w:rPr>
        <w:t xml:space="preserve"> of post-working age</w:t>
      </w:r>
      <w:r w:rsidR="00283C00">
        <w:rPr>
          <w:rStyle w:val="Odwoanieprzypisudolnego"/>
          <w:rFonts w:eastAsia="Times New Roman" w:cs="Times New Roman"/>
          <w:szCs w:val="19"/>
          <w:lang w:val="en-GB" w:eastAsia="pl-PL"/>
        </w:rPr>
        <w:footnoteReference w:id="8"/>
      </w:r>
      <w:r w:rsidR="00852523" w:rsidRPr="00852523">
        <w:rPr>
          <w:rFonts w:eastAsia="Times New Roman" w:cs="Times New Roman"/>
          <w:szCs w:val="19"/>
          <w:lang w:val="en-GB" w:eastAsia="pl-PL"/>
        </w:rPr>
        <w:t xml:space="preserve"> (60/65-89 years) cannot be presented due to the high random sampling error of the indicator (resulting from the low number of unemployed pe</w:t>
      </w:r>
      <w:r w:rsidR="00283C00">
        <w:rPr>
          <w:rFonts w:eastAsia="Times New Roman" w:cs="Times New Roman"/>
          <w:szCs w:val="19"/>
          <w:lang w:val="en-GB" w:eastAsia="pl-PL"/>
        </w:rPr>
        <w:t>rsons</w:t>
      </w:r>
      <w:r w:rsidR="00852523" w:rsidRPr="00852523">
        <w:rPr>
          <w:rFonts w:eastAsia="Times New Roman" w:cs="Times New Roman"/>
          <w:szCs w:val="19"/>
          <w:lang w:val="en-GB" w:eastAsia="pl-PL"/>
        </w:rPr>
        <w:t xml:space="preserve"> in this age group, less than 10</w:t>
      </w:r>
      <w:r w:rsidR="00283C00">
        <w:rPr>
          <w:rFonts w:eastAsia="Times New Roman" w:cs="Times New Roman"/>
          <w:szCs w:val="19"/>
          <w:lang w:val="en-GB" w:eastAsia="pl-PL"/>
        </w:rPr>
        <w:t xml:space="preserve"> thousand</w:t>
      </w:r>
      <w:r w:rsidR="00852523" w:rsidRPr="00852523">
        <w:rPr>
          <w:rFonts w:eastAsia="Times New Roman" w:cs="Times New Roman"/>
          <w:szCs w:val="19"/>
          <w:lang w:val="en-GB" w:eastAsia="pl-PL"/>
        </w:rPr>
        <w:t xml:space="preserve">, i.e. below the data reliability threshold adopted in </w:t>
      </w:r>
      <w:r w:rsidR="009D0287">
        <w:rPr>
          <w:rFonts w:eastAsia="Times New Roman" w:cs="Times New Roman"/>
          <w:szCs w:val="19"/>
          <w:lang w:val="en-GB" w:eastAsia="pl-PL"/>
        </w:rPr>
        <w:t>P</w:t>
      </w:r>
      <w:r w:rsidR="00283C00">
        <w:rPr>
          <w:rFonts w:eastAsia="Times New Roman" w:cs="Times New Roman"/>
          <w:szCs w:val="19"/>
          <w:lang w:val="en-GB" w:eastAsia="pl-PL"/>
        </w:rPr>
        <w:t xml:space="preserve">olish </w:t>
      </w:r>
      <w:r w:rsidR="00E231C1">
        <w:rPr>
          <w:rFonts w:eastAsia="Times New Roman" w:cs="Times New Roman"/>
          <w:szCs w:val="19"/>
          <w:lang w:val="en-GB" w:eastAsia="pl-PL"/>
        </w:rPr>
        <w:t>LFS</w:t>
      </w:r>
      <w:r w:rsidR="00852523" w:rsidRPr="00852523">
        <w:rPr>
          <w:rFonts w:eastAsia="Times New Roman" w:cs="Times New Roman"/>
          <w:szCs w:val="19"/>
          <w:lang w:val="en-GB" w:eastAsia="pl-PL"/>
        </w:rPr>
        <w:t>).</w:t>
      </w:r>
    </w:p>
    <w:p w14:paraId="1EF641E0" w14:textId="3A70DAC8" w:rsidR="00FE4DFD" w:rsidRDefault="00AD3680" w:rsidP="00852523">
      <w:pPr>
        <w:spacing w:before="60" w:after="0" w:line="288" w:lineRule="auto"/>
        <w:rPr>
          <w:rFonts w:eastAsia="Times New Roman" w:cs="Times New Roman"/>
          <w:szCs w:val="19"/>
          <w:lang w:val="en-GB" w:eastAsia="pl-PL"/>
        </w:rPr>
      </w:pPr>
      <w:r w:rsidRPr="00C03034">
        <w:rPr>
          <w:noProof/>
          <w:lang w:eastAsia="pl-PL"/>
        </w:rPr>
        <mc:AlternateContent>
          <mc:Choice Requires="wps">
            <w:drawing>
              <wp:anchor distT="45720" distB="45720" distL="114300" distR="114300" simplePos="0" relativeHeight="251661824" behindDoc="1" locked="0" layoutInCell="1" allowOverlap="1" wp14:anchorId="417B4CC8" wp14:editId="24EC645C">
                <wp:simplePos x="0" y="0"/>
                <wp:positionH relativeFrom="page">
                  <wp:posOffset>5716214</wp:posOffset>
                </wp:positionH>
                <wp:positionV relativeFrom="paragraph">
                  <wp:posOffset>297345</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71F1DBD4" w:rsidR="00DA385A" w:rsidRPr="004D6E30" w:rsidRDefault="00DA385A"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DA385A" w:rsidRPr="009554A3" w:rsidRDefault="00DA385A"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5" type="#_x0000_t202" alt="To the greatest extent, unemployment affected persons with the lowest level of education" style="position:absolute;margin-left:450.1pt;margin-top:23.4pt;width:135.85pt;height:56.1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" filled="f" stroked="f">
                <v:textbox inset=",0">
                  <w:txbxContent>
                    <w:p w14:paraId="048430EE" w14:textId="71F1DBD4" w:rsidR="00DA385A" w:rsidRPr="004D6E30" w:rsidRDefault="00DA385A"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DA385A" w:rsidRPr="009554A3" w:rsidRDefault="00DA385A" w:rsidP="004D6E30">
                      <w:pPr>
                        <w:pStyle w:val="tekstzboku"/>
                        <w:spacing w:before="100" w:beforeAutospacing="1"/>
                        <w:rPr>
                          <w:lang w:val="en-GB"/>
                        </w:rPr>
                      </w:pPr>
                    </w:p>
                  </w:txbxContent>
                </v:textbox>
                <w10:wrap type="tight" anchorx="page"/>
              </v:shape>
            </w:pict>
          </mc:Fallback>
        </mc:AlternateContent>
      </w:r>
      <w:r w:rsidR="0007503C" w:rsidRPr="00C03034">
        <w:rPr>
          <w:rFonts w:eastAsia="Times New Roman" w:cs="Times New Roman"/>
          <w:szCs w:val="19"/>
          <w:lang w:val="en-GB" w:eastAsia="pl-PL"/>
        </w:rPr>
        <w:t>P</w:t>
      </w:r>
      <w:r w:rsidR="00FE4DFD" w:rsidRPr="00C03034">
        <w:rPr>
          <w:rFonts w:eastAsia="Times New Roman" w:cs="Times New Roman"/>
          <w:szCs w:val="19"/>
          <w:lang w:val="en-GB" w:eastAsia="pl-PL"/>
        </w:rPr>
        <w:t xml:space="preserve">ersons with tertiary education </w:t>
      </w:r>
      <w:r w:rsidR="0007503C" w:rsidRPr="00C03034">
        <w:rPr>
          <w:rFonts w:eastAsia="Times New Roman" w:cs="Times New Roman"/>
          <w:szCs w:val="19"/>
          <w:lang w:val="en-GB" w:eastAsia="pl-PL"/>
        </w:rPr>
        <w:t xml:space="preserve">are </w:t>
      </w:r>
      <w:r w:rsidR="00FE4DFD" w:rsidRPr="00C03034">
        <w:rPr>
          <w:rFonts w:eastAsia="Times New Roman" w:cs="Times New Roman"/>
          <w:szCs w:val="19"/>
          <w:lang w:val="en-GB" w:eastAsia="pl-PL"/>
        </w:rPr>
        <w:t>still in the best situation – the unemployment rate in this group is the lowest –</w:t>
      </w:r>
      <w:r w:rsidR="00874816" w:rsidRPr="00C03034">
        <w:rPr>
          <w:rFonts w:eastAsia="Times New Roman" w:cs="Times New Roman"/>
          <w:szCs w:val="19"/>
          <w:lang w:val="en-GB" w:eastAsia="pl-PL"/>
        </w:rPr>
        <w:t xml:space="preserve"> </w:t>
      </w:r>
      <w:r w:rsidR="00FE4DFD" w:rsidRPr="00C03034">
        <w:rPr>
          <w:rFonts w:eastAsia="Times New Roman" w:cs="Times New Roman"/>
          <w:szCs w:val="19"/>
          <w:lang w:val="en-GB" w:eastAsia="pl-PL"/>
        </w:rPr>
        <w:t xml:space="preserve">in the </w:t>
      </w:r>
      <w:r w:rsidR="00940196">
        <w:rPr>
          <w:rFonts w:eastAsia="Times New Roman" w:cs="Times New Roman"/>
          <w:szCs w:val="19"/>
          <w:lang w:val="en-GB" w:eastAsia="pl-PL"/>
        </w:rPr>
        <w:t>f</w:t>
      </w:r>
      <w:r w:rsidR="00265598">
        <w:rPr>
          <w:rFonts w:eastAsia="Times New Roman" w:cs="Times New Roman"/>
          <w:szCs w:val="19"/>
          <w:lang w:val="en-GB" w:eastAsia="pl-PL"/>
        </w:rPr>
        <w:t>irst</w:t>
      </w:r>
      <w:r w:rsidR="00FE4DFD" w:rsidRPr="00C03034">
        <w:rPr>
          <w:rFonts w:eastAsia="Times New Roman" w:cs="Times New Roman"/>
          <w:szCs w:val="19"/>
          <w:lang w:val="en-GB" w:eastAsia="pl-PL"/>
        </w:rPr>
        <w:t xml:space="preserve"> quarter of 202</w:t>
      </w:r>
      <w:r w:rsidR="00265598">
        <w:rPr>
          <w:rFonts w:eastAsia="Times New Roman" w:cs="Times New Roman"/>
          <w:szCs w:val="19"/>
          <w:lang w:val="en-GB" w:eastAsia="pl-PL"/>
        </w:rPr>
        <w:t>6</w:t>
      </w:r>
      <w:r w:rsidR="004524BB" w:rsidRPr="00C03034">
        <w:rPr>
          <w:rFonts w:eastAsia="Times New Roman" w:cs="Times New Roman"/>
          <w:szCs w:val="19"/>
          <w:lang w:val="en-GB" w:eastAsia="pl-PL"/>
        </w:rPr>
        <w:t xml:space="preserve"> </w:t>
      </w:r>
      <w:r w:rsidR="0007503C" w:rsidRPr="00C03034">
        <w:rPr>
          <w:rFonts w:eastAsia="Times New Roman" w:cs="Times New Roman"/>
          <w:szCs w:val="19"/>
          <w:lang w:val="en-GB" w:eastAsia="pl-PL"/>
        </w:rPr>
        <w:t xml:space="preserve">it </w:t>
      </w:r>
      <w:r w:rsidR="0007503C" w:rsidRPr="00276506">
        <w:rPr>
          <w:rFonts w:eastAsia="Times New Roman" w:cs="Times New Roman"/>
          <w:szCs w:val="19"/>
          <w:lang w:val="en-GB" w:eastAsia="pl-PL"/>
        </w:rPr>
        <w:t xml:space="preserve">was </w:t>
      </w:r>
      <w:r w:rsidR="004524BB" w:rsidRPr="00276506">
        <w:rPr>
          <w:rFonts w:eastAsia="Times New Roman" w:cs="Times New Roman"/>
          <w:szCs w:val="19"/>
          <w:lang w:val="en-GB" w:eastAsia="pl-PL"/>
        </w:rPr>
        <w:t>1.</w:t>
      </w:r>
      <w:r>
        <w:rPr>
          <w:rFonts w:eastAsia="Times New Roman" w:cs="Times New Roman"/>
          <w:szCs w:val="19"/>
          <w:lang w:val="en-GB" w:eastAsia="pl-PL"/>
        </w:rPr>
        <w:t>8</w:t>
      </w:r>
      <w:r w:rsidR="004524BB" w:rsidRPr="00276506">
        <w:rPr>
          <w:rFonts w:eastAsia="Times New Roman" w:cs="Times New Roman"/>
          <w:szCs w:val="19"/>
          <w:lang w:val="en-GB" w:eastAsia="pl-PL"/>
        </w:rPr>
        <w:t>%</w:t>
      </w:r>
      <w:r w:rsidR="00FE4DFD" w:rsidRPr="00276506">
        <w:rPr>
          <w:rFonts w:eastAsia="Times New Roman" w:cs="Times New Roman"/>
          <w:szCs w:val="19"/>
          <w:lang w:val="en-GB" w:eastAsia="pl-PL"/>
        </w:rPr>
        <w:t xml:space="preserve">. For </w:t>
      </w:r>
      <w:r w:rsidR="00C03034">
        <w:rPr>
          <w:rFonts w:eastAsia="Times New Roman" w:cs="Times New Roman"/>
          <w:szCs w:val="19"/>
          <w:lang w:val="en-GB" w:eastAsia="pl-PL"/>
        </w:rPr>
        <w:t xml:space="preserve">the subpopulation of persons </w:t>
      </w:r>
      <w:r w:rsidR="00FE4DFD" w:rsidRPr="00F7269F">
        <w:rPr>
          <w:rFonts w:eastAsia="Times New Roman" w:cs="Times New Roman"/>
          <w:szCs w:val="19"/>
          <w:lang w:val="en-GB" w:eastAsia="pl-PL"/>
        </w:rPr>
        <w:t xml:space="preserve">with </w:t>
      </w:r>
      <w:bookmarkStart w:id="2" w:name="_Hlk198634992"/>
      <w:r w:rsidR="00FE4DFD" w:rsidRPr="00F7269F">
        <w:rPr>
          <w:rFonts w:eastAsia="Times New Roman" w:cs="Times New Roman"/>
          <w:szCs w:val="19"/>
          <w:lang w:val="en-GB" w:eastAsia="pl-PL"/>
        </w:rPr>
        <w:t>post-secondary and technical secondary or secondary sectoral vocational education</w:t>
      </w:r>
      <w:bookmarkEnd w:id="2"/>
      <w:r w:rsidR="00FE4DFD" w:rsidRPr="00F7269F">
        <w:rPr>
          <w:rFonts w:eastAsia="Times New Roman" w:cs="Times New Roman"/>
          <w:szCs w:val="19"/>
          <w:lang w:val="en-GB" w:eastAsia="pl-PL"/>
        </w:rPr>
        <w:t xml:space="preserve">, unemployment rate </w:t>
      </w:r>
      <w:r w:rsidR="0007503C" w:rsidRPr="00276506">
        <w:rPr>
          <w:rFonts w:eastAsia="Times New Roman" w:cs="Times New Roman"/>
          <w:szCs w:val="19"/>
          <w:lang w:val="en-GB" w:eastAsia="pl-PL"/>
        </w:rPr>
        <w:t>was</w:t>
      </w:r>
      <w:r w:rsidR="00CE0660" w:rsidRPr="00276506">
        <w:rPr>
          <w:rFonts w:eastAsia="Times New Roman" w:cs="Times New Roman"/>
          <w:szCs w:val="19"/>
          <w:lang w:val="en-GB" w:eastAsia="pl-PL"/>
        </w:rPr>
        <w:t xml:space="preserve"> </w:t>
      </w:r>
      <w:r w:rsidR="0036721F" w:rsidRPr="00276506">
        <w:rPr>
          <w:rFonts w:eastAsia="Times New Roman" w:cs="Times New Roman"/>
          <w:szCs w:val="19"/>
          <w:lang w:val="en-GB" w:eastAsia="pl-PL"/>
        </w:rPr>
        <w:t>3.</w:t>
      </w:r>
      <w:r>
        <w:rPr>
          <w:rFonts w:eastAsia="Times New Roman" w:cs="Times New Roman"/>
          <w:szCs w:val="19"/>
          <w:lang w:val="en-GB" w:eastAsia="pl-PL"/>
        </w:rPr>
        <w:t>3</w:t>
      </w:r>
      <w:r w:rsidR="00FE4DFD" w:rsidRPr="00276506">
        <w:rPr>
          <w:rFonts w:eastAsia="Times New Roman" w:cs="Times New Roman"/>
          <w:szCs w:val="19"/>
          <w:lang w:val="en-GB" w:eastAsia="pl-PL"/>
        </w:rPr>
        <w:t xml:space="preserve">% </w:t>
      </w:r>
      <w:r w:rsidR="00FE4DFD" w:rsidRPr="00F7269F">
        <w:rPr>
          <w:rFonts w:eastAsia="Times New Roman" w:cs="Times New Roman"/>
          <w:szCs w:val="19"/>
          <w:lang w:val="en-GB" w:eastAsia="pl-PL"/>
        </w:rPr>
        <w:t xml:space="preserve">and for those with </w:t>
      </w:r>
      <w:bookmarkStart w:id="3" w:name="_Hlk183154116"/>
      <w:r w:rsidR="00276506" w:rsidRPr="00181CA6">
        <w:rPr>
          <w:rFonts w:eastAsia="Times New Roman" w:cs="Times New Roman"/>
          <w:szCs w:val="19"/>
          <w:lang w:val="en-GB" w:eastAsia="pl-PL"/>
        </w:rPr>
        <w:t>general secondary education</w:t>
      </w:r>
      <w:bookmarkEnd w:id="3"/>
      <w:r w:rsidR="0007503C">
        <w:rPr>
          <w:rFonts w:eastAsia="Times New Roman" w:cs="Times New Roman"/>
          <w:szCs w:val="19"/>
          <w:lang w:val="en-GB" w:eastAsia="pl-PL"/>
        </w:rPr>
        <w:t xml:space="preserve">– </w:t>
      </w:r>
      <w:r w:rsidR="0086335E" w:rsidRPr="00276506">
        <w:rPr>
          <w:rFonts w:eastAsia="Times New Roman" w:cs="Times New Roman"/>
          <w:szCs w:val="19"/>
          <w:lang w:val="en-GB" w:eastAsia="pl-PL"/>
        </w:rPr>
        <w:t>3</w:t>
      </w:r>
      <w:r w:rsidR="00181CA6" w:rsidRPr="00276506">
        <w:rPr>
          <w:rFonts w:eastAsia="Times New Roman" w:cs="Times New Roman"/>
          <w:szCs w:val="19"/>
          <w:lang w:val="en-GB" w:eastAsia="pl-PL"/>
        </w:rPr>
        <w:t>.</w:t>
      </w:r>
      <w:r>
        <w:rPr>
          <w:rFonts w:eastAsia="Times New Roman" w:cs="Times New Roman"/>
          <w:szCs w:val="19"/>
          <w:lang w:val="en-GB" w:eastAsia="pl-PL"/>
        </w:rPr>
        <w:t>7</w:t>
      </w:r>
      <w:r w:rsidR="00FE4DFD" w:rsidRPr="00276506">
        <w:rPr>
          <w:rFonts w:eastAsia="Times New Roman" w:cs="Times New Roman"/>
          <w:szCs w:val="19"/>
          <w:lang w:val="en-GB" w:eastAsia="pl-PL"/>
        </w:rPr>
        <w:t xml:space="preserve">%. </w:t>
      </w:r>
      <w:r w:rsidR="00181CA6" w:rsidRPr="00181CA6">
        <w:rPr>
          <w:rFonts w:eastAsia="Times New Roman" w:cs="Times New Roman"/>
          <w:szCs w:val="19"/>
          <w:lang w:val="en-GB" w:eastAsia="pl-PL"/>
        </w:rPr>
        <w:t>Among pe</w:t>
      </w:r>
      <w:r w:rsidR="00181CA6">
        <w:rPr>
          <w:rFonts w:eastAsia="Times New Roman" w:cs="Times New Roman"/>
          <w:szCs w:val="19"/>
          <w:lang w:val="en-GB" w:eastAsia="pl-PL"/>
        </w:rPr>
        <w:t>rsons</w:t>
      </w:r>
      <w:r w:rsidR="00276506">
        <w:rPr>
          <w:rFonts w:eastAsia="Times New Roman" w:cs="Times New Roman"/>
          <w:szCs w:val="19"/>
          <w:lang w:val="en-GB" w:eastAsia="pl-PL"/>
        </w:rPr>
        <w:t xml:space="preserve"> with </w:t>
      </w:r>
      <w:r w:rsidR="00276506" w:rsidRPr="00F7269F">
        <w:rPr>
          <w:rFonts w:eastAsia="Times New Roman" w:cs="Times New Roman"/>
          <w:szCs w:val="19"/>
          <w:lang w:val="en-GB" w:eastAsia="pl-PL"/>
        </w:rPr>
        <w:t xml:space="preserve">basic vocational or basic sectoral vocational education </w:t>
      </w:r>
      <w:r w:rsidR="00181CA6" w:rsidRPr="00181CA6">
        <w:rPr>
          <w:rFonts w:eastAsia="Times New Roman" w:cs="Times New Roman"/>
          <w:szCs w:val="19"/>
          <w:lang w:val="en-GB" w:eastAsia="pl-PL"/>
        </w:rPr>
        <w:t xml:space="preserve">the unemployment rate in </w:t>
      </w:r>
      <w:r w:rsidR="00181CA6">
        <w:rPr>
          <w:rFonts w:eastAsia="Times New Roman" w:cs="Times New Roman"/>
          <w:szCs w:val="19"/>
          <w:lang w:val="en-GB" w:eastAsia="pl-PL"/>
        </w:rPr>
        <w:t xml:space="preserve">the </w:t>
      </w:r>
      <w:r w:rsidR="00C03034">
        <w:rPr>
          <w:rFonts w:eastAsia="Times New Roman" w:cs="Times New Roman"/>
          <w:szCs w:val="19"/>
          <w:lang w:val="en-GB" w:eastAsia="pl-PL"/>
        </w:rPr>
        <w:t>analysed</w:t>
      </w:r>
      <w:r w:rsidR="00181CA6">
        <w:rPr>
          <w:rFonts w:eastAsia="Times New Roman" w:cs="Times New Roman"/>
          <w:szCs w:val="19"/>
          <w:lang w:val="en-GB" w:eastAsia="pl-PL"/>
        </w:rPr>
        <w:t xml:space="preserve"> quarter </w:t>
      </w:r>
      <w:r w:rsidR="00181CA6" w:rsidRPr="00276506">
        <w:rPr>
          <w:rFonts w:eastAsia="Times New Roman" w:cs="Times New Roman"/>
          <w:szCs w:val="19"/>
          <w:lang w:val="en-GB" w:eastAsia="pl-PL"/>
        </w:rPr>
        <w:t xml:space="preserve">was </w:t>
      </w:r>
      <w:r w:rsidR="00276506" w:rsidRPr="00276506">
        <w:rPr>
          <w:rFonts w:eastAsia="Times New Roman" w:cs="Times New Roman"/>
          <w:szCs w:val="19"/>
          <w:lang w:val="en-GB" w:eastAsia="pl-PL"/>
        </w:rPr>
        <w:t>4</w:t>
      </w:r>
      <w:r w:rsidR="0036721F" w:rsidRPr="00276506">
        <w:rPr>
          <w:rFonts w:eastAsia="Times New Roman" w:cs="Times New Roman"/>
          <w:szCs w:val="19"/>
          <w:lang w:val="en-GB" w:eastAsia="pl-PL"/>
        </w:rPr>
        <w:t>.</w:t>
      </w:r>
      <w:r w:rsidR="00276506" w:rsidRPr="00276506">
        <w:rPr>
          <w:rFonts w:eastAsia="Times New Roman" w:cs="Times New Roman"/>
          <w:szCs w:val="19"/>
          <w:lang w:val="en-GB" w:eastAsia="pl-PL"/>
        </w:rPr>
        <w:t>7</w:t>
      </w:r>
      <w:r w:rsidR="00181CA6" w:rsidRPr="00276506">
        <w:rPr>
          <w:rFonts w:eastAsia="Times New Roman" w:cs="Times New Roman"/>
          <w:szCs w:val="19"/>
          <w:lang w:val="en-GB" w:eastAsia="pl-PL"/>
        </w:rPr>
        <w:t xml:space="preserve">%. </w:t>
      </w:r>
      <w:r w:rsidR="00C03034">
        <w:rPr>
          <w:rFonts w:eastAsia="Times New Roman" w:cs="Times New Roman"/>
          <w:szCs w:val="19"/>
          <w:lang w:val="en-GB" w:eastAsia="pl-PL"/>
        </w:rPr>
        <w:t>However,</w:t>
      </w:r>
      <w:r w:rsidR="00FE4DFD" w:rsidRPr="00F7269F">
        <w:rPr>
          <w:rFonts w:eastAsia="Times New Roman" w:cs="Times New Roman"/>
          <w:szCs w:val="19"/>
          <w:lang w:val="en-GB" w:eastAsia="pl-PL"/>
        </w:rPr>
        <w:t xml:space="preserve"> the highest unemployment rate </w:t>
      </w:r>
      <w:r w:rsidR="00C03034">
        <w:rPr>
          <w:rFonts w:eastAsia="Times New Roman" w:cs="Times New Roman"/>
          <w:szCs w:val="19"/>
          <w:lang w:val="en-GB" w:eastAsia="pl-PL"/>
        </w:rPr>
        <w:t xml:space="preserve">– </w:t>
      </w:r>
      <w:r w:rsidR="00A473A8" w:rsidRPr="00276506">
        <w:rPr>
          <w:rFonts w:eastAsia="Times New Roman" w:cs="Times New Roman"/>
          <w:szCs w:val="19"/>
          <w:lang w:val="en-GB" w:eastAsia="pl-PL"/>
        </w:rPr>
        <w:t>1</w:t>
      </w:r>
      <w:r w:rsidR="00276506" w:rsidRPr="00276506">
        <w:rPr>
          <w:rFonts w:eastAsia="Times New Roman" w:cs="Times New Roman"/>
          <w:szCs w:val="19"/>
          <w:lang w:val="en-GB" w:eastAsia="pl-PL"/>
        </w:rPr>
        <w:t>2</w:t>
      </w:r>
      <w:r w:rsidR="00C03034" w:rsidRPr="00276506">
        <w:rPr>
          <w:rFonts w:eastAsia="Times New Roman" w:cs="Times New Roman"/>
          <w:szCs w:val="19"/>
          <w:lang w:val="en-GB" w:eastAsia="pl-PL"/>
        </w:rPr>
        <w:t>.</w:t>
      </w:r>
      <w:r>
        <w:rPr>
          <w:rFonts w:eastAsia="Times New Roman" w:cs="Times New Roman"/>
          <w:szCs w:val="19"/>
          <w:lang w:val="en-GB" w:eastAsia="pl-PL"/>
        </w:rPr>
        <w:t>8</w:t>
      </w:r>
      <w:r w:rsidR="00C03034" w:rsidRPr="00276506">
        <w:rPr>
          <w:rFonts w:eastAsia="Times New Roman" w:cs="Times New Roman"/>
          <w:szCs w:val="19"/>
          <w:lang w:val="en-GB" w:eastAsia="pl-PL"/>
        </w:rPr>
        <w:t xml:space="preserve">% concerned </w:t>
      </w:r>
      <w:r w:rsidR="00C03034" w:rsidRPr="00C03034">
        <w:rPr>
          <w:rFonts w:eastAsia="Times New Roman" w:cs="Times New Roman"/>
          <w:szCs w:val="19"/>
          <w:lang w:val="en-GB" w:eastAsia="pl-PL"/>
        </w:rPr>
        <w:t>the population with the lowest level of education, i.e., with lower secondary education or less</w:t>
      </w:r>
      <w:r w:rsidR="00C03034">
        <w:rPr>
          <w:rFonts w:eastAsia="Times New Roman" w:cs="Times New Roman"/>
          <w:szCs w:val="19"/>
          <w:lang w:val="en-GB" w:eastAsia="pl-PL"/>
        </w:rPr>
        <w:t>.</w:t>
      </w:r>
    </w:p>
    <w:p w14:paraId="36BF3860" w14:textId="6DD42C85" w:rsidR="00CE5B58" w:rsidRDefault="00CE5B58" w:rsidP="00EC5243">
      <w:pPr>
        <w:spacing w:before="60" w:after="0" w:line="288" w:lineRule="auto"/>
        <w:rPr>
          <w:rFonts w:eastAsia="Times New Roman" w:cs="Times New Roman"/>
          <w:szCs w:val="19"/>
          <w:lang w:val="en-GB" w:eastAsia="pl-PL"/>
        </w:rPr>
      </w:pPr>
      <w:r w:rsidRPr="00CE5B58">
        <w:rPr>
          <w:rFonts w:eastAsia="Times New Roman" w:cs="Times New Roman"/>
          <w:szCs w:val="19"/>
          <w:lang w:val="en-GB" w:eastAsia="pl-PL"/>
        </w:rPr>
        <w:t>Each unemployed person was classified into one of four categories</w:t>
      </w:r>
      <w:r w:rsidR="003A0600">
        <w:rPr>
          <w:rFonts w:eastAsia="Times New Roman" w:cs="Times New Roman"/>
          <w:szCs w:val="19"/>
          <w:lang w:val="en-GB" w:eastAsia="pl-PL"/>
        </w:rPr>
        <w:t xml:space="preserve"> </w:t>
      </w:r>
      <w:r w:rsidR="003A0600" w:rsidRPr="003A0600">
        <w:rPr>
          <w:rFonts w:eastAsia="Times New Roman" w:cs="Times New Roman"/>
          <w:szCs w:val="19"/>
          <w:lang w:val="en-GB" w:eastAsia="pl-PL"/>
        </w:rPr>
        <w:t>separated due to the reason of inflow to unemployment</w:t>
      </w:r>
      <w:r w:rsidRPr="00CE5B58">
        <w:rPr>
          <w:rFonts w:eastAsia="Times New Roman" w:cs="Times New Roman"/>
          <w:szCs w:val="19"/>
          <w:lang w:val="en-GB" w:eastAsia="pl-PL"/>
        </w:rPr>
        <w:t>. The largest population of unemployed were those who lost their job</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i.e. pe</w:t>
      </w:r>
      <w:r w:rsidR="005E0305">
        <w:rPr>
          <w:rFonts w:eastAsia="Times New Roman" w:cs="Times New Roman"/>
          <w:szCs w:val="19"/>
          <w:lang w:val="en-GB" w:eastAsia="pl-PL"/>
        </w:rPr>
        <w:t>rsons</w:t>
      </w:r>
      <w:r w:rsidRPr="00CE5B58">
        <w:rPr>
          <w:rFonts w:eastAsia="Times New Roman" w:cs="Times New Roman"/>
          <w:szCs w:val="19"/>
          <w:lang w:val="en-GB" w:eastAsia="pl-PL"/>
        </w:rPr>
        <w:t xml:space="preserve"> who left their last job </w:t>
      </w:r>
      <w:r w:rsidR="001B6465" w:rsidRPr="00CE5B58">
        <w:rPr>
          <w:rFonts w:eastAsia="Times New Roman" w:cs="Times New Roman"/>
          <w:szCs w:val="19"/>
          <w:lang w:val="en-GB" w:eastAsia="pl-PL"/>
        </w:rPr>
        <w:t>in the last 3</w:t>
      </w:r>
      <w:r w:rsidR="007347B3">
        <w:rPr>
          <w:rFonts w:eastAsia="Times New Roman" w:cs="Times New Roman"/>
          <w:szCs w:val="19"/>
          <w:lang w:val="en-GB" w:eastAsia="pl-PL"/>
        </w:rPr>
        <w:t xml:space="preserve"> </w:t>
      </w:r>
      <w:r w:rsidR="001B6465" w:rsidRPr="00CE5B58">
        <w:rPr>
          <w:rFonts w:eastAsia="Times New Roman" w:cs="Times New Roman"/>
          <w:szCs w:val="19"/>
          <w:lang w:val="en-GB" w:eastAsia="pl-PL"/>
        </w:rPr>
        <w:t xml:space="preserve">months </w:t>
      </w:r>
      <w:r w:rsidRPr="00CE5B58">
        <w:rPr>
          <w:rFonts w:eastAsia="Times New Roman" w:cs="Times New Roman"/>
          <w:szCs w:val="19"/>
          <w:lang w:val="en-GB" w:eastAsia="pl-PL"/>
        </w:rPr>
        <w:t>not on their own initiative (</w:t>
      </w:r>
      <w:r w:rsidR="007347B3" w:rsidRPr="007347B3">
        <w:rPr>
          <w:rFonts w:eastAsia="Times New Roman" w:cs="Times New Roman"/>
          <w:szCs w:val="19"/>
          <w:lang w:val="en-GB" w:eastAsia="pl-PL"/>
        </w:rPr>
        <w:t>4</w:t>
      </w:r>
      <w:r w:rsidR="0000181E">
        <w:rPr>
          <w:rFonts w:eastAsia="Times New Roman" w:cs="Times New Roman"/>
          <w:szCs w:val="19"/>
          <w:lang w:val="en-GB" w:eastAsia="pl-PL"/>
        </w:rPr>
        <w:t>5</w:t>
      </w:r>
      <w:r w:rsidR="00104006" w:rsidRPr="007347B3">
        <w:rPr>
          <w:rFonts w:eastAsia="Times New Roman" w:cs="Times New Roman"/>
          <w:szCs w:val="19"/>
          <w:lang w:val="en-GB" w:eastAsia="pl-PL"/>
        </w:rPr>
        <w:t>.</w:t>
      </w:r>
      <w:r w:rsidR="0000181E">
        <w:rPr>
          <w:rFonts w:eastAsia="Times New Roman" w:cs="Times New Roman"/>
          <w:szCs w:val="19"/>
          <w:lang w:val="en-GB" w:eastAsia="pl-PL"/>
        </w:rPr>
        <w:t>4</w:t>
      </w:r>
      <w:r w:rsidRPr="00CE5B58">
        <w:rPr>
          <w:rFonts w:eastAsia="Times New Roman" w:cs="Times New Roman"/>
          <w:szCs w:val="19"/>
          <w:lang w:val="en-GB" w:eastAsia="pl-PL"/>
        </w:rPr>
        <w:t>%, i.e</w:t>
      </w:r>
      <w:r w:rsidRPr="007347B3">
        <w:rPr>
          <w:rFonts w:eastAsia="Times New Roman" w:cs="Times New Roman"/>
          <w:szCs w:val="19"/>
          <w:lang w:val="en-GB" w:eastAsia="pl-PL"/>
        </w:rPr>
        <w:t xml:space="preserve">. </w:t>
      </w:r>
      <w:r w:rsidR="00791983" w:rsidRPr="007347B3">
        <w:rPr>
          <w:rFonts w:eastAsia="Times New Roman" w:cs="Times New Roman"/>
          <w:szCs w:val="19"/>
          <w:lang w:val="en-GB" w:eastAsia="pl-PL"/>
        </w:rPr>
        <w:t>2</w:t>
      </w:r>
      <w:r w:rsidR="0000181E">
        <w:rPr>
          <w:rFonts w:eastAsia="Times New Roman" w:cs="Times New Roman"/>
          <w:szCs w:val="19"/>
          <w:lang w:val="en-GB" w:eastAsia="pl-PL"/>
        </w:rPr>
        <w:t>63</w:t>
      </w:r>
      <w:r w:rsidRPr="007347B3">
        <w:rPr>
          <w:rFonts w:eastAsia="Times New Roman" w:cs="Times New Roman"/>
          <w:szCs w:val="19"/>
          <w:lang w:val="en-GB" w:eastAsia="pl-PL"/>
        </w:rPr>
        <w:t xml:space="preserve"> </w:t>
      </w:r>
      <w:r>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Pr="00CE5B58">
        <w:rPr>
          <w:rFonts w:eastAsia="Times New Roman" w:cs="Times New Roman"/>
          <w:szCs w:val="19"/>
          <w:lang w:val="en-GB" w:eastAsia="pl-PL"/>
        </w:rPr>
        <w:t xml:space="preserve">). The share of unemployed intending to return to work after a break (lasting longer than 3 months) was </w:t>
      </w:r>
      <w:r w:rsidRPr="007347B3">
        <w:rPr>
          <w:rFonts w:eastAsia="Times New Roman" w:cs="Times New Roman"/>
          <w:szCs w:val="19"/>
          <w:lang w:val="en-GB" w:eastAsia="pl-PL"/>
        </w:rPr>
        <w:t>2</w:t>
      </w:r>
      <w:r w:rsidR="0000181E">
        <w:rPr>
          <w:rFonts w:eastAsia="Times New Roman" w:cs="Times New Roman"/>
          <w:szCs w:val="19"/>
          <w:lang w:val="en-GB" w:eastAsia="pl-PL"/>
        </w:rPr>
        <w:t>2</w:t>
      </w:r>
      <w:r w:rsidR="00791983" w:rsidRPr="007347B3">
        <w:rPr>
          <w:rFonts w:eastAsia="Times New Roman" w:cs="Times New Roman"/>
          <w:szCs w:val="19"/>
          <w:lang w:val="en-GB" w:eastAsia="pl-PL"/>
        </w:rPr>
        <w:t>.</w:t>
      </w:r>
      <w:r w:rsidR="0000181E">
        <w:rPr>
          <w:rFonts w:eastAsia="Times New Roman" w:cs="Times New Roman"/>
          <w:szCs w:val="19"/>
          <w:lang w:val="en-GB" w:eastAsia="pl-PL"/>
        </w:rPr>
        <w:t>3</w:t>
      </w:r>
      <w:r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1B4257">
        <w:rPr>
          <w:rFonts w:eastAsia="Times New Roman" w:cs="Times New Roman"/>
          <w:szCs w:val="19"/>
          <w:lang w:val="en-GB" w:eastAsia="pl-PL"/>
        </w:rPr>
        <w:t xml:space="preserve">i.e. </w:t>
      </w:r>
      <w:r w:rsidRPr="007347B3">
        <w:rPr>
          <w:rFonts w:eastAsia="Times New Roman" w:cs="Times New Roman"/>
          <w:szCs w:val="19"/>
          <w:lang w:val="en-GB" w:eastAsia="pl-PL"/>
        </w:rPr>
        <w:t>1</w:t>
      </w:r>
      <w:r w:rsidR="0000181E">
        <w:rPr>
          <w:rFonts w:eastAsia="Times New Roman" w:cs="Times New Roman"/>
          <w:szCs w:val="19"/>
          <w:lang w:val="en-GB" w:eastAsia="pl-PL"/>
        </w:rPr>
        <w:t>29</w:t>
      </w:r>
      <w:r w:rsidRPr="007347B3">
        <w:rPr>
          <w:rFonts w:eastAsia="Times New Roman" w:cs="Times New Roman"/>
          <w:szCs w:val="19"/>
          <w:lang w:val="en-GB" w:eastAsia="pl-PL"/>
        </w:rPr>
        <w:t xml:space="preserve"> t</w:t>
      </w:r>
      <w:r w:rsidRPr="00CE5B58">
        <w:rPr>
          <w:rFonts w:eastAsia="Times New Roman" w:cs="Times New Roman"/>
          <w:szCs w:val="19"/>
          <w:lang w:val="en-GB" w:eastAsia="pl-PL"/>
        </w:rPr>
        <w:t>housand</w:t>
      </w:r>
      <w:r w:rsidR="00E21884">
        <w:rPr>
          <w:rFonts w:eastAsia="Times New Roman" w:cs="Times New Roman"/>
          <w:szCs w:val="19"/>
          <w:lang w:val="en-GB" w:eastAsia="pl-PL"/>
        </w:rPr>
        <w:t>)</w:t>
      </w:r>
      <w:r w:rsidRPr="00CE5B58">
        <w:rPr>
          <w:rFonts w:eastAsia="Times New Roman" w:cs="Times New Roman"/>
          <w:szCs w:val="19"/>
          <w:lang w:val="en-GB" w:eastAsia="pl-PL"/>
        </w:rPr>
        <w:t xml:space="preserve">, </w:t>
      </w:r>
      <w:r w:rsidR="00032FE8">
        <w:rPr>
          <w:rFonts w:eastAsia="Times New Roman" w:cs="Times New Roman"/>
          <w:szCs w:val="19"/>
          <w:lang w:val="en-GB" w:eastAsia="pl-PL"/>
        </w:rPr>
        <w:t xml:space="preserve">but </w:t>
      </w:r>
      <w:r w:rsidR="00B85292" w:rsidRPr="00B85292">
        <w:rPr>
          <w:rFonts w:eastAsia="Times New Roman" w:cs="Times New Roman"/>
          <w:szCs w:val="19"/>
          <w:lang w:val="en-GB" w:eastAsia="pl-PL"/>
        </w:rPr>
        <w:t xml:space="preserve">among women this </w:t>
      </w:r>
      <w:r w:rsidR="00B85292" w:rsidRPr="00E76081">
        <w:rPr>
          <w:rFonts w:eastAsia="Times New Roman" w:cs="Times New Roman"/>
          <w:szCs w:val="19"/>
          <w:lang w:val="en-GB" w:eastAsia="pl-PL"/>
        </w:rPr>
        <w:t xml:space="preserve">share was higher than among men and amounted </w:t>
      </w:r>
      <w:r w:rsidR="00B85292" w:rsidRPr="007347B3">
        <w:rPr>
          <w:rFonts w:eastAsia="Times New Roman" w:cs="Times New Roman"/>
          <w:szCs w:val="19"/>
          <w:lang w:val="en-GB" w:eastAsia="pl-PL"/>
        </w:rPr>
        <w:t xml:space="preserve">to </w:t>
      </w:r>
      <w:r w:rsidR="0000181E">
        <w:rPr>
          <w:rFonts w:eastAsia="Times New Roman" w:cs="Times New Roman"/>
          <w:szCs w:val="19"/>
          <w:lang w:val="en-GB" w:eastAsia="pl-PL"/>
        </w:rPr>
        <w:t>28</w:t>
      </w:r>
      <w:r w:rsidR="00104006" w:rsidRPr="007347B3">
        <w:rPr>
          <w:rFonts w:eastAsia="Times New Roman" w:cs="Times New Roman"/>
          <w:szCs w:val="19"/>
          <w:lang w:val="en-GB" w:eastAsia="pl-PL"/>
        </w:rPr>
        <w:t>.</w:t>
      </w:r>
      <w:r w:rsidR="0000181E">
        <w:rPr>
          <w:rFonts w:eastAsia="Times New Roman" w:cs="Times New Roman"/>
          <w:szCs w:val="19"/>
          <w:lang w:val="en-GB" w:eastAsia="pl-PL"/>
        </w:rPr>
        <w:t>0</w:t>
      </w:r>
      <w:r w:rsidR="00B85292" w:rsidRPr="007347B3">
        <w:rPr>
          <w:rFonts w:eastAsia="Times New Roman" w:cs="Times New Roman"/>
          <w:szCs w:val="19"/>
          <w:lang w:val="en-GB" w:eastAsia="pl-PL"/>
        </w:rPr>
        <w:t xml:space="preserve">% and </w:t>
      </w:r>
      <w:r w:rsidR="0000181E">
        <w:rPr>
          <w:rFonts w:eastAsia="Times New Roman" w:cs="Times New Roman"/>
          <w:szCs w:val="19"/>
          <w:lang w:val="en-GB" w:eastAsia="pl-PL"/>
        </w:rPr>
        <w:t>16</w:t>
      </w:r>
      <w:r w:rsidR="00104006" w:rsidRPr="007347B3">
        <w:rPr>
          <w:rFonts w:eastAsia="Times New Roman" w:cs="Times New Roman"/>
          <w:szCs w:val="19"/>
          <w:lang w:val="en-GB" w:eastAsia="pl-PL"/>
        </w:rPr>
        <w:t>.</w:t>
      </w:r>
      <w:r w:rsidR="0000181E">
        <w:rPr>
          <w:rFonts w:eastAsia="Times New Roman" w:cs="Times New Roman"/>
          <w:szCs w:val="19"/>
          <w:lang w:val="en-GB" w:eastAsia="pl-PL"/>
        </w:rPr>
        <w:t>9</w:t>
      </w:r>
      <w:r w:rsidR="00B85292" w:rsidRPr="007347B3">
        <w:rPr>
          <w:rFonts w:eastAsia="Times New Roman" w:cs="Times New Roman"/>
          <w:szCs w:val="19"/>
          <w:lang w:val="en-GB" w:eastAsia="pl-PL"/>
        </w:rPr>
        <w:t xml:space="preserve">%, </w:t>
      </w:r>
      <w:r w:rsidR="00B85292" w:rsidRPr="00E76081">
        <w:rPr>
          <w:rFonts w:eastAsia="Times New Roman" w:cs="Times New Roman"/>
          <w:szCs w:val="19"/>
          <w:lang w:val="en-GB" w:eastAsia="pl-PL"/>
        </w:rPr>
        <w:t xml:space="preserve">respectively. </w:t>
      </w:r>
      <w:r w:rsidR="00737DD4">
        <w:rPr>
          <w:rFonts w:eastAsia="Times New Roman" w:cs="Times New Roman"/>
          <w:szCs w:val="19"/>
          <w:lang w:val="en-GB" w:eastAsia="pl-PL"/>
        </w:rPr>
        <w:t xml:space="preserve">The </w:t>
      </w:r>
      <w:r w:rsidR="007347B3">
        <w:rPr>
          <w:rFonts w:eastAsia="Times New Roman" w:cs="Times New Roman"/>
          <w:szCs w:val="19"/>
          <w:lang w:val="en-GB" w:eastAsia="pl-PL"/>
        </w:rPr>
        <w:t xml:space="preserve">share of </w:t>
      </w:r>
      <w:r w:rsidR="00737DD4">
        <w:rPr>
          <w:rFonts w:eastAsia="Times New Roman" w:cs="Times New Roman"/>
          <w:szCs w:val="19"/>
          <w:lang w:val="en-GB" w:eastAsia="pl-PL"/>
        </w:rPr>
        <w:t>u</w:t>
      </w:r>
      <w:r w:rsidRPr="00E76081">
        <w:rPr>
          <w:rFonts w:eastAsia="Times New Roman" w:cs="Times New Roman"/>
          <w:szCs w:val="19"/>
          <w:lang w:val="en-GB" w:eastAsia="pl-PL"/>
        </w:rPr>
        <w:t xml:space="preserve">nemployed </w:t>
      </w:r>
      <w:r w:rsidR="0000181E" w:rsidRPr="00E76081">
        <w:rPr>
          <w:rFonts w:eastAsia="Times New Roman" w:cs="Times New Roman"/>
          <w:szCs w:val="19"/>
          <w:lang w:val="en-GB" w:eastAsia="pl-PL"/>
        </w:rPr>
        <w:t>who were looking for their first job</w:t>
      </w:r>
      <w:r w:rsidR="0000181E">
        <w:rPr>
          <w:rFonts w:eastAsia="Times New Roman" w:cs="Times New Roman"/>
          <w:szCs w:val="19"/>
          <w:lang w:val="en-GB" w:eastAsia="pl-PL"/>
        </w:rPr>
        <w:t xml:space="preserve"> </w:t>
      </w:r>
      <w:r w:rsidR="009D0287">
        <w:rPr>
          <w:rFonts w:eastAsia="Times New Roman" w:cs="Times New Roman"/>
          <w:szCs w:val="19"/>
          <w:lang w:val="en-GB" w:eastAsia="pl-PL"/>
        </w:rPr>
        <w:t>amounted to</w:t>
      </w:r>
      <w:r w:rsidR="00690E6F">
        <w:rPr>
          <w:rFonts w:eastAsia="Times New Roman" w:cs="Times New Roman"/>
          <w:szCs w:val="19"/>
          <w:lang w:val="en-GB" w:eastAsia="pl-PL"/>
        </w:rPr>
        <w:t xml:space="preserve"> </w:t>
      </w:r>
      <w:r w:rsidR="0000181E" w:rsidRPr="007347B3">
        <w:rPr>
          <w:rFonts w:eastAsia="Times New Roman" w:cs="Times New Roman"/>
          <w:szCs w:val="19"/>
          <w:lang w:val="en-GB" w:eastAsia="pl-PL"/>
        </w:rPr>
        <w:t>1</w:t>
      </w:r>
      <w:r w:rsidR="0000181E">
        <w:rPr>
          <w:rFonts w:eastAsia="Times New Roman" w:cs="Times New Roman"/>
          <w:szCs w:val="19"/>
          <w:lang w:val="en-GB" w:eastAsia="pl-PL"/>
        </w:rPr>
        <w:t>6</w:t>
      </w:r>
      <w:r w:rsidR="0000181E" w:rsidRPr="007347B3">
        <w:rPr>
          <w:rFonts w:eastAsia="Times New Roman" w:cs="Times New Roman"/>
          <w:szCs w:val="19"/>
          <w:lang w:val="en-GB" w:eastAsia="pl-PL"/>
        </w:rPr>
        <w:t>.</w:t>
      </w:r>
      <w:r w:rsidR="0000181E">
        <w:rPr>
          <w:rFonts w:eastAsia="Times New Roman" w:cs="Times New Roman"/>
          <w:szCs w:val="19"/>
          <w:lang w:val="en-GB" w:eastAsia="pl-PL"/>
        </w:rPr>
        <w:t>2</w:t>
      </w:r>
      <w:r w:rsidR="0000181E" w:rsidRPr="007347B3">
        <w:rPr>
          <w:rFonts w:eastAsia="Times New Roman" w:cs="Times New Roman"/>
          <w:szCs w:val="19"/>
          <w:lang w:val="en-GB" w:eastAsia="pl-PL"/>
        </w:rPr>
        <w:t>% (i.e.</w:t>
      </w:r>
      <w:r w:rsidR="0000181E">
        <w:rPr>
          <w:rFonts w:eastAsia="Times New Roman" w:cs="Times New Roman"/>
          <w:szCs w:val="19"/>
          <w:lang w:val="en-GB" w:eastAsia="pl-PL"/>
        </w:rPr>
        <w:t xml:space="preserve"> 94 </w:t>
      </w:r>
      <w:r w:rsidR="0000181E" w:rsidRPr="007347B3">
        <w:rPr>
          <w:rFonts w:eastAsia="Times New Roman" w:cs="Times New Roman"/>
          <w:szCs w:val="19"/>
          <w:lang w:val="en-GB" w:eastAsia="pl-PL"/>
        </w:rPr>
        <w:t>thousand</w:t>
      </w:r>
      <w:r w:rsidR="0000181E" w:rsidRPr="00E76081">
        <w:rPr>
          <w:rFonts w:eastAsia="Times New Roman" w:cs="Times New Roman"/>
          <w:szCs w:val="19"/>
          <w:lang w:val="en-GB" w:eastAsia="pl-PL"/>
        </w:rPr>
        <w:t>)</w:t>
      </w:r>
      <w:r w:rsidR="0000181E">
        <w:rPr>
          <w:rFonts w:eastAsia="Times New Roman" w:cs="Times New Roman"/>
          <w:szCs w:val="19"/>
          <w:lang w:val="en-GB" w:eastAsia="pl-PL"/>
        </w:rPr>
        <w:t xml:space="preserve"> and unemployed persons </w:t>
      </w:r>
      <w:r w:rsidR="007347B3">
        <w:rPr>
          <w:rFonts w:eastAsia="Times New Roman" w:cs="Times New Roman"/>
          <w:szCs w:val="19"/>
          <w:lang w:val="en-GB" w:eastAsia="pl-PL"/>
        </w:rPr>
        <w:t>who</w:t>
      </w:r>
      <w:r w:rsidR="007347B3" w:rsidRPr="00104006">
        <w:rPr>
          <w:rFonts w:eastAsia="Times New Roman" w:cs="Times New Roman"/>
          <w:szCs w:val="19"/>
          <w:lang w:val="en-GB" w:eastAsia="pl-PL"/>
        </w:rPr>
        <w:t xml:space="preserve"> </w:t>
      </w:r>
      <w:r w:rsidR="007347B3" w:rsidRPr="00E76081">
        <w:rPr>
          <w:rFonts w:eastAsia="Times New Roman" w:cs="Times New Roman"/>
          <w:szCs w:val="19"/>
          <w:lang w:val="en-GB" w:eastAsia="pl-PL"/>
        </w:rPr>
        <w:t xml:space="preserve">resigned from work on their own initiative </w:t>
      </w:r>
      <w:r w:rsidR="007347B3">
        <w:rPr>
          <w:rFonts w:eastAsia="Times New Roman" w:cs="Times New Roman"/>
          <w:szCs w:val="19"/>
          <w:lang w:val="en-GB" w:eastAsia="pl-PL"/>
        </w:rPr>
        <w:t>was 16.1% (</w:t>
      </w:r>
      <w:r w:rsidR="007347B3" w:rsidRPr="00CE5B58">
        <w:rPr>
          <w:rFonts w:eastAsia="Times New Roman" w:cs="Times New Roman"/>
          <w:szCs w:val="19"/>
          <w:lang w:val="en-GB" w:eastAsia="pl-PL"/>
        </w:rPr>
        <w:t>i.e</w:t>
      </w:r>
      <w:r w:rsidR="007347B3" w:rsidRPr="007347B3">
        <w:rPr>
          <w:rFonts w:eastAsia="Times New Roman" w:cs="Times New Roman"/>
          <w:szCs w:val="19"/>
          <w:lang w:val="en-GB" w:eastAsia="pl-PL"/>
        </w:rPr>
        <w:t xml:space="preserve">. </w:t>
      </w:r>
      <w:r w:rsidR="007347B3">
        <w:rPr>
          <w:rFonts w:eastAsia="Times New Roman" w:cs="Times New Roman"/>
          <w:szCs w:val="19"/>
          <w:lang w:val="en-GB" w:eastAsia="pl-PL"/>
        </w:rPr>
        <w:t>9</w:t>
      </w:r>
      <w:r w:rsidR="0000181E">
        <w:rPr>
          <w:rFonts w:eastAsia="Times New Roman" w:cs="Times New Roman"/>
          <w:szCs w:val="19"/>
          <w:lang w:val="en-GB" w:eastAsia="pl-PL"/>
        </w:rPr>
        <w:t>3</w:t>
      </w:r>
      <w:r w:rsidR="007347B3" w:rsidRPr="007347B3">
        <w:rPr>
          <w:rFonts w:eastAsia="Times New Roman" w:cs="Times New Roman"/>
          <w:szCs w:val="19"/>
          <w:lang w:val="en-GB" w:eastAsia="pl-PL"/>
        </w:rPr>
        <w:t xml:space="preserve"> </w:t>
      </w:r>
      <w:r w:rsidR="007347B3">
        <w:rPr>
          <w:rFonts w:eastAsia="Times New Roman" w:cs="Times New Roman"/>
          <w:szCs w:val="19"/>
          <w:lang w:val="en-GB" w:eastAsia="pl-PL"/>
        </w:rPr>
        <w:t xml:space="preserve">thousand persons) </w:t>
      </w:r>
      <w:r w:rsidR="00C03034" w:rsidRPr="00C03034">
        <w:rPr>
          <w:rFonts w:eastAsia="Times New Roman" w:cs="Times New Roman"/>
          <w:szCs w:val="19"/>
          <w:lang w:val="en-GB" w:eastAsia="pl-PL"/>
        </w:rPr>
        <w:t>of the entire unemployed population</w:t>
      </w:r>
      <w:r w:rsidRPr="00E76081">
        <w:rPr>
          <w:rFonts w:eastAsia="Times New Roman" w:cs="Times New Roman"/>
          <w:szCs w:val="19"/>
          <w:lang w:val="en-GB" w:eastAsia="pl-PL"/>
        </w:rPr>
        <w:t>.</w:t>
      </w:r>
    </w:p>
    <w:p w14:paraId="4127B37D" w14:textId="77777777" w:rsidR="00D62A8F" w:rsidRDefault="00D62A8F" w:rsidP="00EC5243">
      <w:pPr>
        <w:spacing w:before="60" w:after="0" w:line="288" w:lineRule="auto"/>
        <w:rPr>
          <w:rFonts w:eastAsia="Times New Roman" w:cs="Times New Roman"/>
          <w:szCs w:val="19"/>
          <w:lang w:val="en-GB" w:eastAsia="pl-PL"/>
        </w:rPr>
      </w:pPr>
    </w:p>
    <w:p w14:paraId="1645A9B2" w14:textId="376476CA" w:rsidR="002C7AD1" w:rsidRDefault="003F341C" w:rsidP="00EC5243">
      <w:pPr>
        <w:spacing w:line="259" w:lineRule="auto"/>
        <w:ind w:left="851" w:hanging="851"/>
        <w:rPr>
          <w:b/>
          <w:shd w:val="clear" w:color="auto" w:fill="FFFFFF"/>
          <w:lang w:val="en-GB"/>
        </w:rPr>
      </w:pPr>
      <w:r w:rsidRPr="0053285E">
        <w:rPr>
          <w:b/>
          <w:shd w:val="clear" w:color="auto" w:fill="FFFFFF"/>
          <w:lang w:val="en-GB"/>
        </w:rPr>
        <w:lastRenderedPageBreak/>
        <w:t>Chart</w:t>
      </w:r>
      <w:r w:rsidR="00D62410" w:rsidRPr="0053285E">
        <w:rPr>
          <w:b/>
          <w:shd w:val="clear" w:color="auto" w:fill="FFFFFF"/>
          <w:lang w:val="en-GB"/>
        </w:rPr>
        <w:t xml:space="preserve"> </w:t>
      </w:r>
      <w:r w:rsidR="00C40DA4">
        <w:rPr>
          <w:b/>
          <w:shd w:val="clear" w:color="auto" w:fill="FFFFFF"/>
          <w:lang w:val="en-GB"/>
        </w:rPr>
        <w:t>9</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w:t>
      </w:r>
      <w:r w:rsidR="0065581C">
        <w:rPr>
          <w:b/>
          <w:shd w:val="clear" w:color="auto" w:fill="FFFFFF"/>
          <w:lang w:val="en-GB"/>
        </w:rPr>
        <w:t xml:space="preserve">inflow to </w:t>
      </w:r>
      <w:r w:rsidR="00D46BC5" w:rsidRPr="0053285E">
        <w:rPr>
          <w:b/>
          <w:shd w:val="clear" w:color="auto" w:fill="FFFFFF"/>
          <w:lang w:val="en-GB"/>
        </w:rPr>
        <w:t xml:space="preserve">unemployment in the </w:t>
      </w:r>
      <w:r w:rsidR="002951B0">
        <w:rPr>
          <w:b/>
          <w:shd w:val="clear" w:color="auto" w:fill="FFFFFF"/>
          <w:lang w:val="en-GB"/>
        </w:rPr>
        <w:t>f</w:t>
      </w:r>
      <w:r w:rsidR="00540684">
        <w:rPr>
          <w:b/>
          <w:shd w:val="clear" w:color="auto" w:fill="FFFFFF"/>
          <w:lang w:val="en-GB"/>
        </w:rPr>
        <w:t>irst</w:t>
      </w:r>
      <w:r w:rsidR="00CC3E09">
        <w:rPr>
          <w:b/>
          <w:shd w:val="clear" w:color="auto" w:fill="FFFFFF"/>
          <w:lang w:val="en-GB"/>
        </w:rPr>
        <w:t xml:space="preserve"> </w:t>
      </w:r>
      <w:r w:rsidR="00D46BC5" w:rsidRPr="0053285E">
        <w:rPr>
          <w:b/>
          <w:shd w:val="clear" w:color="auto" w:fill="FFFFFF"/>
          <w:lang w:val="en-GB"/>
        </w:rPr>
        <w:t>quarter of 202</w:t>
      </w:r>
      <w:r w:rsidR="00540684">
        <w:rPr>
          <w:b/>
          <w:shd w:val="clear" w:color="auto" w:fill="FFFFFF"/>
          <w:lang w:val="en-GB"/>
        </w:rPr>
        <w:t>6</w:t>
      </w:r>
      <w:r w:rsidR="00D46BC5" w:rsidRPr="0053285E">
        <w:rPr>
          <w:b/>
          <w:shd w:val="clear" w:color="auto" w:fill="FFFFFF"/>
          <w:lang w:val="en-GB"/>
        </w:rPr>
        <w:t xml:space="preserve"> (in %) </w:t>
      </w:r>
      <w:bookmarkEnd w:id="1"/>
    </w:p>
    <w:p w14:paraId="476994D7" w14:textId="720CCF8B" w:rsidR="00126050" w:rsidRDefault="00540684" w:rsidP="00455396">
      <w:pPr>
        <w:spacing w:before="60" w:after="0"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4CD8B735" wp14:editId="41A1B2A8">
            <wp:extent cx="4882101" cy="1694848"/>
            <wp:effectExtent l="0" t="0" r="0" b="635"/>
            <wp:docPr id="32" name="Obraz 32" descr="Chart 9. Structure of unemployed persons by the source of inflow to unemployment in the first quarter of 2026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4569" cy="1699176"/>
                    </a:xfrm>
                    <a:prstGeom prst="rect">
                      <a:avLst/>
                    </a:prstGeom>
                    <a:noFill/>
                  </pic:spPr>
                </pic:pic>
              </a:graphicData>
            </a:graphic>
          </wp:inline>
        </w:drawing>
      </w:r>
    </w:p>
    <w:p w14:paraId="2B0050ED" w14:textId="0F677D0B" w:rsidR="0073775E" w:rsidRDefault="00D62A8F" w:rsidP="008F4FF8">
      <w:pPr>
        <w:spacing w:before="60" w:after="0" w:line="288" w:lineRule="auto"/>
        <w:rPr>
          <w:rFonts w:eastAsia="Times New Roman" w:cs="Times New Roman"/>
          <w:szCs w:val="19"/>
          <w:lang w:val="en-GB" w:eastAsia="pl-PL"/>
        </w:rPr>
      </w:pPr>
      <w:r w:rsidRPr="00455396">
        <w:rPr>
          <w:rFonts w:eastAsia="Times New Roman" w:cs="Times New Roman"/>
          <w:noProof/>
          <w:szCs w:val="19"/>
          <w:lang w:val="en-GB" w:eastAsia="pl-PL"/>
        </w:rPr>
        <mc:AlternateContent>
          <mc:Choice Requires="wps">
            <w:drawing>
              <wp:anchor distT="45720" distB="45720" distL="114300" distR="114300" simplePos="0" relativeHeight="251803136" behindDoc="1" locked="0" layoutInCell="1" allowOverlap="1" wp14:anchorId="34C2417B" wp14:editId="10D6174A">
                <wp:simplePos x="0" y="0"/>
                <wp:positionH relativeFrom="column">
                  <wp:posOffset>5269865</wp:posOffset>
                </wp:positionH>
                <wp:positionV relativeFrom="paragraph">
                  <wp:posOffset>259715</wp:posOffset>
                </wp:positionV>
                <wp:extent cx="1609090" cy="920750"/>
                <wp:effectExtent l="0" t="0" r="0" b="0"/>
                <wp:wrapTight wrapText="bothSides">
                  <wp:wrapPolygon edited="0">
                    <wp:start x="767" y="0"/>
                    <wp:lineTo x="767" y="21004"/>
                    <wp:lineTo x="20713" y="21004"/>
                    <wp:lineTo x="20713" y="0"/>
                    <wp:lineTo x="767" y="0"/>
                  </wp:wrapPolygon>
                </wp:wrapTight>
                <wp:docPr id="25" name="Pole tekstowe 2" descr="The average duration of job search by unemployed persons in the first quarter of 2026 was 8.5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20750"/>
                        </a:xfrm>
                        <a:prstGeom prst="rect">
                          <a:avLst/>
                        </a:prstGeom>
                        <a:noFill/>
                        <a:ln w="9525">
                          <a:noFill/>
                          <a:miter lim="800000"/>
                          <a:headEnd/>
                          <a:tailEnd/>
                        </a:ln>
                      </wps:spPr>
                      <wps:txbx>
                        <w:txbxContent>
                          <w:p w14:paraId="3B89A8CF" w14:textId="7BF9C2F9" w:rsidR="00DA385A" w:rsidRPr="0004535A" w:rsidRDefault="00DA385A" w:rsidP="00455396">
                            <w:pPr>
                              <w:pStyle w:val="tekstzboku"/>
                              <w:rPr>
                                <w:lang w:val="en-GB"/>
                              </w:rPr>
                            </w:pPr>
                            <w:r w:rsidRPr="009554A3">
                              <w:rPr>
                                <w:lang w:val="en-GB"/>
                              </w:rPr>
                              <w:t xml:space="preserve">The average duration of job search by unemployed persons </w:t>
                            </w:r>
                            <w:r>
                              <w:rPr>
                                <w:lang w:val="en-GB"/>
                              </w:rPr>
                              <w:t xml:space="preserve">in the first quarter of 2026 </w:t>
                            </w:r>
                            <w:r w:rsidRPr="004870F0">
                              <w:rPr>
                                <w:lang w:val="en-GB"/>
                              </w:rPr>
                              <w:t xml:space="preserve">was </w:t>
                            </w:r>
                            <w:r w:rsidRPr="00E600C4">
                              <w:rPr>
                                <w:lang w:val="en-GB"/>
                              </w:rPr>
                              <w:t>8.</w:t>
                            </w:r>
                            <w:r>
                              <w:rPr>
                                <w:lang w:val="en-GB"/>
                              </w:rPr>
                              <w:t>5 </w:t>
                            </w:r>
                            <w:r w:rsidRPr="004870F0">
                              <w:rPr>
                                <w:lang w:val="en-GB"/>
                              </w:rPr>
                              <w:t>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2417B" id="_x0000_s1036" type="#_x0000_t202" alt="The average duration of job search by unemployed persons in the first quarter of 2026 was 8.5 months" style="position:absolute;margin-left:414.95pt;margin-top:20.45pt;width:126.7pt;height:72.5pt;z-index:-25151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" filled="f" stroked="f">
                <v:textbox inset=",0">
                  <w:txbxContent>
                    <w:p w14:paraId="3B89A8CF" w14:textId="7BF9C2F9" w:rsidR="00DA385A" w:rsidRPr="0004535A" w:rsidRDefault="00DA385A" w:rsidP="00455396">
                      <w:pPr>
                        <w:pStyle w:val="tekstzboku"/>
                        <w:rPr>
                          <w:lang w:val="en-GB"/>
                        </w:rPr>
                      </w:pPr>
                      <w:r w:rsidRPr="009554A3">
                        <w:rPr>
                          <w:lang w:val="en-GB"/>
                        </w:rPr>
                        <w:t xml:space="preserve">The average duration of job search by unemployed persons </w:t>
                      </w:r>
                      <w:r>
                        <w:rPr>
                          <w:lang w:val="en-GB"/>
                        </w:rPr>
                        <w:t xml:space="preserve">in the first quarter of 2026 </w:t>
                      </w:r>
                      <w:r w:rsidRPr="004870F0">
                        <w:rPr>
                          <w:lang w:val="en-GB"/>
                        </w:rPr>
                        <w:t xml:space="preserve">was </w:t>
                      </w:r>
                      <w:r w:rsidRPr="00E600C4">
                        <w:rPr>
                          <w:lang w:val="en-GB"/>
                        </w:rPr>
                        <w:t>8.</w:t>
                      </w:r>
                      <w:r>
                        <w:rPr>
                          <w:lang w:val="en-GB"/>
                        </w:rPr>
                        <w:t>5 </w:t>
                      </w:r>
                      <w:r w:rsidRPr="004870F0">
                        <w:rPr>
                          <w:lang w:val="en-GB"/>
                        </w:rPr>
                        <w:t>months</w:t>
                      </w:r>
                    </w:p>
                  </w:txbxContent>
                </v:textbox>
                <w10:wrap type="tight"/>
              </v:shape>
            </w:pict>
          </mc:Fallback>
        </mc:AlternateContent>
      </w:r>
    </w:p>
    <w:p w14:paraId="36815FE5" w14:textId="53B4C734" w:rsidR="00745B63" w:rsidRPr="00EC51C4" w:rsidRDefault="00455396" w:rsidP="00EC51C4">
      <w:pPr>
        <w:spacing w:before="60" w:line="288" w:lineRule="auto"/>
        <w:rPr>
          <w:rFonts w:eastAsia="Times New Roman" w:cs="Times New Roman"/>
          <w:szCs w:val="19"/>
          <w:lang w:val="en-GB" w:eastAsia="pl-PL"/>
        </w:rPr>
      </w:pPr>
      <w:r w:rsidRPr="0083670E">
        <w:rPr>
          <w:rFonts w:eastAsia="Times New Roman" w:cs="Times New Roman"/>
          <w:szCs w:val="19"/>
          <w:lang w:val="en-GB" w:eastAsia="pl-PL"/>
        </w:rPr>
        <w:t xml:space="preserve">In the </w:t>
      </w:r>
      <w:r w:rsidR="002951B0">
        <w:rPr>
          <w:rFonts w:eastAsia="Times New Roman" w:cs="Times New Roman"/>
          <w:szCs w:val="19"/>
          <w:lang w:val="en-GB" w:eastAsia="pl-PL"/>
        </w:rPr>
        <w:t>f</w:t>
      </w:r>
      <w:r w:rsidR="00540684">
        <w:rPr>
          <w:rFonts w:eastAsia="Times New Roman" w:cs="Times New Roman"/>
          <w:szCs w:val="19"/>
          <w:lang w:val="en-GB" w:eastAsia="pl-PL"/>
        </w:rPr>
        <w:t>irst</w:t>
      </w:r>
      <w:r>
        <w:rPr>
          <w:rFonts w:eastAsia="Times New Roman" w:cs="Times New Roman"/>
          <w:szCs w:val="19"/>
          <w:lang w:val="en-GB" w:eastAsia="pl-PL"/>
        </w:rPr>
        <w:t xml:space="preserve"> </w:t>
      </w:r>
      <w:r w:rsidRPr="0083670E">
        <w:rPr>
          <w:rFonts w:eastAsia="Times New Roman" w:cs="Times New Roman"/>
          <w:szCs w:val="19"/>
          <w:lang w:val="en-GB" w:eastAsia="pl-PL"/>
        </w:rPr>
        <w:t>quarter of 202</w:t>
      </w:r>
      <w:r w:rsidR="00540684">
        <w:rPr>
          <w:rFonts w:eastAsia="Times New Roman" w:cs="Times New Roman"/>
          <w:szCs w:val="19"/>
          <w:lang w:val="en-GB" w:eastAsia="pl-PL"/>
        </w:rPr>
        <w:t>6</w:t>
      </w:r>
      <w:r w:rsidRPr="0083670E">
        <w:rPr>
          <w:rFonts w:eastAsia="Times New Roman" w:cs="Times New Roman"/>
          <w:szCs w:val="19"/>
          <w:lang w:val="en-GB" w:eastAsia="pl-PL"/>
        </w:rPr>
        <w:t xml:space="preserve">, </w:t>
      </w:r>
      <w:r w:rsidRPr="00647A2F">
        <w:rPr>
          <w:rFonts w:eastAsia="Times New Roman" w:cs="Times New Roman"/>
          <w:szCs w:val="19"/>
          <w:lang w:val="en-GB" w:eastAsia="pl-PL"/>
        </w:rPr>
        <w:t>unemployed p</w:t>
      </w:r>
      <w:r>
        <w:rPr>
          <w:rFonts w:eastAsia="Times New Roman" w:cs="Times New Roman"/>
          <w:szCs w:val="19"/>
          <w:lang w:val="en-GB" w:eastAsia="pl-PL"/>
        </w:rPr>
        <w:t>ersons</w:t>
      </w:r>
      <w:r w:rsidRPr="00647A2F">
        <w:rPr>
          <w:rFonts w:eastAsia="Times New Roman" w:cs="Times New Roman"/>
          <w:szCs w:val="19"/>
          <w:lang w:val="en-GB" w:eastAsia="pl-PL"/>
        </w:rPr>
        <w:t xml:space="preserve"> had been looking for a </w:t>
      </w:r>
      <w:r w:rsidRPr="00E600C4">
        <w:rPr>
          <w:rFonts w:eastAsia="Times New Roman" w:cs="Times New Roman"/>
          <w:szCs w:val="19"/>
          <w:lang w:val="en-GB" w:eastAsia="pl-PL"/>
        </w:rPr>
        <w:t xml:space="preserve">job </w:t>
      </w:r>
      <w:r w:rsidR="00E600C4" w:rsidRPr="00E600C4">
        <w:rPr>
          <w:rFonts w:eastAsia="Times New Roman" w:cs="Times New Roman"/>
          <w:szCs w:val="19"/>
          <w:lang w:val="en-GB" w:eastAsia="pl-PL"/>
        </w:rPr>
        <w:t>8</w:t>
      </w:r>
      <w:r w:rsidRPr="00E600C4">
        <w:rPr>
          <w:rFonts w:eastAsia="Times New Roman" w:cs="Times New Roman"/>
          <w:szCs w:val="19"/>
          <w:lang w:val="en-GB" w:eastAsia="pl-PL"/>
        </w:rPr>
        <w:t>.</w:t>
      </w:r>
      <w:r w:rsidR="00540684">
        <w:rPr>
          <w:rFonts w:eastAsia="Times New Roman" w:cs="Times New Roman"/>
          <w:szCs w:val="19"/>
          <w:lang w:val="en-GB" w:eastAsia="pl-PL"/>
        </w:rPr>
        <w:t>5</w:t>
      </w:r>
      <w:r w:rsidRPr="00E600C4">
        <w:rPr>
          <w:rFonts w:eastAsia="Times New Roman" w:cs="Times New Roman"/>
          <w:szCs w:val="19"/>
          <w:lang w:val="en-GB" w:eastAsia="pl-PL"/>
        </w:rPr>
        <w:t xml:space="preserve"> months </w:t>
      </w:r>
      <w:r w:rsidRPr="00647A2F">
        <w:rPr>
          <w:rFonts w:eastAsia="Times New Roman" w:cs="Times New Roman"/>
          <w:szCs w:val="19"/>
          <w:lang w:val="en-GB" w:eastAsia="pl-PL"/>
        </w:rPr>
        <w:t>on average</w:t>
      </w:r>
      <w:r w:rsidRPr="00AA039F">
        <w:rPr>
          <w:vertAlign w:val="superscript"/>
        </w:rPr>
        <w:footnoteReference w:id="9"/>
      </w:r>
      <w:r w:rsidRPr="00AA039F">
        <w:rPr>
          <w:rFonts w:eastAsia="Times New Roman" w:cs="Times New Roman"/>
          <w:szCs w:val="19"/>
          <w:vertAlign w:val="superscript"/>
          <w:lang w:val="en-GB" w:eastAsia="pl-PL"/>
        </w:rPr>
        <w:t xml:space="preserve"> </w:t>
      </w:r>
      <w:r w:rsidRPr="00A96761">
        <w:rPr>
          <w:rFonts w:eastAsia="Times New Roman" w:cs="Times New Roman"/>
          <w:szCs w:val="19"/>
          <w:lang w:val="en-GB" w:eastAsia="pl-PL"/>
        </w:rPr>
        <w:t>(</w:t>
      </w:r>
      <w:r w:rsidRPr="00D742DC">
        <w:rPr>
          <w:rFonts w:eastAsia="Times New Roman" w:cs="Times New Roman"/>
          <w:szCs w:val="19"/>
          <w:lang w:val="en-GB" w:eastAsia="pl-PL"/>
        </w:rPr>
        <w:t xml:space="preserve">in the previous quarter and in the </w:t>
      </w:r>
      <w:r w:rsidR="002951B0">
        <w:rPr>
          <w:rFonts w:eastAsia="Times New Roman" w:cs="Times New Roman"/>
          <w:szCs w:val="19"/>
          <w:lang w:val="en-GB" w:eastAsia="pl-PL"/>
        </w:rPr>
        <w:t>f</w:t>
      </w:r>
      <w:r w:rsidR="00540684">
        <w:rPr>
          <w:rFonts w:eastAsia="Times New Roman" w:cs="Times New Roman"/>
          <w:szCs w:val="19"/>
          <w:lang w:val="en-GB" w:eastAsia="pl-PL"/>
        </w:rPr>
        <w:t>irst</w:t>
      </w:r>
      <w:r w:rsidRPr="00D742DC">
        <w:rPr>
          <w:rFonts w:eastAsia="Times New Roman" w:cs="Times New Roman"/>
          <w:szCs w:val="19"/>
          <w:lang w:val="en-GB" w:eastAsia="pl-PL"/>
        </w:rPr>
        <w:t xml:space="preserve"> quarter of 202</w:t>
      </w:r>
      <w:r w:rsidR="00540684">
        <w:rPr>
          <w:rFonts w:eastAsia="Times New Roman" w:cs="Times New Roman"/>
          <w:szCs w:val="19"/>
          <w:lang w:val="en-GB" w:eastAsia="pl-PL"/>
        </w:rPr>
        <w:t>5</w:t>
      </w:r>
      <w:r w:rsidRPr="00D742DC">
        <w:rPr>
          <w:rFonts w:eastAsia="Times New Roman" w:cs="Times New Roman"/>
          <w:szCs w:val="19"/>
          <w:lang w:val="en-GB" w:eastAsia="pl-PL"/>
        </w:rPr>
        <w:t xml:space="preserve"> </w:t>
      </w:r>
      <w:r>
        <w:rPr>
          <w:rFonts w:eastAsia="Times New Roman" w:cs="Times New Roman"/>
          <w:szCs w:val="19"/>
          <w:lang w:val="en-GB" w:eastAsia="pl-PL"/>
        </w:rPr>
        <w:t xml:space="preserve">it was </w:t>
      </w:r>
      <w:r w:rsidR="00540684">
        <w:rPr>
          <w:rFonts w:eastAsia="Times New Roman" w:cs="Times New Roman"/>
          <w:szCs w:val="19"/>
          <w:lang w:val="en-GB" w:eastAsia="pl-PL"/>
        </w:rPr>
        <w:t>8</w:t>
      </w:r>
      <w:r w:rsidRPr="00E600C4">
        <w:rPr>
          <w:rFonts w:eastAsia="Times New Roman" w:cs="Times New Roman"/>
          <w:szCs w:val="19"/>
          <w:lang w:val="en-GB" w:eastAsia="pl-PL"/>
        </w:rPr>
        <w:t>.</w:t>
      </w:r>
      <w:r w:rsidR="00540684">
        <w:rPr>
          <w:rFonts w:eastAsia="Times New Roman" w:cs="Times New Roman"/>
          <w:szCs w:val="19"/>
          <w:lang w:val="en-GB" w:eastAsia="pl-PL"/>
        </w:rPr>
        <w:t>6</w:t>
      </w:r>
      <w:r w:rsidR="00E600C4" w:rsidRPr="00E600C4">
        <w:rPr>
          <w:rFonts w:eastAsia="Times New Roman" w:cs="Times New Roman"/>
          <w:szCs w:val="19"/>
          <w:lang w:val="en-GB" w:eastAsia="pl-PL"/>
        </w:rPr>
        <w:t xml:space="preserve"> </w:t>
      </w:r>
      <w:r w:rsidR="00790A17" w:rsidRPr="00E600C4">
        <w:rPr>
          <w:rFonts w:eastAsia="Times New Roman" w:cs="Times New Roman"/>
          <w:szCs w:val="19"/>
          <w:lang w:val="en-GB" w:eastAsia="pl-PL"/>
        </w:rPr>
        <w:t xml:space="preserve">and </w:t>
      </w:r>
      <w:r w:rsidR="00540684">
        <w:rPr>
          <w:rFonts w:eastAsia="Times New Roman" w:cs="Times New Roman"/>
          <w:szCs w:val="19"/>
          <w:lang w:val="en-GB" w:eastAsia="pl-PL"/>
        </w:rPr>
        <w:t>7</w:t>
      </w:r>
      <w:r w:rsidR="00E600C4" w:rsidRPr="00E600C4">
        <w:rPr>
          <w:rFonts w:eastAsia="Times New Roman" w:cs="Times New Roman"/>
          <w:szCs w:val="19"/>
          <w:lang w:val="en-GB" w:eastAsia="pl-PL"/>
        </w:rPr>
        <w:t>.</w:t>
      </w:r>
      <w:r w:rsidR="00540684">
        <w:rPr>
          <w:rFonts w:eastAsia="Times New Roman" w:cs="Times New Roman"/>
          <w:szCs w:val="19"/>
          <w:lang w:val="en-GB" w:eastAsia="pl-PL"/>
        </w:rPr>
        <w:t>5</w:t>
      </w:r>
      <w:r w:rsidR="00790A17" w:rsidRPr="00E600C4">
        <w:rPr>
          <w:rFonts w:eastAsia="Times New Roman" w:cs="Times New Roman"/>
          <w:szCs w:val="19"/>
          <w:lang w:val="en-GB" w:eastAsia="pl-PL"/>
        </w:rPr>
        <w:t xml:space="preserve"> </w:t>
      </w:r>
      <w:r w:rsidRPr="00E600C4">
        <w:rPr>
          <w:rFonts w:eastAsia="Times New Roman" w:cs="Times New Roman"/>
          <w:szCs w:val="19"/>
          <w:lang w:val="en-GB" w:eastAsia="pl-PL"/>
        </w:rPr>
        <w:t xml:space="preserve">months </w:t>
      </w:r>
      <w:r w:rsidR="00790A17">
        <w:rPr>
          <w:rFonts w:eastAsia="Times New Roman" w:cs="Times New Roman"/>
          <w:szCs w:val="19"/>
          <w:lang w:val="en-GB" w:eastAsia="pl-PL"/>
        </w:rPr>
        <w:t>respectively</w:t>
      </w:r>
      <w:r w:rsidRPr="00A1391D">
        <w:rPr>
          <w:rFonts w:eastAsia="Times New Roman" w:cs="Times New Roman"/>
          <w:szCs w:val="19"/>
          <w:lang w:val="en-GB" w:eastAsia="pl-PL"/>
        </w:rPr>
        <w:t xml:space="preserve">). </w:t>
      </w:r>
      <w:r>
        <w:rPr>
          <w:rFonts w:eastAsia="Times New Roman" w:cs="Times New Roman"/>
          <w:szCs w:val="19"/>
          <w:lang w:val="en-GB" w:eastAsia="pl-PL"/>
        </w:rPr>
        <w:t>P</w:t>
      </w:r>
      <w:r w:rsidRPr="00A1391D">
        <w:rPr>
          <w:rFonts w:eastAsia="Times New Roman" w:cs="Times New Roman"/>
          <w:szCs w:val="19"/>
          <w:lang w:val="en-GB" w:eastAsia="pl-PL"/>
        </w:rPr>
        <w:t xml:space="preserve">ersons who were seeking a job for the longest duration were </w:t>
      </w:r>
      <w:r w:rsidRPr="00203DF6">
        <w:rPr>
          <w:rFonts w:eastAsia="Times New Roman" w:cs="Times New Roman"/>
          <w:szCs w:val="19"/>
          <w:lang w:val="en-GB" w:eastAsia="pl-PL"/>
        </w:rPr>
        <w:t xml:space="preserve">the ones aged </w:t>
      </w:r>
      <w:r w:rsidR="009D1400">
        <w:rPr>
          <w:rFonts w:eastAsia="Times New Roman" w:cs="Times New Roman"/>
          <w:szCs w:val="19"/>
          <w:lang w:val="en-GB" w:eastAsia="pl-PL"/>
        </w:rPr>
        <w:br/>
      </w:r>
      <w:r w:rsidR="00540684">
        <w:rPr>
          <w:rFonts w:eastAsia="Times New Roman" w:cs="Times New Roman"/>
          <w:szCs w:val="19"/>
          <w:lang w:val="en-GB" w:eastAsia="pl-PL"/>
        </w:rPr>
        <w:t>4</w:t>
      </w:r>
      <w:r>
        <w:rPr>
          <w:rFonts w:eastAsia="Times New Roman" w:cs="Times New Roman"/>
          <w:szCs w:val="19"/>
          <w:lang w:val="en-GB" w:eastAsia="pl-PL"/>
        </w:rPr>
        <w:t>5-</w:t>
      </w:r>
      <w:r w:rsidR="00540684">
        <w:rPr>
          <w:rFonts w:eastAsia="Times New Roman" w:cs="Times New Roman"/>
          <w:szCs w:val="19"/>
          <w:lang w:val="en-GB" w:eastAsia="pl-PL"/>
        </w:rPr>
        <w:t>5</w:t>
      </w:r>
      <w:r>
        <w:rPr>
          <w:rFonts w:eastAsia="Times New Roman" w:cs="Times New Roman"/>
          <w:szCs w:val="19"/>
          <w:lang w:val="en-GB" w:eastAsia="pl-PL"/>
        </w:rPr>
        <w:t>4</w:t>
      </w:r>
      <w:r w:rsidRPr="00203DF6">
        <w:rPr>
          <w:rFonts w:eastAsia="Times New Roman" w:cs="Times New Roman"/>
          <w:szCs w:val="19"/>
          <w:lang w:val="en-GB" w:eastAsia="pl-PL"/>
        </w:rPr>
        <w:t xml:space="preserve"> </w:t>
      </w:r>
      <w:r>
        <w:rPr>
          <w:rFonts w:eastAsia="Times New Roman" w:cs="Times New Roman"/>
          <w:szCs w:val="19"/>
          <w:lang w:val="en-GB" w:eastAsia="pl-PL"/>
        </w:rPr>
        <w:t xml:space="preserve">(an </w:t>
      </w:r>
      <w:r w:rsidRPr="00E600C4">
        <w:rPr>
          <w:rFonts w:eastAsia="Times New Roman" w:cs="Times New Roman"/>
          <w:szCs w:val="19"/>
          <w:lang w:val="en-GB" w:eastAsia="pl-PL"/>
        </w:rPr>
        <w:t xml:space="preserve">average </w:t>
      </w:r>
      <w:r w:rsidR="00540684">
        <w:rPr>
          <w:rFonts w:eastAsia="Times New Roman" w:cs="Times New Roman"/>
          <w:szCs w:val="19"/>
          <w:lang w:val="en-GB" w:eastAsia="pl-PL"/>
        </w:rPr>
        <w:t>9</w:t>
      </w:r>
      <w:r w:rsidRPr="00E600C4">
        <w:rPr>
          <w:rFonts w:eastAsia="Times New Roman" w:cs="Times New Roman"/>
          <w:szCs w:val="19"/>
          <w:lang w:val="en-GB" w:eastAsia="pl-PL"/>
        </w:rPr>
        <w:t>.</w:t>
      </w:r>
      <w:r w:rsidR="00540684">
        <w:rPr>
          <w:rFonts w:eastAsia="Times New Roman" w:cs="Times New Roman"/>
          <w:szCs w:val="19"/>
          <w:lang w:val="en-GB" w:eastAsia="pl-PL"/>
        </w:rPr>
        <w:t>9</w:t>
      </w:r>
      <w:r w:rsidRPr="00E600C4">
        <w:rPr>
          <w:rFonts w:eastAsia="Times New Roman" w:cs="Times New Roman"/>
          <w:szCs w:val="19"/>
          <w:lang w:val="en-GB" w:eastAsia="pl-PL"/>
        </w:rPr>
        <w:t> m</w:t>
      </w:r>
      <w:r>
        <w:rPr>
          <w:rFonts w:eastAsia="Times New Roman" w:cs="Times New Roman"/>
          <w:szCs w:val="19"/>
          <w:lang w:val="en-GB" w:eastAsia="pl-PL"/>
        </w:rPr>
        <w:t xml:space="preserve">onths), </w:t>
      </w:r>
      <w:r w:rsidRPr="00A1391D">
        <w:rPr>
          <w:rFonts w:eastAsia="Times New Roman" w:cs="Times New Roman"/>
          <w:szCs w:val="19"/>
          <w:lang w:val="en-GB" w:eastAsia="pl-PL"/>
        </w:rPr>
        <w:t>while the shortest job search duration was observed for the youngest persons</w:t>
      </w:r>
      <w:r>
        <w:rPr>
          <w:rFonts w:eastAsia="Times New Roman" w:cs="Times New Roman"/>
          <w:szCs w:val="19"/>
          <w:lang w:val="en-GB" w:eastAsia="pl-PL"/>
        </w:rPr>
        <w:t xml:space="preserve"> i.e. aged 15-19 (</w:t>
      </w:r>
      <w:r w:rsidR="00E600C4" w:rsidRPr="00E600C4">
        <w:rPr>
          <w:rFonts w:eastAsia="Times New Roman" w:cs="Times New Roman"/>
          <w:szCs w:val="19"/>
          <w:lang w:val="en-GB" w:eastAsia="pl-PL"/>
        </w:rPr>
        <w:t>5</w:t>
      </w:r>
      <w:r w:rsidRPr="00E600C4">
        <w:rPr>
          <w:rFonts w:eastAsia="Times New Roman" w:cs="Times New Roman"/>
          <w:szCs w:val="19"/>
          <w:lang w:val="en-GB" w:eastAsia="pl-PL"/>
        </w:rPr>
        <w:t>.</w:t>
      </w:r>
      <w:r w:rsidR="00540684">
        <w:rPr>
          <w:rFonts w:eastAsia="Times New Roman" w:cs="Times New Roman"/>
          <w:szCs w:val="19"/>
          <w:lang w:val="en-GB" w:eastAsia="pl-PL"/>
        </w:rPr>
        <w:t>7</w:t>
      </w:r>
      <w:r w:rsidR="00E600C4" w:rsidRPr="00E600C4">
        <w:rPr>
          <w:rFonts w:eastAsia="Times New Roman" w:cs="Times New Roman"/>
          <w:szCs w:val="19"/>
          <w:lang w:val="en-GB" w:eastAsia="pl-PL"/>
        </w:rPr>
        <w:t xml:space="preserve"> </w:t>
      </w:r>
      <w:r>
        <w:rPr>
          <w:rFonts w:eastAsia="Times New Roman" w:cs="Times New Roman"/>
          <w:szCs w:val="19"/>
          <w:lang w:val="en-GB" w:eastAsia="pl-PL"/>
        </w:rPr>
        <w:t>months).</w:t>
      </w:r>
    </w:p>
    <w:p w14:paraId="76CE420B" w14:textId="071D7630" w:rsidR="0037166C" w:rsidRDefault="00455396" w:rsidP="00455396">
      <w:pPr>
        <w:spacing w:before="0" w:line="288" w:lineRule="auto"/>
        <w:rPr>
          <w:rFonts w:eastAsia="Times New Roman" w:cs="Times New Roman"/>
          <w:noProof/>
          <w:szCs w:val="19"/>
          <w:lang w:val="en-GB" w:eastAsia="pl-PL"/>
        </w:rPr>
      </w:pPr>
      <w:r w:rsidRPr="0053285E">
        <w:rPr>
          <w:noProof/>
        </w:rPr>
        <mc:AlternateContent>
          <mc:Choice Requires="wps">
            <w:drawing>
              <wp:anchor distT="45720" distB="45720" distL="114300" distR="114300" simplePos="0" relativeHeight="251640320" behindDoc="0" locked="0" layoutInCell="1" allowOverlap="1" wp14:anchorId="10C3D9B5" wp14:editId="3E25AA9C">
                <wp:simplePos x="0" y="0"/>
                <wp:positionH relativeFrom="margin">
                  <wp:align>left</wp:align>
                </wp:positionH>
                <wp:positionV relativeFrom="paragraph">
                  <wp:posOffset>90805</wp:posOffset>
                </wp:positionV>
                <wp:extent cx="2231390" cy="1391285"/>
                <wp:effectExtent l="0" t="0" r="0" b="0"/>
                <wp:wrapSquare wrapText="bothSides"/>
                <wp:docPr id="26" name="Pole tekstowe 2" descr="The share of economically inactive persons in the total number of the population aged 15–89  -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391478"/>
                        </a:xfrm>
                        <a:prstGeom prst="roundRect">
                          <a:avLst/>
                        </a:prstGeom>
                        <a:solidFill>
                          <a:srgbClr val="001D77"/>
                        </a:solidFill>
                        <a:ln w="9525">
                          <a:noFill/>
                          <a:miter lim="800000"/>
                          <a:headEnd/>
                          <a:tailEnd/>
                        </a:ln>
                      </wps:spPr>
                      <wps:txbx>
                        <w:txbxContent>
                          <w:p w14:paraId="1D35E725" w14:textId="6F837169" w:rsidR="00DA385A" w:rsidRPr="009E6566" w:rsidRDefault="00DA385A" w:rsidP="00892F27">
                            <w:pPr>
                              <w:spacing w:before="0" w:after="0" w:line="240" w:lineRule="auto"/>
                              <w:jc w:val="center"/>
                              <w:rPr>
                                <w:rFonts w:ascii="Fira Sans SemiBold" w:hAnsi="Fira Sans SemiBold"/>
                                <w:color w:val="FFFFFF" w:themeColor="background1"/>
                                <w:sz w:val="72"/>
                                <w:lang w:val="en-GB"/>
                              </w:rPr>
                            </w:pPr>
                            <w:r w:rsidRPr="00745B63">
                              <w:rPr>
                                <w:rFonts w:ascii="Fira Sans SemiBold" w:hAnsi="Fira Sans SemiBold"/>
                                <w:color w:val="FFFFFF" w:themeColor="background1"/>
                                <w:sz w:val="72"/>
                                <w:lang w:val="en-GB"/>
                              </w:rPr>
                              <w:t>41.</w:t>
                            </w:r>
                            <w:r>
                              <w:rPr>
                                <w:rFonts w:ascii="Fira Sans SemiBold" w:hAnsi="Fira Sans SemiBold"/>
                                <w:color w:val="FFFFFF" w:themeColor="background1"/>
                                <w:sz w:val="72"/>
                                <w:lang w:val="en-GB"/>
                              </w:rPr>
                              <w:t>3</w:t>
                            </w:r>
                            <w:r w:rsidRPr="009E6566">
                              <w:rPr>
                                <w:rFonts w:ascii="Fira Sans SemiBold" w:hAnsi="Fira Sans SemiBold"/>
                                <w:color w:val="FFFFFF" w:themeColor="background1"/>
                                <w:sz w:val="72"/>
                                <w:lang w:val="en-GB"/>
                              </w:rPr>
                              <w:t>%</w:t>
                            </w:r>
                          </w:p>
                          <w:p w14:paraId="4D87B17B" w14:textId="77777777" w:rsidR="00DA385A" w:rsidRDefault="00DA385A"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DA385A" w:rsidRPr="00DE4993" w:rsidRDefault="00DA385A"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DA385A" w:rsidRPr="00D958CD" w:rsidRDefault="00DA385A"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7" alt="The share of economically inactive persons in the total number of the population aged 15–89  - 41.3%" style="position:absolute;margin-left:0;margin-top:7.15pt;width:175.7pt;height:109.5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" fillcolor="#001d77" stroked="f">
                <v:stroke joinstyle="miter"/>
                <v:textbox>
                  <w:txbxContent>
                    <w:p w14:paraId="1D35E725" w14:textId="6F837169" w:rsidR="00DA385A" w:rsidRPr="009E6566" w:rsidRDefault="00DA385A" w:rsidP="00892F27">
                      <w:pPr>
                        <w:spacing w:before="0" w:after="0" w:line="240" w:lineRule="auto"/>
                        <w:jc w:val="center"/>
                        <w:rPr>
                          <w:rFonts w:ascii="Fira Sans SemiBold" w:hAnsi="Fira Sans SemiBold"/>
                          <w:color w:val="FFFFFF" w:themeColor="background1"/>
                          <w:sz w:val="72"/>
                          <w:lang w:val="en-GB"/>
                        </w:rPr>
                      </w:pPr>
                      <w:r w:rsidRPr="00745B63">
                        <w:rPr>
                          <w:rFonts w:ascii="Fira Sans SemiBold" w:hAnsi="Fira Sans SemiBold"/>
                          <w:color w:val="FFFFFF" w:themeColor="background1"/>
                          <w:sz w:val="72"/>
                          <w:lang w:val="en-GB"/>
                        </w:rPr>
                        <w:t>41.</w:t>
                      </w:r>
                      <w:r>
                        <w:rPr>
                          <w:rFonts w:ascii="Fira Sans SemiBold" w:hAnsi="Fira Sans SemiBold"/>
                          <w:color w:val="FFFFFF" w:themeColor="background1"/>
                          <w:sz w:val="72"/>
                          <w:lang w:val="en-GB"/>
                        </w:rPr>
                        <w:t>3</w:t>
                      </w:r>
                      <w:r w:rsidRPr="009E6566">
                        <w:rPr>
                          <w:rFonts w:ascii="Fira Sans SemiBold" w:hAnsi="Fira Sans SemiBold"/>
                          <w:color w:val="FFFFFF" w:themeColor="background1"/>
                          <w:sz w:val="72"/>
                          <w:lang w:val="en-GB"/>
                        </w:rPr>
                        <w:t>%</w:t>
                      </w:r>
                    </w:p>
                    <w:p w14:paraId="4D87B17B" w14:textId="77777777" w:rsidR="00DA385A" w:rsidRDefault="00DA385A"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DA385A" w:rsidRPr="00DE4993" w:rsidRDefault="00DA385A"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DA385A" w:rsidRPr="00D958CD" w:rsidRDefault="00DA385A" w:rsidP="00993C0A">
                      <w:pPr>
                        <w:pStyle w:val="Opiswskanika"/>
                        <w:rPr>
                          <w:sz w:val="18"/>
                          <w:szCs w:val="20"/>
                          <w:lang w:val="en-US"/>
                        </w:rPr>
                      </w:pPr>
                    </w:p>
                  </w:txbxContent>
                </v:textbox>
                <w10:wrap type="square" anchorx="margin"/>
              </v:roundrect>
            </w:pict>
          </mc:Fallback>
        </mc:AlternateContent>
      </w:r>
    </w:p>
    <w:p w14:paraId="69FBE213" w14:textId="0DB48C61" w:rsidR="00D77F12" w:rsidRDefault="00D4793A" w:rsidP="0073775E">
      <w:pPr>
        <w:pStyle w:val="Lead"/>
        <w:spacing w:before="240"/>
        <w:rPr>
          <w:noProof w:val="0"/>
          <w:lang w:val="en-GB"/>
        </w:rPr>
      </w:pPr>
      <w:r w:rsidRPr="00FB4A11">
        <w:rPr>
          <w:noProof w:val="0"/>
          <w:lang w:val="en-GB"/>
        </w:rPr>
        <w:t>In the</w:t>
      </w:r>
      <w:r w:rsidR="00D93643" w:rsidRPr="00FB4A11">
        <w:rPr>
          <w:noProof w:val="0"/>
          <w:lang w:val="en-GB"/>
        </w:rPr>
        <w:t xml:space="preserve"> </w:t>
      </w:r>
      <w:r w:rsidR="002951B0">
        <w:rPr>
          <w:noProof w:val="0"/>
          <w:lang w:val="en-GB"/>
        </w:rPr>
        <w:t>f</w:t>
      </w:r>
      <w:r w:rsidR="00540684">
        <w:rPr>
          <w:noProof w:val="0"/>
          <w:lang w:val="en-GB"/>
        </w:rPr>
        <w:t>irst</w:t>
      </w:r>
      <w:r w:rsidR="00344BD6" w:rsidRPr="00FB4A11">
        <w:rPr>
          <w:noProof w:val="0"/>
          <w:lang w:val="en-GB"/>
        </w:rPr>
        <w:t xml:space="preserve"> </w:t>
      </w:r>
      <w:r w:rsidR="00D93643" w:rsidRPr="00FB4A11">
        <w:rPr>
          <w:noProof w:val="0"/>
          <w:lang w:val="en-GB"/>
        </w:rPr>
        <w:t>quarter of</w:t>
      </w:r>
      <w:r w:rsidR="00D93643" w:rsidRPr="009554A3">
        <w:rPr>
          <w:noProof w:val="0"/>
          <w:lang w:val="en-GB"/>
        </w:rPr>
        <w:t xml:space="preserve"> </w:t>
      </w:r>
      <w:r w:rsidR="00817D28">
        <w:rPr>
          <w:noProof w:val="0"/>
          <w:lang w:val="en-GB"/>
        </w:rPr>
        <w:t>202</w:t>
      </w:r>
      <w:r w:rsidR="00540684">
        <w:rPr>
          <w:noProof w:val="0"/>
          <w:lang w:val="en-GB"/>
        </w:rPr>
        <w:t>6</w:t>
      </w:r>
      <w:r w:rsidR="009F4DEE" w:rsidRPr="009554A3">
        <w:rPr>
          <w:noProof w:val="0"/>
          <w:lang w:val="en-GB"/>
        </w:rPr>
        <w:t xml:space="preserve">, </w:t>
      </w:r>
      <w:r w:rsidR="009F4DEE">
        <w:rPr>
          <w:lang w:val="en-GB"/>
        </w:rPr>
        <w:t xml:space="preserve">economically inactive persons accounted </w:t>
      </w:r>
      <w:r w:rsidR="009F4DEE" w:rsidRPr="00745B63">
        <w:rPr>
          <w:lang w:val="en-GB"/>
        </w:rPr>
        <w:t>for</w:t>
      </w:r>
      <w:r w:rsidR="009F4DEE" w:rsidRPr="00745B63">
        <w:rPr>
          <w:noProof w:val="0"/>
          <w:lang w:val="en-GB"/>
        </w:rPr>
        <w:t xml:space="preserve"> </w:t>
      </w:r>
      <w:r w:rsidR="00725E5F" w:rsidRPr="00745B63">
        <w:rPr>
          <w:noProof w:val="0"/>
          <w:lang w:val="en-GB"/>
        </w:rPr>
        <w:t>4</w:t>
      </w:r>
      <w:r w:rsidR="008F4FF8" w:rsidRPr="00745B63">
        <w:rPr>
          <w:noProof w:val="0"/>
          <w:lang w:val="en-GB"/>
        </w:rPr>
        <w:t>1</w:t>
      </w:r>
      <w:r w:rsidR="00112384" w:rsidRPr="00745B63">
        <w:rPr>
          <w:noProof w:val="0"/>
          <w:lang w:val="en-GB"/>
        </w:rPr>
        <w:t>.</w:t>
      </w:r>
      <w:r w:rsidR="00540684">
        <w:rPr>
          <w:noProof w:val="0"/>
          <w:lang w:val="en-GB"/>
        </w:rPr>
        <w:t>3</w:t>
      </w:r>
      <w:r w:rsidR="00725E5F" w:rsidRPr="00745B63">
        <w:rPr>
          <w:noProof w:val="0"/>
          <w:lang w:val="en-GB"/>
        </w:rPr>
        <w:t xml:space="preserve">% </w:t>
      </w:r>
      <w:r w:rsidR="00E767FB">
        <w:rPr>
          <w:lang w:val="en-GB"/>
        </w:rPr>
        <w:t xml:space="preserve">of the total </w:t>
      </w:r>
      <w:r w:rsidR="00E767FB" w:rsidRPr="00402F60">
        <w:rPr>
          <w:lang w:val="en-GB"/>
        </w:rPr>
        <w:t xml:space="preserve">number of population aged </w:t>
      </w:r>
      <w:r w:rsidR="00725E5F" w:rsidRPr="00402F60">
        <w:rPr>
          <w:noProof w:val="0"/>
          <w:lang w:val="en-GB"/>
        </w:rPr>
        <w:t>15</w:t>
      </w:r>
      <w:r w:rsidR="00B230EA" w:rsidRPr="00402F60">
        <w:rPr>
          <w:noProof w:val="0"/>
          <w:lang w:val="en-GB"/>
        </w:rPr>
        <w:t>-</w:t>
      </w:r>
      <w:r w:rsidR="00725E5F" w:rsidRPr="00402F60">
        <w:rPr>
          <w:noProof w:val="0"/>
          <w:lang w:val="en-GB"/>
        </w:rPr>
        <w:t xml:space="preserve">89. </w:t>
      </w:r>
      <w:r w:rsidR="00D413CD" w:rsidRPr="00402F60">
        <w:rPr>
          <w:noProof w:val="0"/>
          <w:lang w:val="en-GB"/>
        </w:rPr>
        <w:t xml:space="preserve">The </w:t>
      </w:r>
      <w:r w:rsidR="00745B63" w:rsidRPr="00402F60">
        <w:rPr>
          <w:noProof w:val="0"/>
          <w:lang w:val="en-GB"/>
        </w:rPr>
        <w:t>indicator</w:t>
      </w:r>
      <w:r w:rsidR="00D413CD" w:rsidRPr="00402F60">
        <w:rPr>
          <w:noProof w:val="0"/>
          <w:lang w:val="en-GB"/>
        </w:rPr>
        <w:t xml:space="preserve"> </w:t>
      </w:r>
      <w:r w:rsidR="00540684">
        <w:rPr>
          <w:noProof w:val="0"/>
          <w:lang w:val="en-GB"/>
        </w:rPr>
        <w:t>increased</w:t>
      </w:r>
      <w:r w:rsidR="00FB4A11" w:rsidRPr="00402F60">
        <w:rPr>
          <w:noProof w:val="0"/>
          <w:lang w:val="en-GB"/>
        </w:rPr>
        <w:t xml:space="preserve"> compared</w:t>
      </w:r>
      <w:r w:rsidR="00FB4A11" w:rsidRPr="00FB4A11">
        <w:rPr>
          <w:noProof w:val="0"/>
          <w:lang w:val="en-GB"/>
        </w:rPr>
        <w:t xml:space="preserve"> to the </w:t>
      </w:r>
      <w:r w:rsidR="00703417">
        <w:rPr>
          <w:noProof w:val="0"/>
          <w:lang w:val="en-GB"/>
        </w:rPr>
        <w:t>fourth</w:t>
      </w:r>
      <w:r w:rsidR="00FB4A11" w:rsidRPr="00FB4A11">
        <w:rPr>
          <w:noProof w:val="0"/>
          <w:lang w:val="en-GB"/>
        </w:rPr>
        <w:t xml:space="preserve"> quarter</w:t>
      </w:r>
      <w:r w:rsidR="00B2230A">
        <w:rPr>
          <w:noProof w:val="0"/>
          <w:lang w:val="en-GB"/>
        </w:rPr>
        <w:t xml:space="preserve"> </w:t>
      </w:r>
      <w:r w:rsidR="00703417">
        <w:rPr>
          <w:noProof w:val="0"/>
          <w:lang w:val="en-GB"/>
        </w:rPr>
        <w:t xml:space="preserve">of 2025 </w:t>
      </w:r>
      <w:r w:rsidR="00B2230A">
        <w:rPr>
          <w:noProof w:val="0"/>
          <w:lang w:val="en-GB"/>
        </w:rPr>
        <w:t>by 0.3 pp.</w:t>
      </w:r>
      <w:r w:rsidR="00745B63">
        <w:rPr>
          <w:noProof w:val="0"/>
          <w:lang w:val="en-GB"/>
        </w:rPr>
        <w:t xml:space="preserve">, but was lower than in </w:t>
      </w:r>
      <w:r w:rsidR="00FB4A11" w:rsidRPr="00FB4A11">
        <w:rPr>
          <w:noProof w:val="0"/>
          <w:lang w:val="en-GB"/>
        </w:rPr>
        <w:t xml:space="preserve">the </w:t>
      </w:r>
      <w:r w:rsidR="002951B0">
        <w:rPr>
          <w:noProof w:val="0"/>
          <w:lang w:val="en-GB"/>
        </w:rPr>
        <w:t>f</w:t>
      </w:r>
      <w:r w:rsidR="00B2230A">
        <w:rPr>
          <w:noProof w:val="0"/>
          <w:lang w:val="en-GB"/>
        </w:rPr>
        <w:t>irst</w:t>
      </w:r>
      <w:r w:rsidR="00FB4A11" w:rsidRPr="00FB4A11">
        <w:rPr>
          <w:noProof w:val="0"/>
          <w:lang w:val="en-GB"/>
        </w:rPr>
        <w:t xml:space="preserve"> quarter of </w:t>
      </w:r>
      <w:r w:rsidR="00FB4A11" w:rsidRPr="00745B63">
        <w:rPr>
          <w:noProof w:val="0"/>
          <w:lang w:val="en-GB"/>
        </w:rPr>
        <w:t>202</w:t>
      </w:r>
      <w:r w:rsidR="00B2230A">
        <w:rPr>
          <w:noProof w:val="0"/>
          <w:lang w:val="en-GB"/>
        </w:rPr>
        <w:t>5</w:t>
      </w:r>
      <w:r w:rsidR="00790A17" w:rsidRPr="00745B63">
        <w:rPr>
          <w:noProof w:val="0"/>
          <w:lang w:val="en-GB"/>
        </w:rPr>
        <w:t xml:space="preserve"> </w:t>
      </w:r>
      <w:r w:rsidR="00BB18ED">
        <w:rPr>
          <w:noProof w:val="0"/>
          <w:lang w:val="en-GB"/>
        </w:rPr>
        <w:t>by</w:t>
      </w:r>
      <w:r w:rsidR="00790A17" w:rsidRPr="00745B63">
        <w:rPr>
          <w:noProof w:val="0"/>
          <w:lang w:val="en-GB"/>
        </w:rPr>
        <w:t xml:space="preserve"> 0.</w:t>
      </w:r>
      <w:r w:rsidR="00B2230A">
        <w:rPr>
          <w:noProof w:val="0"/>
          <w:lang w:val="en-GB"/>
        </w:rPr>
        <w:t>5 </w:t>
      </w:r>
      <w:r w:rsidR="00790A17" w:rsidRPr="00FB4A11">
        <w:rPr>
          <w:noProof w:val="0"/>
          <w:lang w:val="en-GB"/>
        </w:rPr>
        <w:t>p</w:t>
      </w:r>
      <w:r w:rsidR="00790A17">
        <w:rPr>
          <w:noProof w:val="0"/>
          <w:lang w:val="en-GB"/>
        </w:rPr>
        <w:t>p</w:t>
      </w:r>
      <w:r w:rsidR="00FB4A11" w:rsidRPr="00FB4A11">
        <w:rPr>
          <w:noProof w:val="0"/>
          <w:lang w:val="en-GB"/>
        </w:rPr>
        <w:t>.</w:t>
      </w:r>
    </w:p>
    <w:p w14:paraId="3DBC2694" w14:textId="70630348" w:rsidR="008F4FF8" w:rsidRDefault="008F4FF8" w:rsidP="0073775E">
      <w:pPr>
        <w:spacing w:after="0"/>
        <w:rPr>
          <w:lang w:val="en-GB" w:eastAsia="pl-PL"/>
        </w:rPr>
      </w:pPr>
    </w:p>
    <w:p w14:paraId="2897599E" w14:textId="77777777" w:rsidR="00745B63" w:rsidRPr="00745B63" w:rsidRDefault="00745B63" w:rsidP="0073775E">
      <w:pPr>
        <w:pStyle w:val="Nagwek1"/>
        <w:spacing w:before="120" w:after="0"/>
        <w:rPr>
          <w:rFonts w:ascii="Fira Sans" w:hAnsi="Fira Sans"/>
          <w:b/>
          <w:sz w:val="10"/>
          <w:szCs w:val="19"/>
          <w:lang w:val="en-GB"/>
        </w:rPr>
      </w:pPr>
    </w:p>
    <w:p w14:paraId="56AD36AE" w14:textId="1C489C0D" w:rsidR="00524007" w:rsidRPr="00D77F12" w:rsidRDefault="00FE7B0A" w:rsidP="0073775E">
      <w:pPr>
        <w:pStyle w:val="Nagwek1"/>
        <w:spacing w:before="120" w:after="0"/>
        <w:rPr>
          <w:rFonts w:ascii="Fira Sans" w:hAnsi="Fira Sans"/>
          <w:b/>
          <w:szCs w:val="19"/>
          <w:lang w:val="en-GB"/>
        </w:rPr>
      </w:pPr>
      <w:r w:rsidRPr="004870F0">
        <w:rPr>
          <w:noProof/>
          <w:szCs w:val="19"/>
        </w:rPr>
        <mc:AlternateContent>
          <mc:Choice Requires="wps">
            <w:drawing>
              <wp:anchor distT="45720" distB="45720" distL="114300" distR="114300" simplePos="0" relativeHeight="251657728" behindDoc="1" locked="0" layoutInCell="1" allowOverlap="1" wp14:anchorId="3213D7EB" wp14:editId="6A701A7F">
                <wp:simplePos x="0" y="0"/>
                <wp:positionH relativeFrom="column">
                  <wp:posOffset>5251450</wp:posOffset>
                </wp:positionH>
                <wp:positionV relativeFrom="paragraph">
                  <wp:posOffset>75565</wp:posOffset>
                </wp:positionV>
                <wp:extent cx="1609090" cy="1247775"/>
                <wp:effectExtent l="0" t="0" r="0" b="0"/>
                <wp:wrapTight wrapText="bothSides">
                  <wp:wrapPolygon edited="0">
                    <wp:start x="767" y="0"/>
                    <wp:lineTo x="767" y="21105"/>
                    <wp:lineTo x="20713" y="21105"/>
                    <wp:lineTo x="20713" y="0"/>
                    <wp:lineTo x="767" y="0"/>
                  </wp:wrapPolygon>
                </wp:wrapTight>
                <wp:docPr id="27" name="Pole tekstowe 2" descr="The number of economically inactive persons increased compared to the fourth quarter of 2025, but was lower than in the first quarter of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247775"/>
                        </a:xfrm>
                        <a:prstGeom prst="rect">
                          <a:avLst/>
                        </a:prstGeom>
                        <a:noFill/>
                        <a:ln w="9525">
                          <a:noFill/>
                          <a:miter lim="800000"/>
                          <a:headEnd/>
                          <a:tailEnd/>
                        </a:ln>
                      </wps:spPr>
                      <wps:txbx>
                        <w:txbxContent>
                          <w:p w14:paraId="271D0E6B" w14:textId="6A52C50A" w:rsidR="00DA385A" w:rsidRPr="0004535A" w:rsidRDefault="00DA385A" w:rsidP="006731C4">
                            <w:pPr>
                              <w:pStyle w:val="tekstzboku"/>
                              <w:rPr>
                                <w:lang w:val="en-GB"/>
                              </w:rPr>
                            </w:pPr>
                            <w:r w:rsidRPr="00464082">
                              <w:rPr>
                                <w:lang w:val="en-GB"/>
                              </w:rPr>
                              <w:t>The number of economically inactive pe</w:t>
                            </w:r>
                            <w:r>
                              <w:rPr>
                                <w:lang w:val="en-GB"/>
                              </w:rPr>
                              <w:t>rsons</w:t>
                            </w:r>
                            <w:r w:rsidRPr="00464082">
                              <w:rPr>
                                <w:lang w:val="en-GB"/>
                              </w:rPr>
                              <w:t xml:space="preserve"> </w:t>
                            </w:r>
                            <w:r>
                              <w:rPr>
                                <w:lang w:val="en-GB"/>
                              </w:rPr>
                              <w:t>increased compared</w:t>
                            </w:r>
                            <w:r w:rsidRPr="00831583">
                              <w:rPr>
                                <w:lang w:val="en-GB"/>
                              </w:rPr>
                              <w:t xml:space="preserve"> to the </w:t>
                            </w:r>
                            <w:r>
                              <w:rPr>
                                <w:lang w:val="en-GB"/>
                              </w:rPr>
                              <w:t xml:space="preserve">fourth </w:t>
                            </w:r>
                            <w:r w:rsidRPr="00745B63">
                              <w:rPr>
                                <w:lang w:val="en-GB"/>
                              </w:rPr>
                              <w:t>quarter of 2025, but was lower than in the f</w:t>
                            </w:r>
                            <w:r>
                              <w:rPr>
                                <w:lang w:val="en-GB"/>
                              </w:rPr>
                              <w:t>irst</w:t>
                            </w:r>
                            <w:r w:rsidRPr="00745B63">
                              <w:rPr>
                                <w:lang w:val="en-GB"/>
                              </w:rPr>
                              <w:t xml:space="preserve"> quarter of 202</w:t>
                            </w:r>
                            <w:r>
                              <w:rPr>
                                <w:lang w:val="en-GB"/>
                              </w:rPr>
                              <w:t>5</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38" type="#_x0000_t202" alt="The number of economically inactive persons increased compared to the fourth quarter of 2025, but was lower than in the first quarter of 2025" style="position:absolute;margin-left:413.5pt;margin-top:5.95pt;width:126.7pt;height:98.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" filled="f" stroked="f">
                <v:textbox inset=",0">
                  <w:txbxContent>
                    <w:p w14:paraId="271D0E6B" w14:textId="6A52C50A" w:rsidR="00DA385A" w:rsidRPr="0004535A" w:rsidRDefault="00DA385A" w:rsidP="006731C4">
                      <w:pPr>
                        <w:pStyle w:val="tekstzboku"/>
                        <w:rPr>
                          <w:lang w:val="en-GB"/>
                        </w:rPr>
                      </w:pPr>
                      <w:r w:rsidRPr="00464082">
                        <w:rPr>
                          <w:lang w:val="en-GB"/>
                        </w:rPr>
                        <w:t>The number of economically inactive pe</w:t>
                      </w:r>
                      <w:r>
                        <w:rPr>
                          <w:lang w:val="en-GB"/>
                        </w:rPr>
                        <w:t>rsons</w:t>
                      </w:r>
                      <w:r w:rsidRPr="00464082">
                        <w:rPr>
                          <w:lang w:val="en-GB"/>
                        </w:rPr>
                        <w:t xml:space="preserve"> </w:t>
                      </w:r>
                      <w:r>
                        <w:rPr>
                          <w:lang w:val="en-GB"/>
                        </w:rPr>
                        <w:t>increased compared</w:t>
                      </w:r>
                      <w:r w:rsidRPr="00831583">
                        <w:rPr>
                          <w:lang w:val="en-GB"/>
                        </w:rPr>
                        <w:t xml:space="preserve"> to the </w:t>
                      </w:r>
                      <w:r>
                        <w:rPr>
                          <w:lang w:val="en-GB"/>
                        </w:rPr>
                        <w:t xml:space="preserve">fourth </w:t>
                      </w:r>
                      <w:r w:rsidRPr="00745B63">
                        <w:rPr>
                          <w:lang w:val="en-GB"/>
                        </w:rPr>
                        <w:t>quarter of 2025, but was lower than in the f</w:t>
                      </w:r>
                      <w:r>
                        <w:rPr>
                          <w:lang w:val="en-GB"/>
                        </w:rPr>
                        <w:t>irst</w:t>
                      </w:r>
                      <w:r w:rsidRPr="00745B63">
                        <w:rPr>
                          <w:lang w:val="en-GB"/>
                        </w:rPr>
                        <w:t xml:space="preserve"> quarter of 202</w:t>
                      </w:r>
                      <w:r>
                        <w:rPr>
                          <w:lang w:val="en-GB"/>
                        </w:rPr>
                        <w:t>5</w:t>
                      </w:r>
                    </w:p>
                  </w:txbxContent>
                </v:textbox>
                <w10:wrap type="tight"/>
              </v:shape>
            </w:pict>
          </mc:Fallback>
        </mc:AlternateContent>
      </w:r>
      <w:r w:rsidR="00247A50" w:rsidRPr="0053285E">
        <w:rPr>
          <w:rFonts w:ascii="Fira Sans" w:hAnsi="Fira Sans"/>
          <w:b/>
          <w:szCs w:val="19"/>
          <w:lang w:val="en-GB"/>
        </w:rPr>
        <w:t>Economically inactive persons aged 15</w:t>
      </w:r>
      <w:r w:rsidR="00B230EA">
        <w:rPr>
          <w:rFonts w:ascii="Fira Sans" w:hAnsi="Fira Sans"/>
          <w:b/>
          <w:szCs w:val="19"/>
          <w:lang w:val="en-GB"/>
        </w:rPr>
        <w:t>-</w:t>
      </w:r>
      <w:r w:rsidR="00247A50" w:rsidRPr="0053285E">
        <w:rPr>
          <w:rFonts w:ascii="Fira Sans" w:hAnsi="Fira Sans"/>
          <w:b/>
          <w:szCs w:val="19"/>
          <w:lang w:val="en-GB"/>
        </w:rPr>
        <w:t xml:space="preserve">89 by the LFS </w:t>
      </w:r>
    </w:p>
    <w:p w14:paraId="2EE66F89" w14:textId="4345DD97" w:rsidR="0073775E" w:rsidRDefault="00D4793A" w:rsidP="00745B63">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2951B0">
        <w:rPr>
          <w:rFonts w:eastAsia="Times New Roman" w:cs="Times New Roman"/>
          <w:szCs w:val="19"/>
          <w:lang w:val="en-GB" w:eastAsia="pl-PL"/>
        </w:rPr>
        <w:t>f</w:t>
      </w:r>
      <w:r w:rsidR="00EC51C4">
        <w:rPr>
          <w:rFonts w:eastAsia="Times New Roman" w:cs="Times New Roman"/>
          <w:szCs w:val="19"/>
          <w:lang w:val="en-GB" w:eastAsia="pl-PL"/>
        </w:rPr>
        <w:t>irst</w:t>
      </w:r>
      <w:r w:rsidR="00007FAF">
        <w:rPr>
          <w:rFonts w:eastAsia="Times New Roman" w:cs="Times New Roman"/>
          <w:szCs w:val="19"/>
          <w:lang w:val="en-GB" w:eastAsia="pl-PL"/>
        </w:rPr>
        <w:t xml:space="preserve"> </w:t>
      </w:r>
      <w:r w:rsidR="00D93643" w:rsidRPr="00AE4B0D">
        <w:rPr>
          <w:rFonts w:eastAsia="Times New Roman" w:cs="Times New Roman"/>
          <w:szCs w:val="19"/>
          <w:lang w:val="en-GB" w:eastAsia="pl-PL"/>
        </w:rPr>
        <w:t>quarter of 202</w:t>
      </w:r>
      <w:r w:rsidR="00EC51C4">
        <w:rPr>
          <w:rFonts w:eastAsia="Times New Roman" w:cs="Times New Roman"/>
          <w:szCs w:val="19"/>
          <w:lang w:val="en-GB" w:eastAsia="pl-PL"/>
        </w:rPr>
        <w:t>6</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population of economically inactive persons aged 15-89</w:t>
      </w:r>
      <w:r w:rsidR="00C12B20">
        <w:rPr>
          <w:rFonts w:eastAsia="Times New Roman" w:cs="Times New Roman"/>
          <w:szCs w:val="19"/>
          <w:lang w:val="en-GB" w:eastAsia="pl-PL"/>
        </w:rPr>
        <w:t xml:space="preserve"> </w:t>
      </w:r>
      <w:r w:rsidR="0060014F">
        <w:rPr>
          <w:rFonts w:eastAsia="Times New Roman" w:cs="Times New Roman"/>
          <w:szCs w:val="19"/>
          <w:lang w:val="en-GB" w:eastAsia="pl-PL"/>
        </w:rPr>
        <w:t xml:space="preserve">amounted </w:t>
      </w:r>
      <w:r w:rsidR="0060014F" w:rsidRPr="00745B63">
        <w:rPr>
          <w:rFonts w:eastAsia="Times New Roman" w:cs="Times New Roman"/>
          <w:szCs w:val="19"/>
          <w:lang w:val="en-GB" w:eastAsia="pl-PL"/>
        </w:rPr>
        <w:t xml:space="preserve">to </w:t>
      </w:r>
      <w:r w:rsidR="00EC51C4" w:rsidRPr="00EC51C4">
        <w:rPr>
          <w:rFonts w:eastAsia="Times New Roman" w:cs="Times New Roman"/>
          <w:szCs w:val="19"/>
          <w:lang w:val="en-GB" w:eastAsia="pl-PL"/>
        </w:rPr>
        <w:t>12 538</w:t>
      </w:r>
      <w:r w:rsidR="00725E5F" w:rsidRPr="00745B63">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745B63" w:rsidRPr="00745B63">
        <w:rPr>
          <w:rFonts w:eastAsia="Times New Roman" w:cs="Times New Roman"/>
          <w:szCs w:val="19"/>
          <w:lang w:val="en-GB" w:eastAsia="pl-PL"/>
        </w:rPr>
        <w:t xml:space="preserve">and </w:t>
      </w:r>
      <w:r w:rsidR="00EC51C4">
        <w:rPr>
          <w:rFonts w:eastAsia="Times New Roman" w:cs="Times New Roman"/>
          <w:szCs w:val="19"/>
          <w:lang w:val="en-GB" w:eastAsia="pl-PL"/>
        </w:rPr>
        <w:t>increased</w:t>
      </w:r>
      <w:r w:rsidR="00745B63" w:rsidRPr="00745B63">
        <w:rPr>
          <w:rFonts w:eastAsia="Times New Roman" w:cs="Times New Roman"/>
          <w:szCs w:val="19"/>
          <w:lang w:val="en-GB" w:eastAsia="pl-PL"/>
        </w:rPr>
        <w:t xml:space="preserve"> compared to the </w:t>
      </w:r>
      <w:r w:rsidR="00EC51C4">
        <w:rPr>
          <w:rFonts w:eastAsia="Times New Roman" w:cs="Times New Roman"/>
          <w:szCs w:val="19"/>
          <w:lang w:val="en-GB" w:eastAsia="pl-PL"/>
        </w:rPr>
        <w:t>fourth</w:t>
      </w:r>
      <w:r w:rsidR="00745B63" w:rsidRPr="00745B63">
        <w:rPr>
          <w:rFonts w:eastAsia="Times New Roman" w:cs="Times New Roman"/>
          <w:szCs w:val="19"/>
          <w:lang w:val="en-GB" w:eastAsia="pl-PL"/>
        </w:rPr>
        <w:t xml:space="preserve"> quarter of 2025</w:t>
      </w:r>
      <w:r w:rsidR="00F12C30">
        <w:rPr>
          <w:rFonts w:eastAsia="Times New Roman" w:cs="Times New Roman"/>
          <w:szCs w:val="19"/>
          <w:lang w:val="en-GB" w:eastAsia="pl-PL"/>
        </w:rPr>
        <w:t xml:space="preserve"> (by </w:t>
      </w:r>
      <w:r w:rsidR="00EC51C4">
        <w:rPr>
          <w:rFonts w:eastAsia="Times New Roman" w:cs="Times New Roman"/>
          <w:szCs w:val="19"/>
          <w:lang w:val="en-GB" w:eastAsia="pl-PL"/>
        </w:rPr>
        <w:t>82</w:t>
      </w:r>
      <w:r w:rsidR="00103584">
        <w:rPr>
          <w:rFonts w:eastAsia="Times New Roman" w:cs="Times New Roman"/>
          <w:szCs w:val="19"/>
          <w:lang w:val="en-GB" w:eastAsia="pl-PL"/>
        </w:rPr>
        <w:t> </w:t>
      </w:r>
      <w:r w:rsidR="00F12C30">
        <w:rPr>
          <w:rFonts w:eastAsia="Times New Roman" w:cs="Times New Roman"/>
          <w:szCs w:val="19"/>
          <w:lang w:val="en-GB" w:eastAsia="pl-PL"/>
        </w:rPr>
        <w:t>thousand persons i.e. by 0</w:t>
      </w:r>
      <w:r w:rsidR="00367D86">
        <w:rPr>
          <w:rFonts w:eastAsia="Times New Roman" w:cs="Times New Roman"/>
          <w:szCs w:val="19"/>
          <w:lang w:val="en-GB" w:eastAsia="pl-PL"/>
        </w:rPr>
        <w:t>.</w:t>
      </w:r>
      <w:r w:rsidR="00EC51C4">
        <w:rPr>
          <w:rFonts w:eastAsia="Times New Roman" w:cs="Times New Roman"/>
          <w:szCs w:val="19"/>
          <w:lang w:val="en-GB" w:eastAsia="pl-PL"/>
        </w:rPr>
        <w:t>7</w:t>
      </w:r>
      <w:r w:rsidR="00B63A89">
        <w:rPr>
          <w:rFonts w:eastAsia="Times New Roman" w:cs="Times New Roman"/>
          <w:szCs w:val="19"/>
          <w:lang w:val="en-GB" w:eastAsia="pl-PL"/>
        </w:rPr>
        <w:t>%)</w:t>
      </w:r>
      <w:r w:rsidR="00745B63" w:rsidRPr="00745B63">
        <w:rPr>
          <w:rFonts w:eastAsia="Times New Roman" w:cs="Times New Roman"/>
          <w:szCs w:val="19"/>
          <w:lang w:val="en-GB" w:eastAsia="pl-PL"/>
        </w:rPr>
        <w:t>, while a decrease was recorded compared to the f</w:t>
      </w:r>
      <w:r w:rsidR="00EC51C4">
        <w:rPr>
          <w:rFonts w:eastAsia="Times New Roman" w:cs="Times New Roman"/>
          <w:szCs w:val="19"/>
          <w:lang w:val="en-GB" w:eastAsia="pl-PL"/>
        </w:rPr>
        <w:t>irst</w:t>
      </w:r>
      <w:r w:rsidR="00745B63" w:rsidRPr="00745B63">
        <w:rPr>
          <w:rFonts w:eastAsia="Times New Roman" w:cs="Times New Roman"/>
          <w:szCs w:val="19"/>
          <w:lang w:val="en-GB" w:eastAsia="pl-PL"/>
        </w:rPr>
        <w:t xml:space="preserve"> quarter of 202</w:t>
      </w:r>
      <w:r w:rsidR="00EC51C4">
        <w:rPr>
          <w:rFonts w:eastAsia="Times New Roman" w:cs="Times New Roman"/>
          <w:szCs w:val="19"/>
          <w:lang w:val="en-GB" w:eastAsia="pl-PL"/>
        </w:rPr>
        <w:t>5</w:t>
      </w:r>
      <w:r w:rsidR="00745B63">
        <w:rPr>
          <w:rFonts w:eastAsia="Times New Roman" w:cs="Times New Roman"/>
          <w:szCs w:val="19"/>
          <w:lang w:val="en-GB" w:eastAsia="pl-PL"/>
        </w:rPr>
        <w:t xml:space="preserve"> </w:t>
      </w:r>
      <w:r w:rsidR="00745B63" w:rsidRPr="00745B63">
        <w:rPr>
          <w:rFonts w:eastAsia="Times New Roman" w:cs="Times New Roman"/>
          <w:szCs w:val="19"/>
          <w:lang w:val="en-US" w:eastAsia="pl-PL"/>
        </w:rPr>
        <w:t>–</w:t>
      </w:r>
      <w:r w:rsidR="00745B63">
        <w:rPr>
          <w:rFonts w:eastAsia="Times New Roman" w:cs="Times New Roman"/>
          <w:szCs w:val="19"/>
          <w:lang w:val="en-GB" w:eastAsia="pl-PL"/>
        </w:rPr>
        <w:t xml:space="preserve"> </w:t>
      </w:r>
      <w:r w:rsidR="00745B63" w:rsidRPr="00745B63">
        <w:rPr>
          <w:rFonts w:eastAsia="Times New Roman" w:cs="Times New Roman"/>
          <w:szCs w:val="19"/>
          <w:lang w:val="en-GB" w:eastAsia="pl-PL"/>
        </w:rPr>
        <w:t xml:space="preserve">by </w:t>
      </w:r>
      <w:r w:rsidR="00B63A89">
        <w:rPr>
          <w:rFonts w:eastAsia="Times New Roman" w:cs="Times New Roman"/>
          <w:szCs w:val="19"/>
          <w:lang w:val="en-GB" w:eastAsia="pl-PL"/>
        </w:rPr>
        <w:t>1</w:t>
      </w:r>
      <w:r w:rsidR="00EC51C4">
        <w:rPr>
          <w:rFonts w:eastAsia="Times New Roman" w:cs="Times New Roman"/>
          <w:szCs w:val="19"/>
          <w:lang w:val="en-GB" w:eastAsia="pl-PL"/>
        </w:rPr>
        <w:t>71</w:t>
      </w:r>
      <w:r w:rsidR="00B63A89">
        <w:rPr>
          <w:rFonts w:eastAsia="Times New Roman" w:cs="Times New Roman"/>
          <w:szCs w:val="19"/>
          <w:lang w:val="en-GB" w:eastAsia="pl-PL"/>
        </w:rPr>
        <w:t xml:space="preserve"> thousand i.e. by </w:t>
      </w:r>
      <w:r w:rsidR="00745B63" w:rsidRPr="00745B63">
        <w:rPr>
          <w:rFonts w:eastAsia="Times New Roman" w:cs="Times New Roman"/>
          <w:szCs w:val="19"/>
          <w:lang w:val="en-GB" w:eastAsia="pl-PL"/>
        </w:rPr>
        <w:t>1.</w:t>
      </w:r>
      <w:r w:rsidR="00EC51C4">
        <w:rPr>
          <w:rFonts w:eastAsia="Times New Roman" w:cs="Times New Roman"/>
          <w:szCs w:val="19"/>
          <w:lang w:val="en-GB" w:eastAsia="pl-PL"/>
        </w:rPr>
        <w:t>3</w:t>
      </w:r>
      <w:r w:rsidR="00745B63" w:rsidRPr="00745B63">
        <w:rPr>
          <w:rFonts w:eastAsia="Times New Roman" w:cs="Times New Roman"/>
          <w:szCs w:val="19"/>
          <w:lang w:val="en-GB" w:eastAsia="pl-PL"/>
        </w:rPr>
        <w:t xml:space="preserve">%. </w:t>
      </w:r>
    </w:p>
    <w:p w14:paraId="50DC2746" w14:textId="37C5AA2B" w:rsidR="002E2379" w:rsidRDefault="002E2379" w:rsidP="00076EFD">
      <w:pPr>
        <w:spacing w:line="259" w:lineRule="auto"/>
        <w:ind w:left="851" w:hanging="851"/>
        <w:rPr>
          <w:b/>
          <w:shd w:val="clear" w:color="auto" w:fill="FFFFFF"/>
          <w:lang w:val="en-GB"/>
        </w:rPr>
      </w:pPr>
      <w:r w:rsidRPr="0053285E">
        <w:rPr>
          <w:b/>
          <w:shd w:val="clear" w:color="auto" w:fill="FFFFFF"/>
          <w:lang w:val="en-GB"/>
        </w:rPr>
        <w:t xml:space="preserve">Chart </w:t>
      </w:r>
      <w:r w:rsidR="00076EFD">
        <w:rPr>
          <w:b/>
          <w:shd w:val="clear" w:color="auto" w:fill="FFFFFF"/>
          <w:lang w:val="en-GB"/>
        </w:rPr>
        <w:t>10</w:t>
      </w:r>
      <w:r w:rsidRPr="0053285E">
        <w:rPr>
          <w:b/>
          <w:shd w:val="clear" w:color="auto" w:fill="FFFFFF"/>
          <w:lang w:val="en-GB"/>
        </w:rPr>
        <w:t>.</w:t>
      </w:r>
      <w:r w:rsidRPr="0053285E">
        <w:rPr>
          <w:b/>
          <w:shd w:val="clear" w:color="auto" w:fill="FFFFFF"/>
          <w:lang w:val="en-GB"/>
        </w:rPr>
        <w:tab/>
      </w:r>
      <w:r>
        <w:rPr>
          <w:b/>
          <w:shd w:val="clear" w:color="auto" w:fill="FFFFFF"/>
          <w:lang w:val="en-GB"/>
        </w:rPr>
        <w:t>Economically inactive persons and the share of economically inactive persons in population aged 15-89</w:t>
      </w:r>
    </w:p>
    <w:p w14:paraId="351E0153" w14:textId="692D44F3" w:rsidR="00EC51C4" w:rsidRDefault="00EC51C4" w:rsidP="00076EFD">
      <w:pPr>
        <w:spacing w:line="259" w:lineRule="auto"/>
        <w:ind w:left="851" w:hanging="851"/>
        <w:rPr>
          <w:b/>
          <w:shd w:val="clear" w:color="auto" w:fill="FFFFFF"/>
          <w:lang w:val="en-GB"/>
        </w:rPr>
      </w:pPr>
      <w:r>
        <w:rPr>
          <w:b/>
          <w:noProof/>
          <w:shd w:val="clear" w:color="auto" w:fill="FFFFFF"/>
          <w:lang w:val="en-GB"/>
        </w:rPr>
        <w:drawing>
          <wp:inline distT="0" distB="0" distL="0" distR="0" wp14:anchorId="5D3F7C41" wp14:editId="3D7AD3F3">
            <wp:extent cx="5055964" cy="2234317"/>
            <wp:effectExtent l="0" t="0" r="0" b="0"/>
            <wp:docPr id="38" name="Obraz 38" descr="Chart 10. Economically inactive persons and the share of economically inactive persons in population aged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9404" cy="2249095"/>
                    </a:xfrm>
                    <a:prstGeom prst="rect">
                      <a:avLst/>
                    </a:prstGeom>
                    <a:noFill/>
                  </pic:spPr>
                </pic:pic>
              </a:graphicData>
            </a:graphic>
          </wp:inline>
        </w:drawing>
      </w:r>
    </w:p>
    <w:p w14:paraId="26660D3C" w14:textId="2329AEA9" w:rsidR="00076EFD" w:rsidRDefault="00076EFD" w:rsidP="004D5B83">
      <w:pPr>
        <w:spacing w:before="360" w:after="0" w:line="288" w:lineRule="auto"/>
        <w:rPr>
          <w:rFonts w:eastAsia="Times New Roman" w:cs="Times New Roman"/>
          <w:szCs w:val="19"/>
          <w:lang w:val="en-GB" w:eastAsia="pl-PL"/>
        </w:rPr>
      </w:pPr>
      <w:r>
        <w:rPr>
          <w:rFonts w:eastAsia="Times New Roman" w:cs="Times New Roman"/>
          <w:szCs w:val="19"/>
          <w:lang w:val="en-GB" w:eastAsia="pl-PL"/>
        </w:rPr>
        <w:t>O</w:t>
      </w:r>
      <w:r w:rsidRPr="00AE4B0D">
        <w:rPr>
          <w:rFonts w:eastAsia="Times New Roman" w:cs="Times New Roman"/>
          <w:szCs w:val="19"/>
          <w:lang w:val="en-GB" w:eastAsia="pl-PL"/>
        </w:rPr>
        <w:t xml:space="preserve">ver half of the population of economically inactive persons </w:t>
      </w:r>
      <w:r>
        <w:rPr>
          <w:rFonts w:eastAsia="Times New Roman" w:cs="Times New Roman"/>
          <w:szCs w:val="19"/>
          <w:lang w:val="en-GB" w:eastAsia="pl-PL"/>
        </w:rPr>
        <w:t>in the analysed age group constituted</w:t>
      </w:r>
      <w:r w:rsidRPr="00AE4B0D">
        <w:rPr>
          <w:rFonts w:eastAsia="Times New Roman" w:cs="Times New Roman"/>
          <w:szCs w:val="19"/>
          <w:lang w:val="en-GB" w:eastAsia="pl-PL"/>
        </w:rPr>
        <w:t xml:space="preserve"> women </w:t>
      </w:r>
      <w:r w:rsidRPr="00FE378D">
        <w:rPr>
          <w:rFonts w:eastAsia="Times New Roman" w:cs="Times New Roman"/>
          <w:szCs w:val="19"/>
          <w:lang w:val="en-GB" w:eastAsia="pl-PL"/>
        </w:rPr>
        <w:t>–</w:t>
      </w:r>
      <w:r w:rsidR="006D2FBB">
        <w:rPr>
          <w:rFonts w:eastAsia="Times New Roman" w:cs="Times New Roman"/>
          <w:szCs w:val="19"/>
          <w:lang w:val="en-GB" w:eastAsia="pl-PL"/>
        </w:rPr>
        <w:t xml:space="preserve"> </w:t>
      </w:r>
      <w:r>
        <w:rPr>
          <w:rFonts w:eastAsia="Times New Roman" w:cs="Times New Roman"/>
          <w:szCs w:val="19"/>
          <w:lang w:val="en-GB" w:eastAsia="pl-PL"/>
        </w:rPr>
        <w:t xml:space="preserve">their share </w:t>
      </w:r>
      <w:r w:rsidRPr="002C3DBE">
        <w:rPr>
          <w:rFonts w:eastAsia="Times New Roman" w:cs="Times New Roman"/>
          <w:szCs w:val="19"/>
          <w:lang w:val="en-GB" w:eastAsia="pl-PL"/>
        </w:rPr>
        <w:t xml:space="preserve">was </w:t>
      </w:r>
      <w:r w:rsidR="00EC51C4">
        <w:rPr>
          <w:rFonts w:eastAsia="Times New Roman" w:cs="Times New Roman"/>
          <w:szCs w:val="19"/>
          <w:lang w:val="en-GB" w:eastAsia="pl-PL"/>
        </w:rPr>
        <w:t>59</w:t>
      </w:r>
      <w:r w:rsidRPr="002C3DBE">
        <w:rPr>
          <w:rFonts w:eastAsia="Times New Roman" w:cs="Times New Roman"/>
          <w:szCs w:val="19"/>
          <w:lang w:val="en-GB" w:eastAsia="pl-PL"/>
        </w:rPr>
        <w:t>.</w:t>
      </w:r>
      <w:r w:rsidR="00EC51C4">
        <w:rPr>
          <w:rFonts w:eastAsia="Times New Roman" w:cs="Times New Roman"/>
          <w:szCs w:val="19"/>
          <w:lang w:val="en-GB" w:eastAsia="pl-PL"/>
        </w:rPr>
        <w:t>8</w:t>
      </w:r>
      <w:r w:rsidRPr="002C3DBE">
        <w:rPr>
          <w:rFonts w:eastAsia="Times New Roman" w:cs="Times New Roman"/>
          <w:szCs w:val="19"/>
          <w:lang w:val="en-GB" w:eastAsia="pl-PL"/>
        </w:rPr>
        <w:t>% (7 </w:t>
      </w:r>
      <w:r w:rsidR="00B16072" w:rsidRPr="002C3DBE">
        <w:rPr>
          <w:rFonts w:eastAsia="Times New Roman" w:cs="Times New Roman"/>
          <w:szCs w:val="19"/>
          <w:lang w:val="en-GB" w:eastAsia="pl-PL"/>
        </w:rPr>
        <w:t>4</w:t>
      </w:r>
      <w:r w:rsidR="00EC51C4">
        <w:rPr>
          <w:rFonts w:eastAsia="Times New Roman" w:cs="Times New Roman"/>
          <w:szCs w:val="19"/>
          <w:lang w:val="en-GB" w:eastAsia="pl-PL"/>
        </w:rPr>
        <w:t>96</w:t>
      </w:r>
      <w:r w:rsidRPr="002C3DBE">
        <w:rPr>
          <w:rFonts w:eastAsia="Times New Roman" w:cs="Times New Roman"/>
          <w:szCs w:val="19"/>
          <w:lang w:val="en-GB" w:eastAsia="pl-PL"/>
        </w:rPr>
        <w:t xml:space="preserve"> </w:t>
      </w:r>
      <w:r w:rsidRPr="00AE4B0D">
        <w:rPr>
          <w:rFonts w:eastAsia="Times New Roman" w:cs="Times New Roman"/>
          <w:szCs w:val="19"/>
          <w:lang w:val="en-GB" w:eastAsia="pl-PL"/>
        </w:rPr>
        <w:t>thousand</w:t>
      </w:r>
      <w:r>
        <w:rPr>
          <w:rFonts w:eastAsia="Times New Roman" w:cs="Times New Roman"/>
          <w:szCs w:val="19"/>
          <w:lang w:val="en-GB" w:eastAsia="pl-PL"/>
        </w:rPr>
        <w:t>)</w:t>
      </w:r>
      <w:r w:rsidRPr="00AE4B0D">
        <w:rPr>
          <w:rFonts w:eastAsia="Times New Roman" w:cs="Times New Roman"/>
          <w:szCs w:val="19"/>
          <w:lang w:val="en-GB" w:eastAsia="pl-PL"/>
        </w:rPr>
        <w:t>.</w:t>
      </w:r>
      <w:r>
        <w:rPr>
          <w:rFonts w:eastAsia="Times New Roman" w:cs="Times New Roman"/>
          <w:szCs w:val="19"/>
          <w:lang w:val="en-GB" w:eastAsia="pl-PL"/>
        </w:rPr>
        <w:t xml:space="preserve"> </w:t>
      </w:r>
      <w:r w:rsidRPr="004870F0">
        <w:rPr>
          <w:rFonts w:eastAsia="Times New Roman" w:cs="Times New Roman"/>
          <w:szCs w:val="19"/>
          <w:lang w:val="en-GB" w:eastAsia="pl-PL"/>
        </w:rPr>
        <w:t xml:space="preserve">Economically </w:t>
      </w:r>
      <w:r>
        <w:rPr>
          <w:rFonts w:eastAsia="Times New Roman" w:cs="Times New Roman"/>
          <w:szCs w:val="19"/>
          <w:lang w:val="en-GB" w:eastAsia="pl-PL"/>
        </w:rPr>
        <w:t>i</w:t>
      </w:r>
      <w:r w:rsidRPr="00C300D5">
        <w:rPr>
          <w:rFonts w:eastAsia="Times New Roman" w:cs="Times New Roman"/>
          <w:szCs w:val="19"/>
          <w:lang w:val="en-GB" w:eastAsia="pl-PL"/>
        </w:rPr>
        <w:t xml:space="preserve">nactive women </w:t>
      </w:r>
      <w:r w:rsidRPr="00C300D5">
        <w:rPr>
          <w:rFonts w:eastAsia="Times New Roman" w:cs="Times New Roman"/>
          <w:szCs w:val="19"/>
          <w:lang w:val="en-GB" w:eastAsia="pl-PL"/>
        </w:rPr>
        <w:lastRenderedPageBreak/>
        <w:t xml:space="preserve">accounted </w:t>
      </w:r>
      <w:r w:rsidRPr="002C3DBE">
        <w:rPr>
          <w:rFonts w:eastAsia="Times New Roman" w:cs="Times New Roman"/>
          <w:szCs w:val="19"/>
          <w:lang w:val="en-GB" w:eastAsia="pl-PL"/>
        </w:rPr>
        <w:t>for 4</w:t>
      </w:r>
      <w:r w:rsidR="00B16072" w:rsidRPr="002C3DBE">
        <w:rPr>
          <w:rFonts w:eastAsia="Times New Roman" w:cs="Times New Roman"/>
          <w:szCs w:val="19"/>
          <w:lang w:val="en-GB" w:eastAsia="pl-PL"/>
        </w:rPr>
        <w:t>7</w:t>
      </w:r>
      <w:r w:rsidRPr="002C3DBE">
        <w:rPr>
          <w:rFonts w:eastAsia="Times New Roman" w:cs="Times New Roman"/>
          <w:szCs w:val="19"/>
          <w:lang w:val="en-GB" w:eastAsia="pl-PL"/>
        </w:rPr>
        <w:t>.</w:t>
      </w:r>
      <w:r w:rsidR="00EC51C4">
        <w:rPr>
          <w:rFonts w:eastAsia="Times New Roman" w:cs="Times New Roman"/>
          <w:szCs w:val="19"/>
          <w:lang w:val="en-GB" w:eastAsia="pl-PL"/>
        </w:rPr>
        <w:t>5</w:t>
      </w:r>
      <w:r w:rsidRPr="002C3DBE">
        <w:rPr>
          <w:rFonts w:eastAsia="Times New Roman" w:cs="Times New Roman"/>
          <w:szCs w:val="19"/>
          <w:lang w:val="en-GB" w:eastAsia="pl-PL"/>
        </w:rPr>
        <w:t xml:space="preserve">% of </w:t>
      </w:r>
      <w:r w:rsidRPr="00C300D5">
        <w:rPr>
          <w:rFonts w:eastAsia="Times New Roman" w:cs="Times New Roman"/>
          <w:szCs w:val="19"/>
          <w:lang w:val="en-GB" w:eastAsia="pl-PL"/>
        </w:rPr>
        <w:t>all women</w:t>
      </w:r>
      <w:r>
        <w:rPr>
          <w:rFonts w:eastAsia="Times New Roman" w:cs="Times New Roman"/>
          <w:szCs w:val="19"/>
          <w:lang w:val="en-GB" w:eastAsia="pl-PL"/>
        </w:rPr>
        <w:t xml:space="preserve"> </w:t>
      </w:r>
      <w:r w:rsidRPr="00C300D5">
        <w:rPr>
          <w:rFonts w:eastAsia="Times New Roman" w:cs="Times New Roman"/>
          <w:szCs w:val="19"/>
          <w:lang w:val="en-GB" w:eastAsia="pl-PL"/>
        </w:rPr>
        <w:t xml:space="preserve">aged 15-89, </w:t>
      </w:r>
      <w:r>
        <w:rPr>
          <w:rFonts w:eastAsia="Times New Roman" w:cs="Times New Roman"/>
          <w:szCs w:val="19"/>
          <w:lang w:val="en-GB" w:eastAsia="pl-PL"/>
        </w:rPr>
        <w:t>while</w:t>
      </w:r>
      <w:r w:rsidRPr="00C300D5">
        <w:rPr>
          <w:rFonts w:eastAsia="Times New Roman" w:cs="Times New Roman"/>
          <w:szCs w:val="19"/>
          <w:lang w:val="en-GB" w:eastAsia="pl-PL"/>
        </w:rPr>
        <w:t xml:space="preserve"> </w:t>
      </w:r>
      <w:r w:rsidRPr="00F45A4B">
        <w:rPr>
          <w:rFonts w:eastAsia="Times New Roman" w:cs="Times New Roman"/>
          <w:szCs w:val="19"/>
          <w:lang w:val="en-GB" w:eastAsia="pl-PL"/>
        </w:rPr>
        <w:t xml:space="preserve">analogous indicator </w:t>
      </w:r>
      <w:r w:rsidRPr="00C300D5">
        <w:rPr>
          <w:rFonts w:eastAsia="Times New Roman" w:cs="Times New Roman"/>
          <w:szCs w:val="19"/>
          <w:lang w:val="en-GB" w:eastAsia="pl-PL"/>
        </w:rPr>
        <w:t xml:space="preserve">for men </w:t>
      </w:r>
      <w:r w:rsidRPr="002C3DBE">
        <w:rPr>
          <w:rFonts w:eastAsia="Times New Roman" w:cs="Times New Roman"/>
          <w:szCs w:val="19"/>
          <w:lang w:val="en-GB" w:eastAsia="pl-PL"/>
        </w:rPr>
        <w:t>was 34.</w:t>
      </w:r>
      <w:r w:rsidR="00EC51C4">
        <w:rPr>
          <w:rFonts w:eastAsia="Times New Roman" w:cs="Times New Roman"/>
          <w:szCs w:val="19"/>
          <w:lang w:val="en-GB" w:eastAsia="pl-PL"/>
        </w:rPr>
        <w:t>6</w:t>
      </w:r>
      <w:r w:rsidRPr="002C3DBE">
        <w:rPr>
          <w:rFonts w:eastAsia="Times New Roman" w:cs="Times New Roman"/>
          <w:szCs w:val="19"/>
          <w:lang w:val="en-GB" w:eastAsia="pl-PL"/>
        </w:rPr>
        <w:t xml:space="preserve">%. </w:t>
      </w:r>
      <w:r w:rsidRPr="000B09C9">
        <w:rPr>
          <w:rFonts w:eastAsia="Times New Roman" w:cs="Times New Roman"/>
          <w:szCs w:val="19"/>
          <w:lang w:val="en-GB" w:eastAsia="pl-PL"/>
        </w:rPr>
        <w:t>A</w:t>
      </w:r>
      <w:r w:rsidR="008805AC" w:rsidRPr="000B09C9">
        <w:rPr>
          <w:rFonts w:eastAsia="Times New Roman" w:cs="Times New Roman"/>
          <w:szCs w:val="19"/>
          <w:lang w:val="en-GB" w:eastAsia="pl-PL"/>
        </w:rPr>
        <w:t> </w:t>
      </w:r>
      <w:r w:rsidRPr="000B09C9">
        <w:rPr>
          <w:rFonts w:eastAsia="Times New Roman" w:cs="Times New Roman"/>
          <w:szCs w:val="19"/>
          <w:lang w:val="en-GB" w:eastAsia="pl-PL"/>
        </w:rPr>
        <w:t>majority of economically inactive persons constituted</w:t>
      </w:r>
      <w:r w:rsidRPr="003D532C">
        <w:rPr>
          <w:rFonts w:eastAsia="Times New Roman" w:cs="Times New Roman"/>
          <w:szCs w:val="19"/>
          <w:lang w:val="en-GB" w:eastAsia="pl-PL"/>
        </w:rPr>
        <w:t xml:space="preserve"> urban </w:t>
      </w:r>
      <w:r w:rsidRPr="002C3DBE">
        <w:rPr>
          <w:rFonts w:eastAsia="Times New Roman" w:cs="Times New Roman"/>
          <w:szCs w:val="19"/>
          <w:lang w:val="en-GB" w:eastAsia="pl-PL"/>
        </w:rPr>
        <w:t>residents (59.</w:t>
      </w:r>
      <w:r w:rsidR="002C3DBE" w:rsidRPr="002C3DBE">
        <w:rPr>
          <w:rFonts w:eastAsia="Times New Roman" w:cs="Times New Roman"/>
          <w:szCs w:val="19"/>
          <w:lang w:val="en-GB" w:eastAsia="pl-PL"/>
        </w:rPr>
        <w:t>9</w:t>
      </w:r>
      <w:r w:rsidRPr="003D532C">
        <w:rPr>
          <w:rFonts w:eastAsia="Times New Roman" w:cs="Times New Roman"/>
          <w:szCs w:val="19"/>
          <w:lang w:val="en-GB" w:eastAsia="pl-PL"/>
        </w:rPr>
        <w:t>%</w:t>
      </w:r>
      <w:r w:rsidR="008C3E63">
        <w:rPr>
          <w:rFonts w:eastAsia="Times New Roman" w:cs="Times New Roman"/>
          <w:szCs w:val="19"/>
          <w:lang w:val="en-GB" w:eastAsia="pl-PL"/>
        </w:rPr>
        <w:t>,</w:t>
      </w:r>
      <w:r w:rsidR="008F4FF8">
        <w:rPr>
          <w:rFonts w:eastAsia="Times New Roman" w:cs="Times New Roman"/>
          <w:szCs w:val="19"/>
          <w:lang w:val="en-GB" w:eastAsia="pl-PL"/>
        </w:rPr>
        <w:t xml:space="preserve"> </w:t>
      </w:r>
      <w:r>
        <w:rPr>
          <w:rFonts w:eastAsia="Times New Roman" w:cs="Times New Roman"/>
          <w:szCs w:val="19"/>
          <w:lang w:val="en-GB" w:eastAsia="pl-PL"/>
        </w:rPr>
        <w:t>i.e.</w:t>
      </w:r>
      <w:r w:rsidR="004D5B83">
        <w:rPr>
          <w:rFonts w:eastAsia="Times New Roman" w:cs="Times New Roman"/>
          <w:szCs w:val="19"/>
          <w:lang w:val="en-GB" w:eastAsia="pl-PL"/>
        </w:rPr>
        <w:t> </w:t>
      </w:r>
      <w:r w:rsidRPr="002C3DBE">
        <w:rPr>
          <w:rFonts w:eastAsia="Times New Roman" w:cs="Times New Roman"/>
          <w:szCs w:val="19"/>
          <w:lang w:val="en-GB" w:eastAsia="pl-PL"/>
        </w:rPr>
        <w:t>7</w:t>
      </w:r>
      <w:r w:rsidR="00367D86">
        <w:rPr>
          <w:rFonts w:eastAsia="Times New Roman" w:cs="Times New Roman"/>
          <w:szCs w:val="19"/>
          <w:lang w:val="en-GB" w:eastAsia="pl-PL"/>
        </w:rPr>
        <w:t> </w:t>
      </w:r>
      <w:r w:rsidR="00EC51C4">
        <w:rPr>
          <w:rFonts w:eastAsia="Times New Roman" w:cs="Times New Roman"/>
          <w:szCs w:val="19"/>
          <w:lang w:val="en-GB" w:eastAsia="pl-PL"/>
        </w:rPr>
        <w:t>509</w:t>
      </w:r>
      <w:r w:rsidR="00367D86">
        <w:rPr>
          <w:rFonts w:eastAsia="Times New Roman" w:cs="Times New Roman"/>
          <w:szCs w:val="19"/>
          <w:lang w:val="en-GB" w:eastAsia="pl-PL"/>
        </w:rPr>
        <w:t> </w:t>
      </w:r>
      <w:r w:rsidRPr="003D532C">
        <w:rPr>
          <w:rFonts w:eastAsia="Times New Roman" w:cs="Times New Roman"/>
          <w:szCs w:val="19"/>
          <w:lang w:val="en-GB" w:eastAsia="pl-PL"/>
        </w:rPr>
        <w:t>thousand)</w:t>
      </w:r>
      <w:r>
        <w:rPr>
          <w:rFonts w:eastAsia="Times New Roman" w:cs="Times New Roman"/>
          <w:szCs w:val="19"/>
          <w:lang w:val="en-GB" w:eastAsia="pl-PL"/>
        </w:rPr>
        <w:t xml:space="preserve"> than rural residents</w:t>
      </w:r>
      <w:r w:rsidRPr="003D532C">
        <w:rPr>
          <w:rFonts w:eastAsia="Times New Roman" w:cs="Times New Roman"/>
          <w:szCs w:val="19"/>
          <w:lang w:val="en-GB" w:eastAsia="pl-PL"/>
        </w:rPr>
        <w:t>, which is connected with a</w:t>
      </w:r>
      <w:r w:rsidR="008F4FF8">
        <w:rPr>
          <w:rFonts w:eastAsia="Times New Roman" w:cs="Times New Roman"/>
          <w:szCs w:val="19"/>
          <w:lang w:val="en-GB" w:eastAsia="pl-PL"/>
        </w:rPr>
        <w:t xml:space="preserve"> </w:t>
      </w:r>
      <w:r w:rsidRPr="003D532C">
        <w:rPr>
          <w:rFonts w:eastAsia="Times New Roman" w:cs="Times New Roman"/>
          <w:szCs w:val="19"/>
          <w:lang w:val="en-GB" w:eastAsia="pl-PL"/>
        </w:rPr>
        <w:t>higher population in urban than in rural areas.</w:t>
      </w:r>
      <w:r w:rsidRPr="004870F0">
        <w:rPr>
          <w:rFonts w:eastAsia="Times New Roman" w:cs="Times New Roman"/>
          <w:szCs w:val="19"/>
          <w:lang w:val="en-GB" w:eastAsia="pl-PL"/>
        </w:rPr>
        <w:t xml:space="preserve"> </w:t>
      </w:r>
      <w:r>
        <w:rPr>
          <w:rFonts w:eastAsia="Times New Roman" w:cs="Times New Roman"/>
          <w:szCs w:val="19"/>
          <w:lang w:val="en-GB" w:eastAsia="pl-PL"/>
        </w:rPr>
        <w:t>T</w:t>
      </w:r>
      <w:r w:rsidRPr="00C300D5">
        <w:rPr>
          <w:rFonts w:eastAsia="Times New Roman" w:cs="Times New Roman"/>
          <w:szCs w:val="19"/>
          <w:lang w:val="en-GB" w:eastAsia="pl-PL"/>
        </w:rPr>
        <w:t xml:space="preserve">he share of economically inactive </w:t>
      </w:r>
      <w:r w:rsidR="0094082E">
        <w:rPr>
          <w:rFonts w:eastAsia="Times New Roman" w:cs="Times New Roman"/>
          <w:szCs w:val="19"/>
          <w:lang w:val="en-GB" w:eastAsia="pl-PL"/>
        </w:rPr>
        <w:t xml:space="preserve">persons </w:t>
      </w:r>
      <w:r>
        <w:rPr>
          <w:rFonts w:eastAsia="Times New Roman" w:cs="Times New Roman"/>
          <w:szCs w:val="19"/>
          <w:lang w:val="en-GB" w:eastAsia="pl-PL"/>
        </w:rPr>
        <w:t>in the analysed age group</w:t>
      </w:r>
      <w:r w:rsidRPr="00C300D5" w:rsidDel="00C25405">
        <w:rPr>
          <w:rFonts w:eastAsia="Times New Roman" w:cs="Times New Roman"/>
          <w:szCs w:val="19"/>
          <w:lang w:val="en-GB" w:eastAsia="pl-PL"/>
        </w:rPr>
        <w:t xml:space="preserve"> </w:t>
      </w:r>
      <w:r>
        <w:rPr>
          <w:rFonts w:eastAsia="Times New Roman" w:cs="Times New Roman"/>
          <w:szCs w:val="19"/>
          <w:lang w:val="en-GB" w:eastAsia="pl-PL"/>
        </w:rPr>
        <w:t xml:space="preserve">among all urban </w:t>
      </w:r>
      <w:r w:rsidRPr="00C300D5">
        <w:rPr>
          <w:rFonts w:eastAsia="Times New Roman" w:cs="Times New Roman"/>
          <w:szCs w:val="19"/>
          <w:lang w:val="en-GB" w:eastAsia="pl-PL"/>
        </w:rPr>
        <w:t xml:space="preserve">residents was at the </w:t>
      </w:r>
      <w:r w:rsidRPr="002C3DBE">
        <w:rPr>
          <w:rFonts w:eastAsia="Times New Roman" w:cs="Times New Roman"/>
          <w:szCs w:val="19"/>
          <w:lang w:val="en-GB" w:eastAsia="pl-PL"/>
        </w:rPr>
        <w:t>level of 4</w:t>
      </w:r>
      <w:r w:rsidR="00EC51C4">
        <w:rPr>
          <w:rFonts w:eastAsia="Times New Roman" w:cs="Times New Roman"/>
          <w:szCs w:val="19"/>
          <w:lang w:val="en-GB" w:eastAsia="pl-PL"/>
        </w:rPr>
        <w:t>1</w:t>
      </w:r>
      <w:r w:rsidR="008805AC" w:rsidRPr="002C3DBE">
        <w:rPr>
          <w:rFonts w:eastAsia="Times New Roman" w:cs="Times New Roman"/>
          <w:szCs w:val="19"/>
          <w:lang w:val="en-GB" w:eastAsia="pl-PL"/>
        </w:rPr>
        <w:t>.</w:t>
      </w:r>
      <w:r w:rsidR="00EC51C4">
        <w:rPr>
          <w:rFonts w:eastAsia="Times New Roman" w:cs="Times New Roman"/>
          <w:szCs w:val="19"/>
          <w:lang w:val="en-GB" w:eastAsia="pl-PL"/>
        </w:rPr>
        <w:t>1</w:t>
      </w:r>
      <w:r w:rsidRPr="002C3DBE">
        <w:rPr>
          <w:rFonts w:eastAsia="Times New Roman" w:cs="Times New Roman"/>
          <w:szCs w:val="19"/>
          <w:lang w:val="en-GB" w:eastAsia="pl-PL"/>
        </w:rPr>
        <w:t xml:space="preserve">% and </w:t>
      </w:r>
      <w:r>
        <w:rPr>
          <w:rFonts w:eastAsia="Times New Roman" w:cs="Times New Roman"/>
          <w:szCs w:val="19"/>
          <w:lang w:val="en-GB" w:eastAsia="pl-PL"/>
        </w:rPr>
        <w:t>among rural</w:t>
      </w:r>
      <w:r w:rsidRPr="00C300D5">
        <w:rPr>
          <w:rFonts w:eastAsia="Times New Roman" w:cs="Times New Roman"/>
          <w:szCs w:val="19"/>
          <w:lang w:val="en-GB" w:eastAsia="pl-PL"/>
        </w:rPr>
        <w:t xml:space="preserve"> </w:t>
      </w:r>
      <w:r>
        <w:rPr>
          <w:rFonts w:eastAsia="Times New Roman" w:cs="Times New Roman"/>
          <w:szCs w:val="19"/>
          <w:lang w:val="en-GB" w:eastAsia="pl-PL"/>
        </w:rPr>
        <w:t xml:space="preserve">residents </w:t>
      </w:r>
      <w:r w:rsidRPr="00C300D5">
        <w:rPr>
          <w:rFonts w:eastAsia="Times New Roman" w:cs="Times New Roman"/>
          <w:szCs w:val="19"/>
          <w:lang w:val="en-GB" w:eastAsia="pl-PL"/>
        </w:rPr>
        <w:t>amounted to</w:t>
      </w:r>
      <w:r w:rsidR="003F77F6">
        <w:rPr>
          <w:rFonts w:eastAsia="Times New Roman" w:cs="Times New Roman"/>
          <w:szCs w:val="19"/>
          <w:lang w:val="en-GB" w:eastAsia="pl-PL"/>
        </w:rPr>
        <w:t xml:space="preserve"> </w:t>
      </w:r>
      <w:r w:rsidRPr="002C3DBE">
        <w:rPr>
          <w:rFonts w:eastAsia="Times New Roman" w:cs="Times New Roman"/>
          <w:szCs w:val="19"/>
          <w:lang w:val="en-GB" w:eastAsia="pl-PL"/>
        </w:rPr>
        <w:t>4</w:t>
      </w:r>
      <w:r w:rsidR="008805AC" w:rsidRPr="002C3DBE">
        <w:rPr>
          <w:rFonts w:eastAsia="Times New Roman" w:cs="Times New Roman"/>
          <w:szCs w:val="19"/>
          <w:lang w:val="en-GB" w:eastAsia="pl-PL"/>
        </w:rPr>
        <w:t>1</w:t>
      </w:r>
      <w:r w:rsidRPr="002C3DBE">
        <w:rPr>
          <w:rFonts w:eastAsia="Times New Roman" w:cs="Times New Roman"/>
          <w:szCs w:val="19"/>
          <w:lang w:val="en-GB" w:eastAsia="pl-PL"/>
        </w:rPr>
        <w:t>.</w:t>
      </w:r>
      <w:r w:rsidR="00EC51C4">
        <w:rPr>
          <w:rFonts w:eastAsia="Times New Roman" w:cs="Times New Roman"/>
          <w:szCs w:val="19"/>
          <w:lang w:val="en-GB" w:eastAsia="pl-PL"/>
        </w:rPr>
        <w:t>5</w:t>
      </w:r>
      <w:r w:rsidRPr="002C3DBE">
        <w:rPr>
          <w:rFonts w:eastAsia="Times New Roman" w:cs="Times New Roman"/>
          <w:szCs w:val="19"/>
          <w:lang w:val="en-GB" w:eastAsia="pl-PL"/>
        </w:rPr>
        <w:t>%.</w:t>
      </w:r>
    </w:p>
    <w:p w14:paraId="10B8D450" w14:textId="6BD1D055" w:rsidR="00E720B4" w:rsidRDefault="00E720B4" w:rsidP="00035CB2">
      <w:pPr>
        <w:spacing w:line="288" w:lineRule="auto"/>
        <w:rPr>
          <w:rFonts w:eastAsia="Times New Roman" w:cs="Times New Roman"/>
          <w:szCs w:val="19"/>
          <w:lang w:val="en-GB" w:eastAsia="pl-PL"/>
        </w:rPr>
      </w:pPr>
      <w:r>
        <w:rPr>
          <w:rFonts w:eastAsia="Times New Roman" w:cs="Times New Roman"/>
          <w:szCs w:val="19"/>
          <w:lang w:val="en-GB" w:eastAsia="pl-PL"/>
        </w:rPr>
        <w:t>Chart</w:t>
      </w:r>
      <w:r w:rsidRPr="00E720B4">
        <w:rPr>
          <w:rFonts w:eastAsia="Times New Roman" w:cs="Times New Roman"/>
          <w:szCs w:val="19"/>
          <w:lang w:val="en-GB" w:eastAsia="pl-PL"/>
        </w:rPr>
        <w:t xml:space="preserve"> 11 presents changes in the economically inactive population depending on </w:t>
      </w:r>
      <w:r>
        <w:rPr>
          <w:rFonts w:eastAsia="Times New Roman" w:cs="Times New Roman"/>
          <w:szCs w:val="19"/>
          <w:lang w:val="en-GB" w:eastAsia="pl-PL"/>
        </w:rPr>
        <w:t>sex</w:t>
      </w:r>
      <w:r w:rsidRPr="00E720B4">
        <w:rPr>
          <w:rFonts w:eastAsia="Times New Roman" w:cs="Times New Roman"/>
          <w:szCs w:val="19"/>
          <w:lang w:val="en-GB" w:eastAsia="pl-PL"/>
        </w:rPr>
        <w:t xml:space="preserve"> and place of residence.</w:t>
      </w:r>
    </w:p>
    <w:p w14:paraId="467EC1F6" w14:textId="24693D39" w:rsidR="00EF1A4F" w:rsidRDefault="00EF1A4F" w:rsidP="008D2216">
      <w:pPr>
        <w:spacing w:after="0" w:line="288" w:lineRule="auto"/>
        <w:ind w:left="851" w:hanging="851"/>
        <w:rPr>
          <w:b/>
          <w:shd w:val="clear" w:color="auto" w:fill="FFFFFF"/>
          <w:lang w:val="en-GB"/>
        </w:rPr>
      </w:pPr>
      <w:r w:rsidRPr="00117CD0">
        <w:rPr>
          <w:b/>
          <w:shd w:val="clear" w:color="auto" w:fill="FFFFFF"/>
          <w:lang w:val="en-GB"/>
        </w:rPr>
        <w:t xml:space="preserve">Chart </w:t>
      </w:r>
      <w:r>
        <w:rPr>
          <w:b/>
          <w:shd w:val="clear" w:color="auto" w:fill="FFFFFF"/>
          <w:lang w:val="en-GB"/>
        </w:rPr>
        <w:t>11</w:t>
      </w:r>
      <w:r w:rsidRPr="00117CD0">
        <w:rPr>
          <w:b/>
          <w:shd w:val="clear" w:color="auto" w:fill="FFFFFF"/>
          <w:lang w:val="en-GB"/>
        </w:rPr>
        <w:t>.</w:t>
      </w:r>
      <w:r w:rsidRPr="00117CD0">
        <w:rPr>
          <w:b/>
          <w:shd w:val="clear" w:color="auto" w:fill="FFFFFF"/>
          <w:lang w:val="en-GB"/>
        </w:rPr>
        <w:tab/>
        <w:t>Changes</w:t>
      </w:r>
      <w:r w:rsidRPr="002D15CF">
        <w:rPr>
          <w:b/>
          <w:shd w:val="clear" w:color="auto" w:fill="FFFFFF"/>
          <w:lang w:val="en-GB"/>
        </w:rPr>
        <w:t xml:space="preserve"> in the number of </w:t>
      </w:r>
      <w:r>
        <w:rPr>
          <w:b/>
          <w:shd w:val="clear" w:color="auto" w:fill="FFFFFF"/>
          <w:lang w:val="en-GB"/>
        </w:rPr>
        <w:t>economically inactive</w:t>
      </w:r>
      <w:r w:rsidRPr="002D15CF">
        <w:rPr>
          <w:b/>
          <w:shd w:val="clear" w:color="auto" w:fill="FFFFFF"/>
          <w:lang w:val="en-GB"/>
        </w:rPr>
        <w:t xml:space="preserve"> persons aged 15-</w:t>
      </w:r>
      <w:r>
        <w:rPr>
          <w:b/>
          <w:shd w:val="clear" w:color="auto" w:fill="FFFFFF"/>
          <w:lang w:val="en-GB"/>
        </w:rPr>
        <w:t xml:space="preserve">89 </w:t>
      </w:r>
      <w:r w:rsidRPr="002D15CF">
        <w:rPr>
          <w:b/>
          <w:shd w:val="clear" w:color="auto" w:fill="FFFFFF"/>
          <w:lang w:val="en-GB"/>
        </w:rPr>
        <w:t xml:space="preserve">between the </w:t>
      </w:r>
      <w:r w:rsidR="00EC51C4">
        <w:rPr>
          <w:b/>
          <w:shd w:val="clear" w:color="auto" w:fill="FFFFFF"/>
          <w:lang w:val="en-GB"/>
        </w:rPr>
        <w:t>1</w:t>
      </w:r>
      <w:r w:rsidR="00EC51C4">
        <w:rPr>
          <w:b/>
          <w:shd w:val="clear" w:color="auto" w:fill="FFFFFF"/>
          <w:vertAlign w:val="superscript"/>
          <w:lang w:val="en-GB"/>
        </w:rPr>
        <w:t>st</w:t>
      </w:r>
      <w:r>
        <w:rPr>
          <w:b/>
          <w:shd w:val="clear" w:color="auto" w:fill="FFFFFF"/>
          <w:lang w:val="en-GB"/>
        </w:rPr>
        <w:t xml:space="preserve"> quarter of 202</w:t>
      </w:r>
      <w:r w:rsidR="00EC51C4">
        <w:rPr>
          <w:b/>
          <w:shd w:val="clear" w:color="auto" w:fill="FFFFFF"/>
          <w:lang w:val="en-GB"/>
        </w:rPr>
        <w:t>6</w:t>
      </w:r>
      <w:r>
        <w:rPr>
          <w:b/>
          <w:shd w:val="clear" w:color="auto" w:fill="FFFFFF"/>
          <w:lang w:val="en-GB"/>
        </w:rPr>
        <w:t xml:space="preserve"> and the </w:t>
      </w:r>
      <w:r w:rsidR="00EC51C4">
        <w:rPr>
          <w:b/>
          <w:shd w:val="clear" w:color="auto" w:fill="FFFFFF"/>
          <w:lang w:val="en-GB"/>
        </w:rPr>
        <w:t>4</w:t>
      </w:r>
      <w:r w:rsidR="00EC51C4">
        <w:rPr>
          <w:b/>
          <w:shd w:val="clear" w:color="auto" w:fill="FFFFFF"/>
          <w:vertAlign w:val="superscript"/>
          <w:lang w:val="en-GB"/>
        </w:rPr>
        <w:t>th</w:t>
      </w:r>
      <w:r>
        <w:rPr>
          <w:b/>
          <w:shd w:val="clear" w:color="auto" w:fill="FFFFFF"/>
          <w:lang w:val="en-GB"/>
        </w:rPr>
        <w:t xml:space="preserve"> </w:t>
      </w:r>
      <w:r w:rsidRPr="002D15CF">
        <w:rPr>
          <w:b/>
          <w:shd w:val="clear" w:color="auto" w:fill="FFFFFF"/>
          <w:lang w:val="en-GB"/>
        </w:rPr>
        <w:t xml:space="preserve">quarter of 2025 </w:t>
      </w:r>
      <w:r w:rsidR="00D86CEC">
        <w:rPr>
          <w:b/>
          <w:shd w:val="clear" w:color="auto" w:fill="FFFFFF"/>
          <w:lang w:val="en-GB"/>
        </w:rPr>
        <w:t>as well as</w:t>
      </w:r>
      <w:r w:rsidRPr="002D15CF">
        <w:rPr>
          <w:b/>
          <w:shd w:val="clear" w:color="auto" w:fill="FFFFFF"/>
          <w:lang w:val="en-GB"/>
        </w:rPr>
        <w:t xml:space="preserve"> the </w:t>
      </w:r>
      <w:r w:rsidR="00EC51C4">
        <w:rPr>
          <w:b/>
          <w:shd w:val="clear" w:color="auto" w:fill="FFFFFF"/>
          <w:lang w:val="en-GB"/>
        </w:rPr>
        <w:t>1</w:t>
      </w:r>
      <w:r w:rsidR="00EC51C4">
        <w:rPr>
          <w:b/>
          <w:shd w:val="clear" w:color="auto" w:fill="FFFFFF"/>
          <w:vertAlign w:val="superscript"/>
          <w:lang w:val="en-GB"/>
        </w:rPr>
        <w:t>st</w:t>
      </w:r>
      <w:r>
        <w:rPr>
          <w:b/>
          <w:shd w:val="clear" w:color="auto" w:fill="FFFFFF"/>
          <w:lang w:val="en-GB"/>
        </w:rPr>
        <w:t xml:space="preserve"> </w:t>
      </w:r>
      <w:r w:rsidRPr="002D15CF">
        <w:rPr>
          <w:b/>
          <w:shd w:val="clear" w:color="auto" w:fill="FFFFFF"/>
          <w:lang w:val="en-GB"/>
        </w:rPr>
        <w:t>quarter of 202</w:t>
      </w:r>
      <w:r w:rsidR="00EC51C4">
        <w:rPr>
          <w:b/>
          <w:shd w:val="clear" w:color="auto" w:fill="FFFFFF"/>
          <w:lang w:val="en-GB"/>
        </w:rPr>
        <w:t>5</w:t>
      </w:r>
    </w:p>
    <w:p w14:paraId="26F4D3D5" w14:textId="355790A6" w:rsidR="008805AC" w:rsidRDefault="00EC51C4" w:rsidP="00367D86">
      <w:pPr>
        <w:spacing w:after="0" w:line="288" w:lineRule="auto"/>
        <w:ind w:left="851" w:hanging="851"/>
        <w:jc w:val="center"/>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3ADD1C22" wp14:editId="52A35CE2">
            <wp:extent cx="4973697" cy="2218414"/>
            <wp:effectExtent l="0" t="0" r="0" b="0"/>
            <wp:docPr id="39" name="Obraz 39" descr="Chart 11. Changes in the number of economically inactive persons aged 15-89 between the first quarter of 2026 and the fourth quarter of 2025 as well as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3611" cy="2227296"/>
                    </a:xfrm>
                    <a:prstGeom prst="rect">
                      <a:avLst/>
                    </a:prstGeom>
                    <a:noFill/>
                  </pic:spPr>
                </pic:pic>
              </a:graphicData>
            </a:graphic>
          </wp:inline>
        </w:drawing>
      </w:r>
    </w:p>
    <w:p w14:paraId="7413C86E" w14:textId="2808E67E" w:rsidR="00725E5F" w:rsidRDefault="00AE4B0D" w:rsidP="00375BBB">
      <w:pPr>
        <w:spacing w:before="240"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w:t>
      </w:r>
      <w:r w:rsidR="00C10051">
        <w:rPr>
          <w:lang w:val="en-GB"/>
        </w:rPr>
        <w:t xml:space="preserve"> and </w:t>
      </w:r>
      <w:r w:rsidRPr="00E17EF2">
        <w:rPr>
          <w:lang w:val="en-GB"/>
        </w:rPr>
        <w:t xml:space="preserve">persons who have definitely left the labour market or will never enter the labour market (some retirees, pensioners, persons </w:t>
      </w:r>
      <w:r w:rsidR="00B143A7">
        <w:rPr>
          <w:lang w:val="en-GB"/>
        </w:rPr>
        <w:t>who earn their living</w:t>
      </w:r>
      <w:r w:rsidRPr="00E17EF2">
        <w:rPr>
          <w:lang w:val="en-GB"/>
        </w:rPr>
        <w:t xml:space="preserve"> from other sources than work), but also persons who entered the labour market, then partially deactivated and who will want to re-enter the labour market after a break.</w:t>
      </w:r>
    </w:p>
    <w:p w14:paraId="06BC615C" w14:textId="449303E5" w:rsidR="00524007" w:rsidRDefault="003F341C" w:rsidP="00035CB2">
      <w:pPr>
        <w:spacing w:line="288" w:lineRule="auto"/>
        <w:ind w:left="896" w:hanging="896"/>
        <w:jc w:val="both"/>
        <w:rPr>
          <w:noProof/>
          <w:lang w:val="en-GB"/>
        </w:rPr>
      </w:pPr>
      <w:r w:rsidRPr="0053285E">
        <w:rPr>
          <w:b/>
          <w:lang w:val="en-GB"/>
        </w:rPr>
        <w:t>Chart</w:t>
      </w:r>
      <w:r w:rsidR="00524007" w:rsidRPr="0053285E">
        <w:rPr>
          <w:b/>
          <w:lang w:val="en-GB"/>
        </w:rPr>
        <w:t xml:space="preserve"> </w:t>
      </w:r>
      <w:r w:rsidR="00070A1D">
        <w:rPr>
          <w:b/>
          <w:lang w:val="en-GB"/>
        </w:rPr>
        <w:t>12</w:t>
      </w:r>
      <w:r w:rsidR="00524007" w:rsidRPr="0053285E">
        <w:rPr>
          <w:b/>
          <w:lang w:val="en-GB"/>
        </w:rPr>
        <w:t>.</w:t>
      </w:r>
      <w:r w:rsidR="003F77F6">
        <w:rPr>
          <w:shd w:val="clear" w:color="auto" w:fill="FFFFFF"/>
          <w:lang w:val="en-GB"/>
        </w:rPr>
        <w:t xml:space="preserve"> </w:t>
      </w:r>
      <w:r w:rsidR="00247A50" w:rsidRPr="0053285E">
        <w:rPr>
          <w:b/>
          <w:shd w:val="clear" w:color="auto" w:fill="FFFFFF"/>
          <w:lang w:val="en-GB"/>
        </w:rPr>
        <w:t xml:space="preserve">Structure of economically inactive persons aged 15-74 by sex and reasons for inactivity in the </w:t>
      </w:r>
      <w:r w:rsidR="002951B0">
        <w:rPr>
          <w:b/>
          <w:shd w:val="clear" w:color="auto" w:fill="FFFFFF"/>
          <w:lang w:val="en-GB"/>
        </w:rPr>
        <w:t>f</w:t>
      </w:r>
      <w:r w:rsidR="00375BBB">
        <w:rPr>
          <w:b/>
          <w:shd w:val="clear" w:color="auto" w:fill="FFFFFF"/>
          <w:lang w:val="en-GB"/>
        </w:rPr>
        <w:t>irst</w:t>
      </w:r>
      <w:r w:rsidR="009D0791">
        <w:rPr>
          <w:b/>
          <w:shd w:val="clear" w:color="auto" w:fill="FFFFFF"/>
          <w:lang w:val="en-GB"/>
        </w:rPr>
        <w:t xml:space="preserve"> </w:t>
      </w:r>
      <w:r w:rsidR="00247A50" w:rsidRPr="0053285E">
        <w:rPr>
          <w:b/>
          <w:shd w:val="clear" w:color="auto" w:fill="FFFFFF"/>
          <w:lang w:val="en-GB"/>
        </w:rPr>
        <w:t>quarter of 202</w:t>
      </w:r>
      <w:r w:rsidR="00375BBB">
        <w:rPr>
          <w:b/>
          <w:shd w:val="clear" w:color="auto" w:fill="FFFFFF"/>
          <w:lang w:val="en-GB"/>
        </w:rPr>
        <w:t>6</w:t>
      </w:r>
      <w:r w:rsidR="00247A50" w:rsidRPr="0053285E">
        <w:rPr>
          <w:b/>
          <w:shd w:val="clear" w:color="auto" w:fill="FFFFFF"/>
          <w:lang w:val="en-GB"/>
        </w:rPr>
        <w:t xml:space="preserve"> (in %)</w:t>
      </w:r>
      <w:r w:rsidR="00257F5E" w:rsidRPr="00257F5E">
        <w:rPr>
          <w:noProof/>
          <w:lang w:val="en-GB"/>
        </w:rPr>
        <w:t xml:space="preserve"> </w:t>
      </w:r>
    </w:p>
    <w:p w14:paraId="74C2E604" w14:textId="51DCB759" w:rsidR="00375BBB" w:rsidRDefault="00375BBB" w:rsidP="00035CB2">
      <w:pPr>
        <w:spacing w:line="259" w:lineRule="auto"/>
        <w:ind w:left="851" w:hanging="851"/>
        <w:rPr>
          <w:noProof/>
          <w:lang w:val="en-GB"/>
        </w:rPr>
      </w:pPr>
      <w:r>
        <w:rPr>
          <w:noProof/>
          <w:lang w:val="en-GB"/>
        </w:rPr>
        <w:drawing>
          <wp:inline distT="0" distB="0" distL="0" distR="0" wp14:anchorId="61EB8058" wp14:editId="2272054B">
            <wp:extent cx="5041127" cy="2182738"/>
            <wp:effectExtent l="0" t="0" r="7620" b="8255"/>
            <wp:docPr id="40" name="Obraz 40" descr="Chart 12. Structure of economically inactive persons aged 15-74 by sex and reasons for inactivity in the first quarter of 2026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1127" cy="2182738"/>
                    </a:xfrm>
                    <a:prstGeom prst="rect">
                      <a:avLst/>
                    </a:prstGeom>
                    <a:noFill/>
                  </pic:spPr>
                </pic:pic>
              </a:graphicData>
            </a:graphic>
          </wp:inline>
        </w:drawing>
      </w:r>
    </w:p>
    <w:p w14:paraId="72507744" w14:textId="134C6550" w:rsidR="004E564A" w:rsidRDefault="00F63AB4" w:rsidP="00CB6DE1">
      <w:pPr>
        <w:spacing w:before="240" w:line="288" w:lineRule="auto"/>
        <w:rPr>
          <w:lang w:val="en-GB"/>
        </w:rPr>
      </w:pPr>
      <w:r w:rsidRPr="00AE4B0D">
        <w:rPr>
          <w:rFonts w:eastAsia="Times New Roman" w:cs="Times New Roman"/>
          <w:noProof/>
          <w:szCs w:val="19"/>
          <w:lang w:eastAsia="pl-PL"/>
        </w:rPr>
        <mc:AlternateContent>
          <mc:Choice Requires="wps">
            <w:drawing>
              <wp:anchor distT="45720" distB="45720" distL="114300" distR="114300" simplePos="0" relativeHeight="251762176" behindDoc="1" locked="0" layoutInCell="1" allowOverlap="1" wp14:anchorId="388F1138" wp14:editId="6D219658">
                <wp:simplePos x="0" y="0"/>
                <wp:positionH relativeFrom="column">
                  <wp:posOffset>5296507</wp:posOffset>
                </wp:positionH>
                <wp:positionV relativeFrom="paragraph">
                  <wp:posOffset>5080</wp:posOffset>
                </wp:positionV>
                <wp:extent cx="1609090" cy="946150"/>
                <wp:effectExtent l="0" t="0" r="0" b="6350"/>
                <wp:wrapTight wrapText="bothSides">
                  <wp:wrapPolygon edited="0">
                    <wp:start x="767" y="0"/>
                    <wp:lineTo x="767" y="21310"/>
                    <wp:lineTo x="20713" y="21310"/>
                    <wp:lineTo x="20713" y="0"/>
                    <wp:lineTo x="767" y="0"/>
                  </wp:wrapPolygon>
                </wp:wrapTight>
                <wp:docPr id="34" name="Pole tekstowe 2" descr="Family and households responsibilities were much more often the reason for women's economic in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46150"/>
                        </a:xfrm>
                        <a:prstGeom prst="rect">
                          <a:avLst/>
                        </a:prstGeom>
                        <a:noFill/>
                        <a:ln w="9525">
                          <a:noFill/>
                          <a:miter lim="800000"/>
                          <a:headEnd/>
                          <a:tailEnd/>
                        </a:ln>
                      </wps:spPr>
                      <wps:txbx>
                        <w:txbxContent>
                          <w:p w14:paraId="0EC53BF0" w14:textId="488406EA" w:rsidR="00DA385A" w:rsidRPr="0004535A" w:rsidRDefault="00DA385A" w:rsidP="005F3369">
                            <w:pPr>
                              <w:pStyle w:val="tekstzboku"/>
                              <w:rPr>
                                <w:lang w:val="en-GB"/>
                              </w:rPr>
                            </w:pPr>
                            <w:r w:rsidRPr="005F3369">
                              <w:rPr>
                                <w:lang w:val="en-GB"/>
                              </w:rPr>
                              <w:t>F</w:t>
                            </w:r>
                            <w:r w:rsidRPr="00034C6F">
                              <w:rPr>
                                <w:lang w:val="en-GB"/>
                              </w:rPr>
                              <w:t xml:space="preserve">amily </w:t>
                            </w:r>
                            <w:r>
                              <w:rPr>
                                <w:lang w:val="en-GB"/>
                              </w:rPr>
                              <w:t xml:space="preserve">and households </w:t>
                            </w:r>
                            <w:r w:rsidRPr="00034C6F">
                              <w:rPr>
                                <w:lang w:val="en-GB"/>
                              </w:rPr>
                              <w:t>responsibilities were much more often the reason for women's economic inactivity</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F1138" id="_x0000_s1039" type="#_x0000_t202" alt="Family and households responsibilities were much more often the reason for women's economic inactivity" style="position:absolute;margin-left:417.05pt;margin-top:.4pt;width:126.7pt;height:74.5pt;z-index:-25155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" filled="f" stroked="f">
                <v:textbox inset=",0">
                  <w:txbxContent>
                    <w:p w14:paraId="0EC53BF0" w14:textId="488406EA" w:rsidR="00DA385A" w:rsidRPr="0004535A" w:rsidRDefault="00DA385A" w:rsidP="005F3369">
                      <w:pPr>
                        <w:pStyle w:val="tekstzboku"/>
                        <w:rPr>
                          <w:lang w:val="en-GB"/>
                        </w:rPr>
                      </w:pPr>
                      <w:r w:rsidRPr="005F3369">
                        <w:rPr>
                          <w:lang w:val="en-GB"/>
                        </w:rPr>
                        <w:t>F</w:t>
                      </w:r>
                      <w:r w:rsidRPr="00034C6F">
                        <w:rPr>
                          <w:lang w:val="en-GB"/>
                        </w:rPr>
                        <w:t xml:space="preserve">amily </w:t>
                      </w:r>
                      <w:r>
                        <w:rPr>
                          <w:lang w:val="en-GB"/>
                        </w:rPr>
                        <w:t xml:space="preserve">and households </w:t>
                      </w:r>
                      <w:r w:rsidRPr="00034C6F">
                        <w:rPr>
                          <w:lang w:val="en-GB"/>
                        </w:rPr>
                        <w:t>responsibilities were much more often the reason for women's economic inactivity</w:t>
                      </w:r>
                    </w:p>
                  </w:txbxContent>
                </v:textbox>
                <w10:wrap type="tight"/>
              </v:shape>
            </w:pict>
          </mc:Fallback>
        </mc:AlternateContent>
      </w:r>
      <w:r w:rsidR="004E564A" w:rsidRPr="004E564A">
        <w:rPr>
          <w:lang w:val="en-GB"/>
        </w:rPr>
        <w:t xml:space="preserve">In the </w:t>
      </w:r>
      <w:r w:rsidR="002951B0">
        <w:rPr>
          <w:lang w:val="en-GB"/>
        </w:rPr>
        <w:t>f</w:t>
      </w:r>
      <w:r w:rsidR="00375BBB">
        <w:rPr>
          <w:lang w:val="en-GB"/>
        </w:rPr>
        <w:t>irst</w:t>
      </w:r>
      <w:r w:rsidR="004E564A" w:rsidRPr="004E564A">
        <w:rPr>
          <w:lang w:val="en-GB"/>
        </w:rPr>
        <w:t xml:space="preserve"> quarter of 202</w:t>
      </w:r>
      <w:r w:rsidR="00375BBB">
        <w:rPr>
          <w:lang w:val="en-GB"/>
        </w:rPr>
        <w:t>6</w:t>
      </w:r>
      <w:r w:rsidR="004E564A" w:rsidRPr="004E564A">
        <w:rPr>
          <w:lang w:val="en-GB"/>
        </w:rPr>
        <w:t xml:space="preserve">, over half of the economically inactive persons aged 15-74 </w:t>
      </w:r>
      <w:r w:rsidR="00CD16AF">
        <w:rPr>
          <w:lang w:val="en-GB"/>
        </w:rPr>
        <w:t>numbering</w:t>
      </w:r>
      <w:r w:rsidR="00CD16AF" w:rsidRPr="004E564A">
        <w:rPr>
          <w:lang w:val="en-GB"/>
        </w:rPr>
        <w:t xml:space="preserve"> </w:t>
      </w:r>
      <w:r w:rsidR="00375BBB" w:rsidRPr="00375BBB">
        <w:rPr>
          <w:lang w:val="en-GB"/>
        </w:rPr>
        <w:t>9 749</w:t>
      </w:r>
      <w:r w:rsidR="004E564A" w:rsidRPr="002C3DBE">
        <w:rPr>
          <w:lang w:val="en-GB"/>
        </w:rPr>
        <w:t xml:space="preserve"> </w:t>
      </w:r>
      <w:r w:rsidR="004E564A" w:rsidRPr="004E564A">
        <w:rPr>
          <w:lang w:val="en-GB"/>
        </w:rPr>
        <w:t xml:space="preserve">thousand (the reason for inactivity was determined for this age group) constituted </w:t>
      </w:r>
      <w:r w:rsidR="004E564A" w:rsidRPr="002C3DBE">
        <w:rPr>
          <w:lang w:val="en-GB"/>
        </w:rPr>
        <w:t>retirees (51.</w:t>
      </w:r>
      <w:r w:rsidR="00375BBB">
        <w:rPr>
          <w:lang w:val="en-GB"/>
        </w:rPr>
        <w:t>5</w:t>
      </w:r>
      <w:r w:rsidR="004E564A" w:rsidRPr="002C3DBE">
        <w:rPr>
          <w:lang w:val="en-GB"/>
        </w:rPr>
        <w:t xml:space="preserve">%), </w:t>
      </w:r>
      <w:r w:rsidR="004E564A" w:rsidRPr="004E564A">
        <w:rPr>
          <w:lang w:val="en-GB"/>
        </w:rPr>
        <w:t xml:space="preserve">while the second largest group were </w:t>
      </w:r>
      <w:r w:rsidR="0037669F">
        <w:rPr>
          <w:lang w:val="en-GB"/>
        </w:rPr>
        <w:t xml:space="preserve">pupils and </w:t>
      </w:r>
      <w:r w:rsidR="004E564A" w:rsidRPr="004E564A">
        <w:rPr>
          <w:lang w:val="en-GB"/>
        </w:rPr>
        <w:t>students (</w:t>
      </w:r>
      <w:r w:rsidR="004E564A" w:rsidRPr="002C3DBE">
        <w:rPr>
          <w:lang w:val="en-GB"/>
        </w:rPr>
        <w:t>2</w:t>
      </w:r>
      <w:r w:rsidR="002C3DBE" w:rsidRPr="002C3DBE">
        <w:rPr>
          <w:lang w:val="en-GB"/>
        </w:rPr>
        <w:t>4</w:t>
      </w:r>
      <w:r w:rsidR="004E564A" w:rsidRPr="002C3DBE">
        <w:rPr>
          <w:lang w:val="en-GB"/>
        </w:rPr>
        <w:t>.</w:t>
      </w:r>
      <w:r w:rsidR="00375BBB">
        <w:rPr>
          <w:lang w:val="en-GB"/>
        </w:rPr>
        <w:t>5</w:t>
      </w:r>
      <w:r w:rsidR="004E564A" w:rsidRPr="004E564A">
        <w:rPr>
          <w:lang w:val="en-GB"/>
        </w:rPr>
        <w:t>%). It is worth noting that education and training as well as illness and disability were more often the reasons for inactivity among men (</w:t>
      </w:r>
      <w:r w:rsidR="004E564A" w:rsidRPr="002C3DBE">
        <w:rPr>
          <w:lang w:val="en-GB"/>
        </w:rPr>
        <w:t>respectively 2</w:t>
      </w:r>
      <w:r w:rsidR="002C3DBE" w:rsidRPr="002C3DBE">
        <w:rPr>
          <w:lang w:val="en-GB"/>
        </w:rPr>
        <w:t>9</w:t>
      </w:r>
      <w:r w:rsidR="00070A1D" w:rsidRPr="002C3DBE">
        <w:rPr>
          <w:lang w:val="en-GB"/>
        </w:rPr>
        <w:t>.</w:t>
      </w:r>
      <w:r w:rsidR="00375BBB">
        <w:rPr>
          <w:lang w:val="en-GB"/>
        </w:rPr>
        <w:t>5</w:t>
      </w:r>
      <w:r w:rsidR="004E564A" w:rsidRPr="002C3DBE">
        <w:rPr>
          <w:lang w:val="en-GB"/>
        </w:rPr>
        <w:t>% and 1</w:t>
      </w:r>
      <w:r w:rsidR="00070A1D" w:rsidRPr="002C3DBE">
        <w:rPr>
          <w:lang w:val="en-GB"/>
        </w:rPr>
        <w:t>5.</w:t>
      </w:r>
      <w:r w:rsidR="002C3DBE" w:rsidRPr="002C3DBE">
        <w:rPr>
          <w:lang w:val="en-GB"/>
        </w:rPr>
        <w:t>2</w:t>
      </w:r>
      <w:r w:rsidR="004E564A" w:rsidRPr="002C3DBE">
        <w:rPr>
          <w:lang w:val="en-GB"/>
        </w:rPr>
        <w:t xml:space="preserve">%) </w:t>
      </w:r>
      <w:r w:rsidR="004E564A" w:rsidRPr="004E564A">
        <w:rPr>
          <w:lang w:val="en-GB"/>
        </w:rPr>
        <w:t>than among women (</w:t>
      </w:r>
      <w:r w:rsidR="004E564A" w:rsidRPr="00AE45F2">
        <w:rPr>
          <w:lang w:val="en-GB"/>
        </w:rPr>
        <w:t xml:space="preserve">respectively </w:t>
      </w:r>
      <w:r w:rsidR="00AE45F2" w:rsidRPr="00AE45F2">
        <w:rPr>
          <w:lang w:val="en-GB"/>
        </w:rPr>
        <w:t>2</w:t>
      </w:r>
      <w:r w:rsidR="00375BBB">
        <w:rPr>
          <w:lang w:val="en-GB"/>
        </w:rPr>
        <w:t>1</w:t>
      </w:r>
      <w:r w:rsidR="00070A1D" w:rsidRPr="00AE45F2">
        <w:rPr>
          <w:lang w:val="en-GB"/>
        </w:rPr>
        <w:t>.</w:t>
      </w:r>
      <w:r w:rsidR="00375BBB">
        <w:rPr>
          <w:lang w:val="en-GB"/>
        </w:rPr>
        <w:t>1</w:t>
      </w:r>
      <w:r w:rsidR="004E564A" w:rsidRPr="00AE45F2">
        <w:rPr>
          <w:lang w:val="en-GB"/>
        </w:rPr>
        <w:t xml:space="preserve">% and </w:t>
      </w:r>
      <w:r w:rsidR="00AE45F2" w:rsidRPr="00AE45F2">
        <w:rPr>
          <w:lang w:val="en-GB"/>
        </w:rPr>
        <w:t>6</w:t>
      </w:r>
      <w:r w:rsidR="004E564A" w:rsidRPr="00AE45F2">
        <w:rPr>
          <w:lang w:val="en-GB"/>
        </w:rPr>
        <w:t>.</w:t>
      </w:r>
      <w:r w:rsidR="00375BBB">
        <w:rPr>
          <w:lang w:val="en-GB"/>
        </w:rPr>
        <w:t>8</w:t>
      </w:r>
      <w:r w:rsidR="004E564A" w:rsidRPr="00AE45F2">
        <w:rPr>
          <w:lang w:val="en-GB"/>
        </w:rPr>
        <w:t xml:space="preserve">%). </w:t>
      </w:r>
      <w:r w:rsidR="004E564A" w:rsidRPr="004E564A">
        <w:rPr>
          <w:lang w:val="en-GB"/>
        </w:rPr>
        <w:t>On the other hand, family responsibilities were much more often the reason for inactivity among women (</w:t>
      </w:r>
      <w:r w:rsidR="004E564A" w:rsidRPr="00AE45F2">
        <w:rPr>
          <w:lang w:val="en-GB"/>
        </w:rPr>
        <w:t>1</w:t>
      </w:r>
      <w:r w:rsidR="00AE45F2" w:rsidRPr="00AE45F2">
        <w:rPr>
          <w:lang w:val="en-GB"/>
        </w:rPr>
        <w:t>0</w:t>
      </w:r>
      <w:r w:rsidR="00070A1D" w:rsidRPr="00AE45F2">
        <w:rPr>
          <w:lang w:val="en-GB"/>
        </w:rPr>
        <w:t>.</w:t>
      </w:r>
      <w:r w:rsidR="00375BBB">
        <w:rPr>
          <w:lang w:val="en-GB"/>
        </w:rPr>
        <w:t>6</w:t>
      </w:r>
      <w:r w:rsidR="004E564A" w:rsidRPr="00AE45F2">
        <w:rPr>
          <w:lang w:val="en-GB"/>
        </w:rPr>
        <w:t>%) than men (1.</w:t>
      </w:r>
      <w:r w:rsidR="00375BBB">
        <w:rPr>
          <w:lang w:val="en-GB"/>
        </w:rPr>
        <w:t>3</w:t>
      </w:r>
      <w:r w:rsidR="004E564A" w:rsidRPr="004E564A">
        <w:rPr>
          <w:lang w:val="en-GB"/>
        </w:rPr>
        <w:t>%).</w:t>
      </w:r>
    </w:p>
    <w:p w14:paraId="566FE343" w14:textId="01C06E7E" w:rsidR="007F711B" w:rsidRPr="004E564A" w:rsidRDefault="00035CB2" w:rsidP="00CB6DE1">
      <w:pPr>
        <w:spacing w:before="60" w:line="288" w:lineRule="auto"/>
        <w:rPr>
          <w:lang w:val="en-GB"/>
        </w:rPr>
      </w:pPr>
      <w:r w:rsidRPr="00AE4B0D">
        <w:rPr>
          <w:rFonts w:eastAsia="Times New Roman" w:cs="Times New Roman"/>
          <w:noProof/>
          <w:szCs w:val="19"/>
          <w:lang w:eastAsia="pl-PL"/>
        </w:rPr>
        <w:lastRenderedPageBreak/>
        <mc:AlternateContent>
          <mc:Choice Requires="wps">
            <w:drawing>
              <wp:anchor distT="45720" distB="45720" distL="114300" distR="114300" simplePos="0" relativeHeight="251660800" behindDoc="1" locked="0" layoutInCell="1" allowOverlap="1" wp14:anchorId="58CD2992" wp14:editId="4377FFDC">
                <wp:simplePos x="0" y="0"/>
                <wp:positionH relativeFrom="column">
                  <wp:posOffset>5369366</wp:posOffset>
                </wp:positionH>
                <wp:positionV relativeFrom="paragraph">
                  <wp:posOffset>-497</wp:posOffset>
                </wp:positionV>
                <wp:extent cx="1609090" cy="934720"/>
                <wp:effectExtent l="0" t="0" r="0" b="0"/>
                <wp:wrapTight wrapText="bothSides">
                  <wp:wrapPolygon edited="0">
                    <wp:start x="767" y="0"/>
                    <wp:lineTo x="767" y="21130"/>
                    <wp:lineTo x="20713" y="21130"/>
                    <wp:lineTo x="20713" y="0"/>
                    <wp:lineTo x="767" y="0"/>
                  </wp:wrapPolygon>
                </wp:wrapTight>
                <wp:docPr id="20" name="Pole tekstowe 2" descr="Education and training were the most often reason for economic inactivity of persons at the working 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34720"/>
                        </a:xfrm>
                        <a:prstGeom prst="rect">
                          <a:avLst/>
                        </a:prstGeom>
                        <a:noFill/>
                        <a:ln w="9525">
                          <a:noFill/>
                          <a:miter lim="800000"/>
                          <a:headEnd/>
                          <a:tailEnd/>
                        </a:ln>
                      </wps:spPr>
                      <wps:txbx>
                        <w:txbxContent>
                          <w:p w14:paraId="6B6CFB82" w14:textId="4B6F6A78" w:rsidR="00DA385A" w:rsidRPr="0004535A" w:rsidRDefault="00DA385A" w:rsidP="00305863">
                            <w:pPr>
                              <w:pStyle w:val="tekstzboku"/>
                              <w:rPr>
                                <w:lang w:val="en-GB"/>
                              </w:rPr>
                            </w:pPr>
                            <w:r w:rsidRPr="00B432FE">
                              <w:rPr>
                                <w:lang w:val="en-GB"/>
                              </w:rPr>
                              <w:t>Education and training</w:t>
                            </w:r>
                            <w:r w:rsidRPr="009554A3">
                              <w:rPr>
                                <w:lang w:val="en-GB"/>
                              </w:rPr>
                              <w:t xml:space="preserve"> were the most often reason for economic inactivity of per</w:t>
                            </w:r>
                            <w:r>
                              <w:rPr>
                                <w:lang w:val="en-GB"/>
                              </w:rPr>
                              <w:t>s</w:t>
                            </w:r>
                            <w:r w:rsidRPr="009554A3">
                              <w:rPr>
                                <w:lang w:val="en-GB"/>
                              </w:rPr>
                              <w:t>ons a</w:t>
                            </w:r>
                            <w:r>
                              <w:rPr>
                                <w:lang w:val="en-GB"/>
                              </w:rPr>
                              <w:t>t the</w:t>
                            </w:r>
                            <w:r w:rsidRPr="009554A3">
                              <w:rPr>
                                <w:lang w:val="en-GB"/>
                              </w:rPr>
                              <w:t xml:space="preserve"> working age</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0" type="#_x0000_t202" alt="Education and training were the most often reason for economic inactivity of persons at the working age" style="position:absolute;margin-left:422.8pt;margin-top:-.05pt;width:126.7pt;height:73.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" filled="f" stroked="f">
                <v:textbox inset=",0">
                  <w:txbxContent>
                    <w:p w14:paraId="6B6CFB82" w14:textId="4B6F6A78" w:rsidR="00DA385A" w:rsidRPr="0004535A" w:rsidRDefault="00DA385A" w:rsidP="00305863">
                      <w:pPr>
                        <w:pStyle w:val="tekstzboku"/>
                        <w:rPr>
                          <w:lang w:val="en-GB"/>
                        </w:rPr>
                      </w:pPr>
                      <w:r w:rsidRPr="00B432FE">
                        <w:rPr>
                          <w:lang w:val="en-GB"/>
                        </w:rPr>
                        <w:t>Education and training</w:t>
                      </w:r>
                      <w:r w:rsidRPr="009554A3">
                        <w:rPr>
                          <w:lang w:val="en-GB"/>
                        </w:rPr>
                        <w:t xml:space="preserve"> were the most often reason for economic inactivity of per</w:t>
                      </w:r>
                      <w:r>
                        <w:rPr>
                          <w:lang w:val="en-GB"/>
                        </w:rPr>
                        <w:t>s</w:t>
                      </w:r>
                      <w:r w:rsidRPr="009554A3">
                        <w:rPr>
                          <w:lang w:val="en-GB"/>
                        </w:rPr>
                        <w:t>ons a</w:t>
                      </w:r>
                      <w:r>
                        <w:rPr>
                          <w:lang w:val="en-GB"/>
                        </w:rPr>
                        <w:t>t the</w:t>
                      </w:r>
                      <w:r w:rsidRPr="009554A3">
                        <w:rPr>
                          <w:lang w:val="en-GB"/>
                        </w:rPr>
                        <w:t xml:space="preserve"> working age</w:t>
                      </w:r>
                    </w:p>
                  </w:txbxContent>
                </v:textbox>
                <w10:wrap type="tight"/>
              </v:shape>
            </w:pict>
          </mc:Fallback>
        </mc:AlternateContent>
      </w:r>
      <w:r w:rsidR="009B1A8B" w:rsidRPr="009B1A8B">
        <w:rPr>
          <w:lang w:val="en-GB"/>
        </w:rPr>
        <w:t xml:space="preserve">Among the economically inactive of working </w:t>
      </w:r>
      <w:r w:rsidR="009B1A8B" w:rsidRPr="00AE45F2">
        <w:rPr>
          <w:lang w:val="en-GB"/>
        </w:rPr>
        <w:t>age (</w:t>
      </w:r>
      <w:r w:rsidR="004E564A" w:rsidRPr="00AE45F2">
        <w:rPr>
          <w:lang w:val="en-GB"/>
        </w:rPr>
        <w:t>3</w:t>
      </w:r>
      <w:r w:rsidR="009B1A8B" w:rsidRPr="00AE45F2">
        <w:rPr>
          <w:lang w:val="en-GB"/>
        </w:rPr>
        <w:t> </w:t>
      </w:r>
      <w:r w:rsidR="00E958CF" w:rsidRPr="00E958CF">
        <w:rPr>
          <w:lang w:val="en-GB"/>
        </w:rPr>
        <w:t>665</w:t>
      </w:r>
      <w:r w:rsidR="004E564A" w:rsidRPr="00AE45F2">
        <w:rPr>
          <w:lang w:val="en-GB"/>
        </w:rPr>
        <w:t xml:space="preserve"> thousand</w:t>
      </w:r>
      <w:r w:rsidR="009B1A8B" w:rsidRPr="00AE45F2">
        <w:rPr>
          <w:lang w:val="en-GB"/>
        </w:rPr>
        <w:t xml:space="preserve"> </w:t>
      </w:r>
      <w:r w:rsidR="009B1A8B">
        <w:rPr>
          <w:lang w:val="en-GB"/>
        </w:rPr>
        <w:t xml:space="preserve">persons) </w:t>
      </w:r>
      <w:r w:rsidR="004E564A" w:rsidRPr="004E564A">
        <w:rPr>
          <w:lang w:val="en-GB"/>
        </w:rPr>
        <w:t xml:space="preserve">the most often reasons for inactivity were: education and </w:t>
      </w:r>
      <w:r w:rsidR="004E564A" w:rsidRPr="00AE45F2">
        <w:rPr>
          <w:lang w:val="en-GB"/>
        </w:rPr>
        <w:t>training – 3</w:t>
      </w:r>
      <w:r w:rsidR="00E958CF">
        <w:rPr>
          <w:lang w:val="en-GB"/>
        </w:rPr>
        <w:t>3</w:t>
      </w:r>
      <w:r w:rsidR="00070A1D" w:rsidRPr="00AE45F2">
        <w:rPr>
          <w:lang w:val="en-GB"/>
        </w:rPr>
        <w:t>.</w:t>
      </w:r>
      <w:r w:rsidR="00E958CF">
        <w:rPr>
          <w:lang w:val="en-GB"/>
        </w:rPr>
        <w:t>4</w:t>
      </w:r>
      <w:r w:rsidR="004E564A" w:rsidRPr="00AE45F2">
        <w:rPr>
          <w:lang w:val="en-GB"/>
        </w:rPr>
        <w:t xml:space="preserve">%, </w:t>
      </w:r>
      <w:r w:rsidR="004E564A" w:rsidRPr="004E564A">
        <w:rPr>
          <w:lang w:val="en-GB"/>
        </w:rPr>
        <w:t xml:space="preserve">illness and disability – </w:t>
      </w:r>
      <w:r w:rsidR="004E564A" w:rsidRPr="00AE45F2">
        <w:rPr>
          <w:lang w:val="en-GB"/>
        </w:rPr>
        <w:t>2</w:t>
      </w:r>
      <w:r w:rsidR="00E958CF">
        <w:rPr>
          <w:lang w:val="en-GB"/>
        </w:rPr>
        <w:t>4</w:t>
      </w:r>
      <w:r w:rsidR="00222D01" w:rsidRPr="00AE45F2">
        <w:rPr>
          <w:lang w:val="en-GB"/>
        </w:rPr>
        <w:t>.</w:t>
      </w:r>
      <w:r w:rsidR="00E958CF">
        <w:rPr>
          <w:lang w:val="en-GB"/>
        </w:rPr>
        <w:t>2</w:t>
      </w:r>
      <w:r w:rsidR="004E564A" w:rsidRPr="004E564A">
        <w:rPr>
          <w:lang w:val="en-GB"/>
        </w:rPr>
        <w:t xml:space="preserve">% and family responsibilities </w:t>
      </w:r>
      <w:r w:rsidR="004E564A" w:rsidRPr="00AE45F2">
        <w:rPr>
          <w:lang w:val="en-GB"/>
        </w:rPr>
        <w:t>– 1</w:t>
      </w:r>
      <w:r w:rsidR="00AE45F2" w:rsidRPr="00AE45F2">
        <w:rPr>
          <w:lang w:val="en-GB"/>
        </w:rPr>
        <w:t>7</w:t>
      </w:r>
      <w:r w:rsidR="003C482A" w:rsidRPr="00AE45F2">
        <w:rPr>
          <w:lang w:val="en-GB"/>
        </w:rPr>
        <w:t>.</w:t>
      </w:r>
      <w:r w:rsidR="00E958CF">
        <w:rPr>
          <w:lang w:val="en-GB"/>
        </w:rPr>
        <w:t>1</w:t>
      </w:r>
      <w:r w:rsidR="004E564A" w:rsidRPr="00AE45F2">
        <w:rPr>
          <w:lang w:val="en-GB"/>
        </w:rPr>
        <w:t>%. Ret</w:t>
      </w:r>
      <w:r w:rsidR="004E564A" w:rsidRPr="004E564A">
        <w:rPr>
          <w:lang w:val="en-GB"/>
        </w:rPr>
        <w:t xml:space="preserve">irement as the reason for inactivity on the labour market </w:t>
      </w:r>
      <w:r w:rsidR="004E564A" w:rsidRPr="00AE45F2">
        <w:rPr>
          <w:lang w:val="en-GB"/>
        </w:rPr>
        <w:t xml:space="preserve">indicated </w:t>
      </w:r>
      <w:r w:rsidR="003C482A" w:rsidRPr="00AE45F2">
        <w:rPr>
          <w:lang w:val="en-GB"/>
        </w:rPr>
        <w:t>8.</w:t>
      </w:r>
      <w:r w:rsidR="00E958CF">
        <w:rPr>
          <w:lang w:val="en-GB"/>
        </w:rPr>
        <w:t>5</w:t>
      </w:r>
      <w:r w:rsidR="004E564A" w:rsidRPr="00AE45F2">
        <w:rPr>
          <w:lang w:val="en-GB"/>
        </w:rPr>
        <w:t xml:space="preserve">% </w:t>
      </w:r>
      <w:r w:rsidR="004E564A" w:rsidRPr="004E564A">
        <w:rPr>
          <w:lang w:val="en-GB"/>
        </w:rPr>
        <w:t xml:space="preserve">persons at the working age, while persons discouraged with unsuccessful job search </w:t>
      </w:r>
      <w:r w:rsidR="004E564A" w:rsidRPr="00AE45F2">
        <w:rPr>
          <w:lang w:val="en-GB"/>
        </w:rPr>
        <w:t>constituted 1.</w:t>
      </w:r>
      <w:r w:rsidR="00E958CF">
        <w:rPr>
          <w:lang w:val="en-GB"/>
        </w:rPr>
        <w:t>4</w:t>
      </w:r>
      <w:r w:rsidR="004E564A" w:rsidRPr="00AE45F2">
        <w:rPr>
          <w:lang w:val="en-GB"/>
        </w:rPr>
        <w:t xml:space="preserve">% </w:t>
      </w:r>
      <w:r w:rsidR="004E564A" w:rsidRPr="004E564A">
        <w:rPr>
          <w:lang w:val="en-GB"/>
        </w:rPr>
        <w:t>of this group.</w:t>
      </w:r>
    </w:p>
    <w:p w14:paraId="3B0DB268" w14:textId="11E3FC3D" w:rsidR="00E03493" w:rsidRPr="00AC0E9E" w:rsidRDefault="005B2D41" w:rsidP="006814B2">
      <w:pPr>
        <w:pStyle w:val="Nagwek1"/>
        <w:shd w:val="clear" w:color="auto" w:fill="FFFFFF"/>
        <w:rPr>
          <w:rFonts w:ascii="Fira Sans" w:hAnsi="Fira Sans"/>
          <w:lang w:val="en-GB"/>
        </w:rPr>
      </w:pPr>
      <w:r w:rsidRPr="00AC0E9E">
        <w:rPr>
          <w:rFonts w:ascii="Fira Sans" w:hAnsi="Fira Sans"/>
          <w:b/>
          <w:bCs w:val="0"/>
          <w:szCs w:val="19"/>
          <w:lang w:val="en-GB"/>
        </w:rPr>
        <w:t>M</w:t>
      </w:r>
      <w:r w:rsidR="007D55F6" w:rsidRPr="00AC0E9E">
        <w:rPr>
          <w:rFonts w:ascii="Fira Sans" w:hAnsi="Fira Sans"/>
          <w:b/>
          <w:bCs w:val="0"/>
          <w:szCs w:val="19"/>
          <w:lang w:val="en-GB"/>
        </w:rPr>
        <w:t>et</w:t>
      </w:r>
      <w:r w:rsidR="00E03493" w:rsidRPr="00AC0E9E">
        <w:rPr>
          <w:rFonts w:ascii="Fira Sans" w:hAnsi="Fira Sans"/>
          <w:b/>
          <w:bCs w:val="0"/>
          <w:szCs w:val="19"/>
          <w:lang w:val="en-GB"/>
        </w:rPr>
        <w:t>h</w:t>
      </w:r>
      <w:r w:rsidR="007D55F6" w:rsidRPr="00AC0E9E">
        <w:rPr>
          <w:rFonts w:ascii="Fira Sans" w:hAnsi="Fira Sans"/>
          <w:b/>
          <w:bCs w:val="0"/>
          <w:szCs w:val="19"/>
          <w:lang w:val="en-GB"/>
        </w:rPr>
        <w:t>odologic</w:t>
      </w:r>
      <w:r w:rsidR="00E03493" w:rsidRPr="00AC0E9E">
        <w:rPr>
          <w:rFonts w:ascii="Fira Sans" w:hAnsi="Fira Sans"/>
          <w:b/>
          <w:bCs w:val="0"/>
          <w:szCs w:val="19"/>
          <w:lang w:val="en-GB"/>
        </w:rPr>
        <w:t>al notes</w:t>
      </w:r>
      <w:r w:rsidR="007F5974" w:rsidRPr="00AC0E9E">
        <w:rPr>
          <w:rFonts w:ascii="Fira Sans" w:hAnsi="Fira Sans"/>
          <w:b/>
          <w:bCs w:val="0"/>
          <w:szCs w:val="19"/>
          <w:lang w:val="en-GB"/>
        </w:rPr>
        <w:t xml:space="preserve"> </w:t>
      </w:r>
    </w:p>
    <w:p w14:paraId="7CA521D1" w14:textId="1390E508"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681CCB" w:rsidRPr="00F2071A">
        <w:rPr>
          <w:lang w:val="en-GB" w:eastAsia="pl-PL"/>
        </w:rPr>
        <w:t xml:space="preserve"> (Eng</w:t>
      </w:r>
      <w:r w:rsidR="00681CCB" w:rsidRPr="00F2071A">
        <w:rPr>
          <w:b/>
          <w:lang w:val="en-GB" w:eastAsia="pl-PL"/>
        </w:rPr>
        <w:t xml:space="preserve">.: </w:t>
      </w:r>
      <w:r w:rsidR="00681CCB" w:rsidRPr="003A3BF7">
        <w:rPr>
          <w:b/>
          <w:lang w:val="en-GB" w:eastAsia="pl-PL"/>
        </w:rPr>
        <w:t>Labour Force Survey</w:t>
      </w:r>
      <w:r w:rsidR="003A3BF7">
        <w:rPr>
          <w:b/>
          <w:lang w:val="en-GB" w:eastAsia="pl-PL"/>
        </w:rPr>
        <w:t>/</w:t>
      </w:r>
      <w:r w:rsidR="00681CCB" w:rsidRPr="003A3BF7">
        <w:rPr>
          <w:b/>
          <w:lang w:val="en-GB" w:eastAsia="pl-PL"/>
        </w:rPr>
        <w:t>PL-LFS</w:t>
      </w:r>
      <w:r w:rsidR="00681CCB">
        <w:rPr>
          <w:lang w:val="en-GB" w:eastAsia="pl-PL"/>
        </w:rPr>
        <w:t>).</w:t>
      </w:r>
    </w:p>
    <w:p w14:paraId="17835246" w14:textId="691CFDB1" w:rsidR="00EB158A" w:rsidRPr="007F5974" w:rsidRDefault="00EB158A" w:rsidP="00EB158A">
      <w:pPr>
        <w:spacing w:before="60" w:after="0" w:line="288" w:lineRule="auto"/>
        <w:rPr>
          <w:lang w:val="en-GB" w:eastAsia="pl-PL"/>
        </w:rPr>
      </w:pPr>
      <w:proofErr w:type="spellStart"/>
      <w:r w:rsidRPr="00F2071A">
        <w:rPr>
          <w:lang w:val="en-GB" w:eastAsia="pl-PL"/>
        </w:rPr>
        <w:t>Badanie</w:t>
      </w:r>
      <w:proofErr w:type="spellEnd"/>
      <w:r w:rsidRPr="00F2071A">
        <w:rPr>
          <w:lang w:val="en-GB" w:eastAsia="pl-PL"/>
        </w:rPr>
        <w:t xml:space="preserve"> </w:t>
      </w:r>
      <w:proofErr w:type="spellStart"/>
      <w:r w:rsidRPr="00F2071A">
        <w:rPr>
          <w:lang w:val="en-GB" w:eastAsia="pl-PL"/>
        </w:rPr>
        <w:t>Aktywności</w:t>
      </w:r>
      <w:proofErr w:type="spellEnd"/>
      <w:r w:rsidRPr="00F2071A">
        <w:rPr>
          <w:lang w:val="en-GB" w:eastAsia="pl-PL"/>
        </w:rPr>
        <w:t xml:space="preserve"> </w:t>
      </w:r>
      <w:proofErr w:type="spellStart"/>
      <w:r w:rsidRPr="00F2071A">
        <w:rPr>
          <w:lang w:val="en-GB" w:eastAsia="pl-PL"/>
        </w:rPr>
        <w:t>Ekonomicznej</w:t>
      </w:r>
      <w:proofErr w:type="spellEnd"/>
      <w:r w:rsidRPr="00F2071A">
        <w:rPr>
          <w:lang w:val="en-GB" w:eastAsia="pl-PL"/>
        </w:rPr>
        <w:t xml:space="preserve"> </w:t>
      </w:r>
      <w:proofErr w:type="spellStart"/>
      <w:r w:rsidRPr="00F2071A">
        <w:rPr>
          <w:lang w:val="en-GB" w:eastAsia="pl-PL"/>
        </w:rPr>
        <w:t>Ludności</w:t>
      </w:r>
      <w:proofErr w:type="spellEnd"/>
      <w:r w:rsidRPr="00F2071A">
        <w:rPr>
          <w:lang w:val="en-GB" w:eastAsia="pl-PL"/>
        </w:rPr>
        <w:t xml:space="preserve">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3D654D04"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w:t>
      </w:r>
      <w:r w:rsidR="000F4605">
        <w:rPr>
          <w:lang w:val="en-GB" w:eastAsia="pl-PL"/>
        </w:rPr>
        <w:t>19</w:t>
      </w:r>
      <w:r w:rsidR="000F4605" w:rsidRPr="000F4605">
        <w:rPr>
          <w:vertAlign w:val="superscript"/>
          <w:lang w:val="en-GB" w:eastAsia="pl-PL"/>
        </w:rPr>
        <w:t>th</w:t>
      </w:r>
      <w:r w:rsidR="000F4605">
        <w:rPr>
          <w:lang w:val="en-GB" w:eastAsia="pl-PL"/>
        </w:rPr>
        <w:t xml:space="preserve"> </w:t>
      </w:r>
      <w:r>
        <w:rPr>
          <w:lang w:val="en-GB" w:eastAsia="pl-PL"/>
        </w:rPr>
        <w:t xml:space="preserve">ICLS) and recommended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0007697B">
        <w:rPr>
          <w:lang w:val="en-GB" w:eastAsia="pl-PL"/>
        </w:rPr>
        <w:br/>
      </w:r>
      <w:r w:rsidRPr="007F5974">
        <w:rPr>
          <w:b/>
          <w:lang w:val="en-GB" w:eastAsia="pl-PL"/>
        </w:rPr>
        <w:t xml:space="preserve">The survey object is the situation </w:t>
      </w:r>
      <w:r w:rsidR="00CD16AF">
        <w:rPr>
          <w:b/>
          <w:lang w:val="en-GB" w:eastAsia="pl-PL"/>
        </w:rPr>
        <w:t>in terms</w:t>
      </w:r>
      <w:r w:rsidRPr="007F5974">
        <w:rPr>
          <w:b/>
          <w:lang w:val="en-GB" w:eastAsia="pl-PL"/>
        </w:rPr>
        <w:t xml:space="preserve"> of economic activity of the population, i.e. the 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w:t>
      </w:r>
      <w:r w:rsidR="0007697B">
        <w:rPr>
          <w:b/>
          <w:lang w:val="en-GB" w:eastAsia="pl-PL"/>
        </w:rPr>
        <w:br/>
      </w:r>
      <w:r w:rsidRPr="007F5974">
        <w:rPr>
          <w:b/>
          <w:lang w:val="en-GB" w:eastAsia="pl-PL"/>
        </w:rPr>
        <w:t xml:space="preserve">EU-LFS has been one of the key surveys </w:t>
      </w:r>
      <w:r>
        <w:rPr>
          <w:b/>
          <w:lang w:val="en-GB" w:eastAsia="pl-PL"/>
        </w:rPr>
        <w:t xml:space="preserve">embraced by the framework regulation for social statistics </w:t>
      </w:r>
      <w:r w:rsidRPr="007F5974">
        <w:rPr>
          <w:b/>
          <w:lang w:val="en-GB" w:eastAsia="pl-PL"/>
        </w:rPr>
        <w:t>(the so-called IESS FR</w:t>
      </w:r>
      <w:r w:rsidR="00257F5E">
        <w:rPr>
          <w:rStyle w:val="Odwoanieprzypisudolnego"/>
          <w:b/>
          <w:lang w:val="en-GB" w:eastAsia="pl-PL"/>
        </w:rPr>
        <w:footnoteReference w:id="10"/>
      </w:r>
      <w:r w:rsidRPr="007F5974">
        <w:rPr>
          <w:b/>
          <w:lang w:val="en-GB" w:eastAsia="pl-PL"/>
        </w:rPr>
        <w:t>).</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implementing regulations in the domain of the labour force specify the range of the core survey and module surveys, determine survey organisation and define in detail particular populations specified</w:t>
      </w:r>
      <w:r w:rsidR="00E025A1">
        <w:rPr>
          <w:lang w:val="en-GB" w:eastAsia="pl-PL"/>
        </w:rPr>
        <w:t xml:space="preserve"> </w:t>
      </w:r>
      <w:r>
        <w:rPr>
          <w:lang w:val="en-GB" w:eastAsia="pl-PL"/>
        </w:rPr>
        <w:t xml:space="preserve">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7BFFFFAA" w14:textId="6AD76725" w:rsidR="00E720B4" w:rsidRDefault="00E720B4" w:rsidP="00E720B4">
      <w:pPr>
        <w:spacing w:before="60" w:after="0" w:line="288" w:lineRule="auto"/>
        <w:rPr>
          <w:b/>
          <w:lang w:val="en-GB" w:eastAsia="pl-PL"/>
        </w:rPr>
      </w:pPr>
      <w:r w:rsidRPr="008A5E42">
        <w:rPr>
          <w:b/>
          <w:lang w:val="en-GB" w:eastAsia="pl-PL"/>
        </w:rPr>
        <w:t xml:space="preserve">Since the fourth quarter of 2023, generalization of the survey results over the general population has been carried out with the use of the data on resident population </w:t>
      </w:r>
      <w:r>
        <w:rPr>
          <w:b/>
          <w:lang w:val="en-GB" w:eastAsia="pl-PL"/>
        </w:rPr>
        <w:t xml:space="preserve">in </w:t>
      </w:r>
      <w:r w:rsidRPr="008A5E42">
        <w:rPr>
          <w:b/>
          <w:lang w:val="en-GB" w:eastAsia="pl-PL"/>
        </w:rPr>
        <w:t xml:space="preserve">Poland </w:t>
      </w:r>
      <w:r>
        <w:rPr>
          <w:b/>
          <w:lang w:val="en-GB" w:eastAsia="pl-PL"/>
        </w:rPr>
        <w:t xml:space="preserve">living in households </w:t>
      </w:r>
      <w:r w:rsidRPr="008A5E42">
        <w:rPr>
          <w:b/>
          <w:lang w:val="en-GB" w:eastAsia="pl-PL"/>
        </w:rPr>
        <w:t>coming from the balances</w:t>
      </w:r>
      <w:r w:rsidR="00933861">
        <w:rPr>
          <w:b/>
          <w:lang w:val="en-GB" w:eastAsia="pl-PL"/>
        </w:rPr>
        <w:t xml:space="preserve">, </w:t>
      </w:r>
      <w:r w:rsidR="00933861" w:rsidRPr="00933861">
        <w:rPr>
          <w:b/>
          <w:lang w:val="en-GB" w:eastAsia="pl-PL"/>
        </w:rPr>
        <w:t>for which the basis (initial base) are the results of</w:t>
      </w:r>
      <w:r w:rsidRPr="008A5E42">
        <w:rPr>
          <w:b/>
          <w:lang w:val="en-GB" w:eastAsia="pl-PL"/>
        </w:rPr>
        <w:t xml:space="preserve"> the Population and Housing Census </w:t>
      </w:r>
      <w:r w:rsidR="00933861">
        <w:rPr>
          <w:b/>
          <w:lang w:val="en-GB" w:eastAsia="pl-PL"/>
        </w:rPr>
        <w:t xml:space="preserve">of 31 March 2021 </w:t>
      </w:r>
      <w:r w:rsidRPr="008A5E42">
        <w:rPr>
          <w:b/>
          <w:lang w:val="en-GB" w:eastAsia="pl-PL"/>
        </w:rPr>
        <w:t>(by the third quarter of 2023, the results were generali</w:t>
      </w:r>
      <w:r w:rsidR="00933861">
        <w:rPr>
          <w:b/>
          <w:lang w:val="en-GB" w:eastAsia="pl-PL"/>
        </w:rPr>
        <w:t>s</w:t>
      </w:r>
      <w:r w:rsidRPr="008A5E42">
        <w:rPr>
          <w:b/>
          <w:lang w:val="en-GB" w:eastAsia="pl-PL"/>
        </w:rPr>
        <w:t xml:space="preserve">ed </w:t>
      </w:r>
      <w:r>
        <w:rPr>
          <w:b/>
          <w:lang w:val="en-GB" w:eastAsia="pl-PL"/>
        </w:rPr>
        <w:t>over</w:t>
      </w:r>
      <w:r w:rsidRPr="008A5E42">
        <w:rPr>
          <w:b/>
          <w:lang w:val="en-GB" w:eastAsia="pl-PL"/>
        </w:rPr>
        <w:t xml:space="preserve"> the general population using population data from the balances</w:t>
      </w:r>
      <w:r w:rsidR="00933861">
        <w:rPr>
          <w:b/>
          <w:lang w:val="en-GB" w:eastAsia="pl-PL"/>
        </w:rPr>
        <w:t xml:space="preserve">, for which the basis were the results </w:t>
      </w:r>
      <w:r w:rsidRPr="008A5E42">
        <w:rPr>
          <w:b/>
          <w:lang w:val="en-GB" w:eastAsia="pl-PL"/>
        </w:rPr>
        <w:t xml:space="preserve">of the </w:t>
      </w:r>
      <w:r w:rsidR="00933861">
        <w:rPr>
          <w:b/>
          <w:lang w:val="en-GB" w:eastAsia="pl-PL"/>
        </w:rPr>
        <w:t>National</w:t>
      </w:r>
      <w:r w:rsidRPr="008A5E42">
        <w:rPr>
          <w:b/>
          <w:lang w:val="en-GB" w:eastAsia="pl-PL"/>
        </w:rPr>
        <w:t xml:space="preserve"> Census 2011).</w:t>
      </w:r>
      <w:r w:rsidRPr="008A5E42">
        <w:rPr>
          <w:b/>
          <w:lang w:val="en-GB"/>
        </w:rPr>
        <w:t xml:space="preserve"> </w:t>
      </w:r>
      <w:r w:rsidR="00933861">
        <w:rPr>
          <w:b/>
          <w:lang w:val="en-GB"/>
        </w:rPr>
        <w:t>T</w:t>
      </w:r>
      <w:r w:rsidR="00933861" w:rsidRPr="00933861">
        <w:rPr>
          <w:b/>
          <w:lang w:val="en-GB"/>
        </w:rPr>
        <w:t>he</w:t>
      </w:r>
      <w:r w:rsidR="00D36DCA">
        <w:rPr>
          <w:b/>
          <w:lang w:val="en-GB"/>
        </w:rPr>
        <w:t xml:space="preserve"> </w:t>
      </w:r>
      <w:r w:rsidR="00933861" w:rsidRPr="00933861">
        <w:rPr>
          <w:b/>
          <w:lang w:val="en-GB"/>
        </w:rPr>
        <w:t xml:space="preserve">component data </w:t>
      </w:r>
      <w:r w:rsidR="00D36DCA">
        <w:rPr>
          <w:b/>
          <w:lang w:val="en-GB"/>
        </w:rPr>
        <w:t>(births, deaths and migration</w:t>
      </w:r>
      <w:r w:rsidR="00CD16AF">
        <w:rPr>
          <w:b/>
          <w:lang w:val="en-GB"/>
        </w:rPr>
        <w:t>s</w:t>
      </w:r>
      <w:r w:rsidR="00D36DCA">
        <w:rPr>
          <w:b/>
          <w:lang w:val="en-GB"/>
        </w:rPr>
        <w:t xml:space="preserve">) </w:t>
      </w:r>
      <w:r w:rsidR="00933861" w:rsidRPr="00933861">
        <w:rPr>
          <w:b/>
          <w:lang w:val="en-GB"/>
        </w:rPr>
        <w:t>come from administrative registers</w:t>
      </w:r>
      <w:r w:rsidR="00D36DCA">
        <w:rPr>
          <w:b/>
          <w:lang w:val="en-GB"/>
        </w:rPr>
        <w:t xml:space="preserve">. </w:t>
      </w:r>
      <w:r w:rsidRPr="008A5E42">
        <w:rPr>
          <w:b/>
          <w:lang w:val="en-GB" w:eastAsia="pl-PL"/>
        </w:rPr>
        <w:t xml:space="preserve">The data published in this news release and </w:t>
      </w:r>
      <w:r>
        <w:rPr>
          <w:b/>
          <w:lang w:val="en-GB" w:eastAsia="pl-PL"/>
        </w:rPr>
        <w:t xml:space="preserve">in </w:t>
      </w:r>
      <w:r w:rsidRPr="008A5E42">
        <w:rPr>
          <w:b/>
          <w:lang w:val="en-GB" w:eastAsia="pl-PL"/>
        </w:rPr>
        <w:t xml:space="preserve">the attached tables for the period from the first quarter of 2021 to the third quarter of 2023 have been recalculated in accordance with the new basis for generalizing </w:t>
      </w:r>
      <w:r>
        <w:rPr>
          <w:b/>
          <w:lang w:val="en-GB" w:eastAsia="pl-PL"/>
        </w:rPr>
        <w:t>results</w:t>
      </w:r>
      <w:r w:rsidRPr="008A5E42">
        <w:rPr>
          <w:b/>
          <w:lang w:val="en-GB" w:eastAsia="pl-PL"/>
        </w:rPr>
        <w:t xml:space="preserve"> and are therefore comparab</w:t>
      </w:r>
      <w:r>
        <w:rPr>
          <w:b/>
          <w:lang w:val="en-GB" w:eastAsia="pl-PL"/>
        </w:rPr>
        <w:t>le.</w:t>
      </w:r>
    </w:p>
    <w:p w14:paraId="56CF79B6" w14:textId="5B7161EB" w:rsidR="00DE6C3A" w:rsidRDefault="00D26144" w:rsidP="00E720B4">
      <w:pPr>
        <w:spacing w:before="60" w:after="0" w:line="288" w:lineRule="auto"/>
        <w:rPr>
          <w:lang w:val="en-GB"/>
        </w:rPr>
      </w:pPr>
      <w:r w:rsidRPr="00DE6C3A">
        <w:rPr>
          <w:b/>
          <w:lang w:val="en-GB"/>
        </w:rPr>
        <w:t xml:space="preserve">Starting from the first quarter of 2026, the information regarding the type of economic activities at the workplace </w:t>
      </w:r>
      <w:r w:rsidR="000E6C0F">
        <w:rPr>
          <w:b/>
          <w:lang w:val="en-GB"/>
        </w:rPr>
        <w:t>is</w:t>
      </w:r>
      <w:r w:rsidRPr="00DE6C3A">
        <w:rPr>
          <w:b/>
          <w:lang w:val="en-GB"/>
        </w:rPr>
        <w:t xml:space="preserve"> presented in accordance with the Polish Classification of Activities 2025 (PKD 2025), which was introduced by the Regulation of the Council of Ministers on 18 December 2024 (Journal of Laws of 2024, item 1936).</w:t>
      </w:r>
      <w:r w:rsidRPr="00671917">
        <w:rPr>
          <w:lang w:val="en-GB"/>
        </w:rPr>
        <w:t xml:space="preserve"> The PKD 2025 has been developed based on amendments made to the classification by the United Nations Organization - ISIC Rev. 5 (International Standard Industrial Classification of All Economic Activities) and the European Union classification - NACE Rev. 2.1 (Statistical Classification of Economic Activities in the EU). </w:t>
      </w:r>
    </w:p>
    <w:p w14:paraId="4FE76AEB" w14:textId="5D804EE5" w:rsidR="00AC247A" w:rsidRPr="009465AA" w:rsidRDefault="00AC247A" w:rsidP="00AC247A">
      <w:pPr>
        <w:spacing w:before="60" w:after="0" w:line="288" w:lineRule="auto"/>
        <w:rPr>
          <w:lang w:val="en-GB"/>
        </w:rPr>
      </w:pPr>
      <w:r w:rsidRPr="009465AA">
        <w:rPr>
          <w:lang w:val="en-GB"/>
        </w:rPr>
        <w:t xml:space="preserve">Compared with the PKD 2007 classification, the new PKD 2025 classification introduced changes including, among others, an increase in the number of sections from 21 to 22, as well as scope-related and structural modifications aimed at better adapting the classification to the current realities characteristics of the Polish economy </w:t>
      </w:r>
      <w:r w:rsidR="00E14BAD">
        <w:rPr>
          <w:lang w:val="en-GB"/>
        </w:rPr>
        <w:t>which are</w:t>
      </w:r>
      <w:r w:rsidRPr="009465AA">
        <w:rPr>
          <w:lang w:val="en-GB"/>
        </w:rPr>
        <w:t xml:space="preserve"> covered by statistical observation.</w:t>
      </w:r>
    </w:p>
    <w:p w14:paraId="7BFDA976" w14:textId="77777777" w:rsidR="00AC247A" w:rsidRPr="006127CB" w:rsidRDefault="00AC247A" w:rsidP="00AC247A">
      <w:pPr>
        <w:spacing w:before="60" w:after="0" w:line="288" w:lineRule="auto"/>
        <w:rPr>
          <w:highlight w:val="yellow"/>
          <w:lang w:val="en-GB"/>
        </w:rPr>
      </w:pPr>
    </w:p>
    <w:p w14:paraId="2242CC08" w14:textId="5799095C" w:rsidR="00DE6C3A" w:rsidRPr="00AC247A" w:rsidRDefault="00597424" w:rsidP="00E720B4">
      <w:pPr>
        <w:spacing w:before="60" w:after="0" w:line="288" w:lineRule="auto"/>
        <w:rPr>
          <w:b/>
          <w:lang w:val="en-GB"/>
        </w:rPr>
      </w:pPr>
      <w:r w:rsidRPr="00AC247A">
        <w:rPr>
          <w:b/>
          <w:lang w:val="en-GB"/>
        </w:rPr>
        <w:lastRenderedPageBreak/>
        <w:t>Due</w:t>
      </w:r>
      <w:r w:rsidR="00DE6C3A" w:rsidRPr="00AC247A">
        <w:rPr>
          <w:b/>
          <w:lang w:val="en-GB"/>
        </w:rPr>
        <w:t xml:space="preserve"> to the changes introduced, the data by PKD sections, as well as by economic sectors, are not fully comparable with the results of previous periods.</w:t>
      </w:r>
    </w:p>
    <w:p w14:paraId="649CECFA" w14:textId="3A8B765C" w:rsidR="00DA385A" w:rsidRPr="00671917" w:rsidRDefault="00D26144" w:rsidP="00E720B4">
      <w:pPr>
        <w:spacing w:before="60" w:after="0" w:line="288" w:lineRule="auto"/>
        <w:rPr>
          <w:lang w:val="en-GB"/>
        </w:rPr>
      </w:pPr>
      <w:r w:rsidRPr="00671917">
        <w:rPr>
          <w:lang w:val="en-GB"/>
        </w:rPr>
        <w:t>Detailed information regarding the PKD classification can be found on Statistics Poland website:</w:t>
      </w:r>
    </w:p>
    <w:p w14:paraId="0A854103" w14:textId="26E7A27F" w:rsidR="00597424" w:rsidRPr="00E85968" w:rsidRDefault="00B213CA" w:rsidP="00E85968">
      <w:pPr>
        <w:spacing w:before="60" w:line="288" w:lineRule="auto"/>
        <w:rPr>
          <w:b/>
          <w:lang w:val="en-GB"/>
        </w:rPr>
      </w:pPr>
      <w:r>
        <w:fldChar w:fldCharType="begin"/>
      </w:r>
      <w:r w:rsidRPr="00E85968">
        <w:rPr>
          <w:lang w:val="en-GB"/>
        </w:rPr>
        <w:instrText xml:space="preserve"> HYPERLI</w:instrText>
      </w:r>
      <w:r w:rsidRPr="00E85968">
        <w:rPr>
          <w:lang w:val="en-GB"/>
        </w:rPr>
        <w:instrText xml:space="preserve">NK "https://klasyfikacje.stat.gov.pl/Pkd2025" </w:instrText>
      </w:r>
      <w:r>
        <w:fldChar w:fldCharType="separate"/>
      </w:r>
      <w:r w:rsidR="00671917" w:rsidRPr="00671917">
        <w:rPr>
          <w:rStyle w:val="Hipercze"/>
          <w:lang w:val="en-GB"/>
        </w:rPr>
        <w:t>https://klasyfikacje.stat.gov.pl/Pkd2025</w:t>
      </w:r>
      <w:r>
        <w:rPr>
          <w:rStyle w:val="Hipercze"/>
          <w:lang w:val="en-GB"/>
        </w:rPr>
        <w:fldChar w:fldCharType="end"/>
      </w:r>
    </w:p>
    <w:p w14:paraId="61D88DC4" w14:textId="58ECABBC" w:rsidR="00D36DCA" w:rsidRPr="00CB6DE1" w:rsidRDefault="00D36DCA" w:rsidP="00D36DCA">
      <w:pPr>
        <w:spacing w:before="60" w:after="0" w:line="288" w:lineRule="auto"/>
        <w:rPr>
          <w:lang w:val="en-GB" w:eastAsia="pl-PL"/>
        </w:rPr>
      </w:pPr>
      <w:r w:rsidRPr="00D36DCA">
        <w:rPr>
          <w:lang w:val="en-GB" w:eastAsia="pl-PL"/>
        </w:rPr>
        <w:t xml:space="preserve">In the </w:t>
      </w:r>
      <w:r w:rsidR="00D01A92">
        <w:rPr>
          <w:lang w:val="en-GB" w:eastAsia="pl-PL"/>
        </w:rPr>
        <w:t>first</w:t>
      </w:r>
      <w:r w:rsidRPr="00D36DCA">
        <w:rPr>
          <w:lang w:val="en-GB" w:eastAsia="pl-PL"/>
        </w:rPr>
        <w:t xml:space="preserve"> quarter of 202</w:t>
      </w:r>
      <w:r w:rsidR="00D01A92">
        <w:rPr>
          <w:lang w:val="en-GB" w:eastAsia="pl-PL"/>
        </w:rPr>
        <w:t>6</w:t>
      </w:r>
      <w:r w:rsidRPr="00D36DCA">
        <w:rPr>
          <w:lang w:val="en-GB" w:eastAsia="pl-PL"/>
        </w:rPr>
        <w:t>, the data on the resident population</w:t>
      </w:r>
      <w:r>
        <w:rPr>
          <w:lang w:val="en-GB" w:eastAsia="pl-PL"/>
        </w:rPr>
        <w:t xml:space="preserve"> </w:t>
      </w:r>
      <w:r w:rsidRPr="00D36DCA">
        <w:rPr>
          <w:lang w:val="en-GB" w:eastAsia="pl-PL"/>
        </w:rPr>
        <w:t>as of the state on 3</w:t>
      </w:r>
      <w:r w:rsidR="00D01A92">
        <w:rPr>
          <w:lang w:val="en-GB" w:eastAsia="pl-PL"/>
        </w:rPr>
        <w:t>1</w:t>
      </w:r>
      <w:r>
        <w:rPr>
          <w:lang w:val="en-GB" w:eastAsia="pl-PL"/>
        </w:rPr>
        <w:t> </w:t>
      </w:r>
      <w:r w:rsidR="00D01A92">
        <w:rPr>
          <w:lang w:val="en-GB" w:eastAsia="pl-PL"/>
        </w:rPr>
        <w:t>December</w:t>
      </w:r>
      <w:r w:rsidR="00CB6DE1">
        <w:rPr>
          <w:lang w:val="en-GB" w:eastAsia="pl-PL"/>
        </w:rPr>
        <w:t> </w:t>
      </w:r>
      <w:r w:rsidRPr="00D36DCA">
        <w:rPr>
          <w:lang w:val="en-GB" w:eastAsia="pl-PL"/>
        </w:rPr>
        <w:t>202</w:t>
      </w:r>
      <w:r>
        <w:rPr>
          <w:lang w:val="en-GB" w:eastAsia="pl-PL"/>
        </w:rPr>
        <w:t>5</w:t>
      </w:r>
      <w:r w:rsidRPr="00D36DCA">
        <w:rPr>
          <w:lang w:val="en-GB" w:eastAsia="pl-PL"/>
        </w:rPr>
        <w:t xml:space="preserve"> were used to generalise the</w:t>
      </w:r>
      <w:r>
        <w:rPr>
          <w:lang w:val="en-GB" w:eastAsia="pl-PL"/>
        </w:rPr>
        <w:t xml:space="preserve"> </w:t>
      </w:r>
      <w:r w:rsidRPr="00D36DCA">
        <w:rPr>
          <w:lang w:val="en-GB" w:eastAsia="pl-PL"/>
        </w:rPr>
        <w:t>survey results</w:t>
      </w:r>
      <w:r>
        <w:rPr>
          <w:lang w:val="en-GB" w:eastAsia="pl-PL"/>
        </w:rPr>
        <w:t xml:space="preserve">. </w:t>
      </w:r>
      <w:r w:rsidRPr="00D36DCA">
        <w:rPr>
          <w:lang w:val="en-GB" w:eastAsia="pl-PL"/>
        </w:rPr>
        <w:t>The number</w:t>
      </w:r>
      <w:r>
        <w:rPr>
          <w:lang w:val="en-GB" w:eastAsia="pl-PL"/>
        </w:rPr>
        <w:t xml:space="preserve"> </w:t>
      </w:r>
      <w:r w:rsidRPr="00D36DCA">
        <w:rPr>
          <w:lang w:val="en-GB" w:eastAsia="pl-PL"/>
        </w:rPr>
        <w:t>of resident population aged 15-89 years living in households</w:t>
      </w:r>
      <w:r>
        <w:rPr>
          <w:lang w:val="en-GB" w:eastAsia="pl-PL"/>
        </w:rPr>
        <w:t xml:space="preserve"> </w:t>
      </w:r>
      <w:r w:rsidRPr="00D36DCA">
        <w:rPr>
          <w:lang w:val="en-GB" w:eastAsia="pl-PL"/>
        </w:rPr>
        <w:t>obtained after generalisation of the results of the survey is lower</w:t>
      </w:r>
      <w:r>
        <w:rPr>
          <w:lang w:val="en-GB" w:eastAsia="pl-PL"/>
        </w:rPr>
        <w:t xml:space="preserve"> </w:t>
      </w:r>
      <w:r w:rsidRPr="00D36DCA">
        <w:rPr>
          <w:lang w:val="en-GB" w:eastAsia="pl-PL"/>
        </w:rPr>
        <w:t xml:space="preserve">by </w:t>
      </w:r>
      <w:r w:rsidRPr="00CB6DE1">
        <w:rPr>
          <w:lang w:val="en-GB" w:eastAsia="pl-PL"/>
        </w:rPr>
        <w:t>about 488 thousand</w:t>
      </w:r>
      <w:r w:rsidRPr="00D36DCA">
        <w:rPr>
          <w:lang w:val="en-GB" w:eastAsia="pl-PL"/>
        </w:rPr>
        <w:t xml:space="preserve"> (persons living in institutional households</w:t>
      </w:r>
      <w:r>
        <w:rPr>
          <w:lang w:val="en-GB" w:eastAsia="pl-PL"/>
        </w:rPr>
        <w:t xml:space="preserve"> </w:t>
      </w:r>
      <w:r w:rsidRPr="00D36DCA">
        <w:rPr>
          <w:lang w:val="en-GB" w:eastAsia="pl-PL"/>
        </w:rPr>
        <w:t>and homeless persons) from the estimated number of resident</w:t>
      </w:r>
      <w:r>
        <w:rPr>
          <w:lang w:val="en-GB" w:eastAsia="pl-PL"/>
        </w:rPr>
        <w:t xml:space="preserve"> </w:t>
      </w:r>
      <w:r w:rsidRPr="00D36DCA">
        <w:rPr>
          <w:lang w:val="en-GB" w:eastAsia="pl-PL"/>
        </w:rPr>
        <w:t xml:space="preserve">population as of the state on </w:t>
      </w:r>
      <w:r w:rsidRPr="00CB6DE1">
        <w:rPr>
          <w:lang w:val="en-GB" w:eastAsia="pl-PL"/>
        </w:rPr>
        <w:t>3</w:t>
      </w:r>
      <w:r w:rsidR="00F5287E">
        <w:rPr>
          <w:lang w:val="en-GB" w:eastAsia="pl-PL"/>
        </w:rPr>
        <w:t>1</w:t>
      </w:r>
      <w:r w:rsidRPr="00CB6DE1">
        <w:rPr>
          <w:lang w:val="en-GB" w:eastAsia="pl-PL"/>
        </w:rPr>
        <w:t> </w:t>
      </w:r>
      <w:r w:rsidR="00F5287E">
        <w:rPr>
          <w:lang w:val="en-GB" w:eastAsia="pl-PL"/>
        </w:rPr>
        <w:t>December</w:t>
      </w:r>
      <w:r w:rsidRPr="00CB6DE1">
        <w:rPr>
          <w:lang w:val="en-GB" w:eastAsia="pl-PL"/>
        </w:rPr>
        <w:t xml:space="preserve"> 2025.</w:t>
      </w:r>
    </w:p>
    <w:p w14:paraId="24A228B2" w14:textId="3BDEA170" w:rsidR="00E720B4" w:rsidRPr="007B4F04" w:rsidRDefault="00D36DCA" w:rsidP="00D36DCA">
      <w:pPr>
        <w:spacing w:before="60" w:after="0" w:line="288" w:lineRule="auto"/>
        <w:rPr>
          <w:lang w:val="en-GB" w:eastAsia="pl-PL"/>
        </w:rPr>
      </w:pPr>
      <w:r w:rsidRPr="007B4F04">
        <w:rPr>
          <w:lang w:val="en-GB" w:eastAsia="pl-PL"/>
        </w:rPr>
        <w:t xml:space="preserve">In the </w:t>
      </w:r>
      <w:r w:rsidR="002951B0" w:rsidRPr="007B4F04">
        <w:rPr>
          <w:lang w:val="en-GB" w:eastAsia="pl-PL"/>
        </w:rPr>
        <w:t>f</w:t>
      </w:r>
      <w:r w:rsidR="00F5287E">
        <w:rPr>
          <w:lang w:val="en-GB" w:eastAsia="pl-PL"/>
        </w:rPr>
        <w:t>irst</w:t>
      </w:r>
      <w:r w:rsidRPr="007B4F04">
        <w:rPr>
          <w:lang w:val="en-GB" w:eastAsia="pl-PL"/>
        </w:rPr>
        <w:t xml:space="preserve"> quarter of 202</w:t>
      </w:r>
      <w:r w:rsidR="006C0276">
        <w:rPr>
          <w:lang w:val="en-GB" w:eastAsia="pl-PL"/>
        </w:rPr>
        <w:t>6</w:t>
      </w:r>
      <w:r w:rsidRPr="007B4F04">
        <w:rPr>
          <w:lang w:val="en-GB" w:eastAsia="pl-PL"/>
        </w:rPr>
        <w:t>, the Labour Force Survey covered 2</w:t>
      </w:r>
      <w:r w:rsidR="00F5287E">
        <w:rPr>
          <w:lang w:val="en-GB" w:eastAsia="pl-PL"/>
        </w:rPr>
        <w:t>6</w:t>
      </w:r>
      <w:r w:rsidRPr="007B4F04">
        <w:rPr>
          <w:lang w:val="en-GB" w:eastAsia="pl-PL"/>
        </w:rPr>
        <w:t>.</w:t>
      </w:r>
      <w:r w:rsidR="00F5287E">
        <w:rPr>
          <w:lang w:val="en-GB" w:eastAsia="pl-PL"/>
        </w:rPr>
        <w:t>9</w:t>
      </w:r>
      <w:r w:rsidRPr="007B4F04">
        <w:rPr>
          <w:lang w:val="en-GB" w:eastAsia="pl-PL"/>
        </w:rPr>
        <w:t xml:space="preserve"> thousand households, including 1</w:t>
      </w:r>
      <w:r w:rsidR="00F5287E">
        <w:rPr>
          <w:lang w:val="en-GB" w:eastAsia="pl-PL"/>
        </w:rPr>
        <w:t>8</w:t>
      </w:r>
      <w:r w:rsidRPr="007B4F04">
        <w:rPr>
          <w:lang w:val="en-GB" w:eastAsia="pl-PL"/>
        </w:rPr>
        <w:t>.</w:t>
      </w:r>
      <w:r w:rsidR="00F5287E">
        <w:rPr>
          <w:lang w:val="en-GB" w:eastAsia="pl-PL"/>
        </w:rPr>
        <w:t>7</w:t>
      </w:r>
      <w:r w:rsidRPr="007B4F04">
        <w:rPr>
          <w:lang w:val="en-GB" w:eastAsia="pl-PL"/>
        </w:rPr>
        <w:t xml:space="preserve"> thousand households in urban areas. In each of the sampled households, persons at the age 15-89 years were surveyed, which gave a sample of 4</w:t>
      </w:r>
      <w:r w:rsidR="00CB6DE1" w:rsidRPr="007B4F04">
        <w:rPr>
          <w:lang w:val="en-GB" w:eastAsia="pl-PL"/>
        </w:rPr>
        <w:t>5</w:t>
      </w:r>
      <w:r w:rsidRPr="007B4F04">
        <w:rPr>
          <w:lang w:val="en-GB" w:eastAsia="pl-PL"/>
        </w:rPr>
        <w:t>.</w:t>
      </w:r>
      <w:r w:rsidR="00F5287E">
        <w:rPr>
          <w:lang w:val="en-GB" w:eastAsia="pl-PL"/>
        </w:rPr>
        <w:t>4</w:t>
      </w:r>
      <w:r w:rsidRPr="007B4F04">
        <w:rPr>
          <w:lang w:val="en-GB" w:eastAsia="pl-PL"/>
        </w:rPr>
        <w:t xml:space="preserve"> thousand persons, of whom </w:t>
      </w:r>
      <w:r w:rsidR="00CB6DE1" w:rsidRPr="007B4F04">
        <w:rPr>
          <w:lang w:val="en-GB" w:eastAsia="pl-PL"/>
        </w:rPr>
        <w:t>29</w:t>
      </w:r>
      <w:r w:rsidRPr="007B4F04">
        <w:rPr>
          <w:lang w:val="en-GB" w:eastAsia="pl-PL"/>
        </w:rPr>
        <w:t>.</w:t>
      </w:r>
      <w:r w:rsidR="00F5287E">
        <w:rPr>
          <w:lang w:val="en-GB" w:eastAsia="pl-PL"/>
        </w:rPr>
        <w:t>3</w:t>
      </w:r>
      <w:r w:rsidRPr="007B4F04">
        <w:rPr>
          <w:lang w:val="en-GB" w:eastAsia="pl-PL"/>
        </w:rPr>
        <w:t xml:space="preserve"> thousand persons were urban residents.</w:t>
      </w:r>
      <w:r w:rsidR="00CB6DE1" w:rsidRPr="007B4F04">
        <w:rPr>
          <w:lang w:val="en-GB" w:eastAsia="pl-PL"/>
        </w:rPr>
        <w:t xml:space="preserve"> The response rate was 6</w:t>
      </w:r>
      <w:r w:rsidR="00F5287E">
        <w:rPr>
          <w:lang w:val="en-GB" w:eastAsia="pl-PL"/>
        </w:rPr>
        <w:t>4</w:t>
      </w:r>
      <w:r w:rsidR="00CB6DE1" w:rsidRPr="007B4F04">
        <w:rPr>
          <w:lang w:val="en-GB" w:eastAsia="pl-PL"/>
        </w:rPr>
        <w:t>.</w:t>
      </w:r>
      <w:r w:rsidR="00F5287E">
        <w:rPr>
          <w:lang w:val="en-GB" w:eastAsia="pl-PL"/>
        </w:rPr>
        <w:t>7</w:t>
      </w:r>
      <w:r w:rsidR="00CB6DE1" w:rsidRPr="007B4F04">
        <w:rPr>
          <w:lang w:val="en-GB" w:eastAsia="pl-PL"/>
        </w:rPr>
        <w:t>%.</w:t>
      </w:r>
    </w:p>
    <w:p w14:paraId="05491BCF" w14:textId="316FBA58" w:rsidR="003B73AD" w:rsidRPr="007B4F04" w:rsidRDefault="00F57A29" w:rsidP="00F57A29">
      <w:pPr>
        <w:spacing w:before="60" w:after="0" w:line="288" w:lineRule="auto"/>
        <w:rPr>
          <w:lang w:val="en-GB"/>
        </w:rPr>
      </w:pPr>
      <w:r w:rsidRPr="007B4F04">
        <w:rPr>
          <w:lang w:val="en-GB"/>
        </w:rPr>
        <w:t>More information on the methodology used in the survey can be found in the Methodological report and detailed survey results can be found in the tables available on Statistics Poland website at:</w:t>
      </w:r>
    </w:p>
    <w:p w14:paraId="0BE5ABB3" w14:textId="77777777" w:rsidR="00671917" w:rsidRDefault="00B213CA" w:rsidP="00671917">
      <w:pPr>
        <w:spacing w:after="0" w:line="288" w:lineRule="auto"/>
        <w:rPr>
          <w:lang w:val="en-GB"/>
        </w:rPr>
      </w:pPr>
      <w:r>
        <w:fldChar w:fldCharType="begin"/>
      </w:r>
      <w:r w:rsidRPr="00E85968">
        <w:rPr>
          <w:lang w:val="en-GB"/>
        </w:rPr>
        <w:instrText xml:space="preserve"> HYPERLINK "https://stat.gov.pl/en/topics/labour-market/yearbook-of-labour/methodological-report-labour-force-survey,8,2.html" \o "Link to Methodological report Labour Force Survey" </w:instrText>
      </w:r>
      <w:r>
        <w:fldChar w:fldCharType="separate"/>
      </w:r>
      <w:r w:rsidR="00671917" w:rsidRPr="000B212E">
        <w:rPr>
          <w:rStyle w:val="Hipercze"/>
          <w:rFonts w:cstheme="minorBidi"/>
          <w:lang w:val="en-GB"/>
        </w:rPr>
        <w:t>https://stat.gov.pl/en/topics/labour-market/yearbook-of-labour/methodological-report-labour-force-survey,8,2.html</w:t>
      </w:r>
      <w:r>
        <w:rPr>
          <w:rStyle w:val="Hipercze"/>
          <w:rFonts w:cstheme="minorBidi"/>
          <w:lang w:val="en-GB"/>
        </w:rPr>
        <w:fldChar w:fldCharType="end"/>
      </w:r>
      <w:r w:rsidR="00671917">
        <w:rPr>
          <w:lang w:val="en-GB"/>
        </w:rPr>
        <w:t xml:space="preserve"> </w:t>
      </w:r>
    </w:p>
    <w:p w14:paraId="04F898FE" w14:textId="77777777" w:rsidR="00671917" w:rsidRPr="002951B0" w:rsidRDefault="00B213CA" w:rsidP="00671917">
      <w:pPr>
        <w:spacing w:before="60" w:after="0" w:line="288" w:lineRule="auto"/>
        <w:rPr>
          <w:color w:val="FF0000"/>
          <w:lang w:val="en-GB"/>
        </w:rPr>
      </w:pPr>
      <w:r>
        <w:fldChar w:fldCharType="begin"/>
      </w:r>
      <w:r w:rsidRPr="00E85968">
        <w:rPr>
          <w:lang w:val="en-US"/>
        </w:rPr>
        <w:instrText xml:space="preserve"> HYPERLINK "https://stat.gov.pl/en/topics/labour-market/working-unemployed-economically-inactive-by-lfs/labour-force-survey-in-poland-quarter-42025,2,60.html" </w:instrText>
      </w:r>
      <w:r>
        <w:fldChar w:fldCharType="separate"/>
      </w:r>
      <w:r w:rsidR="00671917" w:rsidRPr="00485693">
        <w:rPr>
          <w:rStyle w:val="Hipercze"/>
          <w:lang w:val="en-US"/>
        </w:rPr>
        <w:t>Statistics Poland / Topics / Labour Mark</w:t>
      </w:r>
      <w:r w:rsidR="00671917" w:rsidRPr="00485693">
        <w:rPr>
          <w:lang w:val="en-US"/>
        </w:rPr>
        <w:t xml:space="preserve"> </w:t>
      </w:r>
      <w:r w:rsidR="00671917" w:rsidRPr="00485693">
        <w:rPr>
          <w:rStyle w:val="Hipercze"/>
          <w:lang w:val="en-US"/>
        </w:rPr>
        <w:t>https://stat.gov.pl/en/topics/labour-market/working-unemployed-economically-inactive-by-lfs/labour-force-survey-in-poland-quarter-42025,2,60.html</w:t>
      </w:r>
      <w:r>
        <w:rPr>
          <w:rStyle w:val="Hipercze"/>
          <w:lang w:val="en-US"/>
        </w:rPr>
        <w:fldChar w:fldCharType="end"/>
      </w:r>
    </w:p>
    <w:p w14:paraId="59190488" w14:textId="77777777" w:rsidR="00F57A29" w:rsidRDefault="00F57A29" w:rsidP="009B1A8B">
      <w:pPr>
        <w:spacing w:before="240" w:after="0" w:line="288" w:lineRule="auto"/>
        <w:rPr>
          <w:lang w:val="en-GB"/>
        </w:rPr>
      </w:pPr>
    </w:p>
    <w:p w14:paraId="4E464CC4" w14:textId="77777777" w:rsidR="00F57A29" w:rsidRDefault="00F57A29" w:rsidP="009B1A8B">
      <w:pPr>
        <w:spacing w:before="240" w:after="0" w:line="288" w:lineRule="auto"/>
        <w:rPr>
          <w:lang w:val="en-GB"/>
        </w:rPr>
      </w:pPr>
    </w:p>
    <w:p w14:paraId="779F5C63" w14:textId="37A842C4" w:rsidR="00DE6C3A" w:rsidRDefault="00DE6C3A" w:rsidP="009B1A8B">
      <w:pPr>
        <w:spacing w:before="240" w:after="0" w:line="288" w:lineRule="auto"/>
        <w:rPr>
          <w:lang w:val="en-GB"/>
        </w:rPr>
      </w:pPr>
    </w:p>
    <w:p w14:paraId="4D163C55" w14:textId="77777777" w:rsidR="00DE6C3A" w:rsidRDefault="00DE6C3A" w:rsidP="009B1A8B">
      <w:pPr>
        <w:spacing w:before="240" w:after="0" w:line="288" w:lineRule="auto"/>
        <w:rPr>
          <w:lang w:val="en-GB"/>
        </w:rPr>
      </w:pPr>
    </w:p>
    <w:p w14:paraId="5A1E13D9" w14:textId="74F5A436" w:rsidR="00B213EA" w:rsidRDefault="009465AA" w:rsidP="009465AA">
      <w:pPr>
        <w:tabs>
          <w:tab w:val="left" w:pos="2490"/>
        </w:tabs>
        <w:spacing w:before="240" w:after="0" w:line="288" w:lineRule="auto"/>
        <w:rPr>
          <w:lang w:val="en-GB"/>
        </w:rPr>
      </w:pPr>
      <w:r>
        <w:rPr>
          <w:lang w:val="en-GB"/>
        </w:rPr>
        <w:tab/>
      </w:r>
    </w:p>
    <w:p w14:paraId="0EA9A2E8" w14:textId="1CDB585A" w:rsidR="009465AA" w:rsidRDefault="009465AA" w:rsidP="009465AA">
      <w:pPr>
        <w:tabs>
          <w:tab w:val="left" w:pos="2490"/>
        </w:tabs>
        <w:spacing w:before="240" w:after="0" w:line="288" w:lineRule="auto"/>
        <w:rPr>
          <w:lang w:val="en-GB"/>
        </w:rPr>
      </w:pPr>
    </w:p>
    <w:p w14:paraId="25D945C5" w14:textId="1B565E93" w:rsidR="009465AA" w:rsidRDefault="009465AA" w:rsidP="009465AA">
      <w:pPr>
        <w:tabs>
          <w:tab w:val="left" w:pos="2490"/>
        </w:tabs>
        <w:spacing w:before="240" w:after="0" w:line="288" w:lineRule="auto"/>
        <w:rPr>
          <w:lang w:val="en-GB"/>
        </w:rPr>
      </w:pPr>
    </w:p>
    <w:p w14:paraId="5B76F63B" w14:textId="7DD1248C" w:rsidR="009465AA" w:rsidRDefault="009465AA" w:rsidP="009465AA">
      <w:pPr>
        <w:tabs>
          <w:tab w:val="left" w:pos="2490"/>
        </w:tabs>
        <w:spacing w:before="240" w:after="0" w:line="288" w:lineRule="auto"/>
        <w:rPr>
          <w:lang w:val="en-GB"/>
        </w:rPr>
      </w:pPr>
    </w:p>
    <w:p w14:paraId="5B741D5F" w14:textId="1097B1F0" w:rsidR="009465AA" w:rsidRDefault="009465AA" w:rsidP="009465AA">
      <w:pPr>
        <w:tabs>
          <w:tab w:val="left" w:pos="2490"/>
        </w:tabs>
        <w:spacing w:before="240" w:after="0" w:line="288" w:lineRule="auto"/>
        <w:rPr>
          <w:lang w:val="en-GB"/>
        </w:rPr>
      </w:pPr>
    </w:p>
    <w:p w14:paraId="2691F14C" w14:textId="47E2B16C" w:rsidR="009465AA" w:rsidRDefault="009465AA" w:rsidP="009465AA">
      <w:pPr>
        <w:tabs>
          <w:tab w:val="left" w:pos="2490"/>
        </w:tabs>
        <w:spacing w:before="240" w:after="0" w:line="288" w:lineRule="auto"/>
        <w:rPr>
          <w:lang w:val="en-GB"/>
        </w:rPr>
      </w:pPr>
    </w:p>
    <w:p w14:paraId="5EBD5AA4" w14:textId="77777777" w:rsidR="009465AA" w:rsidRDefault="009465AA" w:rsidP="009465AA">
      <w:pPr>
        <w:tabs>
          <w:tab w:val="left" w:pos="2490"/>
        </w:tabs>
        <w:spacing w:before="240" w:after="0" w:line="288" w:lineRule="auto"/>
        <w:rPr>
          <w:lang w:val="en-GB"/>
        </w:rPr>
      </w:pPr>
    </w:p>
    <w:p w14:paraId="5FC1647B" w14:textId="4B24B41A" w:rsidR="00AE45F2" w:rsidRDefault="00AE45F2" w:rsidP="00AE45F2">
      <w:pPr>
        <w:spacing w:before="240" w:after="0" w:line="288" w:lineRule="auto"/>
        <w:rPr>
          <w:lang w:val="en-GB"/>
        </w:rPr>
      </w:pPr>
      <w:r w:rsidRPr="00705DC9">
        <w:rPr>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124EAF78" w14:textId="6FAE4237" w:rsidR="00CB6DE1" w:rsidRDefault="00CB6DE1" w:rsidP="009B1A8B">
      <w:pPr>
        <w:spacing w:before="240" w:after="0" w:line="288" w:lineRule="auto"/>
        <w:rPr>
          <w:lang w:val="en-GB"/>
        </w:rPr>
      </w:pPr>
    </w:p>
    <w:p w14:paraId="3C222B0C" w14:textId="6185DED8" w:rsidR="00C44997" w:rsidRPr="00C44997" w:rsidRDefault="00C44997" w:rsidP="00391694">
      <w:pPr>
        <w:spacing w:after="0" w:line="288" w:lineRule="auto"/>
        <w:rPr>
          <w:lang w:val="en-US"/>
        </w:rPr>
        <w:sectPr w:rsidR="00C44997" w:rsidRPr="00C44997" w:rsidSect="00D413CD">
          <w:headerReference w:type="default" r:id="rId22"/>
          <w:footerReference w:type="default" r:id="rId23"/>
          <w:headerReference w:type="first" r:id="rId24"/>
          <w:footerReference w:type="first" r:id="rId25"/>
          <w:pgSz w:w="11906" w:h="16838"/>
          <w:pgMar w:top="0" w:right="3119" w:bottom="720" w:left="720" w:header="284" w:footer="283" w:gutter="0"/>
          <w:cols w:space="708"/>
          <w:titlePg/>
          <w:docGrid w:linePitch="360"/>
        </w:sectPr>
      </w:pPr>
    </w:p>
    <w:p w14:paraId="7C19EFAE" w14:textId="2377777F" w:rsidR="00D261A2" w:rsidRPr="00A6401C" w:rsidRDefault="00D261A2" w:rsidP="0087323A">
      <w:pPr>
        <w:spacing w:before="0" w:after="0" w:line="240" w:lineRule="auto"/>
        <w:rPr>
          <w:sz w:val="6"/>
          <w:szCs w:val="6"/>
          <w:lang w:val="en-GB"/>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17BB2" w:rsidRPr="00E85968" w14:paraId="1D85375E" w14:textId="77777777" w:rsidTr="004E6923">
        <w:trPr>
          <w:trHeight w:val="1626"/>
        </w:trPr>
        <w:tc>
          <w:tcPr>
            <w:tcW w:w="4926" w:type="dxa"/>
          </w:tcPr>
          <w:p w14:paraId="06EAE099" w14:textId="77777777" w:rsidR="00817BB2" w:rsidRPr="005653EE" w:rsidRDefault="00817BB2" w:rsidP="00376261">
            <w:pPr>
              <w:spacing w:before="0" w:after="0" w:line="276" w:lineRule="auto"/>
              <w:rPr>
                <w:rFonts w:cs="Arial"/>
                <w:sz w:val="20"/>
                <w:lang w:val="en-GB"/>
              </w:rPr>
            </w:pPr>
            <w:r w:rsidRPr="005653EE">
              <w:rPr>
                <w:rFonts w:cs="Arial"/>
                <w:sz w:val="20"/>
                <w:lang w:val="en-GB"/>
              </w:rPr>
              <w:t>Prepared by:</w:t>
            </w:r>
          </w:p>
          <w:p w14:paraId="7BB71450" w14:textId="071DF662" w:rsidR="00817BB2" w:rsidRPr="005653EE" w:rsidRDefault="00817BB2" w:rsidP="00376261">
            <w:pPr>
              <w:spacing w:before="0" w:line="276" w:lineRule="auto"/>
              <w:rPr>
                <w:rFonts w:cs="Arial"/>
                <w:b/>
                <w:color w:val="000000" w:themeColor="text1"/>
                <w:sz w:val="20"/>
                <w:lang w:val="en-GB"/>
              </w:rPr>
            </w:pPr>
            <w:r w:rsidRPr="0053285E">
              <w:rPr>
                <w:rFonts w:cs="Arial"/>
                <w:b/>
                <w:color w:val="000000" w:themeColor="text1"/>
                <w:sz w:val="20"/>
                <w:lang w:val="en-GB"/>
              </w:rPr>
              <w:t xml:space="preserve">Labour Market </w:t>
            </w:r>
            <w:r w:rsidR="00AE45F2">
              <w:rPr>
                <w:rFonts w:cs="Arial"/>
                <w:b/>
                <w:color w:val="000000" w:themeColor="text1"/>
                <w:sz w:val="20"/>
                <w:lang w:val="en-GB"/>
              </w:rPr>
              <w:t xml:space="preserve">and Human Capital </w:t>
            </w:r>
            <w:r w:rsidR="000674AE" w:rsidRPr="000674AE">
              <w:rPr>
                <w:rFonts w:cs="Arial"/>
                <w:b/>
                <w:color w:val="000000" w:themeColor="text1"/>
                <w:sz w:val="20"/>
                <w:lang w:val="en-GB"/>
              </w:rPr>
              <w:t>Department</w:t>
            </w:r>
          </w:p>
          <w:p w14:paraId="39932CE3" w14:textId="0911BC88" w:rsidR="00817BB2" w:rsidRPr="0053285E" w:rsidRDefault="00817BB2" w:rsidP="00376261">
            <w:pPr>
              <w:spacing w:before="0" w:after="0" w:line="276" w:lineRule="auto"/>
              <w:rPr>
                <w:b/>
                <w:lang w:val="en-GB"/>
              </w:rPr>
            </w:pPr>
            <w:r w:rsidRPr="0053285E">
              <w:rPr>
                <w:b/>
                <w:lang w:val="en-GB"/>
              </w:rPr>
              <w:t xml:space="preserve">Director </w:t>
            </w:r>
            <w:r w:rsidR="004701ED">
              <w:rPr>
                <w:b/>
                <w:lang w:val="en-GB"/>
              </w:rPr>
              <w:t>Agnieszka Zgierska</w:t>
            </w:r>
            <w:r w:rsidR="008B2DB5">
              <w:rPr>
                <w:b/>
                <w:lang w:val="en-GB"/>
              </w:rPr>
              <w:t>, PhD</w:t>
            </w:r>
          </w:p>
          <w:p w14:paraId="5E2DC2A0" w14:textId="6D808E47" w:rsidR="00817BB2" w:rsidRPr="00AB24E4" w:rsidRDefault="00817BB2" w:rsidP="00376261">
            <w:pPr>
              <w:pStyle w:val="Nagwek3"/>
              <w:spacing w:before="0" w:after="120" w:line="240" w:lineRule="auto"/>
              <w:outlineLvl w:val="2"/>
              <w:rPr>
                <w:rFonts w:ascii="Fira Sans" w:hAnsi="Fira Sans" w:cs="Arial"/>
                <w:color w:val="000000" w:themeColor="text1"/>
                <w:sz w:val="20"/>
                <w:lang w:val="fi-FI"/>
              </w:rPr>
            </w:pPr>
            <w:r w:rsidRPr="0053285E">
              <w:rPr>
                <w:rFonts w:ascii="Fira Sans" w:hAnsi="Fira Sans" w:cs="Arial"/>
                <w:color w:val="000000" w:themeColor="text1"/>
                <w:sz w:val="20"/>
                <w:lang w:val="en-GB"/>
              </w:rPr>
              <w:t>Phone: (+48 22) </w:t>
            </w:r>
            <w:r w:rsidR="00985FDA">
              <w:rPr>
                <w:rFonts w:ascii="Fira Sans" w:hAnsi="Fira Sans" w:cs="Arial"/>
                <w:color w:val="000000" w:themeColor="text1"/>
                <w:sz w:val="20"/>
                <w:lang w:val="en-GB"/>
              </w:rPr>
              <w:t>608</w:t>
            </w:r>
            <w:r w:rsidRPr="0053285E">
              <w:rPr>
                <w:rFonts w:ascii="Fira Sans" w:hAnsi="Fira Sans" w:cs="Arial"/>
                <w:color w:val="000000" w:themeColor="text1"/>
                <w:sz w:val="20"/>
                <w:lang w:val="en-GB"/>
              </w:rPr>
              <w:t xml:space="preserve"> </w:t>
            </w:r>
            <w:r w:rsidR="00985FDA">
              <w:rPr>
                <w:rFonts w:ascii="Fira Sans" w:hAnsi="Fira Sans" w:cs="Arial"/>
                <w:color w:val="000000" w:themeColor="text1"/>
                <w:sz w:val="20"/>
                <w:lang w:val="en-GB"/>
              </w:rPr>
              <w:t>3</w:t>
            </w:r>
            <w:r w:rsidR="00AE45F2">
              <w:rPr>
                <w:rFonts w:ascii="Fira Sans" w:hAnsi="Fira Sans" w:cs="Arial"/>
                <w:color w:val="000000" w:themeColor="text1"/>
                <w:sz w:val="20"/>
                <w:lang w:val="en-GB"/>
              </w:rPr>
              <w:t>4</w:t>
            </w:r>
            <w:r w:rsidR="004701ED">
              <w:rPr>
                <w:rFonts w:ascii="Fira Sans" w:hAnsi="Fira Sans" w:cs="Arial"/>
                <w:color w:val="000000" w:themeColor="text1"/>
                <w:sz w:val="20"/>
                <w:lang w:val="en-GB"/>
              </w:rPr>
              <w:t xml:space="preserve"> </w:t>
            </w:r>
            <w:r w:rsidR="00AE45F2">
              <w:rPr>
                <w:rFonts w:ascii="Fira Sans" w:hAnsi="Fira Sans" w:cs="Arial"/>
                <w:color w:val="000000" w:themeColor="text1"/>
                <w:sz w:val="20"/>
                <w:lang w:val="en-GB"/>
              </w:rPr>
              <w:t>99</w:t>
            </w:r>
          </w:p>
        </w:tc>
        <w:tc>
          <w:tcPr>
            <w:tcW w:w="4927" w:type="dxa"/>
          </w:tcPr>
          <w:p w14:paraId="1C905CE1" w14:textId="77777777" w:rsidR="00817BB2" w:rsidRPr="005653EE" w:rsidRDefault="00817BB2" w:rsidP="00376261">
            <w:pPr>
              <w:rPr>
                <w:rFonts w:ascii="Calibri" w:hAnsi="Calibri"/>
                <w:sz w:val="22"/>
                <w:lang w:val="en-GB"/>
              </w:rPr>
            </w:pPr>
            <w:r w:rsidRPr="005653EE">
              <w:rPr>
                <w:rFonts w:cs="Arial"/>
                <w:sz w:val="20"/>
                <w:lang w:val="en-GB"/>
              </w:rPr>
              <w:t>Issued by:</w:t>
            </w:r>
          </w:p>
          <w:p w14:paraId="6947D4AA" w14:textId="77777777" w:rsidR="00817BB2" w:rsidRPr="00AE45F2" w:rsidRDefault="00817BB2" w:rsidP="00376261">
            <w:pPr>
              <w:rPr>
                <w:b/>
                <w:sz w:val="20"/>
                <w:lang w:val="en-GB"/>
              </w:rPr>
            </w:pPr>
            <w:r w:rsidRPr="00AE45F2">
              <w:rPr>
                <w:b/>
                <w:sz w:val="20"/>
                <w:lang w:val="en-GB"/>
              </w:rPr>
              <w:t>Press Office</w:t>
            </w:r>
          </w:p>
          <w:p w14:paraId="03B66F0E" w14:textId="77777777" w:rsidR="00817BB2" w:rsidRPr="005653EE" w:rsidRDefault="00817BB2" w:rsidP="00376261">
            <w:pPr>
              <w:rPr>
                <w:lang w:val="en-GB"/>
              </w:rPr>
            </w:pPr>
            <w:r w:rsidRPr="005653EE">
              <w:rPr>
                <w:lang w:val="en-GB"/>
              </w:rPr>
              <w:t>Mobile +48 695 255 032</w:t>
            </w:r>
          </w:p>
          <w:p w14:paraId="08CF11C7" w14:textId="77777777" w:rsidR="00817BB2" w:rsidRDefault="00817BB2" w:rsidP="00376261">
            <w:pPr>
              <w:spacing w:after="0"/>
              <w:rPr>
                <w:lang w:val="en-GB"/>
              </w:rPr>
            </w:pPr>
            <w:r w:rsidRPr="005653EE">
              <w:rPr>
                <w:lang w:val="en-GB"/>
              </w:rPr>
              <w:t xml:space="preserve">Phone +48 22 608 38 04, +48 22 449 41 45, </w:t>
            </w:r>
          </w:p>
          <w:p w14:paraId="0AE9C0C9" w14:textId="77777777" w:rsidR="00817BB2" w:rsidRPr="005653EE" w:rsidRDefault="00817BB2" w:rsidP="00376261">
            <w:pPr>
              <w:spacing w:before="0"/>
              <w:rPr>
                <w:lang w:val="en-GB"/>
              </w:rPr>
            </w:pPr>
            <w:r w:rsidRPr="005653EE">
              <w:rPr>
                <w:lang w:val="en-GB"/>
              </w:rPr>
              <w:t>+48 22 608 30 09</w:t>
            </w:r>
          </w:p>
          <w:p w14:paraId="1A0DEEE9" w14:textId="77777777" w:rsidR="00E91598" w:rsidRPr="005653EE" w:rsidRDefault="00E91598" w:rsidP="00E91598">
            <w:pPr>
              <w:rPr>
                <w:lang w:val="en-GB"/>
              </w:rPr>
            </w:pPr>
            <w:r w:rsidRPr="00A82D31">
              <w:rPr>
                <w:b/>
                <w:sz w:val="20"/>
                <w:lang w:val="en-GB"/>
              </w:rPr>
              <w:t>e-mail:</w:t>
            </w:r>
            <w:r w:rsidRPr="00A82D31">
              <w:rPr>
                <w:sz w:val="20"/>
                <w:lang w:val="en-GB"/>
              </w:rPr>
              <w:t xml:space="preserve"> </w:t>
            </w:r>
            <w:r w:rsidR="00B213CA">
              <w:fldChar w:fldCharType="begin"/>
            </w:r>
            <w:r w:rsidR="00B213CA" w:rsidRPr="00E85968">
              <w:rPr>
                <w:lang w:val="en-US"/>
              </w:rPr>
              <w:instrText xml:space="preserve"> HYPERLINK "mailto:obslugaprasowa@stat.gov.pl" </w:instrText>
            </w:r>
            <w:r w:rsidR="00B213CA">
              <w:fldChar w:fldCharType="separate"/>
            </w:r>
            <w:r w:rsidRPr="00394E26">
              <w:rPr>
                <w:rStyle w:val="Hipercze"/>
                <w:rFonts w:eastAsiaTheme="majorEastAsia" w:cs="Arial"/>
                <w:b/>
                <w:color w:val="auto"/>
                <w:sz w:val="20"/>
                <w:szCs w:val="20"/>
                <w:lang w:val="en-US"/>
              </w:rPr>
              <w:t>obslugaprasowa@stat.gov.pl</w:t>
            </w:r>
            <w:r w:rsidR="00B213CA">
              <w:rPr>
                <w:rStyle w:val="Hipercze"/>
                <w:rFonts w:eastAsiaTheme="majorEastAsia" w:cs="Arial"/>
                <w:b/>
                <w:color w:val="auto"/>
                <w:sz w:val="20"/>
                <w:szCs w:val="20"/>
                <w:lang w:val="en-US"/>
              </w:rPr>
              <w:fldChar w:fldCharType="end"/>
            </w:r>
          </w:p>
          <w:p w14:paraId="37B7B41B" w14:textId="77777777" w:rsidR="00817BB2" w:rsidRPr="005653EE" w:rsidRDefault="00817BB2" w:rsidP="00376261">
            <w:pPr>
              <w:rPr>
                <w:sz w:val="18"/>
                <w:lang w:val="en-GB"/>
              </w:rPr>
            </w:pPr>
          </w:p>
        </w:tc>
      </w:tr>
      <w:tr w:rsidR="00817BB2" w:rsidRPr="00E85968" w14:paraId="6266EA5E" w14:textId="77777777" w:rsidTr="004E6923">
        <w:trPr>
          <w:trHeight w:val="418"/>
        </w:trPr>
        <w:tc>
          <w:tcPr>
            <w:tcW w:w="4926" w:type="dxa"/>
            <w:vMerge w:val="restart"/>
          </w:tcPr>
          <w:p w14:paraId="1AA9D689" w14:textId="77777777" w:rsidR="00817BB2" w:rsidRPr="00F05FC7" w:rsidRDefault="00817BB2" w:rsidP="00376261">
            <w:pPr>
              <w:rPr>
                <w:sz w:val="18"/>
                <w:lang w:val="en-US"/>
              </w:rPr>
            </w:pPr>
          </w:p>
        </w:tc>
        <w:tc>
          <w:tcPr>
            <w:tcW w:w="4927" w:type="dxa"/>
            <w:vAlign w:val="center"/>
          </w:tcPr>
          <w:p w14:paraId="009800E4" w14:textId="77777777" w:rsidR="00817BB2" w:rsidRPr="005653EE" w:rsidRDefault="00817BB2" w:rsidP="00376261">
            <w:pPr>
              <w:ind w:firstLine="680"/>
              <w:rPr>
                <w:sz w:val="18"/>
                <w:lang w:val="en-US"/>
              </w:rPr>
            </w:pPr>
            <w:r>
              <w:rPr>
                <w:noProof/>
                <w:sz w:val="20"/>
                <w:lang w:eastAsia="pl-PL"/>
              </w:rPr>
              <w:drawing>
                <wp:anchor distT="0" distB="0" distL="114300" distR="114300" simplePos="0" relativeHeight="251692544" behindDoc="0" locked="0" layoutInCell="1" allowOverlap="1" wp14:anchorId="397E1C65" wp14:editId="36143126">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653EE">
              <w:rPr>
                <w:sz w:val="20"/>
                <w:lang w:val="en-US"/>
              </w:rPr>
              <w:t>www.stat.gov.pl/en/</w:t>
            </w:r>
            <w:r w:rsidRPr="005653EE">
              <w:rPr>
                <w:sz w:val="18"/>
                <w:lang w:val="en-US"/>
              </w:rPr>
              <w:t xml:space="preserve">     </w:t>
            </w:r>
          </w:p>
        </w:tc>
      </w:tr>
      <w:tr w:rsidR="00817BB2" w14:paraId="16DCBFFC" w14:textId="77777777" w:rsidTr="004E6923">
        <w:trPr>
          <w:trHeight w:val="418"/>
        </w:trPr>
        <w:tc>
          <w:tcPr>
            <w:tcW w:w="4926" w:type="dxa"/>
            <w:vMerge/>
          </w:tcPr>
          <w:p w14:paraId="2139F331" w14:textId="77777777" w:rsidR="00817BB2" w:rsidRPr="005653EE" w:rsidRDefault="00817BB2" w:rsidP="00376261">
            <w:pPr>
              <w:rPr>
                <w:b/>
                <w:sz w:val="20"/>
                <w:lang w:val="en-US"/>
              </w:rPr>
            </w:pPr>
          </w:p>
        </w:tc>
        <w:tc>
          <w:tcPr>
            <w:tcW w:w="4927" w:type="dxa"/>
            <w:vAlign w:val="center"/>
          </w:tcPr>
          <w:p w14:paraId="473351FA" w14:textId="77777777" w:rsidR="00817BB2" w:rsidRDefault="00817BB2" w:rsidP="00376261">
            <w:pPr>
              <w:ind w:firstLine="680"/>
              <w:rPr>
                <w:sz w:val="18"/>
              </w:rPr>
            </w:pPr>
            <w:r>
              <w:rPr>
                <w:noProof/>
                <w:sz w:val="20"/>
                <w:lang w:eastAsia="pl-PL"/>
              </w:rPr>
              <w:drawing>
                <wp:anchor distT="0" distB="0" distL="114300" distR="114300" simplePos="0" relativeHeight="251697664" behindDoc="0" locked="0" layoutInCell="1" allowOverlap="1" wp14:anchorId="3FAE4C35" wp14:editId="1CAE5915">
                  <wp:simplePos x="0" y="0"/>
                  <wp:positionH relativeFrom="column">
                    <wp:posOffset>74930</wp:posOffset>
                  </wp:positionH>
                  <wp:positionV relativeFrom="paragraph">
                    <wp:posOffset>16510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17BB2" w14:paraId="6131AE2F" w14:textId="77777777" w:rsidTr="004E6923">
        <w:trPr>
          <w:trHeight w:val="480"/>
        </w:trPr>
        <w:tc>
          <w:tcPr>
            <w:tcW w:w="4926" w:type="dxa"/>
            <w:vMerge/>
          </w:tcPr>
          <w:p w14:paraId="2DBDEA0F" w14:textId="77777777" w:rsidR="00817BB2" w:rsidRPr="00C91687" w:rsidRDefault="00817BB2" w:rsidP="00376261">
            <w:pPr>
              <w:rPr>
                <w:b/>
                <w:sz w:val="20"/>
              </w:rPr>
            </w:pPr>
          </w:p>
        </w:tc>
        <w:tc>
          <w:tcPr>
            <w:tcW w:w="4927" w:type="dxa"/>
          </w:tcPr>
          <w:p w14:paraId="69C90E2C" w14:textId="77777777" w:rsidR="00817BB2" w:rsidRDefault="00817BB2" w:rsidP="00376261">
            <w:pPr>
              <w:ind w:firstLine="680"/>
              <w:rPr>
                <w:sz w:val="18"/>
              </w:rPr>
            </w:pPr>
            <w:r>
              <w:rPr>
                <w:noProof/>
                <w:sz w:val="20"/>
                <w:lang w:eastAsia="pl-PL"/>
              </w:rPr>
              <w:drawing>
                <wp:anchor distT="0" distB="0" distL="114300" distR="114300" simplePos="0" relativeHeight="251693568" behindDoc="0" locked="0" layoutInCell="1" allowOverlap="1" wp14:anchorId="679C4D93" wp14:editId="7258DD2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17BB2" w14:paraId="5DCB2289" w14:textId="77777777" w:rsidTr="004E6923">
        <w:trPr>
          <w:trHeight w:val="480"/>
        </w:trPr>
        <w:tc>
          <w:tcPr>
            <w:tcW w:w="4926" w:type="dxa"/>
          </w:tcPr>
          <w:p w14:paraId="49F4391C" w14:textId="77777777" w:rsidR="00817BB2" w:rsidRPr="00C91687" w:rsidRDefault="00817BB2" w:rsidP="00376261">
            <w:pPr>
              <w:rPr>
                <w:b/>
                <w:sz w:val="20"/>
              </w:rPr>
            </w:pPr>
          </w:p>
        </w:tc>
        <w:tc>
          <w:tcPr>
            <w:tcW w:w="4927" w:type="dxa"/>
          </w:tcPr>
          <w:p w14:paraId="393FC090" w14:textId="77777777" w:rsidR="00817BB2" w:rsidRPr="003D5F42" w:rsidRDefault="00817BB2" w:rsidP="00376261">
            <w:pPr>
              <w:ind w:firstLine="680"/>
              <w:rPr>
                <w:sz w:val="20"/>
              </w:rPr>
            </w:pPr>
            <w:r>
              <w:rPr>
                <w:noProof/>
                <w:sz w:val="20"/>
                <w:lang w:eastAsia="pl-PL"/>
              </w:rPr>
              <w:drawing>
                <wp:anchor distT="0" distB="0" distL="114300" distR="114300" simplePos="0" relativeHeight="251694592" behindDoc="0" locked="0" layoutInCell="1" allowOverlap="1" wp14:anchorId="56296927" wp14:editId="0DB3CF5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17BB2" w14:paraId="46240AEF" w14:textId="77777777" w:rsidTr="004E6923">
        <w:trPr>
          <w:trHeight w:val="480"/>
        </w:trPr>
        <w:tc>
          <w:tcPr>
            <w:tcW w:w="4926" w:type="dxa"/>
          </w:tcPr>
          <w:p w14:paraId="54F8D3E2" w14:textId="77777777" w:rsidR="00817BB2" w:rsidRPr="00C91687" w:rsidRDefault="00817BB2" w:rsidP="00376261">
            <w:pPr>
              <w:rPr>
                <w:b/>
                <w:sz w:val="20"/>
              </w:rPr>
            </w:pPr>
          </w:p>
        </w:tc>
        <w:tc>
          <w:tcPr>
            <w:tcW w:w="4927" w:type="dxa"/>
          </w:tcPr>
          <w:p w14:paraId="68E57771" w14:textId="77777777" w:rsidR="00817BB2" w:rsidRPr="003D5F42" w:rsidRDefault="00817BB2" w:rsidP="00376261">
            <w:pPr>
              <w:ind w:firstLine="680"/>
              <w:rPr>
                <w:sz w:val="20"/>
              </w:rPr>
            </w:pPr>
            <w:r>
              <w:rPr>
                <w:noProof/>
                <w:sz w:val="20"/>
                <w:lang w:eastAsia="pl-PL"/>
              </w:rPr>
              <w:drawing>
                <wp:anchor distT="0" distB="0" distL="114300" distR="114300" simplePos="0" relativeHeight="251695616" behindDoc="0" locked="0" layoutInCell="1" allowOverlap="1" wp14:anchorId="46270697" wp14:editId="6234A69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17BB2" w14:paraId="72DCE22F" w14:textId="77777777" w:rsidTr="004E6923">
        <w:trPr>
          <w:trHeight w:val="953"/>
        </w:trPr>
        <w:tc>
          <w:tcPr>
            <w:tcW w:w="4926" w:type="dxa"/>
          </w:tcPr>
          <w:p w14:paraId="6FC44757" w14:textId="77777777" w:rsidR="00817BB2" w:rsidRPr="00C91687" w:rsidRDefault="00817BB2" w:rsidP="00376261">
            <w:pPr>
              <w:rPr>
                <w:b/>
                <w:sz w:val="20"/>
              </w:rPr>
            </w:pPr>
          </w:p>
        </w:tc>
        <w:tc>
          <w:tcPr>
            <w:tcW w:w="4927" w:type="dxa"/>
          </w:tcPr>
          <w:p w14:paraId="57F1D09C" w14:textId="77777777" w:rsidR="00817BB2" w:rsidRPr="003D5F42" w:rsidRDefault="00817BB2" w:rsidP="0037626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96640" behindDoc="0" locked="0" layoutInCell="1" allowOverlap="1" wp14:anchorId="18E809F6" wp14:editId="18D2D5B2">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17BB2" w:rsidRPr="00A90BFC" w14:paraId="365A1901" w14:textId="77777777" w:rsidTr="009A4754">
        <w:trPr>
          <w:trHeight w:val="4114"/>
        </w:trPr>
        <w:tc>
          <w:tcPr>
            <w:tcW w:w="9853" w:type="dxa"/>
            <w:gridSpan w:val="2"/>
            <w:shd w:val="clear" w:color="auto" w:fill="D9D9D9" w:themeFill="background1" w:themeFillShade="D9"/>
          </w:tcPr>
          <w:p w14:paraId="1EDE2C66" w14:textId="77777777" w:rsidR="00817BB2" w:rsidRPr="0053285E" w:rsidRDefault="00817BB2" w:rsidP="00376261">
            <w:pPr>
              <w:shd w:val="clear" w:color="auto" w:fill="D9D9D9" w:themeFill="background1" w:themeFillShade="D9"/>
              <w:rPr>
                <w:b/>
                <w:lang w:val="en-GB"/>
              </w:rPr>
            </w:pPr>
            <w:r w:rsidRPr="0053285E">
              <w:rPr>
                <w:b/>
                <w:lang w:val="en-GB"/>
              </w:rPr>
              <w:t>Related information</w:t>
            </w:r>
          </w:p>
          <w:p w14:paraId="511D6442" w14:textId="77777777" w:rsidR="00671917" w:rsidRPr="0053285E" w:rsidRDefault="00B213CA" w:rsidP="00671917">
            <w:pPr>
              <w:rPr>
                <w:rStyle w:val="Hipercze"/>
                <w:lang w:val="en-GB"/>
              </w:rPr>
            </w:pPr>
            <w:r>
              <w:fldChar w:fldCharType="begin"/>
            </w:r>
            <w:r w:rsidRPr="00E85968">
              <w:rPr>
                <w:lang w:val="en-US"/>
              </w:rPr>
              <w:instrText xml:space="preserve"> HYPERLINK "https://stat.gov.pl/en/topics/labour-market/yearbook-of-labour/methodological-report-labour-force-survey,8,2.html" \o "Link to Methodological report Labour Force Survey" </w:instrText>
            </w:r>
            <w:r>
              <w:fldChar w:fldCharType="separate"/>
            </w:r>
            <w:r w:rsidR="00671917" w:rsidRPr="00E45520">
              <w:rPr>
                <w:rStyle w:val="Hipercze"/>
                <w:lang w:val="en-GB"/>
              </w:rPr>
              <w:t>Methodological report. Labour Force Survey</w:t>
            </w:r>
            <w:r>
              <w:rPr>
                <w:rStyle w:val="Hipercze"/>
                <w:lang w:val="en-GB"/>
              </w:rPr>
              <w:fldChar w:fldCharType="end"/>
            </w:r>
            <w:r w:rsidR="00671917" w:rsidRPr="0053285E">
              <w:rPr>
                <w:rFonts w:cs="Times New Roman"/>
                <w:lang w:val="en-GB"/>
              </w:rPr>
              <w:fldChar w:fldCharType="begin"/>
            </w:r>
            <w:r w:rsidR="00671917"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671917" w:rsidRPr="0053285E">
              <w:rPr>
                <w:rFonts w:cs="Times New Roman"/>
                <w:lang w:val="en-GB"/>
              </w:rPr>
              <w:fldChar w:fldCharType="separate"/>
            </w:r>
          </w:p>
          <w:p w14:paraId="6F9C0706" w14:textId="77777777" w:rsidR="00671917" w:rsidRPr="00006A3F" w:rsidRDefault="00671917" w:rsidP="00671917">
            <w:pPr>
              <w:rPr>
                <w:rFonts w:cs="Times New Roman"/>
                <w:color w:val="0000FF"/>
                <w:u w:val="single"/>
                <w:lang w:val="en-GB"/>
              </w:rPr>
            </w:pPr>
            <w:r w:rsidRPr="0053285E">
              <w:rPr>
                <w:rFonts w:cs="Times New Roman"/>
                <w:lang w:val="en-GB"/>
              </w:rPr>
              <w:fldChar w:fldCharType="end"/>
            </w:r>
            <w:r w:rsidR="00B213CA">
              <w:fldChar w:fldCharType="begin"/>
            </w:r>
            <w:r w:rsidR="00B213CA" w:rsidRPr="00E85968">
              <w:rPr>
                <w:lang w:val="en-US"/>
              </w:rPr>
              <w:instrText xml:space="preserve"> HYPERLINK "https://stat.gov.pl/en/topics/labour-market/working-unemployed-economically-inactive-by-lfs/labour-force-survey-in-poland-quarter-42025,2,60.html" \o "Link to LFS publication" </w:instrText>
            </w:r>
            <w:r w:rsidR="00B213CA">
              <w:fldChar w:fldCharType="separate"/>
            </w:r>
            <w:r>
              <w:rPr>
                <w:rStyle w:val="Hipercze"/>
                <w:lang w:val="en-GB"/>
              </w:rPr>
              <w:t>Labour Force Survey in Poland</w:t>
            </w:r>
            <w:r w:rsidR="00B213CA">
              <w:rPr>
                <w:rStyle w:val="Hipercze"/>
                <w:lang w:val="en-GB"/>
              </w:rPr>
              <w:fldChar w:fldCharType="end"/>
            </w:r>
            <w:r>
              <w:rPr>
                <w:rStyle w:val="Hipercze"/>
                <w:lang w:val="en-GB"/>
              </w:rPr>
              <w:t xml:space="preserve"> </w:t>
            </w:r>
          </w:p>
          <w:p w14:paraId="4FC66338" w14:textId="77777777" w:rsidR="00671917" w:rsidRPr="0053285E" w:rsidRDefault="00671917" w:rsidP="00671917">
            <w:pPr>
              <w:rPr>
                <w:rStyle w:val="Hipercze"/>
                <w:lang w:val="en-GB"/>
              </w:rPr>
            </w:pPr>
            <w:r w:rsidRPr="0053285E">
              <w:rPr>
                <w:rFonts w:cs="Times New Roman"/>
                <w:lang w:val="en-GB"/>
              </w:rPr>
              <w:fldChar w:fldCharType="begin"/>
            </w:r>
            <w:r>
              <w:rPr>
                <w:rFonts w:cs="Times New Roman"/>
                <w:lang w:val="en-GB"/>
              </w:rPr>
              <w:instrText>HYPERLINK "https://stat.gov.pl/en/topics/labour-market/working-unemployed-economically-inactive-by-lfs/" \o "Link to other publications containing the results of LFS and module surveys"</w:instrText>
            </w:r>
            <w:r w:rsidRPr="0053285E">
              <w:rPr>
                <w:rFonts w:cs="Times New Roman"/>
                <w:lang w:val="en-GB"/>
              </w:rPr>
              <w:fldChar w:fldCharType="separate"/>
            </w:r>
            <w:r w:rsidRPr="0053285E">
              <w:rPr>
                <w:rStyle w:val="Hipercze"/>
                <w:lang w:val="en-GB"/>
              </w:rPr>
              <w:t>Other publications containing the results of LFS and its module surveys</w:t>
            </w:r>
          </w:p>
          <w:p w14:paraId="08D946DF" w14:textId="77777777" w:rsidR="00671917" w:rsidRPr="0053285E" w:rsidRDefault="00671917" w:rsidP="00671917">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3340A33B" w14:textId="77777777" w:rsidR="00671917" w:rsidRPr="0053285E" w:rsidRDefault="00671917" w:rsidP="00671917">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1C2DD42" w14:textId="77777777" w:rsidR="00671917" w:rsidRPr="0053285E" w:rsidRDefault="00B213CA" w:rsidP="00671917">
            <w:pPr>
              <w:rPr>
                <w:lang w:val="en-GB"/>
              </w:rPr>
            </w:pPr>
            <w:r>
              <w:fldChar w:fldCharType="begin"/>
            </w:r>
            <w:r w:rsidRPr="00E85968">
              <w:rPr>
                <w:lang w:val="en-US"/>
              </w:rPr>
              <w:instrText xml:space="preserve"> HYPERLINK "https://strateg.stat.gov.pl/?lang=en-GB" \l "/" \o "Link to STRATEG" </w:instrText>
            </w:r>
            <w:r>
              <w:fldChar w:fldCharType="separate"/>
            </w:r>
            <w:proofErr w:type="spellStart"/>
            <w:r w:rsidR="00671917" w:rsidRPr="0053285E">
              <w:rPr>
                <w:rStyle w:val="Hipercze"/>
                <w:rFonts w:cstheme="minorBidi"/>
                <w:lang w:val="en-GB"/>
              </w:rPr>
              <w:t>Strateg</w:t>
            </w:r>
            <w:proofErr w:type="spellEnd"/>
            <w:r w:rsidR="00671917" w:rsidRPr="0053285E">
              <w:rPr>
                <w:rStyle w:val="Hipercze"/>
                <w:rFonts w:cstheme="minorBidi"/>
                <w:lang w:val="en-GB"/>
              </w:rPr>
              <w:t xml:space="preserve"> → Topics → Labour Market</w:t>
            </w:r>
            <w:r>
              <w:rPr>
                <w:rStyle w:val="Hipercze"/>
                <w:rFonts w:cstheme="minorBidi"/>
                <w:lang w:val="en-GB"/>
              </w:rPr>
              <w:fldChar w:fldCharType="end"/>
            </w:r>
          </w:p>
          <w:p w14:paraId="3026E006" w14:textId="77777777" w:rsidR="00DE6C3A" w:rsidRDefault="00B213CA" w:rsidP="00671917">
            <w:pPr>
              <w:rPr>
                <w:rStyle w:val="Hipercze"/>
                <w:lang w:val="en-GB"/>
              </w:rPr>
            </w:pPr>
            <w:hyperlink r:id="rId32" w:tooltip="Link to Local Data Bank" w:history="1">
              <w:r w:rsidR="00671917" w:rsidRPr="0053285E">
                <w:rPr>
                  <w:rStyle w:val="Hipercze"/>
                  <w:lang w:val="en-GB"/>
                </w:rPr>
                <w:t>Local Data Bank → labour Market</w:t>
              </w:r>
            </w:hyperlink>
          </w:p>
          <w:p w14:paraId="3BAF0A1D" w14:textId="01E9AA87" w:rsidR="00671917" w:rsidRPr="0053285E" w:rsidRDefault="00B213CA" w:rsidP="00671917">
            <w:pPr>
              <w:rPr>
                <w:rStyle w:val="Hipercze"/>
                <w:rFonts w:cstheme="minorBidi"/>
                <w:lang w:val="en-GB"/>
              </w:rPr>
            </w:pPr>
            <w:hyperlink r:id="rId33" w:history="1">
              <w:r w:rsidR="00DE6C3A" w:rsidRPr="00DE6C3A">
                <w:rPr>
                  <w:rStyle w:val="Hipercze"/>
                  <w:lang w:val="en-GB"/>
                </w:rPr>
                <w:t>Knowledge Databases → Society → Labour Market</w:t>
              </w:r>
            </w:hyperlink>
            <w:r w:rsidR="00671917" w:rsidRPr="0053285E">
              <w:rPr>
                <w:rFonts w:cs="Times New Roman"/>
                <w:lang w:val="en-GB"/>
              </w:rPr>
              <w:fldChar w:fldCharType="begin"/>
            </w:r>
            <w:r w:rsidR="00671917" w:rsidRPr="0053285E">
              <w:rPr>
                <w:rFonts w:cs="Times New Roman"/>
                <w:lang w:val="en-GB"/>
              </w:rPr>
              <w:instrText>HYPERLINK "https://bdl.stat.gov.pl/bdl/dane/podgrup/temat" \o "Link do danych w bazie Banku Danych Lokalnych"</w:instrText>
            </w:r>
            <w:r w:rsidR="00671917" w:rsidRPr="0053285E">
              <w:rPr>
                <w:rFonts w:cs="Times New Roman"/>
                <w:lang w:val="en-GB"/>
              </w:rPr>
              <w:fldChar w:fldCharType="separate"/>
            </w:r>
          </w:p>
          <w:p w14:paraId="4523CBE8" w14:textId="77777777" w:rsidR="00671917" w:rsidRPr="0053285E" w:rsidRDefault="00671917" w:rsidP="00671917">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0952672A" w14:textId="77777777" w:rsidR="00671917" w:rsidRPr="0053285E" w:rsidRDefault="00B213CA" w:rsidP="00671917">
            <w:pPr>
              <w:rPr>
                <w:rStyle w:val="Hipercze"/>
                <w:lang w:val="en-GB"/>
              </w:rPr>
            </w:pPr>
            <w:hyperlink r:id="rId34" w:tooltip="Link to terms used in official statistics" w:history="1">
              <w:r w:rsidR="00671917" w:rsidRPr="0053285E">
                <w:rPr>
                  <w:rStyle w:val="Hipercze"/>
                  <w:lang w:val="en-GB"/>
                </w:rPr>
                <w:t>Economic activity by LFS</w:t>
              </w:r>
            </w:hyperlink>
            <w:r w:rsidR="00671917" w:rsidRPr="0053285E">
              <w:rPr>
                <w:rStyle w:val="Hipercze"/>
                <w:lang w:val="en-GB"/>
              </w:rPr>
              <w:fldChar w:fldCharType="begin"/>
            </w:r>
            <w:r w:rsidR="00671917" w:rsidRPr="0053285E">
              <w:rPr>
                <w:rStyle w:val="Hipercze"/>
                <w:lang w:val="en-GB"/>
              </w:rPr>
              <w:instrText xml:space="preserve"> HYPERLINK "https://stat.gov.pl/metainformacje/slownik-pojec/pojecia-stosowane-w-statystyce-publicznej/4562,pojecie.html" \o "Link do słownika pojęć" </w:instrText>
            </w:r>
            <w:r w:rsidR="00671917" w:rsidRPr="0053285E">
              <w:rPr>
                <w:rStyle w:val="Hipercze"/>
                <w:lang w:val="en-GB"/>
              </w:rPr>
              <w:fldChar w:fldCharType="separate"/>
            </w:r>
          </w:p>
          <w:p w14:paraId="394C6E9B" w14:textId="77777777" w:rsidR="00671917" w:rsidRPr="0053285E" w:rsidRDefault="00671917" w:rsidP="00671917">
            <w:pPr>
              <w:rPr>
                <w:rStyle w:val="Hipercze"/>
                <w:lang w:val="en-GB"/>
              </w:rPr>
            </w:pPr>
            <w:r w:rsidRPr="0053285E">
              <w:rPr>
                <w:rStyle w:val="Hipercze"/>
                <w:lang w:val="en-GB"/>
              </w:rPr>
              <w:fldChar w:fldCharType="end"/>
            </w:r>
            <w:hyperlink r:id="rId35" w:tooltip="Link to terms used in official statistics" w:history="1">
              <w:r w:rsidRPr="0053285E">
                <w:rPr>
                  <w:rStyle w:val="Hipercze"/>
                  <w:lang w:val="en-GB"/>
                </w:rPr>
                <w:t>Economically active population by LFS</w:t>
              </w:r>
            </w:hyperlink>
          </w:p>
          <w:p w14:paraId="443BFA90" w14:textId="77777777" w:rsidR="00671917" w:rsidRPr="0053285E" w:rsidRDefault="00B213CA" w:rsidP="00671917">
            <w:pPr>
              <w:rPr>
                <w:rStyle w:val="Hipercze"/>
                <w:lang w:val="en-GB"/>
              </w:rPr>
            </w:pPr>
            <w:hyperlink r:id="rId36" w:tooltip="Link to terms used in official statistics" w:history="1">
              <w:r w:rsidR="00671917" w:rsidRPr="0053285E">
                <w:rPr>
                  <w:rStyle w:val="Hipercze"/>
                  <w:lang w:val="en-GB"/>
                </w:rPr>
                <w:t>Employed persons by LFS</w:t>
              </w:r>
            </w:hyperlink>
          </w:p>
          <w:p w14:paraId="4C084060" w14:textId="77777777" w:rsidR="00671917" w:rsidRPr="0053285E" w:rsidRDefault="00B213CA" w:rsidP="00671917">
            <w:pPr>
              <w:rPr>
                <w:rStyle w:val="Hipercze"/>
                <w:lang w:val="en-GB"/>
              </w:rPr>
            </w:pPr>
            <w:hyperlink r:id="rId37" w:tooltip="Link to terms used in official statistics" w:history="1">
              <w:r w:rsidR="00671917" w:rsidRPr="0053285E">
                <w:rPr>
                  <w:rStyle w:val="Hipercze"/>
                  <w:rFonts w:cstheme="minorBidi"/>
                  <w:lang w:val="en-GB"/>
                </w:rPr>
                <w:t>Unemployed persons by LFS</w:t>
              </w:r>
            </w:hyperlink>
          </w:p>
          <w:p w14:paraId="739A8973" w14:textId="77777777" w:rsidR="00671917" w:rsidRPr="0053285E" w:rsidRDefault="00B213CA" w:rsidP="00671917">
            <w:pPr>
              <w:rPr>
                <w:rStyle w:val="Hipercze"/>
                <w:lang w:val="en-GB"/>
              </w:rPr>
            </w:pPr>
            <w:hyperlink r:id="rId38" w:tooltip="Link to terms used in official statistics" w:history="1">
              <w:r w:rsidR="00671917" w:rsidRPr="0053285E">
                <w:rPr>
                  <w:rStyle w:val="Hipercze"/>
                  <w:rFonts w:cstheme="minorBidi"/>
                  <w:lang w:val="en-GB"/>
                </w:rPr>
                <w:t>Economically inactive population according to the LFS</w:t>
              </w:r>
            </w:hyperlink>
          </w:p>
          <w:p w14:paraId="3F0CC32C" w14:textId="292D50EB" w:rsidR="00671917" w:rsidRPr="00671917" w:rsidRDefault="00B213CA" w:rsidP="00671917">
            <w:pPr>
              <w:keepNext/>
              <w:keepLines/>
              <w:outlineLvl w:val="3"/>
              <w:rPr>
                <w:rFonts w:eastAsiaTheme="majorEastAsia" w:cs="Arial"/>
                <w:iCs/>
                <w:color w:val="222222"/>
                <w:szCs w:val="19"/>
                <w:lang w:val="en-GB"/>
              </w:rPr>
            </w:pPr>
            <w:hyperlink r:id="rId39" w:tooltip="Link to terms used in official statistics" w:history="1">
              <w:r w:rsidR="00671917" w:rsidRPr="00671917">
                <w:rPr>
                  <w:rFonts w:eastAsiaTheme="majorEastAsia" w:cs="Arial"/>
                  <w:bCs/>
                  <w:iCs/>
                  <w:color w:val="0000FF"/>
                  <w:szCs w:val="19"/>
                  <w:u w:val="single"/>
                  <w:lang w:val="en-GB"/>
                </w:rPr>
                <w:t>Activity rate by LFS</w:t>
              </w:r>
            </w:hyperlink>
          </w:p>
          <w:p w14:paraId="027EE4F9" w14:textId="77777777" w:rsidR="00671917" w:rsidRPr="0053285E" w:rsidRDefault="00B213CA" w:rsidP="00671917">
            <w:pPr>
              <w:rPr>
                <w:rStyle w:val="Hipercze"/>
                <w:lang w:val="en-GB"/>
              </w:rPr>
            </w:pPr>
            <w:hyperlink r:id="rId40" w:tooltip="Link to terms used in official statistics" w:history="1">
              <w:r w:rsidR="00671917" w:rsidRPr="0053285E">
                <w:rPr>
                  <w:rStyle w:val="Hipercze"/>
                  <w:rFonts w:cstheme="minorBidi"/>
                  <w:lang w:val="en-GB"/>
                </w:rPr>
                <w:t>Employment rate by LFS</w:t>
              </w:r>
            </w:hyperlink>
          </w:p>
          <w:p w14:paraId="77CAB3A1" w14:textId="5922E5A5" w:rsidR="00817BB2" w:rsidRPr="00B54423" w:rsidRDefault="00B213CA" w:rsidP="00671917">
            <w:pPr>
              <w:rPr>
                <w:rFonts w:cs="Times New Roman"/>
                <w:color w:val="0000FF"/>
                <w:u w:val="single"/>
                <w:lang w:val="en-GB"/>
              </w:rPr>
            </w:pPr>
            <w:hyperlink r:id="rId41" w:tooltip="Link to terms used in official statistics" w:history="1">
              <w:r w:rsidR="00671917" w:rsidRPr="0053285E">
                <w:rPr>
                  <w:rStyle w:val="Hipercze"/>
                  <w:rFonts w:cstheme="minorBidi"/>
                  <w:lang w:val="en-GB"/>
                </w:rPr>
                <w:t>Unemployment rate by LFS</w:t>
              </w:r>
            </w:hyperlink>
          </w:p>
        </w:tc>
      </w:tr>
    </w:tbl>
    <w:p w14:paraId="393019D4" w14:textId="57BF8D54" w:rsidR="0087323A" w:rsidRPr="004E6923" w:rsidRDefault="0087323A" w:rsidP="00B54423">
      <w:pPr>
        <w:spacing w:before="0" w:after="0"/>
        <w:rPr>
          <w:sz w:val="6"/>
          <w:szCs w:val="6"/>
          <w:lang w:val="en-GB"/>
        </w:rPr>
      </w:pPr>
    </w:p>
    <w:p w14:paraId="6A9DB5B7" w14:textId="284113AD" w:rsidR="00671917" w:rsidRDefault="00671917" w:rsidP="00A6401C">
      <w:pPr>
        <w:rPr>
          <w:sz w:val="6"/>
          <w:szCs w:val="6"/>
          <w:lang w:val="en-GB"/>
        </w:rPr>
      </w:pPr>
    </w:p>
    <w:p w14:paraId="639C9329" w14:textId="08C67865" w:rsidR="00B54423" w:rsidRPr="00671917" w:rsidRDefault="00671917" w:rsidP="00671917">
      <w:pPr>
        <w:tabs>
          <w:tab w:val="left" w:pos="2354"/>
        </w:tabs>
        <w:rPr>
          <w:sz w:val="6"/>
          <w:szCs w:val="6"/>
          <w:lang w:val="en-GB"/>
        </w:rPr>
      </w:pPr>
      <w:r>
        <w:rPr>
          <w:sz w:val="6"/>
          <w:szCs w:val="6"/>
          <w:lang w:val="en-GB"/>
        </w:rPr>
        <w:tab/>
      </w:r>
    </w:p>
    <w:sectPr w:rsidR="00B54423" w:rsidRPr="00671917" w:rsidSect="003B18B6">
      <w:headerReference w:type="default" r:id="rId42"/>
      <w:footerReference w:type="default" r:id="rId4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49925" w14:textId="77777777" w:rsidR="00B213CA" w:rsidRDefault="00B213CA" w:rsidP="000662E2">
      <w:pPr>
        <w:spacing w:after="0" w:line="240" w:lineRule="auto"/>
      </w:pPr>
      <w:r>
        <w:separator/>
      </w:r>
    </w:p>
  </w:endnote>
  <w:endnote w:type="continuationSeparator" w:id="0">
    <w:p w14:paraId="5AB86ECE" w14:textId="77777777" w:rsidR="00B213CA" w:rsidRDefault="00B213CA" w:rsidP="000662E2">
      <w:pPr>
        <w:spacing w:after="0" w:line="240" w:lineRule="auto"/>
      </w:pPr>
      <w:r>
        <w:continuationSeparator/>
      </w:r>
    </w:p>
  </w:endnote>
  <w:endnote w:type="continuationNotice" w:id="1">
    <w:p w14:paraId="6F8D7B4C" w14:textId="77777777" w:rsidR="00B213CA" w:rsidRDefault="00B213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DA385A" w:rsidRDefault="00DA385A" w:rsidP="003B18B6">
        <w:pPr>
          <w:pStyle w:val="Stopka"/>
          <w:jc w:val="center"/>
        </w:pPr>
        <w:r>
          <w:fldChar w:fldCharType="begin"/>
        </w:r>
        <w:r>
          <w:instrText>PAGE   \* MERGEFORMAT</w:instrText>
        </w:r>
        <w:r>
          <w:fldChar w:fldCharType="separate"/>
        </w:r>
        <w:r>
          <w:rPr>
            <w:noProof/>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DA385A" w:rsidRDefault="00DA385A"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DA385A" w:rsidRDefault="00DA385A" w:rsidP="00B52235">
        <w:pPr>
          <w:pStyle w:val="Stopka"/>
          <w:tabs>
            <w:tab w:val="clear" w:pos="9072"/>
            <w:tab w:val="right" w:pos="8080"/>
          </w:tabs>
          <w:ind w:right="-13"/>
          <w:jc w:val="center"/>
        </w:pPr>
        <w:r>
          <w:fldChar w:fldCharType="begin"/>
        </w:r>
        <w:r>
          <w:instrText>PAGE   \* MERGEFORMAT</w:instrText>
        </w:r>
        <w:r>
          <w:fldChar w:fldCharType="separate"/>
        </w:r>
        <w:r>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198B2" w14:textId="77777777" w:rsidR="00B213CA" w:rsidRDefault="00B213CA" w:rsidP="000662E2">
      <w:pPr>
        <w:spacing w:after="0" w:line="240" w:lineRule="auto"/>
      </w:pPr>
      <w:r>
        <w:separator/>
      </w:r>
    </w:p>
  </w:footnote>
  <w:footnote w:type="continuationSeparator" w:id="0">
    <w:p w14:paraId="746AFBD9" w14:textId="77777777" w:rsidR="00B213CA" w:rsidRDefault="00B213CA" w:rsidP="000662E2">
      <w:pPr>
        <w:spacing w:after="0" w:line="240" w:lineRule="auto"/>
      </w:pPr>
      <w:r>
        <w:continuationSeparator/>
      </w:r>
    </w:p>
  </w:footnote>
  <w:footnote w:type="continuationNotice" w:id="1">
    <w:p w14:paraId="6564266D" w14:textId="77777777" w:rsidR="00B213CA" w:rsidRDefault="00B213CA">
      <w:pPr>
        <w:spacing w:before="0" w:after="0" w:line="240" w:lineRule="auto"/>
      </w:pPr>
    </w:p>
  </w:footnote>
  <w:footnote w:id="2">
    <w:p w14:paraId="0653BDBE" w14:textId="6C110692" w:rsidR="00DA385A" w:rsidRPr="007D0709" w:rsidRDefault="00DA385A" w:rsidP="005F61F1">
      <w:pPr>
        <w:pStyle w:val="Tekstprzypisudolnego"/>
        <w:spacing w:before="0"/>
        <w:rPr>
          <w:sz w:val="18"/>
          <w:szCs w:val="18"/>
          <w:lang w:val="en-GB"/>
        </w:rPr>
      </w:pPr>
      <w:r>
        <w:rPr>
          <w:rStyle w:val="Odwoanieprzypisudolnego"/>
        </w:rPr>
        <w:footnoteRef/>
      </w:r>
      <w:r w:rsidRPr="00B268B9">
        <w:rPr>
          <w:lang w:val="en-GB"/>
        </w:rPr>
        <w:t xml:space="preserve"> </w:t>
      </w:r>
      <w:r w:rsidRPr="007D0709">
        <w:rPr>
          <w:sz w:val="18"/>
          <w:szCs w:val="18"/>
          <w:lang w:val="en-GB"/>
        </w:rPr>
        <w:t>The LFS results refer to the resident population i.e. staying or intending to stay in the country’s territory for at least 12 months, living in households.</w:t>
      </w:r>
      <w:r>
        <w:rPr>
          <w:sz w:val="18"/>
          <w:szCs w:val="18"/>
          <w:lang w:val="en-GB"/>
        </w:rPr>
        <w:t xml:space="preserve"> </w:t>
      </w:r>
      <w:r w:rsidRPr="007D0709">
        <w:rPr>
          <w:sz w:val="18"/>
          <w:szCs w:val="18"/>
          <w:lang w:val="en-GB"/>
        </w:rPr>
        <w:t>Generalisation of the survey results over the general population has been carried out with the use of the data on resident population in Poland</w:t>
      </w:r>
      <w:r>
        <w:rPr>
          <w:sz w:val="18"/>
          <w:szCs w:val="18"/>
          <w:lang w:val="en-GB"/>
        </w:rPr>
        <w:t>,</w:t>
      </w:r>
      <w:r w:rsidRPr="007D0709">
        <w:rPr>
          <w:sz w:val="18"/>
          <w:szCs w:val="18"/>
          <w:lang w:val="en-GB"/>
        </w:rPr>
        <w:t xml:space="preserve"> </w:t>
      </w:r>
      <w:r>
        <w:rPr>
          <w:sz w:val="18"/>
          <w:szCs w:val="18"/>
          <w:lang w:val="en-GB"/>
        </w:rPr>
        <w:t xml:space="preserve">coming from the balances, </w:t>
      </w:r>
      <w:r w:rsidRPr="000809B6">
        <w:rPr>
          <w:sz w:val="18"/>
          <w:szCs w:val="18"/>
          <w:lang w:val="en-GB"/>
        </w:rPr>
        <w:t>for which the basis (initial base</w:t>
      </w:r>
      <w:r>
        <w:rPr>
          <w:sz w:val="18"/>
          <w:szCs w:val="18"/>
          <w:lang w:val="en-GB"/>
        </w:rPr>
        <w:t xml:space="preserve">) are the results of the </w:t>
      </w:r>
      <w:r w:rsidRPr="004E441F">
        <w:rPr>
          <w:bCs/>
          <w:sz w:val="18"/>
          <w:szCs w:val="18"/>
          <w:lang w:val="en-GB"/>
        </w:rPr>
        <w:t>Population and Housing Census 2021</w:t>
      </w:r>
      <w:r>
        <w:rPr>
          <w:bCs/>
          <w:sz w:val="18"/>
          <w:szCs w:val="18"/>
          <w:lang w:val="en-GB"/>
        </w:rPr>
        <w:t>/National Census 2021</w:t>
      </w:r>
      <w:r w:rsidRPr="004E441F">
        <w:rPr>
          <w:sz w:val="18"/>
          <w:szCs w:val="18"/>
          <w:lang w:val="en-GB"/>
        </w:rPr>
        <w:t>. Data for the period from the first quarter</w:t>
      </w:r>
      <w:r w:rsidRPr="007D0709">
        <w:rPr>
          <w:sz w:val="18"/>
          <w:szCs w:val="18"/>
          <w:lang w:val="en-GB"/>
        </w:rPr>
        <w:t xml:space="preserve"> of 2021 to the third quarter of 2023 was recalculated in line with the new generalisation basis. See methodological notes </w:t>
      </w:r>
      <w:r>
        <w:rPr>
          <w:sz w:val="18"/>
          <w:szCs w:val="18"/>
          <w:lang w:val="en-GB"/>
        </w:rPr>
        <w:t>at the end of this news release</w:t>
      </w:r>
      <w:r w:rsidRPr="007D0709">
        <w:rPr>
          <w:sz w:val="18"/>
          <w:szCs w:val="18"/>
          <w:lang w:val="en-GB"/>
        </w:rPr>
        <w:t>.</w:t>
      </w:r>
    </w:p>
  </w:footnote>
  <w:footnote w:id="3">
    <w:p w14:paraId="267E6062" w14:textId="710F7E25" w:rsidR="00DA385A" w:rsidRPr="00052373" w:rsidRDefault="00DA385A">
      <w:pPr>
        <w:pStyle w:val="Tekstprzypisudolnego"/>
        <w:rPr>
          <w:lang w:val="en-US"/>
        </w:rPr>
      </w:pPr>
      <w:r w:rsidRPr="00052373">
        <w:rPr>
          <w:rStyle w:val="Odwoanieprzypisudolnego"/>
          <w:sz w:val="18"/>
        </w:rPr>
        <w:footnoteRef/>
      </w:r>
      <w:r w:rsidRPr="00052373">
        <w:rPr>
          <w:sz w:val="18"/>
          <w:lang w:val="en-US"/>
        </w:rPr>
        <w:t xml:space="preserve"> 18-64 years for man, 18-59 years for women.</w:t>
      </w:r>
    </w:p>
  </w:footnote>
  <w:footnote w:id="4">
    <w:p w14:paraId="123C6145" w14:textId="760A1F37" w:rsidR="00DA385A" w:rsidRPr="008820C7" w:rsidRDefault="00DA385A">
      <w:pPr>
        <w:pStyle w:val="Tekstprzypisudolnego"/>
        <w:rPr>
          <w:lang w:val="en-US"/>
        </w:rPr>
      </w:pPr>
      <w:r w:rsidRPr="00683196">
        <w:rPr>
          <w:rStyle w:val="Odwoanieprzypisudolnego"/>
          <w:sz w:val="18"/>
        </w:rPr>
        <w:footnoteRef/>
      </w:r>
      <w:r w:rsidRPr="00683196">
        <w:rPr>
          <w:sz w:val="18"/>
          <w:lang w:val="en-US"/>
        </w:rPr>
        <w:t xml:space="preserve"> By NACE Rev. 2.1 sections</w:t>
      </w:r>
    </w:p>
  </w:footnote>
  <w:footnote w:id="5">
    <w:p w14:paraId="4D583347" w14:textId="34237898" w:rsidR="00DA385A" w:rsidRPr="002660C8" w:rsidRDefault="00DA385A">
      <w:pPr>
        <w:pStyle w:val="Tekstprzypisudolnego"/>
        <w:rPr>
          <w:sz w:val="18"/>
          <w:szCs w:val="18"/>
          <w:lang w:val="en-GB"/>
        </w:rPr>
      </w:pPr>
      <w:r w:rsidRPr="002660C8">
        <w:rPr>
          <w:rStyle w:val="Odwoanieprzypisudolnego"/>
          <w:sz w:val="18"/>
          <w:szCs w:val="18"/>
        </w:rPr>
        <w:footnoteRef/>
      </w:r>
      <w:r w:rsidRPr="002660C8">
        <w:rPr>
          <w:sz w:val="18"/>
          <w:szCs w:val="18"/>
          <w:lang w:val="en-GB"/>
        </w:rPr>
        <w:t xml:space="preserve"> See methodological notes at the end of this news release.</w:t>
      </w:r>
    </w:p>
  </w:footnote>
  <w:footnote w:id="6">
    <w:p w14:paraId="24C11FCF" w14:textId="66FBF760" w:rsidR="00DA385A" w:rsidRPr="00585E27" w:rsidRDefault="00DA385A">
      <w:pPr>
        <w:pStyle w:val="Tekstprzypisudolnego"/>
        <w:rPr>
          <w:sz w:val="18"/>
          <w:szCs w:val="18"/>
          <w:lang w:val="en-GB"/>
        </w:rPr>
      </w:pPr>
      <w:r w:rsidRPr="00585E27">
        <w:rPr>
          <w:rStyle w:val="Odwoanieprzypisudolnego"/>
          <w:sz w:val="18"/>
          <w:szCs w:val="18"/>
        </w:rPr>
        <w:footnoteRef/>
      </w:r>
      <w:r w:rsidRPr="00585E27">
        <w:rPr>
          <w:sz w:val="18"/>
          <w:szCs w:val="18"/>
          <w:lang w:val="en-GB"/>
        </w:rPr>
        <w:t xml:space="preserve"> LFS results are presented as an average value in the analysed period, in this case </w:t>
      </w:r>
      <w:r>
        <w:rPr>
          <w:sz w:val="18"/>
          <w:szCs w:val="18"/>
          <w:lang w:val="en-GB"/>
        </w:rPr>
        <w:t xml:space="preserve">– </w:t>
      </w:r>
      <w:r w:rsidRPr="00585E27">
        <w:rPr>
          <w:sz w:val="18"/>
          <w:szCs w:val="18"/>
          <w:lang w:val="en-GB"/>
        </w:rPr>
        <w:t>an average in a quarter (unlike, for example, in the case of data on registered unemployment, where data are most often presented as of the end of the period).</w:t>
      </w:r>
    </w:p>
  </w:footnote>
  <w:footnote w:id="7">
    <w:p w14:paraId="252437B9" w14:textId="6B57777B" w:rsidR="00DA385A" w:rsidRPr="00283C00" w:rsidRDefault="00DA385A">
      <w:pPr>
        <w:pStyle w:val="Tekstprzypisudolnego"/>
        <w:rPr>
          <w:sz w:val="18"/>
          <w:szCs w:val="18"/>
          <w:lang w:val="en-GB"/>
        </w:rPr>
      </w:pPr>
      <w:r w:rsidRPr="00283C00">
        <w:rPr>
          <w:rStyle w:val="Odwoanieprzypisudolnego"/>
          <w:sz w:val="18"/>
          <w:szCs w:val="18"/>
        </w:rPr>
        <w:footnoteRef/>
      </w:r>
      <w:r w:rsidRPr="00283C00">
        <w:rPr>
          <w:sz w:val="18"/>
          <w:szCs w:val="18"/>
          <w:lang w:val="en-GB"/>
        </w:rPr>
        <w:t xml:space="preserve"> Men aged 45-64 and women aged 45-59.</w:t>
      </w:r>
    </w:p>
  </w:footnote>
  <w:footnote w:id="8">
    <w:p w14:paraId="0296AD42" w14:textId="742915C9" w:rsidR="00DA385A" w:rsidRPr="00283C00" w:rsidRDefault="00DA385A">
      <w:pPr>
        <w:pStyle w:val="Tekstprzypisudolnego"/>
        <w:rPr>
          <w:sz w:val="18"/>
          <w:szCs w:val="18"/>
          <w:lang w:val="en-GB"/>
        </w:rPr>
      </w:pPr>
      <w:r w:rsidRPr="00283C00">
        <w:rPr>
          <w:rStyle w:val="Odwoanieprzypisudolnego"/>
          <w:sz w:val="18"/>
          <w:szCs w:val="18"/>
        </w:rPr>
        <w:footnoteRef/>
      </w:r>
      <w:r w:rsidRPr="00283C00">
        <w:rPr>
          <w:sz w:val="18"/>
          <w:szCs w:val="18"/>
          <w:lang w:val="en-GB"/>
        </w:rPr>
        <w:t xml:space="preserve"> Men aged 65-89 and women aged 60-89.</w:t>
      </w:r>
    </w:p>
  </w:footnote>
  <w:footnote w:id="9">
    <w:p w14:paraId="6B9406AF" w14:textId="676C25DF" w:rsidR="00DA385A" w:rsidRPr="00A96761" w:rsidRDefault="00DA385A" w:rsidP="00455396">
      <w:pPr>
        <w:pStyle w:val="Tekstprzypisudolnego"/>
        <w:spacing w:before="0"/>
        <w:rPr>
          <w:sz w:val="18"/>
          <w:szCs w:val="18"/>
          <w:lang w:val="en-GB"/>
        </w:rPr>
      </w:pPr>
      <w:r w:rsidRPr="002B3CD0">
        <w:rPr>
          <w:rStyle w:val="Odwoanieprzypisudolnego"/>
        </w:rPr>
        <w:footnoteRef/>
      </w:r>
      <w:r w:rsidRPr="002B3CD0">
        <w:rPr>
          <w:lang w:val="en-US"/>
        </w:rPr>
        <w:t xml:space="preserve"> </w:t>
      </w:r>
      <w:r w:rsidRPr="002B3CD0">
        <w:rPr>
          <w:sz w:val="18"/>
          <w:szCs w:val="18"/>
          <w:lang w:val="en-GB"/>
        </w:rPr>
        <w:t>The average duration of job search is the period, counted in months</w:t>
      </w:r>
      <w:r w:rsidRPr="006D2FBB">
        <w:rPr>
          <w:sz w:val="18"/>
          <w:szCs w:val="18"/>
          <w:lang w:val="en-GB"/>
        </w:rPr>
        <w:t xml:space="preserve">, </w:t>
      </w:r>
      <w:r w:rsidRPr="0037669F">
        <w:rPr>
          <w:sz w:val="18"/>
          <w:szCs w:val="18"/>
          <w:lang w:val="en-GB"/>
        </w:rPr>
        <w:t>during which</w:t>
      </w:r>
      <w:r w:rsidRPr="002B3CD0">
        <w:rPr>
          <w:sz w:val="18"/>
          <w:szCs w:val="18"/>
          <w:lang w:val="en-GB"/>
        </w:rPr>
        <w:t xml:space="preserve"> unemployed persons are actively looking for a job (</w:t>
      </w:r>
      <w:r w:rsidRPr="0037684D">
        <w:rPr>
          <w:sz w:val="18"/>
          <w:szCs w:val="18"/>
          <w:lang w:val="en-GB"/>
        </w:rPr>
        <w:t>this includes the last uninterrupted period of job search</w:t>
      </w:r>
      <w:r w:rsidRPr="002B3CD0">
        <w:rPr>
          <w:sz w:val="18"/>
          <w:szCs w:val="18"/>
          <w:lang w:val="en-GB"/>
        </w:rPr>
        <w:t>)</w:t>
      </w:r>
      <w:r>
        <w:rPr>
          <w:sz w:val="18"/>
          <w:szCs w:val="18"/>
          <w:lang w:val="en-GB"/>
        </w:rPr>
        <w:t>.</w:t>
      </w:r>
    </w:p>
  </w:footnote>
  <w:footnote w:id="10">
    <w:p w14:paraId="5DAD0BB6" w14:textId="2D8A4D1C" w:rsidR="00DA385A" w:rsidRPr="00257F5E" w:rsidRDefault="00DA385A" w:rsidP="00A11807">
      <w:pPr>
        <w:pStyle w:val="Tekstprzypisudolnego"/>
        <w:spacing w:before="0"/>
        <w:rPr>
          <w:sz w:val="18"/>
          <w:szCs w:val="18"/>
          <w:lang w:val="en-GB"/>
        </w:rPr>
      </w:pPr>
      <w:r w:rsidRPr="00257F5E">
        <w:rPr>
          <w:rStyle w:val="Odwoanieprzypisudolnego"/>
          <w:sz w:val="18"/>
          <w:szCs w:val="18"/>
        </w:rPr>
        <w:footnoteRef/>
      </w:r>
      <w:r w:rsidRPr="00257F5E">
        <w:rPr>
          <w:sz w:val="18"/>
          <w:szCs w:val="18"/>
          <w:lang w:val="en-GB"/>
        </w:rPr>
        <w:t xml:space="preserve"> Regulation (EU) 2019/1700 of the European Parliament and of the Council of 10 October 2019 establishing a common framework for European statistics relating to persons and households, based on data at individual level collected from samples.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E83E" w14:textId="60E2DF5F" w:rsidR="00DA385A" w:rsidRDefault="00DA385A">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DA385A" w:rsidRDefault="00DA385A">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50" name="Obraz 5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DA385A" w:rsidRPr="003C6C8D" w:rsidRDefault="00DA385A"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1"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DA385A" w:rsidRPr="003C6C8D" w:rsidRDefault="00DA385A"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DA385A" w:rsidRDefault="00DA385A">
    <w:pPr>
      <w:pStyle w:val="Nagwek"/>
      <w:rPr>
        <w:noProof/>
        <w:lang w:eastAsia="pl-PL"/>
      </w:rPr>
    </w:pPr>
  </w:p>
  <w:p w14:paraId="45C1A999" w14:textId="77777777" w:rsidR="00DA385A" w:rsidRDefault="00DA385A">
    <w:pPr>
      <w:pStyle w:val="Nagwek"/>
      <w:rPr>
        <w:noProof/>
        <w:lang w:eastAsia="pl-PL"/>
      </w:rPr>
    </w:pPr>
  </w:p>
  <w:p w14:paraId="3194277A" w14:textId="5E6F66AE" w:rsidR="00DA385A" w:rsidRDefault="00DA385A">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7A530B10">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6.05.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7410DBF4" w:rsidR="00DA385A" w:rsidRPr="00A01B40" w:rsidRDefault="00DA385A" w:rsidP="00F049AB">
                          <w:pPr>
                            <w:pStyle w:val="Datainformacjisygnalnej"/>
                          </w:pPr>
                          <w:r>
                            <w:t>26.05.2026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2" type="#_x0000_t202" alt="Date of publication of the news release 26.05.2026"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" filled="f" stroked="f">
              <v:textbox>
                <w:txbxContent>
                  <w:p w14:paraId="71967FEA" w14:textId="7410DBF4" w:rsidR="00DA385A" w:rsidRPr="00A01B40" w:rsidRDefault="00DA385A" w:rsidP="00F049AB">
                    <w:pPr>
                      <w:pStyle w:val="Datainformacjisygnalnej"/>
                    </w:pPr>
                    <w:r>
                      <w:t>26.05.2026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DA385A" w:rsidRDefault="00DA385A">
    <w:pPr>
      <w:pStyle w:val="Nagwek"/>
    </w:pPr>
  </w:p>
  <w:p w14:paraId="0738E4E9" w14:textId="77777777" w:rsidR="00DA385A" w:rsidRDefault="00DA38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23.35pt;height:124.6pt;visibility:visible;mso-wrap-style:square" o:bullet="t">
        <v:imagedata r:id="rId1" o:title=""/>
      </v:shape>
    </w:pict>
  </w:numPicBullet>
  <w:numPicBullet w:numPicBulletId="1">
    <w:pict>
      <v:shape id="_x0000_i1133" type="#_x0000_t75" style="width:123.95pt;height:124.6pt;visibility:visible;mso-wrap-style:square" o:bullet="t">
        <v:imagedata r:id="rId2" o:title=""/>
      </v:shape>
    </w:pict>
  </w:numPicBullet>
  <w:abstractNum w:abstractNumId="0" w15:restartNumberingAfterBreak="0">
    <w:nsid w:val="07FB69B7"/>
    <w:multiLevelType w:val="hybridMultilevel"/>
    <w:tmpl w:val="A122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4DB968AE"/>
    <w:multiLevelType w:val="hybridMultilevel"/>
    <w:tmpl w:val="40B03494"/>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2B6579"/>
    <w:multiLevelType w:val="hybridMultilevel"/>
    <w:tmpl w:val="A9F8120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6"/>
  </w:num>
  <w:num w:numId="2">
    <w:abstractNumId w:val="2"/>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0A3F"/>
    <w:rsid w:val="00000D3E"/>
    <w:rsid w:val="0000181E"/>
    <w:rsid w:val="00001965"/>
    <w:rsid w:val="00001C5B"/>
    <w:rsid w:val="00001E93"/>
    <w:rsid w:val="00002397"/>
    <w:rsid w:val="000032BD"/>
    <w:rsid w:val="00003437"/>
    <w:rsid w:val="00004776"/>
    <w:rsid w:val="00004894"/>
    <w:rsid w:val="0000495C"/>
    <w:rsid w:val="00004BE2"/>
    <w:rsid w:val="00004C5B"/>
    <w:rsid w:val="00004F8C"/>
    <w:rsid w:val="0000515D"/>
    <w:rsid w:val="00006068"/>
    <w:rsid w:val="000065D7"/>
    <w:rsid w:val="00006A3F"/>
    <w:rsid w:val="0000709F"/>
    <w:rsid w:val="000078DA"/>
    <w:rsid w:val="00007FAF"/>
    <w:rsid w:val="000104D8"/>
    <w:rsid w:val="000108B8"/>
    <w:rsid w:val="0001124D"/>
    <w:rsid w:val="00012093"/>
    <w:rsid w:val="00013DAC"/>
    <w:rsid w:val="00013E95"/>
    <w:rsid w:val="0001490B"/>
    <w:rsid w:val="00014E92"/>
    <w:rsid w:val="000152F5"/>
    <w:rsid w:val="000158B3"/>
    <w:rsid w:val="000167CE"/>
    <w:rsid w:val="00016857"/>
    <w:rsid w:val="00016F68"/>
    <w:rsid w:val="00017193"/>
    <w:rsid w:val="00017251"/>
    <w:rsid w:val="00017805"/>
    <w:rsid w:val="0001798A"/>
    <w:rsid w:val="0002068A"/>
    <w:rsid w:val="00021B90"/>
    <w:rsid w:val="00022659"/>
    <w:rsid w:val="000229A3"/>
    <w:rsid w:val="00023303"/>
    <w:rsid w:val="00023431"/>
    <w:rsid w:val="00023579"/>
    <w:rsid w:val="00023CAE"/>
    <w:rsid w:val="00023E54"/>
    <w:rsid w:val="00024698"/>
    <w:rsid w:val="0002517D"/>
    <w:rsid w:val="00025184"/>
    <w:rsid w:val="00025658"/>
    <w:rsid w:val="000258B7"/>
    <w:rsid w:val="000260C9"/>
    <w:rsid w:val="000267C6"/>
    <w:rsid w:val="000267CC"/>
    <w:rsid w:val="00027A2C"/>
    <w:rsid w:val="00030880"/>
    <w:rsid w:val="00030CDC"/>
    <w:rsid w:val="00030DF0"/>
    <w:rsid w:val="00031C1A"/>
    <w:rsid w:val="000323E5"/>
    <w:rsid w:val="00032609"/>
    <w:rsid w:val="00032B22"/>
    <w:rsid w:val="00032FE8"/>
    <w:rsid w:val="00033496"/>
    <w:rsid w:val="00033516"/>
    <w:rsid w:val="00034611"/>
    <w:rsid w:val="00034C6F"/>
    <w:rsid w:val="00035CB2"/>
    <w:rsid w:val="00035E77"/>
    <w:rsid w:val="00036FA0"/>
    <w:rsid w:val="0003790B"/>
    <w:rsid w:val="00037AB0"/>
    <w:rsid w:val="00040082"/>
    <w:rsid w:val="000412FA"/>
    <w:rsid w:val="00041712"/>
    <w:rsid w:val="00041790"/>
    <w:rsid w:val="0004233E"/>
    <w:rsid w:val="0004299A"/>
    <w:rsid w:val="00044EDF"/>
    <w:rsid w:val="0004535A"/>
    <w:rsid w:val="00045407"/>
    <w:rsid w:val="0004582E"/>
    <w:rsid w:val="000462F6"/>
    <w:rsid w:val="000464E7"/>
    <w:rsid w:val="000465E9"/>
    <w:rsid w:val="00046CB1"/>
    <w:rsid w:val="000470AA"/>
    <w:rsid w:val="000503A8"/>
    <w:rsid w:val="00050520"/>
    <w:rsid w:val="00051045"/>
    <w:rsid w:val="00052373"/>
    <w:rsid w:val="00053170"/>
    <w:rsid w:val="000532E1"/>
    <w:rsid w:val="00053422"/>
    <w:rsid w:val="00053680"/>
    <w:rsid w:val="0005414A"/>
    <w:rsid w:val="0005574B"/>
    <w:rsid w:val="00055B34"/>
    <w:rsid w:val="00055C87"/>
    <w:rsid w:val="00057956"/>
    <w:rsid w:val="00057CA1"/>
    <w:rsid w:val="00057D82"/>
    <w:rsid w:val="00057F85"/>
    <w:rsid w:val="0006020D"/>
    <w:rsid w:val="00060570"/>
    <w:rsid w:val="00061467"/>
    <w:rsid w:val="00062101"/>
    <w:rsid w:val="000621B5"/>
    <w:rsid w:val="000631E2"/>
    <w:rsid w:val="00063681"/>
    <w:rsid w:val="00063C24"/>
    <w:rsid w:val="000647A9"/>
    <w:rsid w:val="00064819"/>
    <w:rsid w:val="00064E4D"/>
    <w:rsid w:val="000652DC"/>
    <w:rsid w:val="000659DD"/>
    <w:rsid w:val="000659E0"/>
    <w:rsid w:val="00065B68"/>
    <w:rsid w:val="00065DA2"/>
    <w:rsid w:val="000662E2"/>
    <w:rsid w:val="00066824"/>
    <w:rsid w:val="00066883"/>
    <w:rsid w:val="000674AE"/>
    <w:rsid w:val="00067C48"/>
    <w:rsid w:val="00070561"/>
    <w:rsid w:val="00070840"/>
    <w:rsid w:val="00070A1D"/>
    <w:rsid w:val="00070E64"/>
    <w:rsid w:val="00071B39"/>
    <w:rsid w:val="00071BBC"/>
    <w:rsid w:val="0007291A"/>
    <w:rsid w:val="00072989"/>
    <w:rsid w:val="00072AD5"/>
    <w:rsid w:val="00073349"/>
    <w:rsid w:val="00074116"/>
    <w:rsid w:val="00074DD8"/>
    <w:rsid w:val="00074FE9"/>
    <w:rsid w:val="0007503C"/>
    <w:rsid w:val="00075759"/>
    <w:rsid w:val="00075D97"/>
    <w:rsid w:val="0007697B"/>
    <w:rsid w:val="00076EFD"/>
    <w:rsid w:val="00076F16"/>
    <w:rsid w:val="00077101"/>
    <w:rsid w:val="00077C47"/>
    <w:rsid w:val="000800A0"/>
    <w:rsid w:val="000806F7"/>
    <w:rsid w:val="000809B6"/>
    <w:rsid w:val="00081982"/>
    <w:rsid w:val="00082653"/>
    <w:rsid w:val="000829F1"/>
    <w:rsid w:val="00083C4F"/>
    <w:rsid w:val="00083EB5"/>
    <w:rsid w:val="0008404C"/>
    <w:rsid w:val="00084385"/>
    <w:rsid w:val="00084B97"/>
    <w:rsid w:val="000858EC"/>
    <w:rsid w:val="00086071"/>
    <w:rsid w:val="00087BB1"/>
    <w:rsid w:val="0009015B"/>
    <w:rsid w:val="000902B3"/>
    <w:rsid w:val="00090630"/>
    <w:rsid w:val="00090C9A"/>
    <w:rsid w:val="00092494"/>
    <w:rsid w:val="00093281"/>
    <w:rsid w:val="000938C1"/>
    <w:rsid w:val="00093F65"/>
    <w:rsid w:val="00094417"/>
    <w:rsid w:val="00094C61"/>
    <w:rsid w:val="00096945"/>
    <w:rsid w:val="00096CDE"/>
    <w:rsid w:val="00097840"/>
    <w:rsid w:val="00097982"/>
    <w:rsid w:val="00097E6A"/>
    <w:rsid w:val="00097E6F"/>
    <w:rsid w:val="000A0F3B"/>
    <w:rsid w:val="000A1231"/>
    <w:rsid w:val="000A1544"/>
    <w:rsid w:val="000A27DF"/>
    <w:rsid w:val="000A36DE"/>
    <w:rsid w:val="000A3EB6"/>
    <w:rsid w:val="000A621A"/>
    <w:rsid w:val="000A776C"/>
    <w:rsid w:val="000A7BFC"/>
    <w:rsid w:val="000B0727"/>
    <w:rsid w:val="000B09C9"/>
    <w:rsid w:val="000B0A13"/>
    <w:rsid w:val="000B0A27"/>
    <w:rsid w:val="000B17E3"/>
    <w:rsid w:val="000B1BD8"/>
    <w:rsid w:val="000B1CAF"/>
    <w:rsid w:val="000B3003"/>
    <w:rsid w:val="000B32FA"/>
    <w:rsid w:val="000B3999"/>
    <w:rsid w:val="000B3F43"/>
    <w:rsid w:val="000B52F8"/>
    <w:rsid w:val="000B5618"/>
    <w:rsid w:val="000B5779"/>
    <w:rsid w:val="000B5FF8"/>
    <w:rsid w:val="000C03DB"/>
    <w:rsid w:val="000C03EE"/>
    <w:rsid w:val="000C049C"/>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8A7"/>
    <w:rsid w:val="000C7CB2"/>
    <w:rsid w:val="000C7E94"/>
    <w:rsid w:val="000D0A10"/>
    <w:rsid w:val="000D1AF6"/>
    <w:rsid w:val="000D1B3A"/>
    <w:rsid w:val="000D1BA6"/>
    <w:rsid w:val="000D1D43"/>
    <w:rsid w:val="000D1DE0"/>
    <w:rsid w:val="000D225C"/>
    <w:rsid w:val="000D2A5C"/>
    <w:rsid w:val="000D2DE5"/>
    <w:rsid w:val="000D2E67"/>
    <w:rsid w:val="000D334B"/>
    <w:rsid w:val="000D39F0"/>
    <w:rsid w:val="000D3D80"/>
    <w:rsid w:val="000D4326"/>
    <w:rsid w:val="000D509A"/>
    <w:rsid w:val="000D536B"/>
    <w:rsid w:val="000D59EC"/>
    <w:rsid w:val="000D62E8"/>
    <w:rsid w:val="000D6FB6"/>
    <w:rsid w:val="000D72E5"/>
    <w:rsid w:val="000D7B46"/>
    <w:rsid w:val="000E0437"/>
    <w:rsid w:val="000E06E3"/>
    <w:rsid w:val="000E0918"/>
    <w:rsid w:val="000E2ECC"/>
    <w:rsid w:val="000E3A80"/>
    <w:rsid w:val="000E474F"/>
    <w:rsid w:val="000E55C1"/>
    <w:rsid w:val="000E5E31"/>
    <w:rsid w:val="000E6C0F"/>
    <w:rsid w:val="000E7176"/>
    <w:rsid w:val="000E734C"/>
    <w:rsid w:val="000E79A9"/>
    <w:rsid w:val="000E7E60"/>
    <w:rsid w:val="000F035E"/>
    <w:rsid w:val="000F0C54"/>
    <w:rsid w:val="000F12C1"/>
    <w:rsid w:val="000F1FDB"/>
    <w:rsid w:val="000F31FF"/>
    <w:rsid w:val="000F4223"/>
    <w:rsid w:val="000F42AF"/>
    <w:rsid w:val="000F4605"/>
    <w:rsid w:val="000F53AF"/>
    <w:rsid w:val="000F55DD"/>
    <w:rsid w:val="000F596A"/>
    <w:rsid w:val="000F607C"/>
    <w:rsid w:val="000F68E9"/>
    <w:rsid w:val="000F745A"/>
    <w:rsid w:val="000F7A50"/>
    <w:rsid w:val="00100DAE"/>
    <w:rsid w:val="00100F56"/>
    <w:rsid w:val="001011C3"/>
    <w:rsid w:val="001016B0"/>
    <w:rsid w:val="001017D1"/>
    <w:rsid w:val="0010294C"/>
    <w:rsid w:val="00103584"/>
    <w:rsid w:val="00103FFF"/>
    <w:rsid w:val="00104006"/>
    <w:rsid w:val="0010458A"/>
    <w:rsid w:val="0010480C"/>
    <w:rsid w:val="00104C92"/>
    <w:rsid w:val="001050C0"/>
    <w:rsid w:val="00106669"/>
    <w:rsid w:val="00106DA3"/>
    <w:rsid w:val="00107F62"/>
    <w:rsid w:val="00107F8B"/>
    <w:rsid w:val="00110214"/>
    <w:rsid w:val="001102E8"/>
    <w:rsid w:val="0011075A"/>
    <w:rsid w:val="001109E3"/>
    <w:rsid w:val="00110C32"/>
    <w:rsid w:val="00110D87"/>
    <w:rsid w:val="00110ECE"/>
    <w:rsid w:val="00111983"/>
    <w:rsid w:val="00111993"/>
    <w:rsid w:val="00112384"/>
    <w:rsid w:val="00112399"/>
    <w:rsid w:val="001126EA"/>
    <w:rsid w:val="00112AA2"/>
    <w:rsid w:val="00113063"/>
    <w:rsid w:val="00113212"/>
    <w:rsid w:val="00114DB9"/>
    <w:rsid w:val="00116087"/>
    <w:rsid w:val="001160EF"/>
    <w:rsid w:val="0011616C"/>
    <w:rsid w:val="001165A1"/>
    <w:rsid w:val="00116BC3"/>
    <w:rsid w:val="00117711"/>
    <w:rsid w:val="00117CD0"/>
    <w:rsid w:val="00120493"/>
    <w:rsid w:val="001207D6"/>
    <w:rsid w:val="00122564"/>
    <w:rsid w:val="00122FF4"/>
    <w:rsid w:val="0012351A"/>
    <w:rsid w:val="00123B77"/>
    <w:rsid w:val="00123D4D"/>
    <w:rsid w:val="00125871"/>
    <w:rsid w:val="00125DFA"/>
    <w:rsid w:val="00126050"/>
    <w:rsid w:val="00126349"/>
    <w:rsid w:val="00126894"/>
    <w:rsid w:val="00126940"/>
    <w:rsid w:val="00126E49"/>
    <w:rsid w:val="00126F6C"/>
    <w:rsid w:val="00130296"/>
    <w:rsid w:val="00131C25"/>
    <w:rsid w:val="00131D4E"/>
    <w:rsid w:val="00132541"/>
    <w:rsid w:val="00132BB5"/>
    <w:rsid w:val="00134145"/>
    <w:rsid w:val="00134E62"/>
    <w:rsid w:val="00136736"/>
    <w:rsid w:val="00136740"/>
    <w:rsid w:val="00136D67"/>
    <w:rsid w:val="00140112"/>
    <w:rsid w:val="00140391"/>
    <w:rsid w:val="001407B4"/>
    <w:rsid w:val="00140D81"/>
    <w:rsid w:val="0014100F"/>
    <w:rsid w:val="001411D3"/>
    <w:rsid w:val="001414C0"/>
    <w:rsid w:val="00141E2F"/>
    <w:rsid w:val="001423B6"/>
    <w:rsid w:val="00143B7F"/>
    <w:rsid w:val="00143E7D"/>
    <w:rsid w:val="001448A7"/>
    <w:rsid w:val="0014599A"/>
    <w:rsid w:val="00146621"/>
    <w:rsid w:val="00146E6F"/>
    <w:rsid w:val="0014783E"/>
    <w:rsid w:val="00147A33"/>
    <w:rsid w:val="0015050A"/>
    <w:rsid w:val="001526A6"/>
    <w:rsid w:val="001526C4"/>
    <w:rsid w:val="00152745"/>
    <w:rsid w:val="00155865"/>
    <w:rsid w:val="00155D44"/>
    <w:rsid w:val="00156C3D"/>
    <w:rsid w:val="001571BA"/>
    <w:rsid w:val="001608A5"/>
    <w:rsid w:val="001617E3"/>
    <w:rsid w:val="00162325"/>
    <w:rsid w:val="001638AE"/>
    <w:rsid w:val="00163CE7"/>
    <w:rsid w:val="00164390"/>
    <w:rsid w:val="00164F5C"/>
    <w:rsid w:val="00165411"/>
    <w:rsid w:val="0016647A"/>
    <w:rsid w:val="00166AC4"/>
    <w:rsid w:val="00167729"/>
    <w:rsid w:val="001701E2"/>
    <w:rsid w:val="00170502"/>
    <w:rsid w:val="00171A4B"/>
    <w:rsid w:val="00171F3C"/>
    <w:rsid w:val="00172BD2"/>
    <w:rsid w:val="00172FB9"/>
    <w:rsid w:val="0017326D"/>
    <w:rsid w:val="0017327E"/>
    <w:rsid w:val="0017555F"/>
    <w:rsid w:val="0017746C"/>
    <w:rsid w:val="00180B50"/>
    <w:rsid w:val="00181141"/>
    <w:rsid w:val="00181858"/>
    <w:rsid w:val="00181CA6"/>
    <w:rsid w:val="00182A19"/>
    <w:rsid w:val="00183CA5"/>
    <w:rsid w:val="00183EC6"/>
    <w:rsid w:val="0018446D"/>
    <w:rsid w:val="00184865"/>
    <w:rsid w:val="00184B71"/>
    <w:rsid w:val="00184DC4"/>
    <w:rsid w:val="00185B1A"/>
    <w:rsid w:val="001863F6"/>
    <w:rsid w:val="001864AA"/>
    <w:rsid w:val="001864B4"/>
    <w:rsid w:val="001874DA"/>
    <w:rsid w:val="00187721"/>
    <w:rsid w:val="00187797"/>
    <w:rsid w:val="0018797A"/>
    <w:rsid w:val="00190966"/>
    <w:rsid w:val="00190A0F"/>
    <w:rsid w:val="001919E6"/>
    <w:rsid w:val="0019240B"/>
    <w:rsid w:val="00192808"/>
    <w:rsid w:val="00192CDC"/>
    <w:rsid w:val="00194113"/>
    <w:rsid w:val="00194121"/>
    <w:rsid w:val="00194174"/>
    <w:rsid w:val="001944AD"/>
    <w:rsid w:val="001949EA"/>
    <w:rsid w:val="00194FC2"/>
    <w:rsid w:val="001951DA"/>
    <w:rsid w:val="001957F5"/>
    <w:rsid w:val="00195AAA"/>
    <w:rsid w:val="00195CB6"/>
    <w:rsid w:val="001979FB"/>
    <w:rsid w:val="001A00B1"/>
    <w:rsid w:val="001A022E"/>
    <w:rsid w:val="001A0630"/>
    <w:rsid w:val="001A124D"/>
    <w:rsid w:val="001A21D6"/>
    <w:rsid w:val="001A24B3"/>
    <w:rsid w:val="001A2E5C"/>
    <w:rsid w:val="001A2EB3"/>
    <w:rsid w:val="001A3091"/>
    <w:rsid w:val="001A320F"/>
    <w:rsid w:val="001A35C7"/>
    <w:rsid w:val="001A4630"/>
    <w:rsid w:val="001A4829"/>
    <w:rsid w:val="001A4C32"/>
    <w:rsid w:val="001A55BF"/>
    <w:rsid w:val="001A5948"/>
    <w:rsid w:val="001A61FB"/>
    <w:rsid w:val="001A64C2"/>
    <w:rsid w:val="001A6518"/>
    <w:rsid w:val="001A6856"/>
    <w:rsid w:val="001A77F8"/>
    <w:rsid w:val="001A7E4A"/>
    <w:rsid w:val="001B0292"/>
    <w:rsid w:val="001B053D"/>
    <w:rsid w:val="001B1A05"/>
    <w:rsid w:val="001B1ACF"/>
    <w:rsid w:val="001B1F02"/>
    <w:rsid w:val="001B2856"/>
    <w:rsid w:val="001B2909"/>
    <w:rsid w:val="001B3166"/>
    <w:rsid w:val="001B3EC0"/>
    <w:rsid w:val="001B4257"/>
    <w:rsid w:val="001B53EB"/>
    <w:rsid w:val="001B5DF7"/>
    <w:rsid w:val="001B6465"/>
    <w:rsid w:val="001B654F"/>
    <w:rsid w:val="001B743A"/>
    <w:rsid w:val="001B766A"/>
    <w:rsid w:val="001B7CF5"/>
    <w:rsid w:val="001C050A"/>
    <w:rsid w:val="001C0C17"/>
    <w:rsid w:val="001C22D1"/>
    <w:rsid w:val="001C2368"/>
    <w:rsid w:val="001C28FB"/>
    <w:rsid w:val="001C3269"/>
    <w:rsid w:val="001C3816"/>
    <w:rsid w:val="001C4051"/>
    <w:rsid w:val="001C4F5B"/>
    <w:rsid w:val="001C5383"/>
    <w:rsid w:val="001C58DA"/>
    <w:rsid w:val="001C6FB6"/>
    <w:rsid w:val="001C7CCC"/>
    <w:rsid w:val="001D135E"/>
    <w:rsid w:val="001D19B6"/>
    <w:rsid w:val="001D1DB4"/>
    <w:rsid w:val="001D2183"/>
    <w:rsid w:val="001D2257"/>
    <w:rsid w:val="001D23F1"/>
    <w:rsid w:val="001D25F9"/>
    <w:rsid w:val="001D326C"/>
    <w:rsid w:val="001D3544"/>
    <w:rsid w:val="001D473B"/>
    <w:rsid w:val="001D4C11"/>
    <w:rsid w:val="001D60AD"/>
    <w:rsid w:val="001D61ED"/>
    <w:rsid w:val="001D6A77"/>
    <w:rsid w:val="001D7CB7"/>
    <w:rsid w:val="001E08D0"/>
    <w:rsid w:val="001E1B9E"/>
    <w:rsid w:val="001E2022"/>
    <w:rsid w:val="001E28EE"/>
    <w:rsid w:val="001E2D57"/>
    <w:rsid w:val="001E371D"/>
    <w:rsid w:val="001E3FBA"/>
    <w:rsid w:val="001E5B2D"/>
    <w:rsid w:val="001E5B54"/>
    <w:rsid w:val="001E6883"/>
    <w:rsid w:val="001E6E6B"/>
    <w:rsid w:val="001E7180"/>
    <w:rsid w:val="001F05E6"/>
    <w:rsid w:val="001F40F4"/>
    <w:rsid w:val="001F4146"/>
    <w:rsid w:val="001F486A"/>
    <w:rsid w:val="001F5BA8"/>
    <w:rsid w:val="001F5DAD"/>
    <w:rsid w:val="001F6E28"/>
    <w:rsid w:val="001F72AF"/>
    <w:rsid w:val="001F7C91"/>
    <w:rsid w:val="0020156C"/>
    <w:rsid w:val="00201599"/>
    <w:rsid w:val="00201F99"/>
    <w:rsid w:val="0020288C"/>
    <w:rsid w:val="00203C1E"/>
    <w:rsid w:val="00203DF6"/>
    <w:rsid w:val="00203E1E"/>
    <w:rsid w:val="00203FA4"/>
    <w:rsid w:val="0020455E"/>
    <w:rsid w:val="00205B7B"/>
    <w:rsid w:val="00206962"/>
    <w:rsid w:val="002069DA"/>
    <w:rsid w:val="00207086"/>
    <w:rsid w:val="002113FD"/>
    <w:rsid w:val="00211AD7"/>
    <w:rsid w:val="00212CF4"/>
    <w:rsid w:val="00212F43"/>
    <w:rsid w:val="00214C1A"/>
    <w:rsid w:val="002150CE"/>
    <w:rsid w:val="00215412"/>
    <w:rsid w:val="002154E6"/>
    <w:rsid w:val="00215CC8"/>
    <w:rsid w:val="00216003"/>
    <w:rsid w:val="00216634"/>
    <w:rsid w:val="00216947"/>
    <w:rsid w:val="00216CE6"/>
    <w:rsid w:val="00216DE2"/>
    <w:rsid w:val="002176D0"/>
    <w:rsid w:val="002179FA"/>
    <w:rsid w:val="002202EB"/>
    <w:rsid w:val="002207E2"/>
    <w:rsid w:val="002208FE"/>
    <w:rsid w:val="002210E7"/>
    <w:rsid w:val="002219E6"/>
    <w:rsid w:val="00222549"/>
    <w:rsid w:val="0022293C"/>
    <w:rsid w:val="00222B93"/>
    <w:rsid w:val="00222D01"/>
    <w:rsid w:val="00222EC3"/>
    <w:rsid w:val="00225852"/>
    <w:rsid w:val="002265BB"/>
    <w:rsid w:val="0022671C"/>
    <w:rsid w:val="00226F08"/>
    <w:rsid w:val="00230645"/>
    <w:rsid w:val="00231101"/>
    <w:rsid w:val="00231242"/>
    <w:rsid w:val="00231942"/>
    <w:rsid w:val="00231C5A"/>
    <w:rsid w:val="002328D0"/>
    <w:rsid w:val="0023393F"/>
    <w:rsid w:val="00233965"/>
    <w:rsid w:val="00233E05"/>
    <w:rsid w:val="00234896"/>
    <w:rsid w:val="00234B86"/>
    <w:rsid w:val="002355C2"/>
    <w:rsid w:val="0023563A"/>
    <w:rsid w:val="0023594D"/>
    <w:rsid w:val="002368BC"/>
    <w:rsid w:val="00237392"/>
    <w:rsid w:val="0023777B"/>
    <w:rsid w:val="00237D76"/>
    <w:rsid w:val="0024038D"/>
    <w:rsid w:val="002409E6"/>
    <w:rsid w:val="00241718"/>
    <w:rsid w:val="002418F9"/>
    <w:rsid w:val="0024276A"/>
    <w:rsid w:val="00242D31"/>
    <w:rsid w:val="002453E9"/>
    <w:rsid w:val="00245440"/>
    <w:rsid w:val="00246EEB"/>
    <w:rsid w:val="00246F2F"/>
    <w:rsid w:val="00247114"/>
    <w:rsid w:val="00247467"/>
    <w:rsid w:val="002476EE"/>
    <w:rsid w:val="00247A50"/>
    <w:rsid w:val="00247AB1"/>
    <w:rsid w:val="00250A0C"/>
    <w:rsid w:val="00250B06"/>
    <w:rsid w:val="00250C8A"/>
    <w:rsid w:val="00251C51"/>
    <w:rsid w:val="0025219B"/>
    <w:rsid w:val="0025437C"/>
    <w:rsid w:val="0025481E"/>
    <w:rsid w:val="00254A19"/>
    <w:rsid w:val="00255090"/>
    <w:rsid w:val="002562C7"/>
    <w:rsid w:val="0025691C"/>
    <w:rsid w:val="00257043"/>
    <w:rsid w:val="002570A2"/>
    <w:rsid w:val="002574F9"/>
    <w:rsid w:val="00257F5E"/>
    <w:rsid w:val="00260227"/>
    <w:rsid w:val="00260271"/>
    <w:rsid w:val="00260A41"/>
    <w:rsid w:val="00262B61"/>
    <w:rsid w:val="00262CC6"/>
    <w:rsid w:val="00262DF1"/>
    <w:rsid w:val="00263E08"/>
    <w:rsid w:val="00265598"/>
    <w:rsid w:val="002660C8"/>
    <w:rsid w:val="002664E0"/>
    <w:rsid w:val="0026656D"/>
    <w:rsid w:val="00266AE2"/>
    <w:rsid w:val="00266C1C"/>
    <w:rsid w:val="00266D62"/>
    <w:rsid w:val="00266FBC"/>
    <w:rsid w:val="002670E8"/>
    <w:rsid w:val="00267458"/>
    <w:rsid w:val="00267A29"/>
    <w:rsid w:val="00267F3B"/>
    <w:rsid w:val="00270173"/>
    <w:rsid w:val="00270A00"/>
    <w:rsid w:val="00271094"/>
    <w:rsid w:val="00271B2F"/>
    <w:rsid w:val="002731FE"/>
    <w:rsid w:val="00273482"/>
    <w:rsid w:val="0027362D"/>
    <w:rsid w:val="0027367C"/>
    <w:rsid w:val="00273B4C"/>
    <w:rsid w:val="00273EE9"/>
    <w:rsid w:val="0027500A"/>
    <w:rsid w:val="002754C5"/>
    <w:rsid w:val="00275522"/>
    <w:rsid w:val="00275DB0"/>
    <w:rsid w:val="00275EBB"/>
    <w:rsid w:val="00276506"/>
    <w:rsid w:val="002765BD"/>
    <w:rsid w:val="00276811"/>
    <w:rsid w:val="0027700B"/>
    <w:rsid w:val="00277994"/>
    <w:rsid w:val="00280129"/>
    <w:rsid w:val="00280CF0"/>
    <w:rsid w:val="002817B6"/>
    <w:rsid w:val="00282699"/>
    <w:rsid w:val="00283C00"/>
    <w:rsid w:val="002843F6"/>
    <w:rsid w:val="002847A4"/>
    <w:rsid w:val="002848AC"/>
    <w:rsid w:val="00284C08"/>
    <w:rsid w:val="002862D4"/>
    <w:rsid w:val="002865B3"/>
    <w:rsid w:val="00286A28"/>
    <w:rsid w:val="00286FE9"/>
    <w:rsid w:val="0028724E"/>
    <w:rsid w:val="00287D77"/>
    <w:rsid w:val="0029193A"/>
    <w:rsid w:val="002919DE"/>
    <w:rsid w:val="00291E5A"/>
    <w:rsid w:val="002926DF"/>
    <w:rsid w:val="00292809"/>
    <w:rsid w:val="0029299B"/>
    <w:rsid w:val="00292E9A"/>
    <w:rsid w:val="00293B28"/>
    <w:rsid w:val="002943CD"/>
    <w:rsid w:val="00294C04"/>
    <w:rsid w:val="002951B0"/>
    <w:rsid w:val="002955FA"/>
    <w:rsid w:val="002958A9"/>
    <w:rsid w:val="002961A7"/>
    <w:rsid w:val="00296697"/>
    <w:rsid w:val="00296931"/>
    <w:rsid w:val="00296D0D"/>
    <w:rsid w:val="0029770B"/>
    <w:rsid w:val="00297FB1"/>
    <w:rsid w:val="002A27E3"/>
    <w:rsid w:val="002A2A08"/>
    <w:rsid w:val="002A306C"/>
    <w:rsid w:val="002A3141"/>
    <w:rsid w:val="002A34F3"/>
    <w:rsid w:val="002A3EB0"/>
    <w:rsid w:val="002A4512"/>
    <w:rsid w:val="002A50B6"/>
    <w:rsid w:val="002A577C"/>
    <w:rsid w:val="002A5E8A"/>
    <w:rsid w:val="002A7732"/>
    <w:rsid w:val="002B0472"/>
    <w:rsid w:val="002B0750"/>
    <w:rsid w:val="002B2503"/>
    <w:rsid w:val="002B2C07"/>
    <w:rsid w:val="002B2E0D"/>
    <w:rsid w:val="002B2EEE"/>
    <w:rsid w:val="002B3486"/>
    <w:rsid w:val="002B35A3"/>
    <w:rsid w:val="002B3786"/>
    <w:rsid w:val="002B3C68"/>
    <w:rsid w:val="002B3CD0"/>
    <w:rsid w:val="002B4D65"/>
    <w:rsid w:val="002B4F49"/>
    <w:rsid w:val="002B597A"/>
    <w:rsid w:val="002B5C84"/>
    <w:rsid w:val="002B616B"/>
    <w:rsid w:val="002B6B12"/>
    <w:rsid w:val="002B6F80"/>
    <w:rsid w:val="002B770B"/>
    <w:rsid w:val="002C0605"/>
    <w:rsid w:val="002C0895"/>
    <w:rsid w:val="002C0F59"/>
    <w:rsid w:val="002C21F0"/>
    <w:rsid w:val="002C245C"/>
    <w:rsid w:val="002C3B22"/>
    <w:rsid w:val="002C3DBE"/>
    <w:rsid w:val="002C4057"/>
    <w:rsid w:val="002C447F"/>
    <w:rsid w:val="002C46BA"/>
    <w:rsid w:val="002C55C4"/>
    <w:rsid w:val="002C58DE"/>
    <w:rsid w:val="002C5D28"/>
    <w:rsid w:val="002C6DB4"/>
    <w:rsid w:val="002C7522"/>
    <w:rsid w:val="002C7AD1"/>
    <w:rsid w:val="002D00FC"/>
    <w:rsid w:val="002D01DF"/>
    <w:rsid w:val="002D0FC5"/>
    <w:rsid w:val="002D13FE"/>
    <w:rsid w:val="002D15CF"/>
    <w:rsid w:val="002D1A0C"/>
    <w:rsid w:val="002D25E9"/>
    <w:rsid w:val="002D2AF3"/>
    <w:rsid w:val="002D3074"/>
    <w:rsid w:val="002D325C"/>
    <w:rsid w:val="002D32E7"/>
    <w:rsid w:val="002D52A5"/>
    <w:rsid w:val="002D693E"/>
    <w:rsid w:val="002D6E9A"/>
    <w:rsid w:val="002D724E"/>
    <w:rsid w:val="002D7A58"/>
    <w:rsid w:val="002D7BE9"/>
    <w:rsid w:val="002E0AEB"/>
    <w:rsid w:val="002E18DB"/>
    <w:rsid w:val="002E1ECC"/>
    <w:rsid w:val="002E2213"/>
    <w:rsid w:val="002E2379"/>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69E1"/>
    <w:rsid w:val="002E71B6"/>
    <w:rsid w:val="002E7FCF"/>
    <w:rsid w:val="002F00A8"/>
    <w:rsid w:val="002F07E8"/>
    <w:rsid w:val="002F082A"/>
    <w:rsid w:val="002F0BE3"/>
    <w:rsid w:val="002F1B2B"/>
    <w:rsid w:val="002F1BA6"/>
    <w:rsid w:val="002F1E77"/>
    <w:rsid w:val="002F2414"/>
    <w:rsid w:val="002F2577"/>
    <w:rsid w:val="002F2BC9"/>
    <w:rsid w:val="002F35F6"/>
    <w:rsid w:val="002F3F07"/>
    <w:rsid w:val="002F54C6"/>
    <w:rsid w:val="002F56D4"/>
    <w:rsid w:val="002F736B"/>
    <w:rsid w:val="002F77C8"/>
    <w:rsid w:val="002F77EB"/>
    <w:rsid w:val="002F78B3"/>
    <w:rsid w:val="002F7C0D"/>
    <w:rsid w:val="002F7EC0"/>
    <w:rsid w:val="00300F84"/>
    <w:rsid w:val="003013FA"/>
    <w:rsid w:val="00302114"/>
    <w:rsid w:val="00302611"/>
    <w:rsid w:val="00302F8F"/>
    <w:rsid w:val="003037FF"/>
    <w:rsid w:val="0030473E"/>
    <w:rsid w:val="00304F22"/>
    <w:rsid w:val="00305489"/>
    <w:rsid w:val="003055C0"/>
    <w:rsid w:val="00305863"/>
    <w:rsid w:val="003068E1"/>
    <w:rsid w:val="00306C7C"/>
    <w:rsid w:val="00306CB3"/>
    <w:rsid w:val="00307584"/>
    <w:rsid w:val="00307ED4"/>
    <w:rsid w:val="00310178"/>
    <w:rsid w:val="00311CC6"/>
    <w:rsid w:val="00311FBF"/>
    <w:rsid w:val="00312267"/>
    <w:rsid w:val="00312549"/>
    <w:rsid w:val="003125EB"/>
    <w:rsid w:val="00312B98"/>
    <w:rsid w:val="003136EE"/>
    <w:rsid w:val="003140C2"/>
    <w:rsid w:val="0031456B"/>
    <w:rsid w:val="00314CC7"/>
    <w:rsid w:val="00314F86"/>
    <w:rsid w:val="0031500F"/>
    <w:rsid w:val="003150A2"/>
    <w:rsid w:val="00315B02"/>
    <w:rsid w:val="00315D76"/>
    <w:rsid w:val="00316ABE"/>
    <w:rsid w:val="00317D96"/>
    <w:rsid w:val="00317F4D"/>
    <w:rsid w:val="00320075"/>
    <w:rsid w:val="0032025A"/>
    <w:rsid w:val="00320A4B"/>
    <w:rsid w:val="0032154A"/>
    <w:rsid w:val="00321B08"/>
    <w:rsid w:val="00321CA2"/>
    <w:rsid w:val="00322338"/>
    <w:rsid w:val="0032284E"/>
    <w:rsid w:val="00322CF7"/>
    <w:rsid w:val="00322EDD"/>
    <w:rsid w:val="003234F9"/>
    <w:rsid w:val="00323D32"/>
    <w:rsid w:val="003241E7"/>
    <w:rsid w:val="00324BB0"/>
    <w:rsid w:val="00325C13"/>
    <w:rsid w:val="00325D34"/>
    <w:rsid w:val="00326CEA"/>
    <w:rsid w:val="00327482"/>
    <w:rsid w:val="003309FA"/>
    <w:rsid w:val="00331604"/>
    <w:rsid w:val="00331DB3"/>
    <w:rsid w:val="003320B6"/>
    <w:rsid w:val="00332320"/>
    <w:rsid w:val="00332A26"/>
    <w:rsid w:val="0033396F"/>
    <w:rsid w:val="00334379"/>
    <w:rsid w:val="003358F1"/>
    <w:rsid w:val="00335F39"/>
    <w:rsid w:val="00336AED"/>
    <w:rsid w:val="00337A60"/>
    <w:rsid w:val="00340E53"/>
    <w:rsid w:val="00340E76"/>
    <w:rsid w:val="003418B2"/>
    <w:rsid w:val="00342483"/>
    <w:rsid w:val="00342ECD"/>
    <w:rsid w:val="00344A05"/>
    <w:rsid w:val="00344BD6"/>
    <w:rsid w:val="00345463"/>
    <w:rsid w:val="003464AC"/>
    <w:rsid w:val="00346FD7"/>
    <w:rsid w:val="00347D47"/>
    <w:rsid w:val="00347D72"/>
    <w:rsid w:val="0035004B"/>
    <w:rsid w:val="00350184"/>
    <w:rsid w:val="00350207"/>
    <w:rsid w:val="003510CE"/>
    <w:rsid w:val="003518EA"/>
    <w:rsid w:val="00351E63"/>
    <w:rsid w:val="00352C29"/>
    <w:rsid w:val="00352CA8"/>
    <w:rsid w:val="00353F45"/>
    <w:rsid w:val="00354532"/>
    <w:rsid w:val="00355AB4"/>
    <w:rsid w:val="00356952"/>
    <w:rsid w:val="00356A0E"/>
    <w:rsid w:val="00357109"/>
    <w:rsid w:val="0035759B"/>
    <w:rsid w:val="00357611"/>
    <w:rsid w:val="00360371"/>
    <w:rsid w:val="00360B1D"/>
    <w:rsid w:val="0036126A"/>
    <w:rsid w:val="003615A9"/>
    <w:rsid w:val="00362289"/>
    <w:rsid w:val="00363B23"/>
    <w:rsid w:val="0036432A"/>
    <w:rsid w:val="00364AF9"/>
    <w:rsid w:val="00364D77"/>
    <w:rsid w:val="00365AE9"/>
    <w:rsid w:val="0036721F"/>
    <w:rsid w:val="00367237"/>
    <w:rsid w:val="00367642"/>
    <w:rsid w:val="00367D86"/>
    <w:rsid w:val="00367DDB"/>
    <w:rsid w:val="0037077F"/>
    <w:rsid w:val="003713B7"/>
    <w:rsid w:val="003714FA"/>
    <w:rsid w:val="0037166C"/>
    <w:rsid w:val="00372411"/>
    <w:rsid w:val="00372A94"/>
    <w:rsid w:val="00372ACA"/>
    <w:rsid w:val="003735F2"/>
    <w:rsid w:val="00373882"/>
    <w:rsid w:val="00373E99"/>
    <w:rsid w:val="00375021"/>
    <w:rsid w:val="00375BBB"/>
    <w:rsid w:val="00376261"/>
    <w:rsid w:val="0037669F"/>
    <w:rsid w:val="0037684D"/>
    <w:rsid w:val="00377BCF"/>
    <w:rsid w:val="003801E4"/>
    <w:rsid w:val="003810EF"/>
    <w:rsid w:val="003822A4"/>
    <w:rsid w:val="00382BDA"/>
    <w:rsid w:val="003843DB"/>
    <w:rsid w:val="00385A31"/>
    <w:rsid w:val="00385B10"/>
    <w:rsid w:val="00386849"/>
    <w:rsid w:val="00386996"/>
    <w:rsid w:val="003869BD"/>
    <w:rsid w:val="00387C21"/>
    <w:rsid w:val="00387C8D"/>
    <w:rsid w:val="00390406"/>
    <w:rsid w:val="0039100F"/>
    <w:rsid w:val="00391694"/>
    <w:rsid w:val="00391A6E"/>
    <w:rsid w:val="00391B79"/>
    <w:rsid w:val="00391EA1"/>
    <w:rsid w:val="00392467"/>
    <w:rsid w:val="00392DBC"/>
    <w:rsid w:val="0039357D"/>
    <w:rsid w:val="00393761"/>
    <w:rsid w:val="0039405A"/>
    <w:rsid w:val="00394E26"/>
    <w:rsid w:val="00394E5E"/>
    <w:rsid w:val="00396082"/>
    <w:rsid w:val="00396691"/>
    <w:rsid w:val="00396B5B"/>
    <w:rsid w:val="00396DBB"/>
    <w:rsid w:val="00397896"/>
    <w:rsid w:val="00397D18"/>
    <w:rsid w:val="003A00C0"/>
    <w:rsid w:val="003A0600"/>
    <w:rsid w:val="003A10ED"/>
    <w:rsid w:val="003A1745"/>
    <w:rsid w:val="003A17D8"/>
    <w:rsid w:val="003A1A3A"/>
    <w:rsid w:val="003A1B36"/>
    <w:rsid w:val="003A1C49"/>
    <w:rsid w:val="003A220C"/>
    <w:rsid w:val="003A288E"/>
    <w:rsid w:val="003A3BF7"/>
    <w:rsid w:val="003A3E2E"/>
    <w:rsid w:val="003A3E6B"/>
    <w:rsid w:val="003A3F6C"/>
    <w:rsid w:val="003A3FDF"/>
    <w:rsid w:val="003A55D5"/>
    <w:rsid w:val="003A57A8"/>
    <w:rsid w:val="003A5E9B"/>
    <w:rsid w:val="003A6AB6"/>
    <w:rsid w:val="003A6FE3"/>
    <w:rsid w:val="003A7E4F"/>
    <w:rsid w:val="003B009E"/>
    <w:rsid w:val="003B00CF"/>
    <w:rsid w:val="003B1454"/>
    <w:rsid w:val="003B18B6"/>
    <w:rsid w:val="003B1D36"/>
    <w:rsid w:val="003B2005"/>
    <w:rsid w:val="003B27DD"/>
    <w:rsid w:val="003B44D9"/>
    <w:rsid w:val="003B509C"/>
    <w:rsid w:val="003B5E9B"/>
    <w:rsid w:val="003B6613"/>
    <w:rsid w:val="003B70ED"/>
    <w:rsid w:val="003B733E"/>
    <w:rsid w:val="003B73AD"/>
    <w:rsid w:val="003B73E3"/>
    <w:rsid w:val="003B787B"/>
    <w:rsid w:val="003B7EB1"/>
    <w:rsid w:val="003C0867"/>
    <w:rsid w:val="003C0C05"/>
    <w:rsid w:val="003C1159"/>
    <w:rsid w:val="003C1451"/>
    <w:rsid w:val="003C161B"/>
    <w:rsid w:val="003C253B"/>
    <w:rsid w:val="003C3BA7"/>
    <w:rsid w:val="003C42C4"/>
    <w:rsid w:val="003C482A"/>
    <w:rsid w:val="003C59E0"/>
    <w:rsid w:val="003C6C8D"/>
    <w:rsid w:val="003C7595"/>
    <w:rsid w:val="003C7596"/>
    <w:rsid w:val="003D0C64"/>
    <w:rsid w:val="003D0E1E"/>
    <w:rsid w:val="003D1D04"/>
    <w:rsid w:val="003D2656"/>
    <w:rsid w:val="003D3703"/>
    <w:rsid w:val="003D3B69"/>
    <w:rsid w:val="003D4A17"/>
    <w:rsid w:val="003D4F95"/>
    <w:rsid w:val="003D519E"/>
    <w:rsid w:val="003D532C"/>
    <w:rsid w:val="003D5EDC"/>
    <w:rsid w:val="003D5F0C"/>
    <w:rsid w:val="003D5F42"/>
    <w:rsid w:val="003D60A9"/>
    <w:rsid w:val="003D6875"/>
    <w:rsid w:val="003D6EB3"/>
    <w:rsid w:val="003D72B2"/>
    <w:rsid w:val="003E01C5"/>
    <w:rsid w:val="003E026A"/>
    <w:rsid w:val="003E217F"/>
    <w:rsid w:val="003E24EC"/>
    <w:rsid w:val="003E2ECB"/>
    <w:rsid w:val="003E30EE"/>
    <w:rsid w:val="003E416C"/>
    <w:rsid w:val="003E4367"/>
    <w:rsid w:val="003E474C"/>
    <w:rsid w:val="003E4815"/>
    <w:rsid w:val="003E4C6A"/>
    <w:rsid w:val="003E4E0E"/>
    <w:rsid w:val="003E580A"/>
    <w:rsid w:val="003E651A"/>
    <w:rsid w:val="003E6DE1"/>
    <w:rsid w:val="003E74ED"/>
    <w:rsid w:val="003F0E56"/>
    <w:rsid w:val="003F0FBE"/>
    <w:rsid w:val="003F158E"/>
    <w:rsid w:val="003F1759"/>
    <w:rsid w:val="003F241F"/>
    <w:rsid w:val="003F341C"/>
    <w:rsid w:val="003F4C97"/>
    <w:rsid w:val="003F65C7"/>
    <w:rsid w:val="003F666D"/>
    <w:rsid w:val="003F6F39"/>
    <w:rsid w:val="003F7004"/>
    <w:rsid w:val="003F774D"/>
    <w:rsid w:val="003F77F6"/>
    <w:rsid w:val="003F7CC2"/>
    <w:rsid w:val="003F7FE6"/>
    <w:rsid w:val="00400193"/>
    <w:rsid w:val="00400BC6"/>
    <w:rsid w:val="004013AE"/>
    <w:rsid w:val="00401885"/>
    <w:rsid w:val="00401DE7"/>
    <w:rsid w:val="00402C20"/>
    <w:rsid w:val="00402F60"/>
    <w:rsid w:val="004030E1"/>
    <w:rsid w:val="0040391A"/>
    <w:rsid w:val="004040CE"/>
    <w:rsid w:val="00404264"/>
    <w:rsid w:val="00404965"/>
    <w:rsid w:val="00405AEA"/>
    <w:rsid w:val="00405E74"/>
    <w:rsid w:val="00405F56"/>
    <w:rsid w:val="004063B8"/>
    <w:rsid w:val="00406510"/>
    <w:rsid w:val="00406880"/>
    <w:rsid w:val="004076AF"/>
    <w:rsid w:val="004116C9"/>
    <w:rsid w:val="00411AF3"/>
    <w:rsid w:val="00411E42"/>
    <w:rsid w:val="00412B41"/>
    <w:rsid w:val="00413DDC"/>
    <w:rsid w:val="00414CB2"/>
    <w:rsid w:val="004151B0"/>
    <w:rsid w:val="00415BB4"/>
    <w:rsid w:val="00415DEA"/>
    <w:rsid w:val="00416680"/>
    <w:rsid w:val="00416A89"/>
    <w:rsid w:val="00416EAF"/>
    <w:rsid w:val="00417561"/>
    <w:rsid w:val="00417F06"/>
    <w:rsid w:val="004212E7"/>
    <w:rsid w:val="00421467"/>
    <w:rsid w:val="004217CB"/>
    <w:rsid w:val="0042329A"/>
    <w:rsid w:val="00423348"/>
    <w:rsid w:val="00423466"/>
    <w:rsid w:val="00423573"/>
    <w:rsid w:val="00423AFC"/>
    <w:rsid w:val="00423C88"/>
    <w:rsid w:val="0042446D"/>
    <w:rsid w:val="00425515"/>
    <w:rsid w:val="004256BB"/>
    <w:rsid w:val="004267F1"/>
    <w:rsid w:val="00426916"/>
    <w:rsid w:val="00427BF8"/>
    <w:rsid w:val="004308EB"/>
    <w:rsid w:val="00430CD1"/>
    <w:rsid w:val="004314E7"/>
    <w:rsid w:val="00431C02"/>
    <w:rsid w:val="00432687"/>
    <w:rsid w:val="00432A1A"/>
    <w:rsid w:val="00432ADC"/>
    <w:rsid w:val="004348BC"/>
    <w:rsid w:val="00434A0F"/>
    <w:rsid w:val="00434F06"/>
    <w:rsid w:val="004359CC"/>
    <w:rsid w:val="0043692D"/>
    <w:rsid w:val="00436A5D"/>
    <w:rsid w:val="00436B39"/>
    <w:rsid w:val="00437126"/>
    <w:rsid w:val="00437395"/>
    <w:rsid w:val="00437645"/>
    <w:rsid w:val="00437B78"/>
    <w:rsid w:val="00440489"/>
    <w:rsid w:val="00440567"/>
    <w:rsid w:val="00441348"/>
    <w:rsid w:val="004415BD"/>
    <w:rsid w:val="00442008"/>
    <w:rsid w:val="00442C80"/>
    <w:rsid w:val="00442E36"/>
    <w:rsid w:val="00442E49"/>
    <w:rsid w:val="0044301B"/>
    <w:rsid w:val="0044326E"/>
    <w:rsid w:val="0044327C"/>
    <w:rsid w:val="00445047"/>
    <w:rsid w:val="004455F6"/>
    <w:rsid w:val="00445B04"/>
    <w:rsid w:val="00446749"/>
    <w:rsid w:val="00446C05"/>
    <w:rsid w:val="00446FDB"/>
    <w:rsid w:val="004510B5"/>
    <w:rsid w:val="00451CC0"/>
    <w:rsid w:val="004524BB"/>
    <w:rsid w:val="00453418"/>
    <w:rsid w:val="00453EB7"/>
    <w:rsid w:val="00454BCD"/>
    <w:rsid w:val="00455208"/>
    <w:rsid w:val="00455354"/>
    <w:rsid w:val="00455396"/>
    <w:rsid w:val="004555CC"/>
    <w:rsid w:val="00455D0D"/>
    <w:rsid w:val="00456DB0"/>
    <w:rsid w:val="00457BD4"/>
    <w:rsid w:val="00460D9A"/>
    <w:rsid w:val="00461647"/>
    <w:rsid w:val="004618D9"/>
    <w:rsid w:val="004619DF"/>
    <w:rsid w:val="00461C02"/>
    <w:rsid w:val="0046250C"/>
    <w:rsid w:val="004628A4"/>
    <w:rsid w:val="0046363E"/>
    <w:rsid w:val="00463E39"/>
    <w:rsid w:val="00463E78"/>
    <w:rsid w:val="00464082"/>
    <w:rsid w:val="004641B3"/>
    <w:rsid w:val="00464497"/>
    <w:rsid w:val="004653F2"/>
    <w:rsid w:val="004657FC"/>
    <w:rsid w:val="00465C79"/>
    <w:rsid w:val="004661EE"/>
    <w:rsid w:val="00466CAE"/>
    <w:rsid w:val="00466CFB"/>
    <w:rsid w:val="00467EC5"/>
    <w:rsid w:val="00467EEB"/>
    <w:rsid w:val="00467FE6"/>
    <w:rsid w:val="004701ED"/>
    <w:rsid w:val="004703B0"/>
    <w:rsid w:val="0047162F"/>
    <w:rsid w:val="00471894"/>
    <w:rsid w:val="00471E49"/>
    <w:rsid w:val="00472C94"/>
    <w:rsid w:val="00473217"/>
    <w:rsid w:val="004733F6"/>
    <w:rsid w:val="004735B8"/>
    <w:rsid w:val="004738CF"/>
    <w:rsid w:val="004740A9"/>
    <w:rsid w:val="004742EE"/>
    <w:rsid w:val="00474391"/>
    <w:rsid w:val="0047480C"/>
    <w:rsid w:val="00474A81"/>
    <w:rsid w:val="00474E69"/>
    <w:rsid w:val="00474F20"/>
    <w:rsid w:val="0047598C"/>
    <w:rsid w:val="00475E6D"/>
    <w:rsid w:val="00475F12"/>
    <w:rsid w:val="004777CA"/>
    <w:rsid w:val="004778FA"/>
    <w:rsid w:val="0048046C"/>
    <w:rsid w:val="004817C2"/>
    <w:rsid w:val="00481E63"/>
    <w:rsid w:val="00483E9F"/>
    <w:rsid w:val="00484B04"/>
    <w:rsid w:val="004850CD"/>
    <w:rsid w:val="004851E9"/>
    <w:rsid w:val="00485693"/>
    <w:rsid w:val="00485A2C"/>
    <w:rsid w:val="00485FD4"/>
    <w:rsid w:val="00486607"/>
    <w:rsid w:val="00486C56"/>
    <w:rsid w:val="004870F0"/>
    <w:rsid w:val="00487C4D"/>
    <w:rsid w:val="00490DED"/>
    <w:rsid w:val="00491598"/>
    <w:rsid w:val="00491828"/>
    <w:rsid w:val="00491B3C"/>
    <w:rsid w:val="00491DF7"/>
    <w:rsid w:val="00492254"/>
    <w:rsid w:val="004925D4"/>
    <w:rsid w:val="00492AEA"/>
    <w:rsid w:val="00492C15"/>
    <w:rsid w:val="00493221"/>
    <w:rsid w:val="004937C4"/>
    <w:rsid w:val="004938F6"/>
    <w:rsid w:val="00493999"/>
    <w:rsid w:val="004939F8"/>
    <w:rsid w:val="00493CAA"/>
    <w:rsid w:val="00494606"/>
    <w:rsid w:val="00494F09"/>
    <w:rsid w:val="00495A05"/>
    <w:rsid w:val="0049621B"/>
    <w:rsid w:val="00497964"/>
    <w:rsid w:val="00497B8B"/>
    <w:rsid w:val="00497C05"/>
    <w:rsid w:val="004A0CE3"/>
    <w:rsid w:val="004A0FAC"/>
    <w:rsid w:val="004A1D19"/>
    <w:rsid w:val="004A2BC1"/>
    <w:rsid w:val="004A342C"/>
    <w:rsid w:val="004A39B2"/>
    <w:rsid w:val="004A45D2"/>
    <w:rsid w:val="004A48FE"/>
    <w:rsid w:val="004A552D"/>
    <w:rsid w:val="004A65BA"/>
    <w:rsid w:val="004A6886"/>
    <w:rsid w:val="004A6CA8"/>
    <w:rsid w:val="004A6D44"/>
    <w:rsid w:val="004A6E0C"/>
    <w:rsid w:val="004A75CD"/>
    <w:rsid w:val="004A76AA"/>
    <w:rsid w:val="004B01BA"/>
    <w:rsid w:val="004B06E0"/>
    <w:rsid w:val="004B165A"/>
    <w:rsid w:val="004B32AA"/>
    <w:rsid w:val="004B41CC"/>
    <w:rsid w:val="004B44EC"/>
    <w:rsid w:val="004B54C0"/>
    <w:rsid w:val="004B5598"/>
    <w:rsid w:val="004B55FD"/>
    <w:rsid w:val="004B57AD"/>
    <w:rsid w:val="004B5F5A"/>
    <w:rsid w:val="004B5F90"/>
    <w:rsid w:val="004B60D3"/>
    <w:rsid w:val="004B6E06"/>
    <w:rsid w:val="004B75D0"/>
    <w:rsid w:val="004B7C2A"/>
    <w:rsid w:val="004C07B7"/>
    <w:rsid w:val="004C1895"/>
    <w:rsid w:val="004C19DE"/>
    <w:rsid w:val="004C3389"/>
    <w:rsid w:val="004C35B4"/>
    <w:rsid w:val="004C3853"/>
    <w:rsid w:val="004C38F3"/>
    <w:rsid w:val="004C3AB2"/>
    <w:rsid w:val="004C3B10"/>
    <w:rsid w:val="004C3E60"/>
    <w:rsid w:val="004C4526"/>
    <w:rsid w:val="004C46F1"/>
    <w:rsid w:val="004C47AA"/>
    <w:rsid w:val="004C485F"/>
    <w:rsid w:val="004C56E3"/>
    <w:rsid w:val="004C5D7D"/>
    <w:rsid w:val="004C6C3E"/>
    <w:rsid w:val="004C6D40"/>
    <w:rsid w:val="004D062B"/>
    <w:rsid w:val="004D0A13"/>
    <w:rsid w:val="004D1421"/>
    <w:rsid w:val="004D1B39"/>
    <w:rsid w:val="004D3259"/>
    <w:rsid w:val="004D3D76"/>
    <w:rsid w:val="004D4790"/>
    <w:rsid w:val="004D5B83"/>
    <w:rsid w:val="004D5F84"/>
    <w:rsid w:val="004D634E"/>
    <w:rsid w:val="004D6E30"/>
    <w:rsid w:val="004E04F5"/>
    <w:rsid w:val="004E0CCC"/>
    <w:rsid w:val="004E3598"/>
    <w:rsid w:val="004E441F"/>
    <w:rsid w:val="004E48E4"/>
    <w:rsid w:val="004E4DF8"/>
    <w:rsid w:val="004E564A"/>
    <w:rsid w:val="004E6923"/>
    <w:rsid w:val="004E6AA8"/>
    <w:rsid w:val="004E6D6B"/>
    <w:rsid w:val="004E706E"/>
    <w:rsid w:val="004E75E2"/>
    <w:rsid w:val="004E7BE5"/>
    <w:rsid w:val="004E7FE4"/>
    <w:rsid w:val="004F0261"/>
    <w:rsid w:val="004F0C3C"/>
    <w:rsid w:val="004F0EC4"/>
    <w:rsid w:val="004F0FD2"/>
    <w:rsid w:val="004F1946"/>
    <w:rsid w:val="004F1B24"/>
    <w:rsid w:val="004F1F8D"/>
    <w:rsid w:val="004F1FEA"/>
    <w:rsid w:val="004F2280"/>
    <w:rsid w:val="004F2355"/>
    <w:rsid w:val="004F23BB"/>
    <w:rsid w:val="004F2CCB"/>
    <w:rsid w:val="004F362A"/>
    <w:rsid w:val="004F380E"/>
    <w:rsid w:val="004F4A42"/>
    <w:rsid w:val="004F566A"/>
    <w:rsid w:val="004F58EE"/>
    <w:rsid w:val="004F63FC"/>
    <w:rsid w:val="004F7192"/>
    <w:rsid w:val="004F7B1F"/>
    <w:rsid w:val="004F7BD8"/>
    <w:rsid w:val="0050116C"/>
    <w:rsid w:val="005015EF"/>
    <w:rsid w:val="00501A99"/>
    <w:rsid w:val="0050225D"/>
    <w:rsid w:val="005024BA"/>
    <w:rsid w:val="00503D5B"/>
    <w:rsid w:val="00503DB8"/>
    <w:rsid w:val="00504397"/>
    <w:rsid w:val="00504BD7"/>
    <w:rsid w:val="00504D31"/>
    <w:rsid w:val="00505636"/>
    <w:rsid w:val="00505A92"/>
    <w:rsid w:val="00506D79"/>
    <w:rsid w:val="0050735C"/>
    <w:rsid w:val="00507868"/>
    <w:rsid w:val="00510AFB"/>
    <w:rsid w:val="00510F8B"/>
    <w:rsid w:val="00512575"/>
    <w:rsid w:val="005127BA"/>
    <w:rsid w:val="00513C30"/>
    <w:rsid w:val="00514171"/>
    <w:rsid w:val="0051499C"/>
    <w:rsid w:val="00514BD2"/>
    <w:rsid w:val="00515960"/>
    <w:rsid w:val="0051678B"/>
    <w:rsid w:val="00516F9C"/>
    <w:rsid w:val="00517A4C"/>
    <w:rsid w:val="00517AC4"/>
    <w:rsid w:val="005203F1"/>
    <w:rsid w:val="00520751"/>
    <w:rsid w:val="00521769"/>
    <w:rsid w:val="00521A50"/>
    <w:rsid w:val="00521BC3"/>
    <w:rsid w:val="00522284"/>
    <w:rsid w:val="00522FA8"/>
    <w:rsid w:val="005231C0"/>
    <w:rsid w:val="005231F1"/>
    <w:rsid w:val="00523788"/>
    <w:rsid w:val="0052382C"/>
    <w:rsid w:val="00523C25"/>
    <w:rsid w:val="00524007"/>
    <w:rsid w:val="00524015"/>
    <w:rsid w:val="0052545B"/>
    <w:rsid w:val="005254B1"/>
    <w:rsid w:val="00526AAF"/>
    <w:rsid w:val="00526D28"/>
    <w:rsid w:val="00527382"/>
    <w:rsid w:val="0052764F"/>
    <w:rsid w:val="0053059F"/>
    <w:rsid w:val="00530C23"/>
    <w:rsid w:val="00530C66"/>
    <w:rsid w:val="00530F9C"/>
    <w:rsid w:val="0053139F"/>
    <w:rsid w:val="00531855"/>
    <w:rsid w:val="00531873"/>
    <w:rsid w:val="00532089"/>
    <w:rsid w:val="0053265F"/>
    <w:rsid w:val="0053285E"/>
    <w:rsid w:val="00533421"/>
    <w:rsid w:val="00533632"/>
    <w:rsid w:val="00534013"/>
    <w:rsid w:val="0053541B"/>
    <w:rsid w:val="0053558F"/>
    <w:rsid w:val="0053566C"/>
    <w:rsid w:val="005359C8"/>
    <w:rsid w:val="0053617A"/>
    <w:rsid w:val="00536526"/>
    <w:rsid w:val="00536E74"/>
    <w:rsid w:val="00537225"/>
    <w:rsid w:val="0053726C"/>
    <w:rsid w:val="00540684"/>
    <w:rsid w:val="00540C5C"/>
    <w:rsid w:val="0054167A"/>
    <w:rsid w:val="00541E6E"/>
    <w:rsid w:val="00541F1D"/>
    <w:rsid w:val="00542400"/>
    <w:rsid w:val="005424F2"/>
    <w:rsid w:val="0054251F"/>
    <w:rsid w:val="00542D2A"/>
    <w:rsid w:val="005430D7"/>
    <w:rsid w:val="005435CC"/>
    <w:rsid w:val="00543B1E"/>
    <w:rsid w:val="00544CA9"/>
    <w:rsid w:val="00545FCE"/>
    <w:rsid w:val="0054617C"/>
    <w:rsid w:val="00546847"/>
    <w:rsid w:val="00547F13"/>
    <w:rsid w:val="005505B6"/>
    <w:rsid w:val="00551F43"/>
    <w:rsid w:val="005520D8"/>
    <w:rsid w:val="00552A9B"/>
    <w:rsid w:val="00553793"/>
    <w:rsid w:val="0055389A"/>
    <w:rsid w:val="00553D58"/>
    <w:rsid w:val="00553F4B"/>
    <w:rsid w:val="0055502C"/>
    <w:rsid w:val="00555080"/>
    <w:rsid w:val="00555CFB"/>
    <w:rsid w:val="00555D68"/>
    <w:rsid w:val="00556ADB"/>
    <w:rsid w:val="00556CF1"/>
    <w:rsid w:val="00557497"/>
    <w:rsid w:val="00557D8D"/>
    <w:rsid w:val="00560D60"/>
    <w:rsid w:val="00562913"/>
    <w:rsid w:val="00563A67"/>
    <w:rsid w:val="00563AD3"/>
    <w:rsid w:val="00564F00"/>
    <w:rsid w:val="005658AB"/>
    <w:rsid w:val="00565B83"/>
    <w:rsid w:val="0056605D"/>
    <w:rsid w:val="00566434"/>
    <w:rsid w:val="0056651B"/>
    <w:rsid w:val="00566ECA"/>
    <w:rsid w:val="00567365"/>
    <w:rsid w:val="00567B55"/>
    <w:rsid w:val="00571DEE"/>
    <w:rsid w:val="0057214D"/>
    <w:rsid w:val="005728D7"/>
    <w:rsid w:val="00572B3E"/>
    <w:rsid w:val="00572F26"/>
    <w:rsid w:val="005731DF"/>
    <w:rsid w:val="00575181"/>
    <w:rsid w:val="0057545D"/>
    <w:rsid w:val="00575F37"/>
    <w:rsid w:val="005762A7"/>
    <w:rsid w:val="0057679A"/>
    <w:rsid w:val="00577082"/>
    <w:rsid w:val="00580A28"/>
    <w:rsid w:val="00580E50"/>
    <w:rsid w:val="00580F25"/>
    <w:rsid w:val="0058279F"/>
    <w:rsid w:val="00582FE3"/>
    <w:rsid w:val="00583505"/>
    <w:rsid w:val="00584432"/>
    <w:rsid w:val="005849BA"/>
    <w:rsid w:val="00584B02"/>
    <w:rsid w:val="00584DDF"/>
    <w:rsid w:val="0058550F"/>
    <w:rsid w:val="00585AF8"/>
    <w:rsid w:val="00585E27"/>
    <w:rsid w:val="00585E6D"/>
    <w:rsid w:val="0058634E"/>
    <w:rsid w:val="00586414"/>
    <w:rsid w:val="0058669E"/>
    <w:rsid w:val="00586D59"/>
    <w:rsid w:val="00587836"/>
    <w:rsid w:val="00587CEE"/>
    <w:rsid w:val="005908C2"/>
    <w:rsid w:val="005911AF"/>
    <w:rsid w:val="005916D7"/>
    <w:rsid w:val="005918DE"/>
    <w:rsid w:val="005920A4"/>
    <w:rsid w:val="005923A5"/>
    <w:rsid w:val="005932A1"/>
    <w:rsid w:val="00593916"/>
    <w:rsid w:val="00593A2C"/>
    <w:rsid w:val="0059427F"/>
    <w:rsid w:val="00595645"/>
    <w:rsid w:val="00597309"/>
    <w:rsid w:val="00597424"/>
    <w:rsid w:val="005A0257"/>
    <w:rsid w:val="005A0509"/>
    <w:rsid w:val="005A0A4E"/>
    <w:rsid w:val="005A2847"/>
    <w:rsid w:val="005A2CA8"/>
    <w:rsid w:val="005A4024"/>
    <w:rsid w:val="005A6925"/>
    <w:rsid w:val="005A698C"/>
    <w:rsid w:val="005A6F59"/>
    <w:rsid w:val="005A79C3"/>
    <w:rsid w:val="005A7B1D"/>
    <w:rsid w:val="005B01EB"/>
    <w:rsid w:val="005B089C"/>
    <w:rsid w:val="005B0ECD"/>
    <w:rsid w:val="005B0F2D"/>
    <w:rsid w:val="005B2D41"/>
    <w:rsid w:val="005B3AA6"/>
    <w:rsid w:val="005B5526"/>
    <w:rsid w:val="005B5802"/>
    <w:rsid w:val="005B5C57"/>
    <w:rsid w:val="005C0CAC"/>
    <w:rsid w:val="005C109E"/>
    <w:rsid w:val="005C1423"/>
    <w:rsid w:val="005C1523"/>
    <w:rsid w:val="005C15DF"/>
    <w:rsid w:val="005C1738"/>
    <w:rsid w:val="005C1921"/>
    <w:rsid w:val="005C26DB"/>
    <w:rsid w:val="005C3195"/>
    <w:rsid w:val="005C47C9"/>
    <w:rsid w:val="005C54E9"/>
    <w:rsid w:val="005C5952"/>
    <w:rsid w:val="005C650A"/>
    <w:rsid w:val="005C6B5E"/>
    <w:rsid w:val="005C6CF4"/>
    <w:rsid w:val="005C70B3"/>
    <w:rsid w:val="005C7923"/>
    <w:rsid w:val="005D02EC"/>
    <w:rsid w:val="005D02F6"/>
    <w:rsid w:val="005D062E"/>
    <w:rsid w:val="005D0E3B"/>
    <w:rsid w:val="005D10CB"/>
    <w:rsid w:val="005D15BE"/>
    <w:rsid w:val="005D1913"/>
    <w:rsid w:val="005D1DA0"/>
    <w:rsid w:val="005D2367"/>
    <w:rsid w:val="005D2F6B"/>
    <w:rsid w:val="005D3B27"/>
    <w:rsid w:val="005D44EA"/>
    <w:rsid w:val="005D450A"/>
    <w:rsid w:val="005D474A"/>
    <w:rsid w:val="005D5252"/>
    <w:rsid w:val="005D53C4"/>
    <w:rsid w:val="005D575E"/>
    <w:rsid w:val="005D62BF"/>
    <w:rsid w:val="005D6CD1"/>
    <w:rsid w:val="005D6D8C"/>
    <w:rsid w:val="005D75EC"/>
    <w:rsid w:val="005D7C3A"/>
    <w:rsid w:val="005E02FE"/>
    <w:rsid w:val="005E0305"/>
    <w:rsid w:val="005E0799"/>
    <w:rsid w:val="005E10F9"/>
    <w:rsid w:val="005E1200"/>
    <w:rsid w:val="005E2010"/>
    <w:rsid w:val="005E261D"/>
    <w:rsid w:val="005E4203"/>
    <w:rsid w:val="005E4265"/>
    <w:rsid w:val="005E48C1"/>
    <w:rsid w:val="005E57B9"/>
    <w:rsid w:val="005E57BD"/>
    <w:rsid w:val="005E686A"/>
    <w:rsid w:val="005E6E7E"/>
    <w:rsid w:val="005E6F29"/>
    <w:rsid w:val="005E74B5"/>
    <w:rsid w:val="005E74D0"/>
    <w:rsid w:val="005E75A8"/>
    <w:rsid w:val="005F09BC"/>
    <w:rsid w:val="005F2D86"/>
    <w:rsid w:val="005F3369"/>
    <w:rsid w:val="005F3E9B"/>
    <w:rsid w:val="005F45EE"/>
    <w:rsid w:val="005F51EA"/>
    <w:rsid w:val="005F5A1C"/>
    <w:rsid w:val="005F5A80"/>
    <w:rsid w:val="005F5EA3"/>
    <w:rsid w:val="005F61F1"/>
    <w:rsid w:val="005F6A47"/>
    <w:rsid w:val="005F7040"/>
    <w:rsid w:val="005F7244"/>
    <w:rsid w:val="0060014F"/>
    <w:rsid w:val="0060050B"/>
    <w:rsid w:val="00600869"/>
    <w:rsid w:val="00600CED"/>
    <w:rsid w:val="00601D45"/>
    <w:rsid w:val="006021E9"/>
    <w:rsid w:val="00602449"/>
    <w:rsid w:val="00602A25"/>
    <w:rsid w:val="00602A96"/>
    <w:rsid w:val="00603857"/>
    <w:rsid w:val="006039A5"/>
    <w:rsid w:val="0060419E"/>
    <w:rsid w:val="006044FF"/>
    <w:rsid w:val="00605509"/>
    <w:rsid w:val="00605C77"/>
    <w:rsid w:val="006078A3"/>
    <w:rsid w:val="00607CC5"/>
    <w:rsid w:val="00610046"/>
    <w:rsid w:val="006109BC"/>
    <w:rsid w:val="00611392"/>
    <w:rsid w:val="0061179B"/>
    <w:rsid w:val="00611964"/>
    <w:rsid w:val="006120CB"/>
    <w:rsid w:val="006125F9"/>
    <w:rsid w:val="006127CB"/>
    <w:rsid w:val="00612CA3"/>
    <w:rsid w:val="00613B9D"/>
    <w:rsid w:val="0061477D"/>
    <w:rsid w:val="00614C35"/>
    <w:rsid w:val="0061521A"/>
    <w:rsid w:val="006152F0"/>
    <w:rsid w:val="00615E48"/>
    <w:rsid w:val="00615EDC"/>
    <w:rsid w:val="006177CE"/>
    <w:rsid w:val="00621B2C"/>
    <w:rsid w:val="00622DFF"/>
    <w:rsid w:val="00623EA9"/>
    <w:rsid w:val="00624D04"/>
    <w:rsid w:val="00624DC2"/>
    <w:rsid w:val="0062523A"/>
    <w:rsid w:val="006269CD"/>
    <w:rsid w:val="00626B92"/>
    <w:rsid w:val="00627AC3"/>
    <w:rsid w:val="00627E24"/>
    <w:rsid w:val="00631BE8"/>
    <w:rsid w:val="00633014"/>
    <w:rsid w:val="006338E5"/>
    <w:rsid w:val="006339D0"/>
    <w:rsid w:val="0063437B"/>
    <w:rsid w:val="006344CD"/>
    <w:rsid w:val="00634CBC"/>
    <w:rsid w:val="00634CF9"/>
    <w:rsid w:val="0063545D"/>
    <w:rsid w:val="006354E7"/>
    <w:rsid w:val="006356AE"/>
    <w:rsid w:val="006364A6"/>
    <w:rsid w:val="00636A2C"/>
    <w:rsid w:val="00636C46"/>
    <w:rsid w:val="00637526"/>
    <w:rsid w:val="006378D6"/>
    <w:rsid w:val="0064017E"/>
    <w:rsid w:val="00640A8E"/>
    <w:rsid w:val="00640ABA"/>
    <w:rsid w:val="00640B7D"/>
    <w:rsid w:val="00640E02"/>
    <w:rsid w:val="00641C87"/>
    <w:rsid w:val="00641F4F"/>
    <w:rsid w:val="006431DA"/>
    <w:rsid w:val="00644CE9"/>
    <w:rsid w:val="00645EF6"/>
    <w:rsid w:val="0064648D"/>
    <w:rsid w:val="006469B5"/>
    <w:rsid w:val="006473C7"/>
    <w:rsid w:val="00647A2F"/>
    <w:rsid w:val="00650411"/>
    <w:rsid w:val="00652E72"/>
    <w:rsid w:val="006531BC"/>
    <w:rsid w:val="00653AF2"/>
    <w:rsid w:val="00653EBC"/>
    <w:rsid w:val="00653F9E"/>
    <w:rsid w:val="006545CF"/>
    <w:rsid w:val="00654BB6"/>
    <w:rsid w:val="00654D54"/>
    <w:rsid w:val="0065506D"/>
    <w:rsid w:val="0065581C"/>
    <w:rsid w:val="006571F6"/>
    <w:rsid w:val="00657AA3"/>
    <w:rsid w:val="006600FF"/>
    <w:rsid w:val="00661D94"/>
    <w:rsid w:val="00661F29"/>
    <w:rsid w:val="00661F97"/>
    <w:rsid w:val="0066220A"/>
    <w:rsid w:val="00662483"/>
    <w:rsid w:val="00663043"/>
    <w:rsid w:val="00663AF5"/>
    <w:rsid w:val="0066442A"/>
    <w:rsid w:val="00664583"/>
    <w:rsid w:val="00665005"/>
    <w:rsid w:val="006651F1"/>
    <w:rsid w:val="00665975"/>
    <w:rsid w:val="006659E8"/>
    <w:rsid w:val="00665E46"/>
    <w:rsid w:val="0066608A"/>
    <w:rsid w:val="006667D6"/>
    <w:rsid w:val="006673CA"/>
    <w:rsid w:val="00670696"/>
    <w:rsid w:val="00670D01"/>
    <w:rsid w:val="00670D42"/>
    <w:rsid w:val="00671917"/>
    <w:rsid w:val="006719BA"/>
    <w:rsid w:val="00672509"/>
    <w:rsid w:val="0067289A"/>
    <w:rsid w:val="006731C4"/>
    <w:rsid w:val="00673337"/>
    <w:rsid w:val="00673403"/>
    <w:rsid w:val="0067396D"/>
    <w:rsid w:val="00673C26"/>
    <w:rsid w:val="00674539"/>
    <w:rsid w:val="00674DC8"/>
    <w:rsid w:val="00674DE5"/>
    <w:rsid w:val="00675674"/>
    <w:rsid w:val="00676C31"/>
    <w:rsid w:val="00676E95"/>
    <w:rsid w:val="0067758D"/>
    <w:rsid w:val="00677932"/>
    <w:rsid w:val="00677ACA"/>
    <w:rsid w:val="0068012F"/>
    <w:rsid w:val="00680386"/>
    <w:rsid w:val="00680A8E"/>
    <w:rsid w:val="006812AF"/>
    <w:rsid w:val="006814B2"/>
    <w:rsid w:val="00681CCB"/>
    <w:rsid w:val="006827A5"/>
    <w:rsid w:val="00682ACB"/>
    <w:rsid w:val="00683196"/>
    <w:rsid w:val="0068327D"/>
    <w:rsid w:val="00684629"/>
    <w:rsid w:val="006847B1"/>
    <w:rsid w:val="00684AFD"/>
    <w:rsid w:val="00685A40"/>
    <w:rsid w:val="00685BC5"/>
    <w:rsid w:val="0068608D"/>
    <w:rsid w:val="006860E6"/>
    <w:rsid w:val="0068795C"/>
    <w:rsid w:val="0069028B"/>
    <w:rsid w:val="0069029D"/>
    <w:rsid w:val="00690E6F"/>
    <w:rsid w:val="00691534"/>
    <w:rsid w:val="00691E6B"/>
    <w:rsid w:val="00693129"/>
    <w:rsid w:val="00693880"/>
    <w:rsid w:val="00693943"/>
    <w:rsid w:val="00694272"/>
    <w:rsid w:val="00694AF0"/>
    <w:rsid w:val="00695B5C"/>
    <w:rsid w:val="00695BDD"/>
    <w:rsid w:val="0069608F"/>
    <w:rsid w:val="00696306"/>
    <w:rsid w:val="0069647E"/>
    <w:rsid w:val="006973E5"/>
    <w:rsid w:val="00697495"/>
    <w:rsid w:val="00697DC3"/>
    <w:rsid w:val="00697DD7"/>
    <w:rsid w:val="00697ECE"/>
    <w:rsid w:val="006A09D7"/>
    <w:rsid w:val="006A0B15"/>
    <w:rsid w:val="006A0BD9"/>
    <w:rsid w:val="006A1F40"/>
    <w:rsid w:val="006A1F62"/>
    <w:rsid w:val="006A2900"/>
    <w:rsid w:val="006A4686"/>
    <w:rsid w:val="006A4691"/>
    <w:rsid w:val="006A4F25"/>
    <w:rsid w:val="006A575C"/>
    <w:rsid w:val="006A5E8C"/>
    <w:rsid w:val="006A67C6"/>
    <w:rsid w:val="006A69D1"/>
    <w:rsid w:val="006A6D03"/>
    <w:rsid w:val="006A79EB"/>
    <w:rsid w:val="006A7D61"/>
    <w:rsid w:val="006A7F81"/>
    <w:rsid w:val="006B0BFF"/>
    <w:rsid w:val="006B0DC4"/>
    <w:rsid w:val="006B0E9E"/>
    <w:rsid w:val="006B1859"/>
    <w:rsid w:val="006B1995"/>
    <w:rsid w:val="006B1AC9"/>
    <w:rsid w:val="006B2122"/>
    <w:rsid w:val="006B26DA"/>
    <w:rsid w:val="006B3128"/>
    <w:rsid w:val="006B4057"/>
    <w:rsid w:val="006B41AB"/>
    <w:rsid w:val="006B41BF"/>
    <w:rsid w:val="006B4275"/>
    <w:rsid w:val="006B462B"/>
    <w:rsid w:val="006B486D"/>
    <w:rsid w:val="006B4EEB"/>
    <w:rsid w:val="006B4F79"/>
    <w:rsid w:val="006B50F6"/>
    <w:rsid w:val="006B5757"/>
    <w:rsid w:val="006B5952"/>
    <w:rsid w:val="006B5AE4"/>
    <w:rsid w:val="006B7D89"/>
    <w:rsid w:val="006B7F42"/>
    <w:rsid w:val="006C0276"/>
    <w:rsid w:val="006C050E"/>
    <w:rsid w:val="006C0EED"/>
    <w:rsid w:val="006C1510"/>
    <w:rsid w:val="006C1708"/>
    <w:rsid w:val="006C20FF"/>
    <w:rsid w:val="006C2348"/>
    <w:rsid w:val="006C2D4C"/>
    <w:rsid w:val="006C34AD"/>
    <w:rsid w:val="006C3C61"/>
    <w:rsid w:val="006C3F54"/>
    <w:rsid w:val="006C404A"/>
    <w:rsid w:val="006C4251"/>
    <w:rsid w:val="006C47CD"/>
    <w:rsid w:val="006C5C02"/>
    <w:rsid w:val="006C6349"/>
    <w:rsid w:val="006C741D"/>
    <w:rsid w:val="006C7472"/>
    <w:rsid w:val="006C7B68"/>
    <w:rsid w:val="006C7D3D"/>
    <w:rsid w:val="006D0B1A"/>
    <w:rsid w:val="006D1507"/>
    <w:rsid w:val="006D171A"/>
    <w:rsid w:val="006D1EFD"/>
    <w:rsid w:val="006D1F71"/>
    <w:rsid w:val="006D252F"/>
    <w:rsid w:val="006D2FBB"/>
    <w:rsid w:val="006D3235"/>
    <w:rsid w:val="006D3954"/>
    <w:rsid w:val="006D4054"/>
    <w:rsid w:val="006D481A"/>
    <w:rsid w:val="006D4DC4"/>
    <w:rsid w:val="006D640B"/>
    <w:rsid w:val="006D6F41"/>
    <w:rsid w:val="006D76E1"/>
    <w:rsid w:val="006D7CEA"/>
    <w:rsid w:val="006D7EA4"/>
    <w:rsid w:val="006D7F9E"/>
    <w:rsid w:val="006E02EC"/>
    <w:rsid w:val="006E0D3C"/>
    <w:rsid w:val="006E0DA1"/>
    <w:rsid w:val="006E0E70"/>
    <w:rsid w:val="006E0E71"/>
    <w:rsid w:val="006E143B"/>
    <w:rsid w:val="006E1461"/>
    <w:rsid w:val="006E29EF"/>
    <w:rsid w:val="006E32E8"/>
    <w:rsid w:val="006E358B"/>
    <w:rsid w:val="006E38B8"/>
    <w:rsid w:val="006E3C4F"/>
    <w:rsid w:val="006E3F9F"/>
    <w:rsid w:val="006E431F"/>
    <w:rsid w:val="006E4FF5"/>
    <w:rsid w:val="006E53CC"/>
    <w:rsid w:val="006E58C7"/>
    <w:rsid w:val="006E5A68"/>
    <w:rsid w:val="006E5B6F"/>
    <w:rsid w:val="006E5B7C"/>
    <w:rsid w:val="006E5F77"/>
    <w:rsid w:val="006E6F41"/>
    <w:rsid w:val="006E73E6"/>
    <w:rsid w:val="006E7DB5"/>
    <w:rsid w:val="006E7E1C"/>
    <w:rsid w:val="006F0A58"/>
    <w:rsid w:val="006F11C0"/>
    <w:rsid w:val="006F1BAC"/>
    <w:rsid w:val="006F1C50"/>
    <w:rsid w:val="006F2DAD"/>
    <w:rsid w:val="006F3289"/>
    <w:rsid w:val="006F3613"/>
    <w:rsid w:val="006F3D50"/>
    <w:rsid w:val="006F41E0"/>
    <w:rsid w:val="006F5A00"/>
    <w:rsid w:val="006F60AD"/>
    <w:rsid w:val="006F65ED"/>
    <w:rsid w:val="006F7E7E"/>
    <w:rsid w:val="00700ADF"/>
    <w:rsid w:val="007021A2"/>
    <w:rsid w:val="007021E8"/>
    <w:rsid w:val="00703417"/>
    <w:rsid w:val="00704878"/>
    <w:rsid w:val="00705190"/>
    <w:rsid w:val="00705DC9"/>
    <w:rsid w:val="00706617"/>
    <w:rsid w:val="007071F2"/>
    <w:rsid w:val="0070734E"/>
    <w:rsid w:val="00707B8D"/>
    <w:rsid w:val="00710417"/>
    <w:rsid w:val="00710F2A"/>
    <w:rsid w:val="00711EFE"/>
    <w:rsid w:val="00713B2D"/>
    <w:rsid w:val="00713DC3"/>
    <w:rsid w:val="00714892"/>
    <w:rsid w:val="007150BA"/>
    <w:rsid w:val="00715632"/>
    <w:rsid w:val="0071652E"/>
    <w:rsid w:val="00716CE1"/>
    <w:rsid w:val="00716FAE"/>
    <w:rsid w:val="0072059D"/>
    <w:rsid w:val="007211B1"/>
    <w:rsid w:val="00722FB9"/>
    <w:rsid w:val="00724257"/>
    <w:rsid w:val="00724DB9"/>
    <w:rsid w:val="00724F49"/>
    <w:rsid w:val="0072540B"/>
    <w:rsid w:val="00725551"/>
    <w:rsid w:val="00725E5F"/>
    <w:rsid w:val="0072607A"/>
    <w:rsid w:val="007262AD"/>
    <w:rsid w:val="007267A1"/>
    <w:rsid w:val="00726B44"/>
    <w:rsid w:val="00727125"/>
    <w:rsid w:val="007277DA"/>
    <w:rsid w:val="00730F77"/>
    <w:rsid w:val="007311AE"/>
    <w:rsid w:val="00731D27"/>
    <w:rsid w:val="00731E4C"/>
    <w:rsid w:val="007347B3"/>
    <w:rsid w:val="007349E5"/>
    <w:rsid w:val="00736034"/>
    <w:rsid w:val="00736154"/>
    <w:rsid w:val="0073775E"/>
    <w:rsid w:val="00737B7D"/>
    <w:rsid w:val="00737D55"/>
    <w:rsid w:val="00737DD4"/>
    <w:rsid w:val="00740957"/>
    <w:rsid w:val="00740B5B"/>
    <w:rsid w:val="00740E92"/>
    <w:rsid w:val="00741A06"/>
    <w:rsid w:val="00744158"/>
    <w:rsid w:val="00744A67"/>
    <w:rsid w:val="00745B63"/>
    <w:rsid w:val="00746084"/>
    <w:rsid w:val="00746187"/>
    <w:rsid w:val="00746911"/>
    <w:rsid w:val="00746CF6"/>
    <w:rsid w:val="0074724E"/>
    <w:rsid w:val="007472C1"/>
    <w:rsid w:val="0074764B"/>
    <w:rsid w:val="0074764F"/>
    <w:rsid w:val="00750CB0"/>
    <w:rsid w:val="00750E78"/>
    <w:rsid w:val="00752194"/>
    <w:rsid w:val="007525B8"/>
    <w:rsid w:val="00752E17"/>
    <w:rsid w:val="00753339"/>
    <w:rsid w:val="00753A03"/>
    <w:rsid w:val="00753B64"/>
    <w:rsid w:val="00753F20"/>
    <w:rsid w:val="007552F2"/>
    <w:rsid w:val="00755599"/>
    <w:rsid w:val="00755A50"/>
    <w:rsid w:val="007571BA"/>
    <w:rsid w:val="00757574"/>
    <w:rsid w:val="00760781"/>
    <w:rsid w:val="007617E9"/>
    <w:rsid w:val="0076182A"/>
    <w:rsid w:val="00761E2B"/>
    <w:rsid w:val="0076254F"/>
    <w:rsid w:val="0076263B"/>
    <w:rsid w:val="007630C7"/>
    <w:rsid w:val="00763634"/>
    <w:rsid w:val="0076429F"/>
    <w:rsid w:val="00764690"/>
    <w:rsid w:val="00764C8B"/>
    <w:rsid w:val="00764D04"/>
    <w:rsid w:val="00765075"/>
    <w:rsid w:val="0076655E"/>
    <w:rsid w:val="00766836"/>
    <w:rsid w:val="00766901"/>
    <w:rsid w:val="00766DD4"/>
    <w:rsid w:val="007670FB"/>
    <w:rsid w:val="00767731"/>
    <w:rsid w:val="00767FEB"/>
    <w:rsid w:val="00770758"/>
    <w:rsid w:val="007712F0"/>
    <w:rsid w:val="00774923"/>
    <w:rsid w:val="007749DB"/>
    <w:rsid w:val="00774C83"/>
    <w:rsid w:val="007757EF"/>
    <w:rsid w:val="00776470"/>
    <w:rsid w:val="00776BD8"/>
    <w:rsid w:val="00777534"/>
    <w:rsid w:val="00777A4F"/>
    <w:rsid w:val="007801E6"/>
    <w:rsid w:val="007801F5"/>
    <w:rsid w:val="00780437"/>
    <w:rsid w:val="00780A9E"/>
    <w:rsid w:val="00780C8D"/>
    <w:rsid w:val="007813AF"/>
    <w:rsid w:val="007829C9"/>
    <w:rsid w:val="00783595"/>
    <w:rsid w:val="007836D7"/>
    <w:rsid w:val="00783718"/>
    <w:rsid w:val="00783CA4"/>
    <w:rsid w:val="007842FB"/>
    <w:rsid w:val="00784E1E"/>
    <w:rsid w:val="00784EC6"/>
    <w:rsid w:val="007851D6"/>
    <w:rsid w:val="00785B4B"/>
    <w:rsid w:val="00786124"/>
    <w:rsid w:val="007865B7"/>
    <w:rsid w:val="007877CB"/>
    <w:rsid w:val="00787A13"/>
    <w:rsid w:val="00790A17"/>
    <w:rsid w:val="00790D2F"/>
    <w:rsid w:val="00790D34"/>
    <w:rsid w:val="007911DC"/>
    <w:rsid w:val="00791924"/>
    <w:rsid w:val="00791983"/>
    <w:rsid w:val="00792316"/>
    <w:rsid w:val="0079335A"/>
    <w:rsid w:val="00794654"/>
    <w:rsid w:val="00794691"/>
    <w:rsid w:val="007949F2"/>
    <w:rsid w:val="0079514B"/>
    <w:rsid w:val="007951FA"/>
    <w:rsid w:val="00795252"/>
    <w:rsid w:val="00796030"/>
    <w:rsid w:val="00796406"/>
    <w:rsid w:val="0079648D"/>
    <w:rsid w:val="00796B39"/>
    <w:rsid w:val="007970C0"/>
    <w:rsid w:val="007972BE"/>
    <w:rsid w:val="007972E2"/>
    <w:rsid w:val="00797331"/>
    <w:rsid w:val="0079764A"/>
    <w:rsid w:val="00797693"/>
    <w:rsid w:val="007977F7"/>
    <w:rsid w:val="00797FA4"/>
    <w:rsid w:val="007A11A8"/>
    <w:rsid w:val="007A1FBB"/>
    <w:rsid w:val="007A2870"/>
    <w:rsid w:val="007A2DC1"/>
    <w:rsid w:val="007A2F1A"/>
    <w:rsid w:val="007A40DE"/>
    <w:rsid w:val="007A4440"/>
    <w:rsid w:val="007A5391"/>
    <w:rsid w:val="007A6E18"/>
    <w:rsid w:val="007B0118"/>
    <w:rsid w:val="007B0396"/>
    <w:rsid w:val="007B039E"/>
    <w:rsid w:val="007B03DC"/>
    <w:rsid w:val="007B0BFF"/>
    <w:rsid w:val="007B2FA8"/>
    <w:rsid w:val="007B3282"/>
    <w:rsid w:val="007B3CDD"/>
    <w:rsid w:val="007B40C1"/>
    <w:rsid w:val="007B4F04"/>
    <w:rsid w:val="007B512C"/>
    <w:rsid w:val="007B5D15"/>
    <w:rsid w:val="007B7305"/>
    <w:rsid w:val="007C0268"/>
    <w:rsid w:val="007C2423"/>
    <w:rsid w:val="007C3336"/>
    <w:rsid w:val="007C349C"/>
    <w:rsid w:val="007C3811"/>
    <w:rsid w:val="007C3873"/>
    <w:rsid w:val="007C46E2"/>
    <w:rsid w:val="007C5CA2"/>
    <w:rsid w:val="007C63C0"/>
    <w:rsid w:val="007C7B50"/>
    <w:rsid w:val="007C7D79"/>
    <w:rsid w:val="007D05D6"/>
    <w:rsid w:val="007D0709"/>
    <w:rsid w:val="007D0766"/>
    <w:rsid w:val="007D0869"/>
    <w:rsid w:val="007D1072"/>
    <w:rsid w:val="007D14C4"/>
    <w:rsid w:val="007D2E74"/>
    <w:rsid w:val="007D310D"/>
    <w:rsid w:val="007D3319"/>
    <w:rsid w:val="007D335D"/>
    <w:rsid w:val="007D35A7"/>
    <w:rsid w:val="007D4EFF"/>
    <w:rsid w:val="007D532F"/>
    <w:rsid w:val="007D55F6"/>
    <w:rsid w:val="007D57D1"/>
    <w:rsid w:val="007D5CDE"/>
    <w:rsid w:val="007D5E3B"/>
    <w:rsid w:val="007D605C"/>
    <w:rsid w:val="007D60FD"/>
    <w:rsid w:val="007D75E9"/>
    <w:rsid w:val="007D7785"/>
    <w:rsid w:val="007D7B2F"/>
    <w:rsid w:val="007D7DDB"/>
    <w:rsid w:val="007E07AB"/>
    <w:rsid w:val="007E1611"/>
    <w:rsid w:val="007E1749"/>
    <w:rsid w:val="007E2027"/>
    <w:rsid w:val="007E246D"/>
    <w:rsid w:val="007E252C"/>
    <w:rsid w:val="007E2C19"/>
    <w:rsid w:val="007E3314"/>
    <w:rsid w:val="007E3514"/>
    <w:rsid w:val="007E36F9"/>
    <w:rsid w:val="007E4B03"/>
    <w:rsid w:val="007E5499"/>
    <w:rsid w:val="007E5566"/>
    <w:rsid w:val="007E556F"/>
    <w:rsid w:val="007E5682"/>
    <w:rsid w:val="007E620E"/>
    <w:rsid w:val="007E6230"/>
    <w:rsid w:val="007E6A8F"/>
    <w:rsid w:val="007E701A"/>
    <w:rsid w:val="007E7149"/>
    <w:rsid w:val="007F0B88"/>
    <w:rsid w:val="007F0D60"/>
    <w:rsid w:val="007F1246"/>
    <w:rsid w:val="007F1CED"/>
    <w:rsid w:val="007F27BC"/>
    <w:rsid w:val="007F3036"/>
    <w:rsid w:val="007F3088"/>
    <w:rsid w:val="007F324B"/>
    <w:rsid w:val="007F49B5"/>
    <w:rsid w:val="007F5322"/>
    <w:rsid w:val="007F5468"/>
    <w:rsid w:val="007F5974"/>
    <w:rsid w:val="007F63EB"/>
    <w:rsid w:val="007F64A4"/>
    <w:rsid w:val="007F6921"/>
    <w:rsid w:val="007F711B"/>
    <w:rsid w:val="007F7A44"/>
    <w:rsid w:val="0080031D"/>
    <w:rsid w:val="008008BC"/>
    <w:rsid w:val="00800C40"/>
    <w:rsid w:val="00800EA8"/>
    <w:rsid w:val="00800ECA"/>
    <w:rsid w:val="0080118F"/>
    <w:rsid w:val="00801868"/>
    <w:rsid w:val="0080260B"/>
    <w:rsid w:val="00802BBB"/>
    <w:rsid w:val="0080317E"/>
    <w:rsid w:val="00803351"/>
    <w:rsid w:val="00804EA2"/>
    <w:rsid w:val="00805498"/>
    <w:rsid w:val="0080553C"/>
    <w:rsid w:val="00805A91"/>
    <w:rsid w:val="00805B46"/>
    <w:rsid w:val="00805DB4"/>
    <w:rsid w:val="00806EE9"/>
    <w:rsid w:val="00806F0F"/>
    <w:rsid w:val="008106A2"/>
    <w:rsid w:val="00810C64"/>
    <w:rsid w:val="008111E2"/>
    <w:rsid w:val="00811939"/>
    <w:rsid w:val="00811DE9"/>
    <w:rsid w:val="008124C7"/>
    <w:rsid w:val="00812A19"/>
    <w:rsid w:val="008133DD"/>
    <w:rsid w:val="0081685E"/>
    <w:rsid w:val="00817036"/>
    <w:rsid w:val="008171ED"/>
    <w:rsid w:val="008173BE"/>
    <w:rsid w:val="00817BB2"/>
    <w:rsid w:val="00817D28"/>
    <w:rsid w:val="00821BC7"/>
    <w:rsid w:val="00822068"/>
    <w:rsid w:val="008226AF"/>
    <w:rsid w:val="00823593"/>
    <w:rsid w:val="00823DC8"/>
    <w:rsid w:val="00823DEA"/>
    <w:rsid w:val="0082482F"/>
    <w:rsid w:val="00824B31"/>
    <w:rsid w:val="00824C98"/>
    <w:rsid w:val="00824E51"/>
    <w:rsid w:val="00825DC2"/>
    <w:rsid w:val="008266F6"/>
    <w:rsid w:val="00826878"/>
    <w:rsid w:val="00826DBA"/>
    <w:rsid w:val="008270B1"/>
    <w:rsid w:val="00827863"/>
    <w:rsid w:val="0083023B"/>
    <w:rsid w:val="008307BB"/>
    <w:rsid w:val="00830961"/>
    <w:rsid w:val="00830CDF"/>
    <w:rsid w:val="00830CF3"/>
    <w:rsid w:val="00831183"/>
    <w:rsid w:val="00831583"/>
    <w:rsid w:val="008318EE"/>
    <w:rsid w:val="008321DA"/>
    <w:rsid w:val="0083386C"/>
    <w:rsid w:val="00833BB1"/>
    <w:rsid w:val="008346F5"/>
    <w:rsid w:val="008347BE"/>
    <w:rsid w:val="00834AD3"/>
    <w:rsid w:val="0083590D"/>
    <w:rsid w:val="0083670E"/>
    <w:rsid w:val="008371C0"/>
    <w:rsid w:val="00837228"/>
    <w:rsid w:val="008411B3"/>
    <w:rsid w:val="008424A3"/>
    <w:rsid w:val="00842B1D"/>
    <w:rsid w:val="00842FC1"/>
    <w:rsid w:val="0084377D"/>
    <w:rsid w:val="00843795"/>
    <w:rsid w:val="0084397A"/>
    <w:rsid w:val="0084520B"/>
    <w:rsid w:val="00845BD9"/>
    <w:rsid w:val="00846A32"/>
    <w:rsid w:val="00846ABE"/>
    <w:rsid w:val="00847F0F"/>
    <w:rsid w:val="00850AF6"/>
    <w:rsid w:val="00850FC4"/>
    <w:rsid w:val="008512B8"/>
    <w:rsid w:val="00851C0D"/>
    <w:rsid w:val="00852448"/>
    <w:rsid w:val="00852487"/>
    <w:rsid w:val="00852523"/>
    <w:rsid w:val="00853A7A"/>
    <w:rsid w:val="008555FF"/>
    <w:rsid w:val="00855C49"/>
    <w:rsid w:val="00855EB9"/>
    <w:rsid w:val="00856289"/>
    <w:rsid w:val="008569FD"/>
    <w:rsid w:val="008577D8"/>
    <w:rsid w:val="00857C9E"/>
    <w:rsid w:val="00860004"/>
    <w:rsid w:val="0086085F"/>
    <w:rsid w:val="008614E3"/>
    <w:rsid w:val="00861A1B"/>
    <w:rsid w:val="00862033"/>
    <w:rsid w:val="0086240A"/>
    <w:rsid w:val="00862454"/>
    <w:rsid w:val="00863223"/>
    <w:rsid w:val="0086335E"/>
    <w:rsid w:val="00863B6E"/>
    <w:rsid w:val="00864388"/>
    <w:rsid w:val="00865DC0"/>
    <w:rsid w:val="008663A4"/>
    <w:rsid w:val="00866F4C"/>
    <w:rsid w:val="00867353"/>
    <w:rsid w:val="00867D0A"/>
    <w:rsid w:val="0087026F"/>
    <w:rsid w:val="00870757"/>
    <w:rsid w:val="00870996"/>
    <w:rsid w:val="00871D2C"/>
    <w:rsid w:val="00872270"/>
    <w:rsid w:val="00872983"/>
    <w:rsid w:val="0087323A"/>
    <w:rsid w:val="00873D50"/>
    <w:rsid w:val="00874816"/>
    <w:rsid w:val="0087522A"/>
    <w:rsid w:val="00875D4F"/>
    <w:rsid w:val="008763EA"/>
    <w:rsid w:val="0087671E"/>
    <w:rsid w:val="008767E3"/>
    <w:rsid w:val="008769FA"/>
    <w:rsid w:val="00876C56"/>
    <w:rsid w:val="00877F6C"/>
    <w:rsid w:val="008805AC"/>
    <w:rsid w:val="00880614"/>
    <w:rsid w:val="00880AC6"/>
    <w:rsid w:val="00880B4F"/>
    <w:rsid w:val="00880DC7"/>
    <w:rsid w:val="00880E15"/>
    <w:rsid w:val="008816EF"/>
    <w:rsid w:val="0088209C"/>
    <w:rsid w:val="008820C7"/>
    <w:rsid w:val="008821D4"/>
    <w:rsid w:val="0088258A"/>
    <w:rsid w:val="00882743"/>
    <w:rsid w:val="00882AFF"/>
    <w:rsid w:val="00884017"/>
    <w:rsid w:val="008842FA"/>
    <w:rsid w:val="008844C2"/>
    <w:rsid w:val="00884E20"/>
    <w:rsid w:val="008857C8"/>
    <w:rsid w:val="00885C3A"/>
    <w:rsid w:val="008862C2"/>
    <w:rsid w:val="00886332"/>
    <w:rsid w:val="008867B9"/>
    <w:rsid w:val="008870DD"/>
    <w:rsid w:val="00887458"/>
    <w:rsid w:val="0088762F"/>
    <w:rsid w:val="008878FE"/>
    <w:rsid w:val="00887B2E"/>
    <w:rsid w:val="00890A2F"/>
    <w:rsid w:val="00890B40"/>
    <w:rsid w:val="00891B27"/>
    <w:rsid w:val="00891B47"/>
    <w:rsid w:val="008925F0"/>
    <w:rsid w:val="00892615"/>
    <w:rsid w:val="00892F27"/>
    <w:rsid w:val="00893A27"/>
    <w:rsid w:val="00893CF1"/>
    <w:rsid w:val="00893E64"/>
    <w:rsid w:val="0089448A"/>
    <w:rsid w:val="00894BC8"/>
    <w:rsid w:val="00894F69"/>
    <w:rsid w:val="0089605F"/>
    <w:rsid w:val="008965B5"/>
    <w:rsid w:val="00897586"/>
    <w:rsid w:val="00897877"/>
    <w:rsid w:val="008979CD"/>
    <w:rsid w:val="008A0037"/>
    <w:rsid w:val="008A01F5"/>
    <w:rsid w:val="008A065D"/>
    <w:rsid w:val="008A0F0C"/>
    <w:rsid w:val="008A167B"/>
    <w:rsid w:val="008A210C"/>
    <w:rsid w:val="008A2170"/>
    <w:rsid w:val="008A26D9"/>
    <w:rsid w:val="008A2A08"/>
    <w:rsid w:val="008A3112"/>
    <w:rsid w:val="008A33F2"/>
    <w:rsid w:val="008A3690"/>
    <w:rsid w:val="008A36C9"/>
    <w:rsid w:val="008A36F5"/>
    <w:rsid w:val="008A4B19"/>
    <w:rsid w:val="008A5A0D"/>
    <w:rsid w:val="008A5A89"/>
    <w:rsid w:val="008A5AEC"/>
    <w:rsid w:val="008A5E42"/>
    <w:rsid w:val="008A647E"/>
    <w:rsid w:val="008A6967"/>
    <w:rsid w:val="008A6D6F"/>
    <w:rsid w:val="008A6DBE"/>
    <w:rsid w:val="008A7034"/>
    <w:rsid w:val="008A7840"/>
    <w:rsid w:val="008A7B5B"/>
    <w:rsid w:val="008A7D0C"/>
    <w:rsid w:val="008B0461"/>
    <w:rsid w:val="008B09BC"/>
    <w:rsid w:val="008B0A34"/>
    <w:rsid w:val="008B12D2"/>
    <w:rsid w:val="008B1B05"/>
    <w:rsid w:val="008B2DB5"/>
    <w:rsid w:val="008B2F60"/>
    <w:rsid w:val="008B3A31"/>
    <w:rsid w:val="008B5302"/>
    <w:rsid w:val="008B5F54"/>
    <w:rsid w:val="008B6044"/>
    <w:rsid w:val="008B6413"/>
    <w:rsid w:val="008B6C48"/>
    <w:rsid w:val="008C0C29"/>
    <w:rsid w:val="008C0EB1"/>
    <w:rsid w:val="008C0F89"/>
    <w:rsid w:val="008C1520"/>
    <w:rsid w:val="008C1EEC"/>
    <w:rsid w:val="008C1FF8"/>
    <w:rsid w:val="008C2E01"/>
    <w:rsid w:val="008C3E63"/>
    <w:rsid w:val="008C41F9"/>
    <w:rsid w:val="008C475C"/>
    <w:rsid w:val="008C5081"/>
    <w:rsid w:val="008C5AE2"/>
    <w:rsid w:val="008C5B89"/>
    <w:rsid w:val="008C5BB6"/>
    <w:rsid w:val="008C61CB"/>
    <w:rsid w:val="008C64FC"/>
    <w:rsid w:val="008C79ED"/>
    <w:rsid w:val="008D02DA"/>
    <w:rsid w:val="008D0470"/>
    <w:rsid w:val="008D11F9"/>
    <w:rsid w:val="008D2216"/>
    <w:rsid w:val="008D2463"/>
    <w:rsid w:val="008D3B43"/>
    <w:rsid w:val="008D4208"/>
    <w:rsid w:val="008D45B6"/>
    <w:rsid w:val="008D4F34"/>
    <w:rsid w:val="008D5622"/>
    <w:rsid w:val="008D63B1"/>
    <w:rsid w:val="008D7305"/>
    <w:rsid w:val="008D7598"/>
    <w:rsid w:val="008D76BC"/>
    <w:rsid w:val="008D7D8C"/>
    <w:rsid w:val="008E01A4"/>
    <w:rsid w:val="008E091C"/>
    <w:rsid w:val="008E28CB"/>
    <w:rsid w:val="008E2BF9"/>
    <w:rsid w:val="008E38DB"/>
    <w:rsid w:val="008E3A17"/>
    <w:rsid w:val="008E425C"/>
    <w:rsid w:val="008E46CD"/>
    <w:rsid w:val="008E65F1"/>
    <w:rsid w:val="008E67A5"/>
    <w:rsid w:val="008E7DBA"/>
    <w:rsid w:val="008F0829"/>
    <w:rsid w:val="008F092A"/>
    <w:rsid w:val="008F0ACB"/>
    <w:rsid w:val="008F1739"/>
    <w:rsid w:val="008F23CC"/>
    <w:rsid w:val="008F3489"/>
    <w:rsid w:val="008F3638"/>
    <w:rsid w:val="008F3DE6"/>
    <w:rsid w:val="008F3F7E"/>
    <w:rsid w:val="008F3FF7"/>
    <w:rsid w:val="008F4441"/>
    <w:rsid w:val="008F479E"/>
    <w:rsid w:val="008F4A09"/>
    <w:rsid w:val="008F4FF8"/>
    <w:rsid w:val="008F5304"/>
    <w:rsid w:val="008F5754"/>
    <w:rsid w:val="008F5B21"/>
    <w:rsid w:val="008F659A"/>
    <w:rsid w:val="008F6B20"/>
    <w:rsid w:val="008F6F31"/>
    <w:rsid w:val="008F74DF"/>
    <w:rsid w:val="008F7646"/>
    <w:rsid w:val="008F76A3"/>
    <w:rsid w:val="008F76DC"/>
    <w:rsid w:val="00900216"/>
    <w:rsid w:val="009007EB"/>
    <w:rsid w:val="00901731"/>
    <w:rsid w:val="0090210B"/>
    <w:rsid w:val="00902274"/>
    <w:rsid w:val="00903458"/>
    <w:rsid w:val="009035C7"/>
    <w:rsid w:val="009045B8"/>
    <w:rsid w:val="00904A1E"/>
    <w:rsid w:val="00904E99"/>
    <w:rsid w:val="009065F7"/>
    <w:rsid w:val="009069F0"/>
    <w:rsid w:val="009077D2"/>
    <w:rsid w:val="00907D6D"/>
    <w:rsid w:val="009106BD"/>
    <w:rsid w:val="009109F8"/>
    <w:rsid w:val="009110E6"/>
    <w:rsid w:val="009117CC"/>
    <w:rsid w:val="009127BA"/>
    <w:rsid w:val="00912F45"/>
    <w:rsid w:val="00913516"/>
    <w:rsid w:val="009136F8"/>
    <w:rsid w:val="009146F6"/>
    <w:rsid w:val="00914FC0"/>
    <w:rsid w:val="00915315"/>
    <w:rsid w:val="0091607F"/>
    <w:rsid w:val="00916FE5"/>
    <w:rsid w:val="00920AAE"/>
    <w:rsid w:val="0092160C"/>
    <w:rsid w:val="00921904"/>
    <w:rsid w:val="00921D0C"/>
    <w:rsid w:val="00921FC4"/>
    <w:rsid w:val="009227A6"/>
    <w:rsid w:val="00922AAC"/>
    <w:rsid w:val="00922ADA"/>
    <w:rsid w:val="00922E41"/>
    <w:rsid w:val="009231AD"/>
    <w:rsid w:val="00924769"/>
    <w:rsid w:val="009253AA"/>
    <w:rsid w:val="00925ED7"/>
    <w:rsid w:val="00926299"/>
    <w:rsid w:val="0092632E"/>
    <w:rsid w:val="00927F32"/>
    <w:rsid w:val="0093079B"/>
    <w:rsid w:val="00931AF6"/>
    <w:rsid w:val="00931EC7"/>
    <w:rsid w:val="009321D5"/>
    <w:rsid w:val="00932C60"/>
    <w:rsid w:val="00932DDB"/>
    <w:rsid w:val="00932E11"/>
    <w:rsid w:val="00933861"/>
    <w:rsid w:val="00933D2A"/>
    <w:rsid w:val="00933EC1"/>
    <w:rsid w:val="0093432F"/>
    <w:rsid w:val="00936C04"/>
    <w:rsid w:val="0093722C"/>
    <w:rsid w:val="00937E0E"/>
    <w:rsid w:val="00940196"/>
    <w:rsid w:val="0094082E"/>
    <w:rsid w:val="00940B0B"/>
    <w:rsid w:val="009415AB"/>
    <w:rsid w:val="00942AEF"/>
    <w:rsid w:val="00942FB7"/>
    <w:rsid w:val="009446AD"/>
    <w:rsid w:val="00944751"/>
    <w:rsid w:val="00945581"/>
    <w:rsid w:val="009465AA"/>
    <w:rsid w:val="009472D9"/>
    <w:rsid w:val="009473B6"/>
    <w:rsid w:val="00947A96"/>
    <w:rsid w:val="00947E7F"/>
    <w:rsid w:val="009505AB"/>
    <w:rsid w:val="00951413"/>
    <w:rsid w:val="009514F9"/>
    <w:rsid w:val="00952EB1"/>
    <w:rsid w:val="009530DB"/>
    <w:rsid w:val="0095338A"/>
    <w:rsid w:val="00953676"/>
    <w:rsid w:val="00953A99"/>
    <w:rsid w:val="009554A3"/>
    <w:rsid w:val="009562D3"/>
    <w:rsid w:val="009564EF"/>
    <w:rsid w:val="00956F30"/>
    <w:rsid w:val="009575DD"/>
    <w:rsid w:val="00960634"/>
    <w:rsid w:val="0096095C"/>
    <w:rsid w:val="00960A7E"/>
    <w:rsid w:val="00960DF2"/>
    <w:rsid w:val="0096184C"/>
    <w:rsid w:val="00961D80"/>
    <w:rsid w:val="00961D88"/>
    <w:rsid w:val="009625FE"/>
    <w:rsid w:val="0096274F"/>
    <w:rsid w:val="00962DC8"/>
    <w:rsid w:val="009633F5"/>
    <w:rsid w:val="009638F7"/>
    <w:rsid w:val="00963D0F"/>
    <w:rsid w:val="00964F69"/>
    <w:rsid w:val="00965D47"/>
    <w:rsid w:val="0096655D"/>
    <w:rsid w:val="00966C9A"/>
    <w:rsid w:val="009705EE"/>
    <w:rsid w:val="00970A0F"/>
    <w:rsid w:val="00972018"/>
    <w:rsid w:val="00972584"/>
    <w:rsid w:val="009725E0"/>
    <w:rsid w:val="009726B5"/>
    <w:rsid w:val="009738C6"/>
    <w:rsid w:val="009743E4"/>
    <w:rsid w:val="0097454B"/>
    <w:rsid w:val="0097588C"/>
    <w:rsid w:val="0097604D"/>
    <w:rsid w:val="00976902"/>
    <w:rsid w:val="00977873"/>
    <w:rsid w:val="00977927"/>
    <w:rsid w:val="00980318"/>
    <w:rsid w:val="009803E2"/>
    <w:rsid w:val="0098043D"/>
    <w:rsid w:val="0098135C"/>
    <w:rsid w:val="0098156A"/>
    <w:rsid w:val="009818B9"/>
    <w:rsid w:val="00981B37"/>
    <w:rsid w:val="00982DCF"/>
    <w:rsid w:val="00982EF2"/>
    <w:rsid w:val="00982F87"/>
    <w:rsid w:val="009846C2"/>
    <w:rsid w:val="009849EF"/>
    <w:rsid w:val="00984EA8"/>
    <w:rsid w:val="00985BCD"/>
    <w:rsid w:val="00985FDA"/>
    <w:rsid w:val="009860DD"/>
    <w:rsid w:val="00986239"/>
    <w:rsid w:val="00990594"/>
    <w:rsid w:val="00990BBC"/>
    <w:rsid w:val="00991BAC"/>
    <w:rsid w:val="00991CD1"/>
    <w:rsid w:val="009925B4"/>
    <w:rsid w:val="00992812"/>
    <w:rsid w:val="00993BCC"/>
    <w:rsid w:val="00993C0A"/>
    <w:rsid w:val="00994347"/>
    <w:rsid w:val="0099523A"/>
    <w:rsid w:val="00996542"/>
    <w:rsid w:val="009965E8"/>
    <w:rsid w:val="00996A01"/>
    <w:rsid w:val="00997307"/>
    <w:rsid w:val="0099757D"/>
    <w:rsid w:val="009977D6"/>
    <w:rsid w:val="009A04E4"/>
    <w:rsid w:val="009A0C46"/>
    <w:rsid w:val="009A13A0"/>
    <w:rsid w:val="009A155B"/>
    <w:rsid w:val="009A194E"/>
    <w:rsid w:val="009A1B9A"/>
    <w:rsid w:val="009A1DC4"/>
    <w:rsid w:val="009A1ED1"/>
    <w:rsid w:val="009A2304"/>
    <w:rsid w:val="009A32FA"/>
    <w:rsid w:val="009A3620"/>
    <w:rsid w:val="009A4754"/>
    <w:rsid w:val="009A4F86"/>
    <w:rsid w:val="009A5795"/>
    <w:rsid w:val="009A5F72"/>
    <w:rsid w:val="009A660B"/>
    <w:rsid w:val="009A6B32"/>
    <w:rsid w:val="009A6DB5"/>
    <w:rsid w:val="009A6E63"/>
    <w:rsid w:val="009A6EA0"/>
    <w:rsid w:val="009A6EFF"/>
    <w:rsid w:val="009A6F97"/>
    <w:rsid w:val="009B012F"/>
    <w:rsid w:val="009B03BC"/>
    <w:rsid w:val="009B058B"/>
    <w:rsid w:val="009B1A8B"/>
    <w:rsid w:val="009B4567"/>
    <w:rsid w:val="009B5892"/>
    <w:rsid w:val="009B65A1"/>
    <w:rsid w:val="009B65F7"/>
    <w:rsid w:val="009B6BA6"/>
    <w:rsid w:val="009B6CC8"/>
    <w:rsid w:val="009B7166"/>
    <w:rsid w:val="009B7CE7"/>
    <w:rsid w:val="009B7D55"/>
    <w:rsid w:val="009C0D6A"/>
    <w:rsid w:val="009C1335"/>
    <w:rsid w:val="009C18DA"/>
    <w:rsid w:val="009C1AB2"/>
    <w:rsid w:val="009C2AF6"/>
    <w:rsid w:val="009C3E5D"/>
    <w:rsid w:val="009C5E65"/>
    <w:rsid w:val="009C6974"/>
    <w:rsid w:val="009C69E8"/>
    <w:rsid w:val="009C7251"/>
    <w:rsid w:val="009C725F"/>
    <w:rsid w:val="009D0287"/>
    <w:rsid w:val="009D02E9"/>
    <w:rsid w:val="009D0598"/>
    <w:rsid w:val="009D0791"/>
    <w:rsid w:val="009D0901"/>
    <w:rsid w:val="009D1400"/>
    <w:rsid w:val="009D284C"/>
    <w:rsid w:val="009D2EBC"/>
    <w:rsid w:val="009D4AD6"/>
    <w:rsid w:val="009D555D"/>
    <w:rsid w:val="009D5C9D"/>
    <w:rsid w:val="009D65D9"/>
    <w:rsid w:val="009D6B66"/>
    <w:rsid w:val="009D70AE"/>
    <w:rsid w:val="009E03DE"/>
    <w:rsid w:val="009E1498"/>
    <w:rsid w:val="009E1A30"/>
    <w:rsid w:val="009E2786"/>
    <w:rsid w:val="009E2AF7"/>
    <w:rsid w:val="009E2E91"/>
    <w:rsid w:val="009E3CFD"/>
    <w:rsid w:val="009E6566"/>
    <w:rsid w:val="009E658F"/>
    <w:rsid w:val="009E6CD7"/>
    <w:rsid w:val="009E7512"/>
    <w:rsid w:val="009E7BA3"/>
    <w:rsid w:val="009F2A0D"/>
    <w:rsid w:val="009F2AF4"/>
    <w:rsid w:val="009F3D17"/>
    <w:rsid w:val="009F4DEE"/>
    <w:rsid w:val="009F51BA"/>
    <w:rsid w:val="009F5BD9"/>
    <w:rsid w:val="009F6102"/>
    <w:rsid w:val="009F6606"/>
    <w:rsid w:val="009F72E1"/>
    <w:rsid w:val="009F7701"/>
    <w:rsid w:val="009F7964"/>
    <w:rsid w:val="009F7D79"/>
    <w:rsid w:val="009F7FF5"/>
    <w:rsid w:val="00A00270"/>
    <w:rsid w:val="00A00524"/>
    <w:rsid w:val="00A00856"/>
    <w:rsid w:val="00A008DE"/>
    <w:rsid w:val="00A00E9A"/>
    <w:rsid w:val="00A0117D"/>
    <w:rsid w:val="00A01B40"/>
    <w:rsid w:val="00A03E01"/>
    <w:rsid w:val="00A04595"/>
    <w:rsid w:val="00A047AF"/>
    <w:rsid w:val="00A06708"/>
    <w:rsid w:val="00A06793"/>
    <w:rsid w:val="00A0685C"/>
    <w:rsid w:val="00A06FC0"/>
    <w:rsid w:val="00A1024E"/>
    <w:rsid w:val="00A10EF8"/>
    <w:rsid w:val="00A1108F"/>
    <w:rsid w:val="00A11471"/>
    <w:rsid w:val="00A11807"/>
    <w:rsid w:val="00A12FF1"/>
    <w:rsid w:val="00A1391D"/>
    <w:rsid w:val="00A139E5"/>
    <w:rsid w:val="00A139F5"/>
    <w:rsid w:val="00A151F1"/>
    <w:rsid w:val="00A1522D"/>
    <w:rsid w:val="00A16C03"/>
    <w:rsid w:val="00A16EB2"/>
    <w:rsid w:val="00A17549"/>
    <w:rsid w:val="00A178BF"/>
    <w:rsid w:val="00A17D31"/>
    <w:rsid w:val="00A210D1"/>
    <w:rsid w:val="00A21F50"/>
    <w:rsid w:val="00A22E92"/>
    <w:rsid w:val="00A2311D"/>
    <w:rsid w:val="00A23FF1"/>
    <w:rsid w:val="00A247AE"/>
    <w:rsid w:val="00A25296"/>
    <w:rsid w:val="00A256B1"/>
    <w:rsid w:val="00A26085"/>
    <w:rsid w:val="00A268AF"/>
    <w:rsid w:val="00A27745"/>
    <w:rsid w:val="00A31938"/>
    <w:rsid w:val="00A3217A"/>
    <w:rsid w:val="00A32E16"/>
    <w:rsid w:val="00A32EE9"/>
    <w:rsid w:val="00A333C3"/>
    <w:rsid w:val="00A33D3A"/>
    <w:rsid w:val="00A33F6A"/>
    <w:rsid w:val="00A34211"/>
    <w:rsid w:val="00A342FA"/>
    <w:rsid w:val="00A35266"/>
    <w:rsid w:val="00A358EA"/>
    <w:rsid w:val="00A35993"/>
    <w:rsid w:val="00A35DC3"/>
    <w:rsid w:val="00A36274"/>
    <w:rsid w:val="00A365F4"/>
    <w:rsid w:val="00A37376"/>
    <w:rsid w:val="00A37764"/>
    <w:rsid w:val="00A37B04"/>
    <w:rsid w:val="00A406C6"/>
    <w:rsid w:val="00A40848"/>
    <w:rsid w:val="00A4135F"/>
    <w:rsid w:val="00A414AE"/>
    <w:rsid w:val="00A416DE"/>
    <w:rsid w:val="00A4171A"/>
    <w:rsid w:val="00A41BFB"/>
    <w:rsid w:val="00A42373"/>
    <w:rsid w:val="00A4297A"/>
    <w:rsid w:val="00A42CE0"/>
    <w:rsid w:val="00A435BF"/>
    <w:rsid w:val="00A438FA"/>
    <w:rsid w:val="00A43B24"/>
    <w:rsid w:val="00A43D01"/>
    <w:rsid w:val="00A453CD"/>
    <w:rsid w:val="00A45539"/>
    <w:rsid w:val="00A45D08"/>
    <w:rsid w:val="00A45F2F"/>
    <w:rsid w:val="00A462EA"/>
    <w:rsid w:val="00A4720D"/>
    <w:rsid w:val="00A473A8"/>
    <w:rsid w:val="00A477FC"/>
    <w:rsid w:val="00A47D80"/>
    <w:rsid w:val="00A50825"/>
    <w:rsid w:val="00A50A9C"/>
    <w:rsid w:val="00A51507"/>
    <w:rsid w:val="00A51AD9"/>
    <w:rsid w:val="00A51B1D"/>
    <w:rsid w:val="00A5238F"/>
    <w:rsid w:val="00A5268B"/>
    <w:rsid w:val="00A53132"/>
    <w:rsid w:val="00A53399"/>
    <w:rsid w:val="00A53AD6"/>
    <w:rsid w:val="00A53CD5"/>
    <w:rsid w:val="00A55017"/>
    <w:rsid w:val="00A55971"/>
    <w:rsid w:val="00A55A98"/>
    <w:rsid w:val="00A563F2"/>
    <w:rsid w:val="00A566E8"/>
    <w:rsid w:val="00A569FB"/>
    <w:rsid w:val="00A57360"/>
    <w:rsid w:val="00A57451"/>
    <w:rsid w:val="00A57663"/>
    <w:rsid w:val="00A576CA"/>
    <w:rsid w:val="00A57F29"/>
    <w:rsid w:val="00A57F66"/>
    <w:rsid w:val="00A60106"/>
    <w:rsid w:val="00A61112"/>
    <w:rsid w:val="00A6139F"/>
    <w:rsid w:val="00A61612"/>
    <w:rsid w:val="00A61821"/>
    <w:rsid w:val="00A61969"/>
    <w:rsid w:val="00A624A2"/>
    <w:rsid w:val="00A6329E"/>
    <w:rsid w:val="00A63694"/>
    <w:rsid w:val="00A63A9E"/>
    <w:rsid w:val="00A6401C"/>
    <w:rsid w:val="00A66347"/>
    <w:rsid w:val="00A66919"/>
    <w:rsid w:val="00A66A76"/>
    <w:rsid w:val="00A67859"/>
    <w:rsid w:val="00A709A4"/>
    <w:rsid w:val="00A71388"/>
    <w:rsid w:val="00A71DCD"/>
    <w:rsid w:val="00A73727"/>
    <w:rsid w:val="00A74612"/>
    <w:rsid w:val="00A7490E"/>
    <w:rsid w:val="00A75105"/>
    <w:rsid w:val="00A751AB"/>
    <w:rsid w:val="00A758AC"/>
    <w:rsid w:val="00A75AB3"/>
    <w:rsid w:val="00A770E9"/>
    <w:rsid w:val="00A810F9"/>
    <w:rsid w:val="00A81918"/>
    <w:rsid w:val="00A81ABE"/>
    <w:rsid w:val="00A82D31"/>
    <w:rsid w:val="00A835F1"/>
    <w:rsid w:val="00A83999"/>
    <w:rsid w:val="00A841BA"/>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18FB"/>
    <w:rsid w:val="00A92009"/>
    <w:rsid w:val="00A923DE"/>
    <w:rsid w:val="00A93025"/>
    <w:rsid w:val="00A93FD5"/>
    <w:rsid w:val="00A94BC2"/>
    <w:rsid w:val="00A952A9"/>
    <w:rsid w:val="00A954B6"/>
    <w:rsid w:val="00A95DF2"/>
    <w:rsid w:val="00A96761"/>
    <w:rsid w:val="00A971E5"/>
    <w:rsid w:val="00A9741D"/>
    <w:rsid w:val="00A9743C"/>
    <w:rsid w:val="00AA039F"/>
    <w:rsid w:val="00AA055D"/>
    <w:rsid w:val="00AA2059"/>
    <w:rsid w:val="00AA2622"/>
    <w:rsid w:val="00AA272C"/>
    <w:rsid w:val="00AA3056"/>
    <w:rsid w:val="00AA3717"/>
    <w:rsid w:val="00AA3853"/>
    <w:rsid w:val="00AA47E5"/>
    <w:rsid w:val="00AA4992"/>
    <w:rsid w:val="00AA4B66"/>
    <w:rsid w:val="00AA5570"/>
    <w:rsid w:val="00AA56D2"/>
    <w:rsid w:val="00AA56DC"/>
    <w:rsid w:val="00AA5D41"/>
    <w:rsid w:val="00AA6E32"/>
    <w:rsid w:val="00AA6ED8"/>
    <w:rsid w:val="00AA710D"/>
    <w:rsid w:val="00AB0091"/>
    <w:rsid w:val="00AB05D2"/>
    <w:rsid w:val="00AB0D16"/>
    <w:rsid w:val="00AB0D29"/>
    <w:rsid w:val="00AB0F8A"/>
    <w:rsid w:val="00AB16E1"/>
    <w:rsid w:val="00AB1AF7"/>
    <w:rsid w:val="00AB2042"/>
    <w:rsid w:val="00AB2832"/>
    <w:rsid w:val="00AB31A1"/>
    <w:rsid w:val="00AB384E"/>
    <w:rsid w:val="00AB458A"/>
    <w:rsid w:val="00AB5C8B"/>
    <w:rsid w:val="00AB5DF2"/>
    <w:rsid w:val="00AB64F3"/>
    <w:rsid w:val="00AB6917"/>
    <w:rsid w:val="00AB6D25"/>
    <w:rsid w:val="00AB6DB3"/>
    <w:rsid w:val="00AB6ECF"/>
    <w:rsid w:val="00AB71E3"/>
    <w:rsid w:val="00AB73B3"/>
    <w:rsid w:val="00AB751E"/>
    <w:rsid w:val="00AB7695"/>
    <w:rsid w:val="00AC0498"/>
    <w:rsid w:val="00AC07A8"/>
    <w:rsid w:val="00AC0E9E"/>
    <w:rsid w:val="00AC185F"/>
    <w:rsid w:val="00AC2206"/>
    <w:rsid w:val="00AC247A"/>
    <w:rsid w:val="00AC48D8"/>
    <w:rsid w:val="00AC57F2"/>
    <w:rsid w:val="00AC5A7D"/>
    <w:rsid w:val="00AC67DF"/>
    <w:rsid w:val="00AC6852"/>
    <w:rsid w:val="00AC7C0E"/>
    <w:rsid w:val="00AD026A"/>
    <w:rsid w:val="00AD0AD9"/>
    <w:rsid w:val="00AD0E56"/>
    <w:rsid w:val="00AD1045"/>
    <w:rsid w:val="00AD1622"/>
    <w:rsid w:val="00AD1CA5"/>
    <w:rsid w:val="00AD1FD7"/>
    <w:rsid w:val="00AD2869"/>
    <w:rsid w:val="00AD3680"/>
    <w:rsid w:val="00AD393A"/>
    <w:rsid w:val="00AD41D7"/>
    <w:rsid w:val="00AD5020"/>
    <w:rsid w:val="00AD50F9"/>
    <w:rsid w:val="00AD5DBB"/>
    <w:rsid w:val="00AD6DE5"/>
    <w:rsid w:val="00AD791E"/>
    <w:rsid w:val="00AE01E2"/>
    <w:rsid w:val="00AE0304"/>
    <w:rsid w:val="00AE229B"/>
    <w:rsid w:val="00AE238B"/>
    <w:rsid w:val="00AE2633"/>
    <w:rsid w:val="00AE2AAE"/>
    <w:rsid w:val="00AE2D42"/>
    <w:rsid w:val="00AE2D4B"/>
    <w:rsid w:val="00AE3AC3"/>
    <w:rsid w:val="00AE3EC1"/>
    <w:rsid w:val="00AE43F0"/>
    <w:rsid w:val="00AE45F2"/>
    <w:rsid w:val="00AE4B0D"/>
    <w:rsid w:val="00AE4F99"/>
    <w:rsid w:val="00AE575A"/>
    <w:rsid w:val="00AE5CAE"/>
    <w:rsid w:val="00AE6E54"/>
    <w:rsid w:val="00AE6F54"/>
    <w:rsid w:val="00AF06C3"/>
    <w:rsid w:val="00AF07DB"/>
    <w:rsid w:val="00AF13DF"/>
    <w:rsid w:val="00AF1889"/>
    <w:rsid w:val="00AF1946"/>
    <w:rsid w:val="00AF2D58"/>
    <w:rsid w:val="00AF3AAC"/>
    <w:rsid w:val="00AF3C12"/>
    <w:rsid w:val="00AF4279"/>
    <w:rsid w:val="00AF572E"/>
    <w:rsid w:val="00AF5B24"/>
    <w:rsid w:val="00AF620C"/>
    <w:rsid w:val="00AF671B"/>
    <w:rsid w:val="00AF6769"/>
    <w:rsid w:val="00AF6D7C"/>
    <w:rsid w:val="00AF7E11"/>
    <w:rsid w:val="00AF7F9B"/>
    <w:rsid w:val="00B00EA1"/>
    <w:rsid w:val="00B0175B"/>
    <w:rsid w:val="00B020C6"/>
    <w:rsid w:val="00B0220C"/>
    <w:rsid w:val="00B039DA"/>
    <w:rsid w:val="00B047FB"/>
    <w:rsid w:val="00B06DB7"/>
    <w:rsid w:val="00B07614"/>
    <w:rsid w:val="00B0767F"/>
    <w:rsid w:val="00B1081C"/>
    <w:rsid w:val="00B10D1B"/>
    <w:rsid w:val="00B11194"/>
    <w:rsid w:val="00B1131E"/>
    <w:rsid w:val="00B11AAE"/>
    <w:rsid w:val="00B11B46"/>
    <w:rsid w:val="00B11B69"/>
    <w:rsid w:val="00B128B7"/>
    <w:rsid w:val="00B12B29"/>
    <w:rsid w:val="00B13801"/>
    <w:rsid w:val="00B13871"/>
    <w:rsid w:val="00B1438D"/>
    <w:rsid w:val="00B143A7"/>
    <w:rsid w:val="00B143E7"/>
    <w:rsid w:val="00B14952"/>
    <w:rsid w:val="00B15215"/>
    <w:rsid w:val="00B1589E"/>
    <w:rsid w:val="00B15CCF"/>
    <w:rsid w:val="00B15F36"/>
    <w:rsid w:val="00B16072"/>
    <w:rsid w:val="00B16102"/>
    <w:rsid w:val="00B165E0"/>
    <w:rsid w:val="00B16871"/>
    <w:rsid w:val="00B16AE8"/>
    <w:rsid w:val="00B1709E"/>
    <w:rsid w:val="00B179C0"/>
    <w:rsid w:val="00B206F9"/>
    <w:rsid w:val="00B20C43"/>
    <w:rsid w:val="00B21148"/>
    <w:rsid w:val="00B213CA"/>
    <w:rsid w:val="00B213EA"/>
    <w:rsid w:val="00B21769"/>
    <w:rsid w:val="00B21DC2"/>
    <w:rsid w:val="00B2230A"/>
    <w:rsid w:val="00B230EA"/>
    <w:rsid w:val="00B237EB"/>
    <w:rsid w:val="00B23D94"/>
    <w:rsid w:val="00B25B45"/>
    <w:rsid w:val="00B26396"/>
    <w:rsid w:val="00B268B9"/>
    <w:rsid w:val="00B276A0"/>
    <w:rsid w:val="00B27949"/>
    <w:rsid w:val="00B27EAD"/>
    <w:rsid w:val="00B300A4"/>
    <w:rsid w:val="00B30A09"/>
    <w:rsid w:val="00B30C2C"/>
    <w:rsid w:val="00B30C69"/>
    <w:rsid w:val="00B30D3F"/>
    <w:rsid w:val="00B31344"/>
    <w:rsid w:val="00B31924"/>
    <w:rsid w:val="00B31E5A"/>
    <w:rsid w:val="00B31F8E"/>
    <w:rsid w:val="00B31FD0"/>
    <w:rsid w:val="00B32B01"/>
    <w:rsid w:val="00B32DDA"/>
    <w:rsid w:val="00B3376A"/>
    <w:rsid w:val="00B33B07"/>
    <w:rsid w:val="00B3457F"/>
    <w:rsid w:val="00B345B2"/>
    <w:rsid w:val="00B35077"/>
    <w:rsid w:val="00B3553F"/>
    <w:rsid w:val="00B35E97"/>
    <w:rsid w:val="00B36F54"/>
    <w:rsid w:val="00B37496"/>
    <w:rsid w:val="00B37726"/>
    <w:rsid w:val="00B37883"/>
    <w:rsid w:val="00B400E0"/>
    <w:rsid w:val="00B405D7"/>
    <w:rsid w:val="00B4076C"/>
    <w:rsid w:val="00B40977"/>
    <w:rsid w:val="00B41180"/>
    <w:rsid w:val="00B41290"/>
    <w:rsid w:val="00B41313"/>
    <w:rsid w:val="00B4132F"/>
    <w:rsid w:val="00B41CDE"/>
    <w:rsid w:val="00B432FE"/>
    <w:rsid w:val="00B4400E"/>
    <w:rsid w:val="00B445E4"/>
    <w:rsid w:val="00B45382"/>
    <w:rsid w:val="00B47359"/>
    <w:rsid w:val="00B47A4F"/>
    <w:rsid w:val="00B47FAE"/>
    <w:rsid w:val="00B5021F"/>
    <w:rsid w:val="00B502D5"/>
    <w:rsid w:val="00B50BC2"/>
    <w:rsid w:val="00B50E37"/>
    <w:rsid w:val="00B52235"/>
    <w:rsid w:val="00B54423"/>
    <w:rsid w:val="00B551F7"/>
    <w:rsid w:val="00B55E7E"/>
    <w:rsid w:val="00B562B1"/>
    <w:rsid w:val="00B564AE"/>
    <w:rsid w:val="00B564FE"/>
    <w:rsid w:val="00B5680D"/>
    <w:rsid w:val="00B574EE"/>
    <w:rsid w:val="00B576B8"/>
    <w:rsid w:val="00B600F7"/>
    <w:rsid w:val="00B60A52"/>
    <w:rsid w:val="00B6158A"/>
    <w:rsid w:val="00B6196F"/>
    <w:rsid w:val="00B62299"/>
    <w:rsid w:val="00B623F0"/>
    <w:rsid w:val="00B62D53"/>
    <w:rsid w:val="00B63346"/>
    <w:rsid w:val="00B6359E"/>
    <w:rsid w:val="00B63A89"/>
    <w:rsid w:val="00B63E08"/>
    <w:rsid w:val="00B65235"/>
    <w:rsid w:val="00B653AB"/>
    <w:rsid w:val="00B658DC"/>
    <w:rsid w:val="00B65F9E"/>
    <w:rsid w:val="00B65FCA"/>
    <w:rsid w:val="00B663BB"/>
    <w:rsid w:val="00B66457"/>
    <w:rsid w:val="00B66978"/>
    <w:rsid w:val="00B66B19"/>
    <w:rsid w:val="00B702C9"/>
    <w:rsid w:val="00B7087E"/>
    <w:rsid w:val="00B715AF"/>
    <w:rsid w:val="00B7386E"/>
    <w:rsid w:val="00B752AC"/>
    <w:rsid w:val="00B75B14"/>
    <w:rsid w:val="00B75FE5"/>
    <w:rsid w:val="00B76F10"/>
    <w:rsid w:val="00B774B8"/>
    <w:rsid w:val="00B77C28"/>
    <w:rsid w:val="00B800E1"/>
    <w:rsid w:val="00B8107A"/>
    <w:rsid w:val="00B81793"/>
    <w:rsid w:val="00B818D4"/>
    <w:rsid w:val="00B81B63"/>
    <w:rsid w:val="00B81B82"/>
    <w:rsid w:val="00B81F4C"/>
    <w:rsid w:val="00B821D1"/>
    <w:rsid w:val="00B82CFF"/>
    <w:rsid w:val="00B832B4"/>
    <w:rsid w:val="00B844FF"/>
    <w:rsid w:val="00B84C43"/>
    <w:rsid w:val="00B84D98"/>
    <w:rsid w:val="00B85292"/>
    <w:rsid w:val="00B85AB3"/>
    <w:rsid w:val="00B86F78"/>
    <w:rsid w:val="00B900C5"/>
    <w:rsid w:val="00B90815"/>
    <w:rsid w:val="00B914E9"/>
    <w:rsid w:val="00B91C75"/>
    <w:rsid w:val="00B9204C"/>
    <w:rsid w:val="00B92F1D"/>
    <w:rsid w:val="00B93027"/>
    <w:rsid w:val="00B933F5"/>
    <w:rsid w:val="00B93EC4"/>
    <w:rsid w:val="00B9530F"/>
    <w:rsid w:val="00B9552A"/>
    <w:rsid w:val="00B9566B"/>
    <w:rsid w:val="00B956EE"/>
    <w:rsid w:val="00B95DE8"/>
    <w:rsid w:val="00B965FA"/>
    <w:rsid w:val="00B96B09"/>
    <w:rsid w:val="00B9780E"/>
    <w:rsid w:val="00B97D19"/>
    <w:rsid w:val="00B97E44"/>
    <w:rsid w:val="00BA0730"/>
    <w:rsid w:val="00BA0EF6"/>
    <w:rsid w:val="00BA256D"/>
    <w:rsid w:val="00BA25E9"/>
    <w:rsid w:val="00BA2BA1"/>
    <w:rsid w:val="00BA2F13"/>
    <w:rsid w:val="00BA3134"/>
    <w:rsid w:val="00BA3447"/>
    <w:rsid w:val="00BA3562"/>
    <w:rsid w:val="00BA4300"/>
    <w:rsid w:val="00BA4606"/>
    <w:rsid w:val="00BA4B32"/>
    <w:rsid w:val="00BA5003"/>
    <w:rsid w:val="00BA590F"/>
    <w:rsid w:val="00BA5961"/>
    <w:rsid w:val="00BA6577"/>
    <w:rsid w:val="00BA6A71"/>
    <w:rsid w:val="00BA6BC2"/>
    <w:rsid w:val="00BB0223"/>
    <w:rsid w:val="00BB09A5"/>
    <w:rsid w:val="00BB0C49"/>
    <w:rsid w:val="00BB186F"/>
    <w:rsid w:val="00BB18ED"/>
    <w:rsid w:val="00BB2284"/>
    <w:rsid w:val="00BB24E0"/>
    <w:rsid w:val="00BB2625"/>
    <w:rsid w:val="00BB2FAF"/>
    <w:rsid w:val="00BB3FF8"/>
    <w:rsid w:val="00BB4872"/>
    <w:rsid w:val="00BB4F09"/>
    <w:rsid w:val="00BB54B5"/>
    <w:rsid w:val="00BB56AB"/>
    <w:rsid w:val="00BB56FE"/>
    <w:rsid w:val="00BB5FF3"/>
    <w:rsid w:val="00BB6872"/>
    <w:rsid w:val="00BB7ECA"/>
    <w:rsid w:val="00BC0F19"/>
    <w:rsid w:val="00BC11CA"/>
    <w:rsid w:val="00BC239B"/>
    <w:rsid w:val="00BC34BE"/>
    <w:rsid w:val="00BC3590"/>
    <w:rsid w:val="00BC3917"/>
    <w:rsid w:val="00BC4484"/>
    <w:rsid w:val="00BC59BF"/>
    <w:rsid w:val="00BC5A86"/>
    <w:rsid w:val="00BC627F"/>
    <w:rsid w:val="00BC65D1"/>
    <w:rsid w:val="00BC6764"/>
    <w:rsid w:val="00BC67CD"/>
    <w:rsid w:val="00BD056B"/>
    <w:rsid w:val="00BD071D"/>
    <w:rsid w:val="00BD12D4"/>
    <w:rsid w:val="00BD1ACA"/>
    <w:rsid w:val="00BD1FEF"/>
    <w:rsid w:val="00BD2320"/>
    <w:rsid w:val="00BD2D56"/>
    <w:rsid w:val="00BD3D98"/>
    <w:rsid w:val="00BD4E33"/>
    <w:rsid w:val="00BD5836"/>
    <w:rsid w:val="00BD5C9F"/>
    <w:rsid w:val="00BD6163"/>
    <w:rsid w:val="00BD691A"/>
    <w:rsid w:val="00BD7307"/>
    <w:rsid w:val="00BD759A"/>
    <w:rsid w:val="00BD7D22"/>
    <w:rsid w:val="00BD7D88"/>
    <w:rsid w:val="00BE04E3"/>
    <w:rsid w:val="00BE1182"/>
    <w:rsid w:val="00BE1CE3"/>
    <w:rsid w:val="00BE2169"/>
    <w:rsid w:val="00BE2512"/>
    <w:rsid w:val="00BE2AD2"/>
    <w:rsid w:val="00BE321F"/>
    <w:rsid w:val="00BE331C"/>
    <w:rsid w:val="00BE3396"/>
    <w:rsid w:val="00BE460B"/>
    <w:rsid w:val="00BE5266"/>
    <w:rsid w:val="00BE5C25"/>
    <w:rsid w:val="00BE6B8E"/>
    <w:rsid w:val="00BF088E"/>
    <w:rsid w:val="00BF1F06"/>
    <w:rsid w:val="00BF24C5"/>
    <w:rsid w:val="00BF301C"/>
    <w:rsid w:val="00BF3217"/>
    <w:rsid w:val="00BF3E91"/>
    <w:rsid w:val="00BF4921"/>
    <w:rsid w:val="00BF4E5A"/>
    <w:rsid w:val="00BF4FD5"/>
    <w:rsid w:val="00BF5A78"/>
    <w:rsid w:val="00BF7127"/>
    <w:rsid w:val="00BF7476"/>
    <w:rsid w:val="00BF748F"/>
    <w:rsid w:val="00BF770A"/>
    <w:rsid w:val="00C000F7"/>
    <w:rsid w:val="00C00535"/>
    <w:rsid w:val="00C020D3"/>
    <w:rsid w:val="00C02194"/>
    <w:rsid w:val="00C02A08"/>
    <w:rsid w:val="00C03034"/>
    <w:rsid w:val="00C030DE"/>
    <w:rsid w:val="00C03401"/>
    <w:rsid w:val="00C0419A"/>
    <w:rsid w:val="00C047DB"/>
    <w:rsid w:val="00C04C75"/>
    <w:rsid w:val="00C04D84"/>
    <w:rsid w:val="00C04E12"/>
    <w:rsid w:val="00C051A8"/>
    <w:rsid w:val="00C05A29"/>
    <w:rsid w:val="00C05C2A"/>
    <w:rsid w:val="00C06FD8"/>
    <w:rsid w:val="00C10051"/>
    <w:rsid w:val="00C11912"/>
    <w:rsid w:val="00C12313"/>
    <w:rsid w:val="00C12B20"/>
    <w:rsid w:val="00C13EC4"/>
    <w:rsid w:val="00C14DB1"/>
    <w:rsid w:val="00C1500D"/>
    <w:rsid w:val="00C153D5"/>
    <w:rsid w:val="00C16450"/>
    <w:rsid w:val="00C17346"/>
    <w:rsid w:val="00C17830"/>
    <w:rsid w:val="00C17929"/>
    <w:rsid w:val="00C17A11"/>
    <w:rsid w:val="00C205EB"/>
    <w:rsid w:val="00C20DD6"/>
    <w:rsid w:val="00C20FC6"/>
    <w:rsid w:val="00C22105"/>
    <w:rsid w:val="00C2366D"/>
    <w:rsid w:val="00C24042"/>
    <w:rsid w:val="00C244B6"/>
    <w:rsid w:val="00C24CDC"/>
    <w:rsid w:val="00C25405"/>
    <w:rsid w:val="00C258CF"/>
    <w:rsid w:val="00C25A5C"/>
    <w:rsid w:val="00C261D4"/>
    <w:rsid w:val="00C26B4A"/>
    <w:rsid w:val="00C27BD3"/>
    <w:rsid w:val="00C27BF1"/>
    <w:rsid w:val="00C27C30"/>
    <w:rsid w:val="00C300D5"/>
    <w:rsid w:val="00C30390"/>
    <w:rsid w:val="00C3079B"/>
    <w:rsid w:val="00C30B83"/>
    <w:rsid w:val="00C30F28"/>
    <w:rsid w:val="00C31205"/>
    <w:rsid w:val="00C315A8"/>
    <w:rsid w:val="00C341C4"/>
    <w:rsid w:val="00C34636"/>
    <w:rsid w:val="00C35195"/>
    <w:rsid w:val="00C35233"/>
    <w:rsid w:val="00C35913"/>
    <w:rsid w:val="00C36D98"/>
    <w:rsid w:val="00C3702F"/>
    <w:rsid w:val="00C375BE"/>
    <w:rsid w:val="00C37A88"/>
    <w:rsid w:val="00C37DA1"/>
    <w:rsid w:val="00C4074F"/>
    <w:rsid w:val="00C40DA4"/>
    <w:rsid w:val="00C417D7"/>
    <w:rsid w:val="00C42C60"/>
    <w:rsid w:val="00C42FB3"/>
    <w:rsid w:val="00C44105"/>
    <w:rsid w:val="00C44997"/>
    <w:rsid w:val="00C4500A"/>
    <w:rsid w:val="00C45AFC"/>
    <w:rsid w:val="00C50490"/>
    <w:rsid w:val="00C50831"/>
    <w:rsid w:val="00C50F0E"/>
    <w:rsid w:val="00C52941"/>
    <w:rsid w:val="00C53AAF"/>
    <w:rsid w:val="00C53DC1"/>
    <w:rsid w:val="00C55406"/>
    <w:rsid w:val="00C56070"/>
    <w:rsid w:val="00C56B52"/>
    <w:rsid w:val="00C575BC"/>
    <w:rsid w:val="00C575E7"/>
    <w:rsid w:val="00C579AE"/>
    <w:rsid w:val="00C57BF7"/>
    <w:rsid w:val="00C57E16"/>
    <w:rsid w:val="00C57E86"/>
    <w:rsid w:val="00C60B0A"/>
    <w:rsid w:val="00C61C69"/>
    <w:rsid w:val="00C6212F"/>
    <w:rsid w:val="00C62238"/>
    <w:rsid w:val="00C63583"/>
    <w:rsid w:val="00C644B1"/>
    <w:rsid w:val="00C64748"/>
    <w:rsid w:val="00C64A37"/>
    <w:rsid w:val="00C64F9F"/>
    <w:rsid w:val="00C650F1"/>
    <w:rsid w:val="00C653FE"/>
    <w:rsid w:val="00C659BB"/>
    <w:rsid w:val="00C66664"/>
    <w:rsid w:val="00C67595"/>
    <w:rsid w:val="00C7044B"/>
    <w:rsid w:val="00C7158E"/>
    <w:rsid w:val="00C718C9"/>
    <w:rsid w:val="00C71A30"/>
    <w:rsid w:val="00C7250B"/>
    <w:rsid w:val="00C72A6F"/>
    <w:rsid w:val="00C7346B"/>
    <w:rsid w:val="00C745E8"/>
    <w:rsid w:val="00C7551E"/>
    <w:rsid w:val="00C76967"/>
    <w:rsid w:val="00C77C0E"/>
    <w:rsid w:val="00C77CF0"/>
    <w:rsid w:val="00C80995"/>
    <w:rsid w:val="00C81AB0"/>
    <w:rsid w:val="00C8217A"/>
    <w:rsid w:val="00C82206"/>
    <w:rsid w:val="00C830D7"/>
    <w:rsid w:val="00C83460"/>
    <w:rsid w:val="00C84B47"/>
    <w:rsid w:val="00C8630D"/>
    <w:rsid w:val="00C86572"/>
    <w:rsid w:val="00C865B5"/>
    <w:rsid w:val="00C87E61"/>
    <w:rsid w:val="00C90638"/>
    <w:rsid w:val="00C90D70"/>
    <w:rsid w:val="00C9135C"/>
    <w:rsid w:val="00C913B4"/>
    <w:rsid w:val="00C91454"/>
    <w:rsid w:val="00C914ED"/>
    <w:rsid w:val="00C91687"/>
    <w:rsid w:val="00C91B10"/>
    <w:rsid w:val="00C91D6C"/>
    <w:rsid w:val="00C920B7"/>
    <w:rsid w:val="00C922C3"/>
    <w:rsid w:val="00C924A8"/>
    <w:rsid w:val="00C93D0F"/>
    <w:rsid w:val="00C93F97"/>
    <w:rsid w:val="00C945FE"/>
    <w:rsid w:val="00C94E24"/>
    <w:rsid w:val="00C95833"/>
    <w:rsid w:val="00C9610E"/>
    <w:rsid w:val="00C9634E"/>
    <w:rsid w:val="00C96FAA"/>
    <w:rsid w:val="00C97A04"/>
    <w:rsid w:val="00C97BFF"/>
    <w:rsid w:val="00CA0D4B"/>
    <w:rsid w:val="00CA107B"/>
    <w:rsid w:val="00CA109B"/>
    <w:rsid w:val="00CA182F"/>
    <w:rsid w:val="00CA1D3F"/>
    <w:rsid w:val="00CA216A"/>
    <w:rsid w:val="00CA24F2"/>
    <w:rsid w:val="00CA334D"/>
    <w:rsid w:val="00CA33B9"/>
    <w:rsid w:val="00CA3871"/>
    <w:rsid w:val="00CA3C14"/>
    <w:rsid w:val="00CA3E0F"/>
    <w:rsid w:val="00CA484D"/>
    <w:rsid w:val="00CA4CCA"/>
    <w:rsid w:val="00CA4F61"/>
    <w:rsid w:val="00CA4FB6"/>
    <w:rsid w:val="00CA5897"/>
    <w:rsid w:val="00CA65B1"/>
    <w:rsid w:val="00CA71D4"/>
    <w:rsid w:val="00CA7586"/>
    <w:rsid w:val="00CB011D"/>
    <w:rsid w:val="00CB1838"/>
    <w:rsid w:val="00CB1FDE"/>
    <w:rsid w:val="00CB202E"/>
    <w:rsid w:val="00CB29E5"/>
    <w:rsid w:val="00CB2F90"/>
    <w:rsid w:val="00CB3F98"/>
    <w:rsid w:val="00CB655C"/>
    <w:rsid w:val="00CB6AD4"/>
    <w:rsid w:val="00CB6DE1"/>
    <w:rsid w:val="00CC0431"/>
    <w:rsid w:val="00CC1DEE"/>
    <w:rsid w:val="00CC27A0"/>
    <w:rsid w:val="00CC2995"/>
    <w:rsid w:val="00CC2C85"/>
    <w:rsid w:val="00CC3162"/>
    <w:rsid w:val="00CC3A01"/>
    <w:rsid w:val="00CC3E09"/>
    <w:rsid w:val="00CC3EA0"/>
    <w:rsid w:val="00CC6724"/>
    <w:rsid w:val="00CC6C29"/>
    <w:rsid w:val="00CC739E"/>
    <w:rsid w:val="00CC73E0"/>
    <w:rsid w:val="00CC7890"/>
    <w:rsid w:val="00CC7C7E"/>
    <w:rsid w:val="00CD0DDF"/>
    <w:rsid w:val="00CD16AF"/>
    <w:rsid w:val="00CD1EBB"/>
    <w:rsid w:val="00CD28CF"/>
    <w:rsid w:val="00CD3EE5"/>
    <w:rsid w:val="00CD46C4"/>
    <w:rsid w:val="00CD4C70"/>
    <w:rsid w:val="00CD54AF"/>
    <w:rsid w:val="00CD58B7"/>
    <w:rsid w:val="00CD6473"/>
    <w:rsid w:val="00CD64BE"/>
    <w:rsid w:val="00CD64C2"/>
    <w:rsid w:val="00CD6EC9"/>
    <w:rsid w:val="00CD7967"/>
    <w:rsid w:val="00CE0660"/>
    <w:rsid w:val="00CE0AF7"/>
    <w:rsid w:val="00CE19B9"/>
    <w:rsid w:val="00CE1C5C"/>
    <w:rsid w:val="00CE2025"/>
    <w:rsid w:val="00CE2E7B"/>
    <w:rsid w:val="00CE2EFD"/>
    <w:rsid w:val="00CE3FA2"/>
    <w:rsid w:val="00CE40A9"/>
    <w:rsid w:val="00CE41AB"/>
    <w:rsid w:val="00CE4779"/>
    <w:rsid w:val="00CE4D01"/>
    <w:rsid w:val="00CE4EA9"/>
    <w:rsid w:val="00CE4EDE"/>
    <w:rsid w:val="00CE5A97"/>
    <w:rsid w:val="00CE5B58"/>
    <w:rsid w:val="00CE5FCD"/>
    <w:rsid w:val="00CE7752"/>
    <w:rsid w:val="00CF08F6"/>
    <w:rsid w:val="00CF106E"/>
    <w:rsid w:val="00CF18EE"/>
    <w:rsid w:val="00CF1CC8"/>
    <w:rsid w:val="00CF2229"/>
    <w:rsid w:val="00CF30BD"/>
    <w:rsid w:val="00CF4099"/>
    <w:rsid w:val="00CF4486"/>
    <w:rsid w:val="00CF471C"/>
    <w:rsid w:val="00CF4AAC"/>
    <w:rsid w:val="00CF529B"/>
    <w:rsid w:val="00CF59AD"/>
    <w:rsid w:val="00CF6813"/>
    <w:rsid w:val="00D00312"/>
    <w:rsid w:val="00D004B2"/>
    <w:rsid w:val="00D00796"/>
    <w:rsid w:val="00D0093E"/>
    <w:rsid w:val="00D00945"/>
    <w:rsid w:val="00D00F3A"/>
    <w:rsid w:val="00D010F8"/>
    <w:rsid w:val="00D01A92"/>
    <w:rsid w:val="00D028D3"/>
    <w:rsid w:val="00D02C50"/>
    <w:rsid w:val="00D0485D"/>
    <w:rsid w:val="00D056C5"/>
    <w:rsid w:val="00D05CFE"/>
    <w:rsid w:val="00D07B16"/>
    <w:rsid w:val="00D10C3C"/>
    <w:rsid w:val="00D11FEA"/>
    <w:rsid w:val="00D122E5"/>
    <w:rsid w:val="00D12A51"/>
    <w:rsid w:val="00D12B84"/>
    <w:rsid w:val="00D12D7C"/>
    <w:rsid w:val="00D13591"/>
    <w:rsid w:val="00D13895"/>
    <w:rsid w:val="00D14105"/>
    <w:rsid w:val="00D14143"/>
    <w:rsid w:val="00D154A2"/>
    <w:rsid w:val="00D15D39"/>
    <w:rsid w:val="00D16486"/>
    <w:rsid w:val="00D16608"/>
    <w:rsid w:val="00D17521"/>
    <w:rsid w:val="00D20151"/>
    <w:rsid w:val="00D20A33"/>
    <w:rsid w:val="00D2165B"/>
    <w:rsid w:val="00D2176D"/>
    <w:rsid w:val="00D21C0D"/>
    <w:rsid w:val="00D221B3"/>
    <w:rsid w:val="00D2277E"/>
    <w:rsid w:val="00D23592"/>
    <w:rsid w:val="00D245FE"/>
    <w:rsid w:val="00D2480C"/>
    <w:rsid w:val="00D26144"/>
    <w:rsid w:val="00D261A2"/>
    <w:rsid w:val="00D2744A"/>
    <w:rsid w:val="00D27D22"/>
    <w:rsid w:val="00D3038A"/>
    <w:rsid w:val="00D308B3"/>
    <w:rsid w:val="00D30CB3"/>
    <w:rsid w:val="00D31600"/>
    <w:rsid w:val="00D32D4D"/>
    <w:rsid w:val="00D35C27"/>
    <w:rsid w:val="00D35E4B"/>
    <w:rsid w:val="00D36DCA"/>
    <w:rsid w:val="00D36FFF"/>
    <w:rsid w:val="00D373F0"/>
    <w:rsid w:val="00D37A73"/>
    <w:rsid w:val="00D40B9E"/>
    <w:rsid w:val="00D410B2"/>
    <w:rsid w:val="00D413CD"/>
    <w:rsid w:val="00D416A7"/>
    <w:rsid w:val="00D4276D"/>
    <w:rsid w:val="00D42BAF"/>
    <w:rsid w:val="00D439BD"/>
    <w:rsid w:val="00D446F6"/>
    <w:rsid w:val="00D45D21"/>
    <w:rsid w:val="00D46B92"/>
    <w:rsid w:val="00D46BC5"/>
    <w:rsid w:val="00D46E15"/>
    <w:rsid w:val="00D47151"/>
    <w:rsid w:val="00D4721D"/>
    <w:rsid w:val="00D475C5"/>
    <w:rsid w:val="00D4793A"/>
    <w:rsid w:val="00D47B65"/>
    <w:rsid w:val="00D47E3E"/>
    <w:rsid w:val="00D47E43"/>
    <w:rsid w:val="00D50CAE"/>
    <w:rsid w:val="00D50FA3"/>
    <w:rsid w:val="00D51635"/>
    <w:rsid w:val="00D51E1C"/>
    <w:rsid w:val="00D5361B"/>
    <w:rsid w:val="00D53B7D"/>
    <w:rsid w:val="00D541E0"/>
    <w:rsid w:val="00D5422C"/>
    <w:rsid w:val="00D54E35"/>
    <w:rsid w:val="00D5534E"/>
    <w:rsid w:val="00D55461"/>
    <w:rsid w:val="00D5579D"/>
    <w:rsid w:val="00D559BB"/>
    <w:rsid w:val="00D55BC5"/>
    <w:rsid w:val="00D567B5"/>
    <w:rsid w:val="00D6004A"/>
    <w:rsid w:val="00D60A6F"/>
    <w:rsid w:val="00D60AD2"/>
    <w:rsid w:val="00D60B57"/>
    <w:rsid w:val="00D60B91"/>
    <w:rsid w:val="00D616D2"/>
    <w:rsid w:val="00D61EB5"/>
    <w:rsid w:val="00D62108"/>
    <w:rsid w:val="00D62410"/>
    <w:rsid w:val="00D62A8F"/>
    <w:rsid w:val="00D62D4A"/>
    <w:rsid w:val="00D637EF"/>
    <w:rsid w:val="00D639C2"/>
    <w:rsid w:val="00D63B5F"/>
    <w:rsid w:val="00D64104"/>
    <w:rsid w:val="00D64FE0"/>
    <w:rsid w:val="00D65387"/>
    <w:rsid w:val="00D656A6"/>
    <w:rsid w:val="00D65DF6"/>
    <w:rsid w:val="00D66BAE"/>
    <w:rsid w:val="00D66BE3"/>
    <w:rsid w:val="00D67D6F"/>
    <w:rsid w:val="00D704D9"/>
    <w:rsid w:val="00D70BD4"/>
    <w:rsid w:val="00D70EF7"/>
    <w:rsid w:val="00D711C8"/>
    <w:rsid w:val="00D71A13"/>
    <w:rsid w:val="00D71C42"/>
    <w:rsid w:val="00D73411"/>
    <w:rsid w:val="00D742DC"/>
    <w:rsid w:val="00D75F90"/>
    <w:rsid w:val="00D76830"/>
    <w:rsid w:val="00D76BCB"/>
    <w:rsid w:val="00D77705"/>
    <w:rsid w:val="00D77F12"/>
    <w:rsid w:val="00D80053"/>
    <w:rsid w:val="00D80EF6"/>
    <w:rsid w:val="00D81F07"/>
    <w:rsid w:val="00D821AA"/>
    <w:rsid w:val="00D82B22"/>
    <w:rsid w:val="00D82FB0"/>
    <w:rsid w:val="00D8349E"/>
    <w:rsid w:val="00D8397C"/>
    <w:rsid w:val="00D8478C"/>
    <w:rsid w:val="00D84DEC"/>
    <w:rsid w:val="00D8536A"/>
    <w:rsid w:val="00D856FF"/>
    <w:rsid w:val="00D85715"/>
    <w:rsid w:val="00D858F0"/>
    <w:rsid w:val="00D86B92"/>
    <w:rsid w:val="00D86CEC"/>
    <w:rsid w:val="00D8729D"/>
    <w:rsid w:val="00D907DF"/>
    <w:rsid w:val="00D9214B"/>
    <w:rsid w:val="00D924A9"/>
    <w:rsid w:val="00D9256D"/>
    <w:rsid w:val="00D9269F"/>
    <w:rsid w:val="00D9348E"/>
    <w:rsid w:val="00D93643"/>
    <w:rsid w:val="00D93B6C"/>
    <w:rsid w:val="00D93FE8"/>
    <w:rsid w:val="00D949FF"/>
    <w:rsid w:val="00D94BFB"/>
    <w:rsid w:val="00D94EED"/>
    <w:rsid w:val="00D958CD"/>
    <w:rsid w:val="00D95AFA"/>
    <w:rsid w:val="00D96026"/>
    <w:rsid w:val="00D9602D"/>
    <w:rsid w:val="00D96D75"/>
    <w:rsid w:val="00D972F6"/>
    <w:rsid w:val="00D97856"/>
    <w:rsid w:val="00DA0070"/>
    <w:rsid w:val="00DA028F"/>
    <w:rsid w:val="00DA331D"/>
    <w:rsid w:val="00DA36CA"/>
    <w:rsid w:val="00DA385A"/>
    <w:rsid w:val="00DA5202"/>
    <w:rsid w:val="00DA5246"/>
    <w:rsid w:val="00DA5B0E"/>
    <w:rsid w:val="00DA73E0"/>
    <w:rsid w:val="00DA760A"/>
    <w:rsid w:val="00DA7C1C"/>
    <w:rsid w:val="00DB0064"/>
    <w:rsid w:val="00DB147A"/>
    <w:rsid w:val="00DB1890"/>
    <w:rsid w:val="00DB1B7A"/>
    <w:rsid w:val="00DB1E9F"/>
    <w:rsid w:val="00DB1EAD"/>
    <w:rsid w:val="00DB2C98"/>
    <w:rsid w:val="00DB330B"/>
    <w:rsid w:val="00DB3984"/>
    <w:rsid w:val="00DB4D72"/>
    <w:rsid w:val="00DB553A"/>
    <w:rsid w:val="00DB5854"/>
    <w:rsid w:val="00DB706E"/>
    <w:rsid w:val="00DC0290"/>
    <w:rsid w:val="00DC0A22"/>
    <w:rsid w:val="00DC0CA6"/>
    <w:rsid w:val="00DC1A37"/>
    <w:rsid w:val="00DC1FAD"/>
    <w:rsid w:val="00DC250D"/>
    <w:rsid w:val="00DC2B7D"/>
    <w:rsid w:val="00DC2DDA"/>
    <w:rsid w:val="00DC2F2A"/>
    <w:rsid w:val="00DC2FB2"/>
    <w:rsid w:val="00DC47CA"/>
    <w:rsid w:val="00DC4DD3"/>
    <w:rsid w:val="00DC63A0"/>
    <w:rsid w:val="00DC63A9"/>
    <w:rsid w:val="00DC6500"/>
    <w:rsid w:val="00DC6708"/>
    <w:rsid w:val="00DC7590"/>
    <w:rsid w:val="00DD011A"/>
    <w:rsid w:val="00DD0366"/>
    <w:rsid w:val="00DD054E"/>
    <w:rsid w:val="00DD0E8D"/>
    <w:rsid w:val="00DD127E"/>
    <w:rsid w:val="00DD309F"/>
    <w:rsid w:val="00DD3FD1"/>
    <w:rsid w:val="00DD4A4E"/>
    <w:rsid w:val="00DD4E34"/>
    <w:rsid w:val="00DD5C86"/>
    <w:rsid w:val="00DD6712"/>
    <w:rsid w:val="00DE03BB"/>
    <w:rsid w:val="00DE0C6B"/>
    <w:rsid w:val="00DE1097"/>
    <w:rsid w:val="00DE115A"/>
    <w:rsid w:val="00DE142F"/>
    <w:rsid w:val="00DE2400"/>
    <w:rsid w:val="00DE29EA"/>
    <w:rsid w:val="00DE2EB4"/>
    <w:rsid w:val="00DE2EE4"/>
    <w:rsid w:val="00DE37CD"/>
    <w:rsid w:val="00DE4993"/>
    <w:rsid w:val="00DE55F6"/>
    <w:rsid w:val="00DE567F"/>
    <w:rsid w:val="00DE58F1"/>
    <w:rsid w:val="00DE6356"/>
    <w:rsid w:val="00DE6B58"/>
    <w:rsid w:val="00DE6C3A"/>
    <w:rsid w:val="00DE7DAC"/>
    <w:rsid w:val="00DF184A"/>
    <w:rsid w:val="00DF1CF7"/>
    <w:rsid w:val="00DF34C4"/>
    <w:rsid w:val="00DF3573"/>
    <w:rsid w:val="00DF36F3"/>
    <w:rsid w:val="00DF4F05"/>
    <w:rsid w:val="00DF547B"/>
    <w:rsid w:val="00DF5AFA"/>
    <w:rsid w:val="00DF5E32"/>
    <w:rsid w:val="00DF60E6"/>
    <w:rsid w:val="00DF6311"/>
    <w:rsid w:val="00DF6F75"/>
    <w:rsid w:val="00DF711C"/>
    <w:rsid w:val="00DF7519"/>
    <w:rsid w:val="00DF77EB"/>
    <w:rsid w:val="00DF79DE"/>
    <w:rsid w:val="00E009F6"/>
    <w:rsid w:val="00E01086"/>
    <w:rsid w:val="00E01420"/>
    <w:rsid w:val="00E01436"/>
    <w:rsid w:val="00E01439"/>
    <w:rsid w:val="00E01D55"/>
    <w:rsid w:val="00E01DC0"/>
    <w:rsid w:val="00E021A6"/>
    <w:rsid w:val="00E025A1"/>
    <w:rsid w:val="00E03306"/>
    <w:rsid w:val="00E03493"/>
    <w:rsid w:val="00E034CB"/>
    <w:rsid w:val="00E0359B"/>
    <w:rsid w:val="00E03E79"/>
    <w:rsid w:val="00E045BD"/>
    <w:rsid w:val="00E04D6C"/>
    <w:rsid w:val="00E05B32"/>
    <w:rsid w:val="00E05F89"/>
    <w:rsid w:val="00E064CA"/>
    <w:rsid w:val="00E0696B"/>
    <w:rsid w:val="00E069C8"/>
    <w:rsid w:val="00E0756F"/>
    <w:rsid w:val="00E07739"/>
    <w:rsid w:val="00E0790B"/>
    <w:rsid w:val="00E07B83"/>
    <w:rsid w:val="00E10609"/>
    <w:rsid w:val="00E10C04"/>
    <w:rsid w:val="00E11A84"/>
    <w:rsid w:val="00E12244"/>
    <w:rsid w:val="00E130D4"/>
    <w:rsid w:val="00E1366B"/>
    <w:rsid w:val="00E1494A"/>
    <w:rsid w:val="00E14A3A"/>
    <w:rsid w:val="00E14BAD"/>
    <w:rsid w:val="00E14F41"/>
    <w:rsid w:val="00E1502E"/>
    <w:rsid w:val="00E15528"/>
    <w:rsid w:val="00E17651"/>
    <w:rsid w:val="00E177BD"/>
    <w:rsid w:val="00E17A3E"/>
    <w:rsid w:val="00E17B77"/>
    <w:rsid w:val="00E17EF2"/>
    <w:rsid w:val="00E203B4"/>
    <w:rsid w:val="00E20B33"/>
    <w:rsid w:val="00E21884"/>
    <w:rsid w:val="00E2190A"/>
    <w:rsid w:val="00E231AB"/>
    <w:rsid w:val="00E231C1"/>
    <w:rsid w:val="00E23337"/>
    <w:rsid w:val="00E2422F"/>
    <w:rsid w:val="00E2426D"/>
    <w:rsid w:val="00E245EF"/>
    <w:rsid w:val="00E2495A"/>
    <w:rsid w:val="00E2496B"/>
    <w:rsid w:val="00E24B05"/>
    <w:rsid w:val="00E24B0F"/>
    <w:rsid w:val="00E2507C"/>
    <w:rsid w:val="00E25327"/>
    <w:rsid w:val="00E259EA"/>
    <w:rsid w:val="00E25D33"/>
    <w:rsid w:val="00E260E4"/>
    <w:rsid w:val="00E2751C"/>
    <w:rsid w:val="00E302B1"/>
    <w:rsid w:val="00E305B3"/>
    <w:rsid w:val="00E30FDA"/>
    <w:rsid w:val="00E32061"/>
    <w:rsid w:val="00E3242E"/>
    <w:rsid w:val="00E326D4"/>
    <w:rsid w:val="00E32816"/>
    <w:rsid w:val="00E32A44"/>
    <w:rsid w:val="00E33087"/>
    <w:rsid w:val="00E33678"/>
    <w:rsid w:val="00E33816"/>
    <w:rsid w:val="00E33917"/>
    <w:rsid w:val="00E33EE8"/>
    <w:rsid w:val="00E33F48"/>
    <w:rsid w:val="00E34617"/>
    <w:rsid w:val="00E34C8D"/>
    <w:rsid w:val="00E35F92"/>
    <w:rsid w:val="00E37666"/>
    <w:rsid w:val="00E37882"/>
    <w:rsid w:val="00E404C1"/>
    <w:rsid w:val="00E40924"/>
    <w:rsid w:val="00E413AC"/>
    <w:rsid w:val="00E41F26"/>
    <w:rsid w:val="00E4203B"/>
    <w:rsid w:val="00E4253C"/>
    <w:rsid w:val="00E42A62"/>
    <w:rsid w:val="00E42FF9"/>
    <w:rsid w:val="00E43270"/>
    <w:rsid w:val="00E43B6D"/>
    <w:rsid w:val="00E43D26"/>
    <w:rsid w:val="00E44790"/>
    <w:rsid w:val="00E44ACB"/>
    <w:rsid w:val="00E45520"/>
    <w:rsid w:val="00E45E59"/>
    <w:rsid w:val="00E466D3"/>
    <w:rsid w:val="00E4677A"/>
    <w:rsid w:val="00E4714C"/>
    <w:rsid w:val="00E479CC"/>
    <w:rsid w:val="00E47DE2"/>
    <w:rsid w:val="00E503F9"/>
    <w:rsid w:val="00E50CB2"/>
    <w:rsid w:val="00E50D8C"/>
    <w:rsid w:val="00E5178D"/>
    <w:rsid w:val="00E51AEB"/>
    <w:rsid w:val="00E51BC6"/>
    <w:rsid w:val="00E51D21"/>
    <w:rsid w:val="00E522A7"/>
    <w:rsid w:val="00E52DA4"/>
    <w:rsid w:val="00E5325C"/>
    <w:rsid w:val="00E5349E"/>
    <w:rsid w:val="00E534DC"/>
    <w:rsid w:val="00E53EA2"/>
    <w:rsid w:val="00E54452"/>
    <w:rsid w:val="00E54F21"/>
    <w:rsid w:val="00E552C2"/>
    <w:rsid w:val="00E56A85"/>
    <w:rsid w:val="00E57B42"/>
    <w:rsid w:val="00E60000"/>
    <w:rsid w:val="00E60085"/>
    <w:rsid w:val="00E600C4"/>
    <w:rsid w:val="00E60493"/>
    <w:rsid w:val="00E6114D"/>
    <w:rsid w:val="00E61F07"/>
    <w:rsid w:val="00E62EDB"/>
    <w:rsid w:val="00E631AD"/>
    <w:rsid w:val="00E63B0C"/>
    <w:rsid w:val="00E63DA6"/>
    <w:rsid w:val="00E65377"/>
    <w:rsid w:val="00E65848"/>
    <w:rsid w:val="00E65CD0"/>
    <w:rsid w:val="00E664C5"/>
    <w:rsid w:val="00E671A2"/>
    <w:rsid w:val="00E67224"/>
    <w:rsid w:val="00E701E7"/>
    <w:rsid w:val="00E70E2D"/>
    <w:rsid w:val="00E7139D"/>
    <w:rsid w:val="00E716A0"/>
    <w:rsid w:val="00E717DF"/>
    <w:rsid w:val="00E71B58"/>
    <w:rsid w:val="00E720B4"/>
    <w:rsid w:val="00E7270C"/>
    <w:rsid w:val="00E72EDF"/>
    <w:rsid w:val="00E749B6"/>
    <w:rsid w:val="00E753C9"/>
    <w:rsid w:val="00E753F1"/>
    <w:rsid w:val="00E75897"/>
    <w:rsid w:val="00E75899"/>
    <w:rsid w:val="00E75BFA"/>
    <w:rsid w:val="00E76017"/>
    <w:rsid w:val="00E76081"/>
    <w:rsid w:val="00E7655C"/>
    <w:rsid w:val="00E767FB"/>
    <w:rsid w:val="00E76D26"/>
    <w:rsid w:val="00E76EE5"/>
    <w:rsid w:val="00E7786E"/>
    <w:rsid w:val="00E77A81"/>
    <w:rsid w:val="00E8054C"/>
    <w:rsid w:val="00E80671"/>
    <w:rsid w:val="00E81627"/>
    <w:rsid w:val="00E8357A"/>
    <w:rsid w:val="00E83953"/>
    <w:rsid w:val="00E83AFF"/>
    <w:rsid w:val="00E83B3D"/>
    <w:rsid w:val="00E84121"/>
    <w:rsid w:val="00E84A12"/>
    <w:rsid w:val="00E85968"/>
    <w:rsid w:val="00E861ED"/>
    <w:rsid w:val="00E8634F"/>
    <w:rsid w:val="00E910A2"/>
    <w:rsid w:val="00E9145B"/>
    <w:rsid w:val="00E91598"/>
    <w:rsid w:val="00E92652"/>
    <w:rsid w:val="00E92B59"/>
    <w:rsid w:val="00E93150"/>
    <w:rsid w:val="00E93210"/>
    <w:rsid w:val="00E94208"/>
    <w:rsid w:val="00E943B8"/>
    <w:rsid w:val="00E95036"/>
    <w:rsid w:val="00E95643"/>
    <w:rsid w:val="00E958CF"/>
    <w:rsid w:val="00E95B8E"/>
    <w:rsid w:val="00E97AE1"/>
    <w:rsid w:val="00E97B51"/>
    <w:rsid w:val="00E97ECB"/>
    <w:rsid w:val="00EA0365"/>
    <w:rsid w:val="00EA08B4"/>
    <w:rsid w:val="00EA1C17"/>
    <w:rsid w:val="00EA22D0"/>
    <w:rsid w:val="00EA2393"/>
    <w:rsid w:val="00EA3288"/>
    <w:rsid w:val="00EA377D"/>
    <w:rsid w:val="00EA3FE6"/>
    <w:rsid w:val="00EA4B48"/>
    <w:rsid w:val="00EA536C"/>
    <w:rsid w:val="00EA544E"/>
    <w:rsid w:val="00EA5E3C"/>
    <w:rsid w:val="00EA6757"/>
    <w:rsid w:val="00EA786D"/>
    <w:rsid w:val="00EB0AE4"/>
    <w:rsid w:val="00EB0DE1"/>
    <w:rsid w:val="00EB1390"/>
    <w:rsid w:val="00EB158A"/>
    <w:rsid w:val="00EB2C71"/>
    <w:rsid w:val="00EB309B"/>
    <w:rsid w:val="00EB3330"/>
    <w:rsid w:val="00EB3333"/>
    <w:rsid w:val="00EB361B"/>
    <w:rsid w:val="00EB4340"/>
    <w:rsid w:val="00EB4E03"/>
    <w:rsid w:val="00EB5127"/>
    <w:rsid w:val="00EB556D"/>
    <w:rsid w:val="00EB5A7D"/>
    <w:rsid w:val="00EB5C86"/>
    <w:rsid w:val="00EB715D"/>
    <w:rsid w:val="00EB7329"/>
    <w:rsid w:val="00EB7477"/>
    <w:rsid w:val="00EC0D8F"/>
    <w:rsid w:val="00EC1CF0"/>
    <w:rsid w:val="00EC2FE9"/>
    <w:rsid w:val="00EC3495"/>
    <w:rsid w:val="00EC35CC"/>
    <w:rsid w:val="00EC36A0"/>
    <w:rsid w:val="00EC47CD"/>
    <w:rsid w:val="00EC51C4"/>
    <w:rsid w:val="00EC5243"/>
    <w:rsid w:val="00EC5384"/>
    <w:rsid w:val="00EC53A3"/>
    <w:rsid w:val="00EC542E"/>
    <w:rsid w:val="00EC5778"/>
    <w:rsid w:val="00EC57A9"/>
    <w:rsid w:val="00EC58E6"/>
    <w:rsid w:val="00EC7E60"/>
    <w:rsid w:val="00ED03A7"/>
    <w:rsid w:val="00ED0CF5"/>
    <w:rsid w:val="00ED1119"/>
    <w:rsid w:val="00ED11E6"/>
    <w:rsid w:val="00ED13D3"/>
    <w:rsid w:val="00ED13DB"/>
    <w:rsid w:val="00ED1761"/>
    <w:rsid w:val="00ED19DB"/>
    <w:rsid w:val="00ED1D96"/>
    <w:rsid w:val="00ED55C0"/>
    <w:rsid w:val="00ED59C3"/>
    <w:rsid w:val="00ED64D0"/>
    <w:rsid w:val="00ED682B"/>
    <w:rsid w:val="00ED6956"/>
    <w:rsid w:val="00ED6CD5"/>
    <w:rsid w:val="00ED7744"/>
    <w:rsid w:val="00ED7AC7"/>
    <w:rsid w:val="00ED7E6C"/>
    <w:rsid w:val="00ED7F80"/>
    <w:rsid w:val="00EE026F"/>
    <w:rsid w:val="00EE03E9"/>
    <w:rsid w:val="00EE06FD"/>
    <w:rsid w:val="00EE0E7D"/>
    <w:rsid w:val="00EE1001"/>
    <w:rsid w:val="00EE126F"/>
    <w:rsid w:val="00EE1336"/>
    <w:rsid w:val="00EE19CA"/>
    <w:rsid w:val="00EE1B7C"/>
    <w:rsid w:val="00EE2D4C"/>
    <w:rsid w:val="00EE3CAC"/>
    <w:rsid w:val="00EE41D5"/>
    <w:rsid w:val="00EE4AC9"/>
    <w:rsid w:val="00EE5DE3"/>
    <w:rsid w:val="00EE73E5"/>
    <w:rsid w:val="00EE7582"/>
    <w:rsid w:val="00EE7922"/>
    <w:rsid w:val="00EE79DA"/>
    <w:rsid w:val="00EF05D0"/>
    <w:rsid w:val="00EF1A4F"/>
    <w:rsid w:val="00EF1C49"/>
    <w:rsid w:val="00EF2D6D"/>
    <w:rsid w:val="00EF4587"/>
    <w:rsid w:val="00EF4BA6"/>
    <w:rsid w:val="00EF4D39"/>
    <w:rsid w:val="00EF5825"/>
    <w:rsid w:val="00EF586D"/>
    <w:rsid w:val="00EF62BB"/>
    <w:rsid w:val="00EF65B4"/>
    <w:rsid w:val="00EF7B11"/>
    <w:rsid w:val="00F0132B"/>
    <w:rsid w:val="00F0166F"/>
    <w:rsid w:val="00F02424"/>
    <w:rsid w:val="00F02824"/>
    <w:rsid w:val="00F02FA0"/>
    <w:rsid w:val="00F037A4"/>
    <w:rsid w:val="00F049AB"/>
    <w:rsid w:val="00F049FA"/>
    <w:rsid w:val="00F0563B"/>
    <w:rsid w:val="00F057DF"/>
    <w:rsid w:val="00F064B6"/>
    <w:rsid w:val="00F06BC4"/>
    <w:rsid w:val="00F0716B"/>
    <w:rsid w:val="00F07A09"/>
    <w:rsid w:val="00F07B08"/>
    <w:rsid w:val="00F104FC"/>
    <w:rsid w:val="00F10E9B"/>
    <w:rsid w:val="00F1188F"/>
    <w:rsid w:val="00F12C30"/>
    <w:rsid w:val="00F13639"/>
    <w:rsid w:val="00F13E6A"/>
    <w:rsid w:val="00F1428B"/>
    <w:rsid w:val="00F142DB"/>
    <w:rsid w:val="00F14785"/>
    <w:rsid w:val="00F14C14"/>
    <w:rsid w:val="00F15D75"/>
    <w:rsid w:val="00F20342"/>
    <w:rsid w:val="00F2070D"/>
    <w:rsid w:val="00F2071A"/>
    <w:rsid w:val="00F20BFE"/>
    <w:rsid w:val="00F21071"/>
    <w:rsid w:val="00F21538"/>
    <w:rsid w:val="00F22DA5"/>
    <w:rsid w:val="00F2441B"/>
    <w:rsid w:val="00F253B3"/>
    <w:rsid w:val="00F255DF"/>
    <w:rsid w:val="00F255EE"/>
    <w:rsid w:val="00F25A49"/>
    <w:rsid w:val="00F26C06"/>
    <w:rsid w:val="00F27C8F"/>
    <w:rsid w:val="00F302F7"/>
    <w:rsid w:val="00F324AE"/>
    <w:rsid w:val="00F32736"/>
    <w:rsid w:val="00F32749"/>
    <w:rsid w:val="00F3288C"/>
    <w:rsid w:val="00F32A8B"/>
    <w:rsid w:val="00F32BB6"/>
    <w:rsid w:val="00F33C43"/>
    <w:rsid w:val="00F34D63"/>
    <w:rsid w:val="00F35996"/>
    <w:rsid w:val="00F36622"/>
    <w:rsid w:val="00F3671B"/>
    <w:rsid w:val="00F369D8"/>
    <w:rsid w:val="00F37172"/>
    <w:rsid w:val="00F373E9"/>
    <w:rsid w:val="00F37B98"/>
    <w:rsid w:val="00F40276"/>
    <w:rsid w:val="00F408AC"/>
    <w:rsid w:val="00F40D23"/>
    <w:rsid w:val="00F40F0C"/>
    <w:rsid w:val="00F4156A"/>
    <w:rsid w:val="00F41F9F"/>
    <w:rsid w:val="00F42486"/>
    <w:rsid w:val="00F430FB"/>
    <w:rsid w:val="00F43314"/>
    <w:rsid w:val="00F44425"/>
    <w:rsid w:val="00F44429"/>
    <w:rsid w:val="00F4477E"/>
    <w:rsid w:val="00F449B9"/>
    <w:rsid w:val="00F44C44"/>
    <w:rsid w:val="00F44DC0"/>
    <w:rsid w:val="00F45A4B"/>
    <w:rsid w:val="00F46093"/>
    <w:rsid w:val="00F46269"/>
    <w:rsid w:val="00F475A9"/>
    <w:rsid w:val="00F476AE"/>
    <w:rsid w:val="00F502AD"/>
    <w:rsid w:val="00F509A8"/>
    <w:rsid w:val="00F51BD6"/>
    <w:rsid w:val="00F5287E"/>
    <w:rsid w:val="00F53029"/>
    <w:rsid w:val="00F5313D"/>
    <w:rsid w:val="00F53A86"/>
    <w:rsid w:val="00F53E6B"/>
    <w:rsid w:val="00F54DE2"/>
    <w:rsid w:val="00F559BD"/>
    <w:rsid w:val="00F570EB"/>
    <w:rsid w:val="00F57814"/>
    <w:rsid w:val="00F57A29"/>
    <w:rsid w:val="00F60BA8"/>
    <w:rsid w:val="00F60D7A"/>
    <w:rsid w:val="00F62B46"/>
    <w:rsid w:val="00F63861"/>
    <w:rsid w:val="00F63AB4"/>
    <w:rsid w:val="00F648CF"/>
    <w:rsid w:val="00F64C46"/>
    <w:rsid w:val="00F659F7"/>
    <w:rsid w:val="00F65ACA"/>
    <w:rsid w:val="00F663D8"/>
    <w:rsid w:val="00F66D1D"/>
    <w:rsid w:val="00F67545"/>
    <w:rsid w:val="00F67D8F"/>
    <w:rsid w:val="00F703B9"/>
    <w:rsid w:val="00F71616"/>
    <w:rsid w:val="00F71943"/>
    <w:rsid w:val="00F7269F"/>
    <w:rsid w:val="00F7320D"/>
    <w:rsid w:val="00F736F3"/>
    <w:rsid w:val="00F7373C"/>
    <w:rsid w:val="00F7480C"/>
    <w:rsid w:val="00F755C0"/>
    <w:rsid w:val="00F75A6D"/>
    <w:rsid w:val="00F7637F"/>
    <w:rsid w:val="00F770BB"/>
    <w:rsid w:val="00F77F38"/>
    <w:rsid w:val="00F801C3"/>
    <w:rsid w:val="00F802BE"/>
    <w:rsid w:val="00F80863"/>
    <w:rsid w:val="00F80E93"/>
    <w:rsid w:val="00F81761"/>
    <w:rsid w:val="00F820A7"/>
    <w:rsid w:val="00F82173"/>
    <w:rsid w:val="00F82D05"/>
    <w:rsid w:val="00F82E31"/>
    <w:rsid w:val="00F849EE"/>
    <w:rsid w:val="00F84EE7"/>
    <w:rsid w:val="00F86015"/>
    <w:rsid w:val="00F86024"/>
    <w:rsid w:val="00F8611A"/>
    <w:rsid w:val="00F861D3"/>
    <w:rsid w:val="00F87738"/>
    <w:rsid w:val="00F87A4E"/>
    <w:rsid w:val="00F87F47"/>
    <w:rsid w:val="00F907C3"/>
    <w:rsid w:val="00F907CA"/>
    <w:rsid w:val="00F92933"/>
    <w:rsid w:val="00F92BC8"/>
    <w:rsid w:val="00F94B76"/>
    <w:rsid w:val="00F9605E"/>
    <w:rsid w:val="00F967D0"/>
    <w:rsid w:val="00F9702E"/>
    <w:rsid w:val="00F9715B"/>
    <w:rsid w:val="00F97190"/>
    <w:rsid w:val="00F976E3"/>
    <w:rsid w:val="00FA2274"/>
    <w:rsid w:val="00FA324A"/>
    <w:rsid w:val="00FA33C2"/>
    <w:rsid w:val="00FA33F5"/>
    <w:rsid w:val="00FA35ED"/>
    <w:rsid w:val="00FA3671"/>
    <w:rsid w:val="00FA3BAD"/>
    <w:rsid w:val="00FA5128"/>
    <w:rsid w:val="00FA523B"/>
    <w:rsid w:val="00FA5C72"/>
    <w:rsid w:val="00FA60EF"/>
    <w:rsid w:val="00FB028D"/>
    <w:rsid w:val="00FB131A"/>
    <w:rsid w:val="00FB1544"/>
    <w:rsid w:val="00FB3110"/>
    <w:rsid w:val="00FB31BF"/>
    <w:rsid w:val="00FB395C"/>
    <w:rsid w:val="00FB39A9"/>
    <w:rsid w:val="00FB39DF"/>
    <w:rsid w:val="00FB415D"/>
    <w:rsid w:val="00FB42D4"/>
    <w:rsid w:val="00FB47D6"/>
    <w:rsid w:val="00FB4A11"/>
    <w:rsid w:val="00FB502F"/>
    <w:rsid w:val="00FB5906"/>
    <w:rsid w:val="00FB663C"/>
    <w:rsid w:val="00FB6A23"/>
    <w:rsid w:val="00FB6CF4"/>
    <w:rsid w:val="00FB74FF"/>
    <w:rsid w:val="00FB762F"/>
    <w:rsid w:val="00FC035E"/>
    <w:rsid w:val="00FC0405"/>
    <w:rsid w:val="00FC186E"/>
    <w:rsid w:val="00FC18CA"/>
    <w:rsid w:val="00FC2278"/>
    <w:rsid w:val="00FC290D"/>
    <w:rsid w:val="00FC2AED"/>
    <w:rsid w:val="00FC2F21"/>
    <w:rsid w:val="00FC3236"/>
    <w:rsid w:val="00FC43EF"/>
    <w:rsid w:val="00FC5729"/>
    <w:rsid w:val="00FC5983"/>
    <w:rsid w:val="00FC5CD0"/>
    <w:rsid w:val="00FC5FD0"/>
    <w:rsid w:val="00FC65D4"/>
    <w:rsid w:val="00FC7A7C"/>
    <w:rsid w:val="00FC7C16"/>
    <w:rsid w:val="00FD060A"/>
    <w:rsid w:val="00FD08AE"/>
    <w:rsid w:val="00FD0914"/>
    <w:rsid w:val="00FD0B2B"/>
    <w:rsid w:val="00FD15AF"/>
    <w:rsid w:val="00FD281E"/>
    <w:rsid w:val="00FD37B4"/>
    <w:rsid w:val="00FD4FC2"/>
    <w:rsid w:val="00FD5EA7"/>
    <w:rsid w:val="00FD61EA"/>
    <w:rsid w:val="00FD691A"/>
    <w:rsid w:val="00FD6AC0"/>
    <w:rsid w:val="00FD70BC"/>
    <w:rsid w:val="00FE0F57"/>
    <w:rsid w:val="00FE101A"/>
    <w:rsid w:val="00FE1793"/>
    <w:rsid w:val="00FE273A"/>
    <w:rsid w:val="00FE27BA"/>
    <w:rsid w:val="00FE29EF"/>
    <w:rsid w:val="00FE2E7B"/>
    <w:rsid w:val="00FE3355"/>
    <w:rsid w:val="00FE36CF"/>
    <w:rsid w:val="00FE378D"/>
    <w:rsid w:val="00FE39C2"/>
    <w:rsid w:val="00FE3A1F"/>
    <w:rsid w:val="00FE4CC0"/>
    <w:rsid w:val="00FE4DFD"/>
    <w:rsid w:val="00FE5570"/>
    <w:rsid w:val="00FE55A0"/>
    <w:rsid w:val="00FE572F"/>
    <w:rsid w:val="00FE5AE9"/>
    <w:rsid w:val="00FE7B0A"/>
    <w:rsid w:val="00FF0246"/>
    <w:rsid w:val="00FF02EE"/>
    <w:rsid w:val="00FF1362"/>
    <w:rsid w:val="00FF1EA8"/>
    <w:rsid w:val="00FF1EC3"/>
    <w:rsid w:val="00FF23B7"/>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customStyle="1" w:styleId="Nierozpoznanawzmianka9">
    <w:name w:val="Nierozpoznana wzmianka9"/>
    <w:basedOn w:val="Domylnaczcionkaakapitu"/>
    <w:uiPriority w:val="99"/>
    <w:semiHidden/>
    <w:unhideWhenUsed/>
    <w:rsid w:val="003B73AD"/>
    <w:rPr>
      <w:color w:val="605E5C"/>
      <w:shd w:val="clear" w:color="auto" w:fill="E1DFDD"/>
    </w:rPr>
  </w:style>
  <w:style w:type="table" w:customStyle="1" w:styleId="Tabela-Siatka11">
    <w:name w:val="Tabela - Siatka11"/>
    <w:basedOn w:val="Standardowy"/>
    <w:next w:val="Tabela-Siatka"/>
    <w:uiPriority w:val="39"/>
    <w:rsid w:val="004E6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E60085"/>
    <w:pPr>
      <w:spacing w:line="480" w:lineRule="auto"/>
    </w:pPr>
  </w:style>
  <w:style w:type="character" w:customStyle="1" w:styleId="Tekstpodstawowy2Znak">
    <w:name w:val="Tekst podstawowy 2 Znak"/>
    <w:basedOn w:val="Domylnaczcionkaakapitu"/>
    <w:link w:val="Tekstpodstawowy2"/>
    <w:uiPriority w:val="99"/>
    <w:semiHidden/>
    <w:rsid w:val="00E60085"/>
    <w:rPr>
      <w:rFonts w:ascii="Fira Sans" w:hAnsi="Fira Sans"/>
      <w:sz w:val="19"/>
    </w:rPr>
  </w:style>
  <w:style w:type="character" w:customStyle="1" w:styleId="Nierozpoznanawzmianka10">
    <w:name w:val="Nierozpoznana wzmianka10"/>
    <w:basedOn w:val="Domylnaczcionkaakapitu"/>
    <w:uiPriority w:val="99"/>
    <w:semiHidden/>
    <w:unhideWhenUsed/>
    <w:rsid w:val="00855EB9"/>
    <w:rPr>
      <w:color w:val="605E5C"/>
      <w:shd w:val="clear" w:color="auto" w:fill="E1DFDD"/>
    </w:rPr>
  </w:style>
  <w:style w:type="character" w:styleId="Nierozpoznanawzmianka">
    <w:name w:val="Unresolved Mention"/>
    <w:basedOn w:val="Domylnaczcionkaakapitu"/>
    <w:uiPriority w:val="99"/>
    <w:semiHidden/>
    <w:unhideWhenUsed/>
    <w:rsid w:val="00E1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png"/><Relationship Id="rId39" Type="http://schemas.openxmlformats.org/officeDocument/2006/relationships/hyperlink" Target="https://stat.gov.pl/en/metainformation/glossary/terms-used-in-official-statistics/4573,term.html" TargetMode="External"/><Relationship Id="rId21" Type="http://schemas.openxmlformats.org/officeDocument/2006/relationships/image" Target="media/image14.png"/><Relationship Id="rId34" Type="http://schemas.openxmlformats.org/officeDocument/2006/relationships/hyperlink" Target="https://stat.gov.pl/en/metainformation/glossary/terms-used-in-official-statistics/4562,term.html"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eader" Target="header2.xml"/><Relationship Id="rId32" Type="http://schemas.openxmlformats.org/officeDocument/2006/relationships/hyperlink" Target="https://bdl.stat.gov.pl/bdl/dane/podgrup/temat" TargetMode="External"/><Relationship Id="rId37" Type="http://schemas.openxmlformats.org/officeDocument/2006/relationships/hyperlink" Target="https://stat.gov.pl/en/metainformation/glossary/terms-used-in-official-statistics/4560,term.html" TargetMode="External"/><Relationship Id="rId40" Type="http://schemas.openxmlformats.org/officeDocument/2006/relationships/hyperlink" Target="https://stat.gov.pl/en/metainformation/glossary/terms-used-in-official-statistics/4575,term.html"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image" Target="media/image18.png"/><Relationship Id="rId36" Type="http://schemas.openxmlformats.org/officeDocument/2006/relationships/hyperlink" Target="https://stat.gov.pl/en/metainformation/glossary/terms-used-in-official-statistics/4563,term.html"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s://stat.gov.pl/en/metainformation/glossary/terms-used-in-official-statistics/4565,term.html" TargetMode="External"/><Relationship Id="rId43"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3" Type="http://schemas.openxmlformats.org/officeDocument/2006/relationships/hyperlink" Target="https://dbw.stat.gov.pl/en/baza-danych" TargetMode="External"/><Relationship Id="rId38" Type="http://schemas.openxmlformats.org/officeDocument/2006/relationships/hyperlink" Target="https://stat.gov.pl/en/metainformation/glossary/terms-used-in-official-statistics/4561,term.html" TargetMode="External"/><Relationship Id="rId20" Type="http://schemas.openxmlformats.org/officeDocument/2006/relationships/image" Target="media/image13.png"/><Relationship Id="rId41" Type="http://schemas.openxmlformats.org/officeDocument/2006/relationships/hyperlink" Target="https://stat.gov.pl/en/metainformation/glossary/terms-used-in-official-statistics/4572,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 unemployed and economically inactive persons (preliminary LFS results) - the 4th quarter of 2023.docx.docx</NazwaPliku>
    <Osoba xmlns="AD3641B4-23D9-4536-AF9E-7D0EADDEB824">STAT\BIALYI</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AD3641B4-23D9-4536-AF9E-7D0EADDEB824"/>
    <ds:schemaRef ds:uri="http://schemas.microsoft.com/sharepoint/v3"/>
  </ds:schemaRefs>
</ds:datastoreItem>
</file>

<file path=customXml/itemProps2.xml><?xml version="1.0" encoding="utf-8"?>
<ds:datastoreItem xmlns:ds="http://schemas.openxmlformats.org/officeDocument/2006/customXml" ds:itemID="{85DDB9CA-9A8F-4687-AE36-E9C6FB253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9377D-9C49-497A-A207-D2794A8E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3474</Words>
  <Characters>20847</Characters>
  <DocSecurity>0</DocSecurity>
  <Lines>173</Lines>
  <Paragraphs>48</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results of the Pilish LFS in the first quarter of 2026)</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results of the Polish LFS in the first quarter of 2026)</dc:title>
  <dc:creator>Statistics Poland</dc:creator>
  <dc:description/>
  <cp:lastPrinted>2025-11-21T07:27:00Z</cp:lastPrinted>
  <dcterms:created xsi:type="dcterms:W3CDTF">2026-05-19T10:44:00Z</dcterms:created>
  <dcterms:modified xsi:type="dcterms:W3CDTF">2026-05-22T09:53:00Z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