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3FF" w:rsidRPr="006B55C0" w:rsidRDefault="00D153FF" w:rsidP="00D153FF">
      <w:pPr>
        <w:pStyle w:val="tytuinformacji"/>
        <w:rPr>
          <w:shd w:val="clear" w:color="auto" w:fill="FFFFFF"/>
          <w:lang w:val="en-US"/>
        </w:rPr>
      </w:pPr>
      <w:r w:rsidRPr="006B55C0">
        <w:rPr>
          <w:shd w:val="clear" w:color="auto" w:fill="FFFFFF"/>
          <w:lang w:val="en-US"/>
        </w:rPr>
        <w:t>General go</w:t>
      </w:r>
      <w:r w:rsidR="0072384A">
        <w:rPr>
          <w:shd w:val="clear" w:color="auto" w:fill="FFFFFF"/>
          <w:lang w:val="en-US"/>
        </w:rPr>
        <w:t xml:space="preserve">vernment deficit and debt in </w:t>
      </w:r>
      <w:r w:rsidR="00072C66">
        <w:rPr>
          <w:shd w:val="clear" w:color="auto" w:fill="FFFFFF"/>
          <w:lang w:val="en-US"/>
        </w:rPr>
        <w:t>the years 2022-</w:t>
      </w:r>
      <w:r w:rsidR="0072384A">
        <w:rPr>
          <w:shd w:val="clear" w:color="auto" w:fill="FFFFFF"/>
          <w:lang w:val="en-US"/>
        </w:rPr>
        <w:t>202</w:t>
      </w:r>
      <w:r w:rsidR="00072C66">
        <w:rPr>
          <w:shd w:val="clear" w:color="auto" w:fill="FFFFFF"/>
          <w:lang w:val="en-US"/>
        </w:rPr>
        <w:t>5</w:t>
      </w:r>
    </w:p>
    <w:p w:rsidR="00983768" w:rsidRPr="005535A2" w:rsidRDefault="006E5848" w:rsidP="00983768">
      <w:pPr>
        <w:pStyle w:val="tytuinformacji"/>
        <w:rPr>
          <w:shd w:val="clear" w:color="auto" w:fill="FFFFFF"/>
          <w:lang w:val="en-US"/>
        </w:rPr>
      </w:pPr>
      <w:r>
        <w:rPr>
          <w:noProof/>
          <w:lang w:eastAsia="pl-PL"/>
        </w:rPr>
        <mc:AlternateContent>
          <mc:Choice Requires="wps">
            <w:drawing>
              <wp:anchor distT="45720" distB="45720" distL="114300" distR="114300" simplePos="0" relativeHeight="251653632" behindDoc="0" locked="0" layoutInCell="1" allowOverlap="1" wp14:anchorId="128B86C5" wp14:editId="0B0D68F3">
                <wp:simplePos x="0" y="0"/>
                <wp:positionH relativeFrom="margin">
                  <wp:posOffset>-40005</wp:posOffset>
                </wp:positionH>
                <wp:positionV relativeFrom="paragraph">
                  <wp:posOffset>407035</wp:posOffset>
                </wp:positionV>
                <wp:extent cx="1877060" cy="1003300"/>
                <wp:effectExtent l="7620" t="8255" r="1270" b="7620"/>
                <wp:wrapSquare wrapText="bothSides"/>
                <wp:docPr id="7" name="Pole tekstowe 2" descr="Description : 7,3 %&#10;General government deficit in 2025 in relation to GDP"/>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7060" cy="1003300"/>
                        </a:xfrm>
                        <a:prstGeom prst="roundRect">
                          <a:avLst>
                            <a:gd name="adj" fmla="val 16667"/>
                          </a:avLst>
                        </a:prstGeom>
                        <a:solidFill>
                          <a:srgbClr val="001D7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8AB" w:rsidRPr="00A51EF7" w:rsidRDefault="003818AB" w:rsidP="003818AB">
                            <w:pPr>
                              <w:spacing w:after="0" w:line="240" w:lineRule="auto"/>
                              <w:rPr>
                                <w:rFonts w:ascii="Fira Sans SemiBold" w:hAnsi="Fira Sans SemiBold"/>
                                <w:color w:val="FFFFFF" w:themeColor="background1"/>
                                <w:sz w:val="40"/>
                                <w:szCs w:val="40"/>
                                <w:lang w:val="en-US"/>
                              </w:rPr>
                            </w:pPr>
                            <w:bookmarkStart w:id="0" w:name="_Hlk99638553"/>
                            <w:bookmarkStart w:id="1" w:name="_Hlk99638554"/>
                            <w:bookmarkStart w:id="2" w:name="_Hlk99638558"/>
                            <w:bookmarkStart w:id="3" w:name="_Hlk99638559"/>
                            <w:bookmarkStart w:id="4" w:name="_Hlk99638560"/>
                            <w:bookmarkStart w:id="5" w:name="_Hlk99638561"/>
                            <w:bookmarkStart w:id="6" w:name="_Hlk99638562"/>
                            <w:bookmarkStart w:id="7" w:name="_Hlk99638563"/>
                            <w:r w:rsidRPr="00A51EF7">
                              <w:rPr>
                                <w:rFonts w:ascii="Fira Sans Light" w:hAnsi="Fira Sans Light"/>
                                <w:color w:val="001D77"/>
                                <w:sz w:val="22"/>
                                <w:lang w:val="en-US"/>
                              </w:rPr>
                              <w:t xml:space="preserve">1            </w:t>
                            </w:r>
                            <w:r w:rsidR="00A914BC">
                              <w:rPr>
                                <w:rFonts w:ascii="Fira Sans SemiBold" w:hAnsi="Fira Sans SemiBold"/>
                                <w:color w:val="FFFFFF" w:themeColor="background1"/>
                                <w:sz w:val="40"/>
                                <w:szCs w:val="40"/>
                                <w:lang w:val="en-US"/>
                              </w:rPr>
                              <w:t>7</w:t>
                            </w:r>
                            <w:r w:rsidR="0031282B">
                              <w:rPr>
                                <w:rFonts w:ascii="Fira Sans SemiBold" w:hAnsi="Fira Sans SemiBold"/>
                                <w:color w:val="FFFFFF" w:themeColor="background1"/>
                                <w:sz w:val="40"/>
                                <w:szCs w:val="40"/>
                                <w:lang w:val="en-US"/>
                              </w:rPr>
                              <w:t>.</w:t>
                            </w:r>
                            <w:r w:rsidR="0016567D">
                              <w:rPr>
                                <w:rFonts w:ascii="Fira Sans SemiBold" w:hAnsi="Fira Sans SemiBold"/>
                                <w:color w:val="FFFFFF" w:themeColor="background1"/>
                                <w:sz w:val="40"/>
                                <w:szCs w:val="40"/>
                                <w:lang w:val="en-US"/>
                              </w:rPr>
                              <w:t>3</w:t>
                            </w:r>
                            <w:r w:rsidRPr="00A51EF7">
                              <w:rPr>
                                <w:rFonts w:ascii="Fira Sans SemiBold" w:hAnsi="Fira Sans SemiBold"/>
                                <w:color w:val="FFFFFF" w:themeColor="background1"/>
                                <w:sz w:val="40"/>
                                <w:szCs w:val="40"/>
                                <w:lang w:val="en-US"/>
                              </w:rPr>
                              <w:t>%</w:t>
                            </w:r>
                          </w:p>
                          <w:p w:rsidR="003818AB" w:rsidRPr="006D3220" w:rsidRDefault="003818AB" w:rsidP="003818AB">
                            <w:pPr>
                              <w:pStyle w:val="tekstnaniebieskimtle"/>
                              <w:rPr>
                                <w:color w:val="FFFFFF"/>
                                <w:sz w:val="19"/>
                                <w:szCs w:val="19"/>
                                <w:lang w:val="en-US"/>
                              </w:rPr>
                            </w:pPr>
                            <w:r w:rsidRPr="006D3220">
                              <w:rPr>
                                <w:sz w:val="19"/>
                                <w:szCs w:val="19"/>
                                <w:lang w:val="en-US"/>
                              </w:rPr>
                              <w:t>General government defic</w:t>
                            </w:r>
                            <w:r>
                              <w:rPr>
                                <w:sz w:val="19"/>
                                <w:szCs w:val="19"/>
                                <w:lang w:val="en-US"/>
                              </w:rPr>
                              <w:t>i</w:t>
                            </w:r>
                            <w:r w:rsidRPr="006D3220">
                              <w:rPr>
                                <w:sz w:val="19"/>
                                <w:szCs w:val="19"/>
                                <w:lang w:val="en-US"/>
                              </w:rPr>
                              <w:t xml:space="preserve">t </w:t>
                            </w:r>
                            <w:r>
                              <w:rPr>
                                <w:sz w:val="19"/>
                                <w:szCs w:val="19"/>
                                <w:lang w:val="en-US"/>
                              </w:rPr>
                              <w:t>i</w:t>
                            </w:r>
                            <w:r w:rsidRPr="006D3220">
                              <w:rPr>
                                <w:sz w:val="19"/>
                                <w:szCs w:val="19"/>
                                <w:lang w:val="en-US"/>
                              </w:rPr>
                              <w:t xml:space="preserve">n </w:t>
                            </w:r>
                            <w:r>
                              <w:rPr>
                                <w:sz w:val="19"/>
                                <w:szCs w:val="19"/>
                                <w:lang w:val="en-US"/>
                              </w:rPr>
                              <w:t>202</w:t>
                            </w:r>
                            <w:r w:rsidR="00A914BC">
                              <w:rPr>
                                <w:sz w:val="19"/>
                                <w:szCs w:val="19"/>
                                <w:lang w:val="en-US"/>
                              </w:rPr>
                              <w:t>5</w:t>
                            </w:r>
                            <w:r>
                              <w:rPr>
                                <w:sz w:val="19"/>
                                <w:szCs w:val="19"/>
                                <w:lang w:val="en-US"/>
                              </w:rPr>
                              <w:t xml:space="preserve"> in relation to </w:t>
                            </w:r>
                            <w:r w:rsidRPr="006D3220">
                              <w:rPr>
                                <w:sz w:val="19"/>
                                <w:szCs w:val="19"/>
                                <w:lang w:val="en-US"/>
                              </w:rPr>
                              <w:t>GDP</w:t>
                            </w:r>
                          </w:p>
                          <w:bookmarkEnd w:id="0"/>
                          <w:bookmarkEnd w:id="1"/>
                          <w:bookmarkEnd w:id="2"/>
                          <w:bookmarkEnd w:id="3"/>
                          <w:bookmarkEnd w:id="4"/>
                          <w:bookmarkEnd w:id="5"/>
                          <w:bookmarkEnd w:id="6"/>
                          <w:bookmarkEnd w:id="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28B86C5" id="Pole tekstowe 2" o:spid="_x0000_s1026" alt="Description : 7,3 %&#10;General government deficit in 2025 in relation to GDP" style="position:absolute;margin-left:-3.15pt;margin-top:32.05pt;width:147.8pt;height:79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" fillcolor="#001d77" stroked="f">
                <v:stroke joinstyle="miter"/>
                <v:textbox>
                  <w:txbxContent>
                    <w:p w:rsidR="003818AB" w:rsidRPr="00A51EF7" w:rsidRDefault="003818AB" w:rsidP="003818AB">
                      <w:pPr>
                        <w:spacing w:after="0" w:line="240" w:lineRule="auto"/>
                        <w:rPr>
                          <w:rFonts w:ascii="Fira Sans SemiBold" w:hAnsi="Fira Sans SemiBold"/>
                          <w:color w:val="FFFFFF" w:themeColor="background1"/>
                          <w:sz w:val="40"/>
                          <w:szCs w:val="40"/>
                          <w:lang w:val="en-US"/>
                        </w:rPr>
                      </w:pPr>
                      <w:bookmarkStart w:id="8" w:name="_Hlk99638553"/>
                      <w:bookmarkStart w:id="9" w:name="_Hlk99638554"/>
                      <w:bookmarkStart w:id="10" w:name="_Hlk99638558"/>
                      <w:bookmarkStart w:id="11" w:name="_Hlk99638559"/>
                      <w:bookmarkStart w:id="12" w:name="_Hlk99638560"/>
                      <w:bookmarkStart w:id="13" w:name="_Hlk99638561"/>
                      <w:bookmarkStart w:id="14" w:name="_Hlk99638562"/>
                      <w:bookmarkStart w:id="15" w:name="_Hlk99638563"/>
                      <w:r w:rsidRPr="00A51EF7">
                        <w:rPr>
                          <w:rFonts w:ascii="Fira Sans Light" w:hAnsi="Fira Sans Light"/>
                          <w:color w:val="001D77"/>
                          <w:sz w:val="22"/>
                          <w:lang w:val="en-US"/>
                        </w:rPr>
                        <w:t xml:space="preserve">1            </w:t>
                      </w:r>
                      <w:r w:rsidR="00A914BC">
                        <w:rPr>
                          <w:rFonts w:ascii="Fira Sans SemiBold" w:hAnsi="Fira Sans SemiBold"/>
                          <w:color w:val="FFFFFF" w:themeColor="background1"/>
                          <w:sz w:val="40"/>
                          <w:szCs w:val="40"/>
                          <w:lang w:val="en-US"/>
                        </w:rPr>
                        <w:t>7</w:t>
                      </w:r>
                      <w:r w:rsidR="0031282B">
                        <w:rPr>
                          <w:rFonts w:ascii="Fira Sans SemiBold" w:hAnsi="Fira Sans SemiBold"/>
                          <w:color w:val="FFFFFF" w:themeColor="background1"/>
                          <w:sz w:val="40"/>
                          <w:szCs w:val="40"/>
                          <w:lang w:val="en-US"/>
                        </w:rPr>
                        <w:t>.</w:t>
                      </w:r>
                      <w:r w:rsidR="0016567D">
                        <w:rPr>
                          <w:rFonts w:ascii="Fira Sans SemiBold" w:hAnsi="Fira Sans SemiBold"/>
                          <w:color w:val="FFFFFF" w:themeColor="background1"/>
                          <w:sz w:val="40"/>
                          <w:szCs w:val="40"/>
                          <w:lang w:val="en-US"/>
                        </w:rPr>
                        <w:t>3</w:t>
                      </w:r>
                      <w:r w:rsidRPr="00A51EF7">
                        <w:rPr>
                          <w:rFonts w:ascii="Fira Sans SemiBold" w:hAnsi="Fira Sans SemiBold"/>
                          <w:color w:val="FFFFFF" w:themeColor="background1"/>
                          <w:sz w:val="40"/>
                          <w:szCs w:val="40"/>
                          <w:lang w:val="en-US"/>
                        </w:rPr>
                        <w:t>%</w:t>
                      </w:r>
                    </w:p>
                    <w:p w:rsidR="003818AB" w:rsidRPr="006D3220" w:rsidRDefault="003818AB" w:rsidP="003818AB">
                      <w:pPr>
                        <w:pStyle w:val="tekstnaniebieskimtle"/>
                        <w:rPr>
                          <w:color w:val="FFFFFF"/>
                          <w:sz w:val="19"/>
                          <w:szCs w:val="19"/>
                          <w:lang w:val="en-US"/>
                        </w:rPr>
                      </w:pPr>
                      <w:r w:rsidRPr="006D3220">
                        <w:rPr>
                          <w:sz w:val="19"/>
                          <w:szCs w:val="19"/>
                          <w:lang w:val="en-US"/>
                        </w:rPr>
                        <w:t>General government defic</w:t>
                      </w:r>
                      <w:r>
                        <w:rPr>
                          <w:sz w:val="19"/>
                          <w:szCs w:val="19"/>
                          <w:lang w:val="en-US"/>
                        </w:rPr>
                        <w:t>i</w:t>
                      </w:r>
                      <w:r w:rsidRPr="006D3220">
                        <w:rPr>
                          <w:sz w:val="19"/>
                          <w:szCs w:val="19"/>
                          <w:lang w:val="en-US"/>
                        </w:rPr>
                        <w:t xml:space="preserve">t </w:t>
                      </w:r>
                      <w:r>
                        <w:rPr>
                          <w:sz w:val="19"/>
                          <w:szCs w:val="19"/>
                          <w:lang w:val="en-US"/>
                        </w:rPr>
                        <w:t>i</w:t>
                      </w:r>
                      <w:r w:rsidRPr="006D3220">
                        <w:rPr>
                          <w:sz w:val="19"/>
                          <w:szCs w:val="19"/>
                          <w:lang w:val="en-US"/>
                        </w:rPr>
                        <w:t xml:space="preserve">n </w:t>
                      </w:r>
                      <w:r>
                        <w:rPr>
                          <w:sz w:val="19"/>
                          <w:szCs w:val="19"/>
                          <w:lang w:val="en-US"/>
                        </w:rPr>
                        <w:t>202</w:t>
                      </w:r>
                      <w:r w:rsidR="00A914BC">
                        <w:rPr>
                          <w:sz w:val="19"/>
                          <w:szCs w:val="19"/>
                          <w:lang w:val="en-US"/>
                        </w:rPr>
                        <w:t>5</w:t>
                      </w:r>
                      <w:r>
                        <w:rPr>
                          <w:sz w:val="19"/>
                          <w:szCs w:val="19"/>
                          <w:lang w:val="en-US"/>
                        </w:rPr>
                        <w:t xml:space="preserve"> in relation to </w:t>
                      </w:r>
                      <w:r w:rsidRPr="006D3220">
                        <w:rPr>
                          <w:sz w:val="19"/>
                          <w:szCs w:val="19"/>
                          <w:lang w:val="en-US"/>
                        </w:rPr>
                        <w:t>GDP</w:t>
                      </w:r>
                    </w:p>
                    <w:bookmarkEnd w:id="8"/>
                    <w:bookmarkEnd w:id="9"/>
                    <w:bookmarkEnd w:id="10"/>
                    <w:bookmarkEnd w:id="11"/>
                    <w:bookmarkEnd w:id="12"/>
                    <w:bookmarkEnd w:id="13"/>
                    <w:bookmarkEnd w:id="14"/>
                    <w:bookmarkEnd w:id="15"/>
                  </w:txbxContent>
                </v:textbox>
                <w10:wrap type="square" anchorx="margin"/>
              </v:roundrect>
            </w:pict>
          </mc:Fallback>
        </mc:AlternateContent>
      </w:r>
    </w:p>
    <w:p w:rsidR="00847842" w:rsidRPr="00D153FF" w:rsidRDefault="0027203D" w:rsidP="001A5332">
      <w:pPr>
        <w:pStyle w:val="LID"/>
        <w:rPr>
          <w:lang w:val="en-US"/>
        </w:rPr>
      </w:pPr>
      <w:r>
        <w:rPr>
          <w:lang w:val="en-US"/>
        </w:rPr>
        <w:t>I</w:t>
      </w:r>
      <w:r w:rsidR="009D1F87">
        <w:rPr>
          <w:lang w:val="en-US"/>
        </w:rPr>
        <w:t>n 202</w:t>
      </w:r>
      <w:r w:rsidR="002B662C">
        <w:rPr>
          <w:lang w:val="en-US"/>
        </w:rPr>
        <w:t>5</w:t>
      </w:r>
      <w:r w:rsidR="009D1F87">
        <w:rPr>
          <w:lang w:val="en-US"/>
        </w:rPr>
        <w:t xml:space="preserve"> </w:t>
      </w:r>
      <w:r w:rsidR="00D153FF" w:rsidRPr="00D153FF">
        <w:rPr>
          <w:lang w:val="en-US"/>
        </w:rPr>
        <w:t>the general government deficit</w:t>
      </w:r>
      <w:r w:rsidR="004B270C">
        <w:rPr>
          <w:lang w:val="en-US"/>
        </w:rPr>
        <w:t xml:space="preserve"> was equal</w:t>
      </w:r>
      <w:r w:rsidR="00AD6205">
        <w:rPr>
          <w:lang w:val="en-US"/>
        </w:rPr>
        <w:t xml:space="preserve"> </w:t>
      </w:r>
      <w:r w:rsidR="00E4636A" w:rsidRPr="00E4636A">
        <w:rPr>
          <w:lang w:val="en-GB"/>
        </w:rPr>
        <w:t>2</w:t>
      </w:r>
      <w:r w:rsidR="002B662C">
        <w:rPr>
          <w:lang w:val="en-GB"/>
        </w:rPr>
        <w:t>8</w:t>
      </w:r>
      <w:r w:rsidR="00E4636A" w:rsidRPr="00E4636A">
        <w:rPr>
          <w:lang w:val="en-GB"/>
        </w:rPr>
        <w:t>3</w:t>
      </w:r>
      <w:r w:rsidR="00A90AF9">
        <w:rPr>
          <w:lang w:val="en-GB"/>
        </w:rPr>
        <w:t> </w:t>
      </w:r>
      <w:r w:rsidR="002B662C">
        <w:rPr>
          <w:lang w:val="en-GB"/>
        </w:rPr>
        <w:t>9</w:t>
      </w:r>
      <w:r w:rsidR="00E4636A" w:rsidRPr="00E4636A">
        <w:rPr>
          <w:lang w:val="en-GB"/>
        </w:rPr>
        <w:t>6</w:t>
      </w:r>
      <w:r w:rsidR="002B662C">
        <w:rPr>
          <w:lang w:val="en-GB"/>
        </w:rPr>
        <w:t>9</w:t>
      </w:r>
      <w:r w:rsidR="00A90AF9">
        <w:rPr>
          <w:lang w:val="en-GB"/>
        </w:rPr>
        <w:t> </w:t>
      </w:r>
      <w:r w:rsidR="004372E5" w:rsidRPr="00080771">
        <w:rPr>
          <w:lang w:val="en-GB"/>
        </w:rPr>
        <w:t>m</w:t>
      </w:r>
      <w:r w:rsidR="00332F60">
        <w:rPr>
          <w:lang w:val="en-GB"/>
        </w:rPr>
        <w:t>il</w:t>
      </w:r>
      <w:r w:rsidR="004372E5" w:rsidRPr="00080771">
        <w:rPr>
          <w:lang w:val="en-GB"/>
        </w:rPr>
        <w:t>l</w:t>
      </w:r>
      <w:r w:rsidR="00332F60">
        <w:rPr>
          <w:lang w:val="en-GB"/>
        </w:rPr>
        <w:t>io</w:t>
      </w:r>
      <w:r w:rsidR="004372E5" w:rsidRPr="00080771">
        <w:rPr>
          <w:lang w:val="en-GB"/>
        </w:rPr>
        <w:t>n</w:t>
      </w:r>
      <w:r w:rsidR="00A90AF9">
        <w:rPr>
          <w:lang w:val="en-GB"/>
        </w:rPr>
        <w:t> </w:t>
      </w:r>
      <w:r w:rsidR="0016567D">
        <w:rPr>
          <w:lang w:val="en-US"/>
        </w:rPr>
        <w:t>PLN</w:t>
      </w:r>
      <w:r w:rsidR="00D153FF" w:rsidRPr="00D153FF">
        <w:rPr>
          <w:lang w:val="en-US"/>
        </w:rPr>
        <w:t xml:space="preserve"> (</w:t>
      </w:r>
      <w:r>
        <w:rPr>
          <w:lang w:val="en-US"/>
        </w:rPr>
        <w:t>7</w:t>
      </w:r>
      <w:r w:rsidR="00F24A70" w:rsidRPr="00374326">
        <w:rPr>
          <w:lang w:val="en-US"/>
        </w:rPr>
        <w:t>.</w:t>
      </w:r>
      <w:r>
        <w:rPr>
          <w:lang w:val="en-US"/>
        </w:rPr>
        <w:t>3</w:t>
      </w:r>
      <w:r w:rsidR="00D153FF" w:rsidRPr="00374326">
        <w:rPr>
          <w:lang w:val="en-US"/>
        </w:rPr>
        <w:t>%</w:t>
      </w:r>
      <w:r w:rsidR="00D153FF" w:rsidRPr="00D153FF">
        <w:rPr>
          <w:lang w:val="en-US"/>
        </w:rPr>
        <w:t xml:space="preserve"> of GDP), while the general government debt amounted to</w:t>
      </w:r>
      <w:r>
        <w:rPr>
          <w:lang w:val="en-US"/>
        </w:rPr>
        <w:t xml:space="preserve"> </w:t>
      </w:r>
      <w:r w:rsidR="00E4636A" w:rsidRPr="00E4636A">
        <w:rPr>
          <w:lang w:val="en-GB"/>
        </w:rPr>
        <w:t>2</w:t>
      </w:r>
      <w:r w:rsidR="0000188E">
        <w:rPr>
          <w:lang w:val="en-GB"/>
        </w:rPr>
        <w:t> </w:t>
      </w:r>
      <w:r w:rsidR="00D15AEE">
        <w:rPr>
          <w:lang w:val="en-GB"/>
        </w:rPr>
        <w:t>335</w:t>
      </w:r>
      <w:r w:rsidR="0000188E">
        <w:rPr>
          <w:lang w:val="en-GB"/>
        </w:rPr>
        <w:t> </w:t>
      </w:r>
      <w:r w:rsidR="00D15AEE">
        <w:rPr>
          <w:lang w:val="en-GB"/>
        </w:rPr>
        <w:t>153</w:t>
      </w:r>
      <w:r w:rsidR="0000188E">
        <w:rPr>
          <w:lang w:val="en-GB"/>
        </w:rPr>
        <w:t> </w:t>
      </w:r>
      <w:r w:rsidR="00D153FF" w:rsidRPr="00D153FF">
        <w:rPr>
          <w:lang w:val="en-US"/>
        </w:rPr>
        <w:t>m</w:t>
      </w:r>
      <w:r w:rsidR="00332F60">
        <w:rPr>
          <w:lang w:val="en-US"/>
        </w:rPr>
        <w:t>il</w:t>
      </w:r>
      <w:r w:rsidR="00D153FF" w:rsidRPr="00D153FF">
        <w:rPr>
          <w:lang w:val="en-US"/>
        </w:rPr>
        <w:t>l</w:t>
      </w:r>
      <w:r w:rsidR="00332F60">
        <w:rPr>
          <w:lang w:val="en-US"/>
        </w:rPr>
        <w:t>io</w:t>
      </w:r>
      <w:r w:rsidR="00D153FF" w:rsidRPr="00D153FF">
        <w:rPr>
          <w:lang w:val="en-US"/>
        </w:rPr>
        <w:t>n</w:t>
      </w:r>
      <w:r w:rsidR="0000188E">
        <w:rPr>
          <w:lang w:val="en-US"/>
        </w:rPr>
        <w:t> </w:t>
      </w:r>
      <w:r w:rsidR="0016567D">
        <w:rPr>
          <w:lang w:val="en-US"/>
        </w:rPr>
        <w:t>PLN</w:t>
      </w:r>
      <w:r>
        <w:rPr>
          <w:lang w:val="en-US"/>
        </w:rPr>
        <w:t xml:space="preserve">   </w:t>
      </w:r>
      <w:r w:rsidR="00D153FF" w:rsidRPr="00D153FF">
        <w:rPr>
          <w:lang w:val="en-US"/>
        </w:rPr>
        <w:t xml:space="preserve"> </w:t>
      </w:r>
      <w:r w:rsidR="00D153FF">
        <w:rPr>
          <w:lang w:val="en-US"/>
        </w:rPr>
        <w:t>(</w:t>
      </w:r>
      <w:r w:rsidR="00A16A41">
        <w:rPr>
          <w:lang w:val="en-US"/>
        </w:rPr>
        <w:t>5</w:t>
      </w:r>
      <w:r w:rsidR="00D15AEE">
        <w:rPr>
          <w:lang w:val="en-US"/>
        </w:rPr>
        <w:t>9</w:t>
      </w:r>
      <w:r w:rsidR="00F24A70" w:rsidRPr="00A16A41">
        <w:rPr>
          <w:lang w:val="en-US"/>
        </w:rPr>
        <w:t>.</w:t>
      </w:r>
      <w:r w:rsidR="00D15AEE">
        <w:rPr>
          <w:lang w:val="en-US"/>
        </w:rPr>
        <w:t>7</w:t>
      </w:r>
      <w:r w:rsidR="00D153FF" w:rsidRPr="00A16A41">
        <w:rPr>
          <w:lang w:val="en-US"/>
        </w:rPr>
        <w:t>%</w:t>
      </w:r>
      <w:r w:rsidR="00D153FF" w:rsidRPr="00D153FF">
        <w:rPr>
          <w:lang w:val="en-US"/>
        </w:rPr>
        <w:t xml:space="preserve"> of GDP). </w:t>
      </w:r>
    </w:p>
    <w:p w:rsidR="00983768" w:rsidRPr="00847842" w:rsidRDefault="00983768" w:rsidP="00983768">
      <w:pPr>
        <w:pStyle w:val="LID"/>
        <w:rPr>
          <w:lang w:val="en-US"/>
        </w:rPr>
      </w:pPr>
      <w:r w:rsidRPr="00847842">
        <w:rPr>
          <w:lang w:val="en-US"/>
        </w:rPr>
        <w:t xml:space="preserve"> </w:t>
      </w:r>
    </w:p>
    <w:p w:rsidR="00823A6E" w:rsidRPr="00847842" w:rsidRDefault="00823A6E" w:rsidP="00823A6E">
      <w:pPr>
        <w:rPr>
          <w:lang w:val="en-US" w:eastAsia="pl-PL"/>
        </w:rPr>
      </w:pPr>
    </w:p>
    <w:p w:rsidR="00686F3A" w:rsidRDefault="00686F3A" w:rsidP="0056307A">
      <w:pPr>
        <w:spacing w:before="360" w:after="0" w:line="288" w:lineRule="auto"/>
        <w:rPr>
          <w:rFonts w:cs="Arial"/>
          <w:szCs w:val="19"/>
          <w:lang w:val="en-US"/>
        </w:rPr>
      </w:pPr>
      <w:r>
        <w:rPr>
          <w:rFonts w:cs="Arial"/>
          <w:szCs w:val="19"/>
          <w:lang w:val="en-US"/>
        </w:rPr>
        <w:t xml:space="preserve">Statistics Poland presents </w:t>
      </w:r>
      <w:r w:rsidRPr="00366D5E">
        <w:rPr>
          <w:rFonts w:cs="Arial"/>
          <w:szCs w:val="19"/>
          <w:lang w:val="en-US"/>
        </w:rPr>
        <w:t xml:space="preserve">the general government deficit and debt data </w:t>
      </w:r>
      <w:r>
        <w:rPr>
          <w:rFonts w:cs="Arial"/>
          <w:szCs w:val="19"/>
          <w:lang w:val="en-US"/>
        </w:rPr>
        <w:t xml:space="preserve">for years </w:t>
      </w:r>
      <w:r w:rsidR="00935F3A" w:rsidRPr="00935F3A">
        <w:rPr>
          <w:rFonts w:cs="Arial"/>
          <w:szCs w:val="19"/>
          <w:lang w:val="en-US"/>
        </w:rPr>
        <w:t>202</w:t>
      </w:r>
      <w:r w:rsidR="00ED2F82">
        <w:rPr>
          <w:rFonts w:cs="Arial"/>
          <w:szCs w:val="19"/>
          <w:lang w:val="en-US"/>
        </w:rPr>
        <w:t>2</w:t>
      </w:r>
      <w:r w:rsidR="00935F3A" w:rsidRPr="00935F3A">
        <w:rPr>
          <w:rFonts w:cs="Arial"/>
          <w:szCs w:val="19"/>
          <w:lang w:val="en-US"/>
        </w:rPr>
        <w:t>-202</w:t>
      </w:r>
      <w:r w:rsidR="00ED2F82">
        <w:rPr>
          <w:rFonts w:cs="Arial"/>
          <w:szCs w:val="19"/>
          <w:lang w:val="en-US"/>
        </w:rPr>
        <w:t>5</w:t>
      </w:r>
      <w:r w:rsidR="00935F3A" w:rsidRPr="00935F3A">
        <w:rPr>
          <w:rFonts w:cs="Arial"/>
          <w:szCs w:val="19"/>
          <w:lang w:val="en-US"/>
        </w:rPr>
        <w:t xml:space="preserve"> </w:t>
      </w:r>
      <w:r>
        <w:rPr>
          <w:rFonts w:cs="Arial"/>
          <w:szCs w:val="19"/>
          <w:lang w:val="en-US"/>
        </w:rPr>
        <w:t xml:space="preserve">developed as part of </w:t>
      </w:r>
      <w:r w:rsidR="00ED2F82">
        <w:rPr>
          <w:rFonts w:cs="Arial"/>
          <w:szCs w:val="19"/>
          <w:lang w:val="en-US"/>
        </w:rPr>
        <w:t>April</w:t>
      </w:r>
      <w:r>
        <w:rPr>
          <w:rFonts w:cs="Arial"/>
          <w:szCs w:val="19"/>
          <w:lang w:val="en-US"/>
        </w:rPr>
        <w:t xml:space="preserve"> EDP notification.</w:t>
      </w:r>
    </w:p>
    <w:p w:rsidR="00DC6668" w:rsidRDefault="004301BD" w:rsidP="0056307A">
      <w:pPr>
        <w:spacing w:line="288" w:lineRule="auto"/>
        <w:rPr>
          <w:rFonts w:cs="Arial"/>
          <w:szCs w:val="19"/>
          <w:lang w:val="en-US"/>
        </w:rPr>
      </w:pPr>
      <w:r w:rsidRPr="004301BD">
        <w:rPr>
          <w:rFonts w:cs="Arial"/>
          <w:szCs w:val="19"/>
          <w:lang w:val="en-US"/>
        </w:rPr>
        <w:t>The data have been developed in accordance with the methodology of the European System of National and Regional Accounts in the European Union introduced by the Regulation (EU) No. 549/2013 of the European Parliament and of the Council of 21 May 2013 (ESA2010)</w:t>
      </w:r>
      <w:r w:rsidR="007C0A9B">
        <w:rPr>
          <w:rFonts w:cs="Arial"/>
          <w:szCs w:val="19"/>
          <w:lang w:val="en-US"/>
        </w:rPr>
        <w:t xml:space="preserve"> </w:t>
      </w:r>
      <w:r w:rsidR="007C0A9B" w:rsidRPr="00366D5E">
        <w:rPr>
          <w:rFonts w:cs="Arial"/>
          <w:szCs w:val="19"/>
          <w:lang w:val="en-US"/>
        </w:rPr>
        <w:t>with amendments</w:t>
      </w:r>
      <w:r w:rsidRPr="004301BD">
        <w:rPr>
          <w:rFonts w:cs="Arial"/>
          <w:szCs w:val="19"/>
          <w:lang w:val="en-US"/>
        </w:rPr>
        <w:t xml:space="preserve"> and the guidelines contained in the Manual on Government Deficit and Debt, Im</w:t>
      </w:r>
      <w:r w:rsidR="00646EF1">
        <w:rPr>
          <w:rFonts w:cs="Arial"/>
          <w:szCs w:val="19"/>
          <w:lang w:val="en-US"/>
        </w:rPr>
        <w:t>plementation of ESA2010 (MGDD</w:t>
      </w:r>
      <w:r w:rsidR="00765921">
        <w:rPr>
          <w:rFonts w:cs="Arial"/>
          <w:szCs w:val="19"/>
          <w:lang w:val="en-US"/>
        </w:rPr>
        <w:t>, 20</w:t>
      </w:r>
      <w:r w:rsidR="00B62758">
        <w:rPr>
          <w:rFonts w:cs="Arial"/>
          <w:szCs w:val="19"/>
          <w:lang w:val="en-US"/>
        </w:rPr>
        <w:t>22</w:t>
      </w:r>
      <w:r w:rsidR="00765921">
        <w:rPr>
          <w:rFonts w:cs="Arial"/>
          <w:szCs w:val="19"/>
          <w:lang w:val="en-US"/>
        </w:rPr>
        <w:t xml:space="preserve"> editio</w:t>
      </w:r>
      <w:r w:rsidR="00C97DB3">
        <w:rPr>
          <w:rFonts w:cs="Arial"/>
          <w:szCs w:val="19"/>
          <w:lang w:val="en-US"/>
        </w:rPr>
        <w:t>n</w:t>
      </w:r>
      <w:r w:rsidRPr="004301BD">
        <w:rPr>
          <w:rFonts w:cs="Arial"/>
          <w:szCs w:val="19"/>
          <w:lang w:val="en-US"/>
        </w:rPr>
        <w:t>)</w:t>
      </w:r>
      <w:r w:rsidRPr="000351AF">
        <w:rPr>
          <w:szCs w:val="19"/>
          <w:vertAlign w:val="superscript"/>
        </w:rPr>
        <w:footnoteReference w:id="1"/>
      </w:r>
      <w:r w:rsidRPr="000351AF">
        <w:rPr>
          <w:rFonts w:cs="Arial"/>
          <w:szCs w:val="19"/>
          <w:lang w:val="en-US"/>
        </w:rPr>
        <w:t>.</w:t>
      </w:r>
    </w:p>
    <w:p w:rsidR="001C2F0A" w:rsidRPr="003818AB" w:rsidRDefault="00930709" w:rsidP="001C2F0A">
      <w:pPr>
        <w:pStyle w:val="Nagwek1"/>
        <w:spacing w:before="360" w:line="240" w:lineRule="exact"/>
        <w:ind w:left="851" w:hanging="851"/>
        <w:rPr>
          <w:rFonts w:ascii="Fira Sans" w:hAnsi="Fira Sans"/>
          <w:b/>
          <w:noProof/>
          <w:color w:val="auto"/>
          <w:spacing w:val="-2"/>
          <w:szCs w:val="19"/>
          <w:lang w:val="en-US"/>
        </w:rPr>
      </w:pPr>
      <w:r w:rsidRPr="00847842">
        <w:rPr>
          <w:noProof/>
          <w:lang w:val="pl-PL"/>
        </w:rPr>
        <mc:AlternateContent>
          <mc:Choice Requires="wps">
            <w:drawing>
              <wp:anchor distT="45720" distB="45720" distL="114300" distR="114300" simplePos="0" relativeHeight="251652608" behindDoc="1" locked="0" layoutInCell="1" allowOverlap="1" wp14:anchorId="49AB9ECA" wp14:editId="7D70DF1C">
                <wp:simplePos x="0" y="0"/>
                <wp:positionH relativeFrom="column">
                  <wp:posOffset>5264785</wp:posOffset>
                </wp:positionH>
                <wp:positionV relativeFrom="paragraph">
                  <wp:posOffset>252095</wp:posOffset>
                </wp:positionV>
                <wp:extent cx="1725295" cy="1244600"/>
                <wp:effectExtent l="0" t="0" r="0" b="0"/>
                <wp:wrapTight wrapText="bothSides">
                  <wp:wrapPolygon edited="0">
                    <wp:start x="715" y="0"/>
                    <wp:lineTo x="715" y="21159"/>
                    <wp:lineTo x="20749" y="21159"/>
                    <wp:lineTo x="20749" y="0"/>
                    <wp:lineTo x="715" y="0"/>
                  </wp:wrapPolygon>
                </wp:wrapTight>
                <wp:docPr id="6" name="Pole tekstowe 2" descr="The ratios of deficit and debt to GDP in 2024 have changed compared to the data published in October 2025, respectively: &#10;&#10;– from -6.5% to -6.4%,&#10;– from 55.1% to 54.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244600"/>
                        </a:xfrm>
                        <a:prstGeom prst="rect">
                          <a:avLst/>
                        </a:prstGeom>
                        <a:noFill/>
                        <a:ln w="9525">
                          <a:noFill/>
                          <a:miter lim="800000"/>
                          <a:headEnd/>
                          <a:tailEnd/>
                        </a:ln>
                      </wps:spPr>
                      <wps:txbx>
                        <w:txbxContent>
                          <w:p w:rsidR="00057C9B" w:rsidRDefault="008D3EEF" w:rsidP="00810884">
                            <w:pPr>
                              <w:spacing w:before="0" w:after="0" w:line="220" w:lineRule="exact"/>
                              <w:rPr>
                                <w:rFonts w:eastAsia="Times New Roman"/>
                                <w:bCs/>
                                <w:color w:val="001D77"/>
                                <w:sz w:val="18"/>
                                <w:szCs w:val="18"/>
                                <w:lang w:val="en-GB" w:eastAsia="pl-PL"/>
                              </w:rPr>
                            </w:pPr>
                            <w:bookmarkStart w:id="16" w:name="_Hlk211417866"/>
                            <w:r w:rsidRPr="006C3907">
                              <w:rPr>
                                <w:rFonts w:eastAsia="Times New Roman"/>
                                <w:bCs/>
                                <w:color w:val="001D77"/>
                                <w:sz w:val="18"/>
                                <w:szCs w:val="18"/>
                                <w:lang w:val="en-GB" w:eastAsia="pl-PL"/>
                              </w:rPr>
                              <w:t>The</w:t>
                            </w:r>
                            <w:bookmarkEnd w:id="16"/>
                            <w:r w:rsidRPr="006C3907">
                              <w:rPr>
                                <w:rFonts w:eastAsia="Times New Roman"/>
                                <w:bCs/>
                                <w:color w:val="001D77"/>
                                <w:sz w:val="18"/>
                                <w:szCs w:val="18"/>
                                <w:lang w:val="en-GB" w:eastAsia="pl-PL"/>
                              </w:rPr>
                              <w:t xml:space="preserve"> ratios of deficit and debt to GDP </w:t>
                            </w:r>
                            <w:r w:rsidR="00701A6F">
                              <w:rPr>
                                <w:rFonts w:eastAsia="Times New Roman"/>
                                <w:bCs/>
                                <w:color w:val="001D77"/>
                                <w:sz w:val="18"/>
                                <w:szCs w:val="18"/>
                                <w:lang w:val="en-GB" w:eastAsia="pl-PL"/>
                              </w:rPr>
                              <w:t xml:space="preserve">in 2024 </w:t>
                            </w:r>
                            <w:r w:rsidR="00057C9B" w:rsidRPr="00057C9B">
                              <w:rPr>
                                <w:rFonts w:eastAsia="Times New Roman"/>
                                <w:bCs/>
                                <w:color w:val="001D77"/>
                                <w:sz w:val="18"/>
                                <w:szCs w:val="18"/>
                                <w:lang w:val="en-GB" w:eastAsia="pl-PL"/>
                              </w:rPr>
                              <w:t xml:space="preserve">have changed compared to the data published in </w:t>
                            </w:r>
                            <w:r w:rsidR="00701A6F">
                              <w:rPr>
                                <w:rFonts w:eastAsia="Times New Roman"/>
                                <w:bCs/>
                                <w:color w:val="001D77"/>
                                <w:sz w:val="18"/>
                                <w:szCs w:val="18"/>
                                <w:lang w:val="en-GB" w:eastAsia="pl-PL"/>
                              </w:rPr>
                              <w:t>October 2025</w:t>
                            </w:r>
                            <w:r w:rsidR="00057C9B" w:rsidRPr="00057C9B">
                              <w:rPr>
                                <w:rFonts w:eastAsia="Times New Roman"/>
                                <w:bCs/>
                                <w:color w:val="001D77"/>
                                <w:sz w:val="18"/>
                                <w:szCs w:val="18"/>
                                <w:lang w:val="en-GB" w:eastAsia="pl-PL"/>
                              </w:rPr>
                              <w:t xml:space="preserve">, respectively: </w:t>
                            </w:r>
                          </w:p>
                          <w:p w:rsidR="00810884" w:rsidRDefault="00810884" w:rsidP="0097315A">
                            <w:pPr>
                              <w:spacing w:before="0" w:after="0" w:line="120" w:lineRule="exact"/>
                              <w:rPr>
                                <w:rFonts w:eastAsia="Times New Roman"/>
                                <w:bCs/>
                                <w:color w:val="001D77"/>
                                <w:sz w:val="18"/>
                                <w:szCs w:val="18"/>
                                <w:lang w:val="en-GB" w:eastAsia="pl-PL"/>
                              </w:rPr>
                            </w:pPr>
                          </w:p>
                          <w:p w:rsidR="00057C9B" w:rsidRDefault="00DB76EB" w:rsidP="00810884">
                            <w:pPr>
                              <w:spacing w:before="0" w:after="0" w:line="220" w:lineRule="exact"/>
                              <w:rPr>
                                <w:rFonts w:eastAsia="Times New Roman"/>
                                <w:bCs/>
                                <w:color w:val="001D77"/>
                                <w:sz w:val="18"/>
                                <w:szCs w:val="18"/>
                                <w:lang w:val="en-GB" w:eastAsia="pl-PL"/>
                              </w:rPr>
                            </w:pPr>
                            <w:r w:rsidRPr="00DB76EB">
                              <w:rPr>
                                <w:rFonts w:eastAsia="Times New Roman"/>
                                <w:bCs/>
                                <w:color w:val="001D77"/>
                                <w:sz w:val="18"/>
                                <w:szCs w:val="18"/>
                                <w:lang w:val="en-GB" w:eastAsia="pl-PL"/>
                              </w:rPr>
                              <w:t>–</w:t>
                            </w:r>
                            <w:r w:rsidR="00057C9B" w:rsidRPr="00057C9B">
                              <w:rPr>
                                <w:rFonts w:eastAsia="Times New Roman"/>
                                <w:bCs/>
                                <w:color w:val="001D77"/>
                                <w:sz w:val="18"/>
                                <w:szCs w:val="18"/>
                                <w:lang w:val="en-GB" w:eastAsia="pl-PL"/>
                              </w:rPr>
                              <w:t xml:space="preserve"> from -6.</w:t>
                            </w:r>
                            <w:r w:rsidR="00C33026">
                              <w:rPr>
                                <w:rFonts w:eastAsia="Times New Roman"/>
                                <w:bCs/>
                                <w:color w:val="001D77"/>
                                <w:sz w:val="18"/>
                                <w:szCs w:val="18"/>
                                <w:lang w:val="en-GB" w:eastAsia="pl-PL"/>
                              </w:rPr>
                              <w:t>5</w:t>
                            </w:r>
                            <w:r w:rsidR="00057C9B" w:rsidRPr="00057C9B">
                              <w:rPr>
                                <w:rFonts w:eastAsia="Times New Roman"/>
                                <w:bCs/>
                                <w:color w:val="001D77"/>
                                <w:sz w:val="18"/>
                                <w:szCs w:val="18"/>
                                <w:lang w:val="en-GB" w:eastAsia="pl-PL"/>
                              </w:rPr>
                              <w:t>% to -6.</w:t>
                            </w:r>
                            <w:r w:rsidR="00974515">
                              <w:rPr>
                                <w:rFonts w:eastAsia="Times New Roman"/>
                                <w:bCs/>
                                <w:color w:val="001D77"/>
                                <w:sz w:val="18"/>
                                <w:szCs w:val="18"/>
                                <w:lang w:val="en-GB" w:eastAsia="pl-PL"/>
                              </w:rPr>
                              <w:t>4</w:t>
                            </w:r>
                            <w:r w:rsidR="00057C9B" w:rsidRPr="00057C9B">
                              <w:rPr>
                                <w:rFonts w:eastAsia="Times New Roman"/>
                                <w:bCs/>
                                <w:color w:val="001D77"/>
                                <w:sz w:val="18"/>
                                <w:szCs w:val="18"/>
                                <w:lang w:val="en-GB" w:eastAsia="pl-PL"/>
                              </w:rPr>
                              <w:t>%</w:t>
                            </w:r>
                            <w:r w:rsidR="00057C9B">
                              <w:rPr>
                                <w:rFonts w:eastAsia="Times New Roman"/>
                                <w:bCs/>
                                <w:color w:val="001D77"/>
                                <w:sz w:val="18"/>
                                <w:szCs w:val="18"/>
                                <w:lang w:val="en-GB" w:eastAsia="pl-PL"/>
                              </w:rPr>
                              <w:t>,</w:t>
                            </w:r>
                          </w:p>
                          <w:p w:rsidR="00D616D2" w:rsidRPr="006C3907" w:rsidRDefault="00DB76EB" w:rsidP="00810884">
                            <w:pPr>
                              <w:spacing w:before="0" w:after="0" w:line="220" w:lineRule="exact"/>
                              <w:rPr>
                                <w:rFonts w:eastAsia="Times New Roman"/>
                                <w:bCs/>
                                <w:color w:val="001D77"/>
                                <w:sz w:val="18"/>
                                <w:szCs w:val="18"/>
                                <w:lang w:val="en-GB" w:eastAsia="pl-PL"/>
                              </w:rPr>
                            </w:pPr>
                            <w:r>
                              <w:rPr>
                                <w:rFonts w:eastAsia="Times New Roman"/>
                                <w:bCs/>
                                <w:color w:val="001D77"/>
                                <w:sz w:val="18"/>
                                <w:szCs w:val="18"/>
                                <w:lang w:eastAsia="pl-PL"/>
                              </w:rPr>
                              <w:t>–</w:t>
                            </w:r>
                            <w:r w:rsidR="00057C9B" w:rsidRPr="00057C9B">
                              <w:rPr>
                                <w:rFonts w:eastAsia="Times New Roman"/>
                                <w:bCs/>
                                <w:color w:val="001D77"/>
                                <w:sz w:val="18"/>
                                <w:szCs w:val="18"/>
                                <w:lang w:val="en-GB" w:eastAsia="pl-PL"/>
                              </w:rPr>
                              <w:t xml:space="preserve"> from 55.</w:t>
                            </w:r>
                            <w:r w:rsidR="00974515">
                              <w:rPr>
                                <w:rFonts w:eastAsia="Times New Roman"/>
                                <w:bCs/>
                                <w:color w:val="001D77"/>
                                <w:sz w:val="18"/>
                                <w:szCs w:val="18"/>
                                <w:lang w:val="en-GB" w:eastAsia="pl-PL"/>
                              </w:rPr>
                              <w:t>1</w:t>
                            </w:r>
                            <w:r w:rsidR="00057C9B" w:rsidRPr="00057C9B">
                              <w:rPr>
                                <w:rFonts w:eastAsia="Times New Roman"/>
                                <w:bCs/>
                                <w:color w:val="001D77"/>
                                <w:sz w:val="18"/>
                                <w:szCs w:val="18"/>
                                <w:lang w:val="en-GB" w:eastAsia="pl-PL"/>
                              </w:rPr>
                              <w:t>% to 5</w:t>
                            </w:r>
                            <w:r w:rsidR="00974515">
                              <w:rPr>
                                <w:rFonts w:eastAsia="Times New Roman"/>
                                <w:bCs/>
                                <w:color w:val="001D77"/>
                                <w:sz w:val="18"/>
                                <w:szCs w:val="18"/>
                                <w:lang w:val="en-GB" w:eastAsia="pl-PL"/>
                              </w:rPr>
                              <w:t>4</w:t>
                            </w:r>
                            <w:r w:rsidR="00057C9B" w:rsidRPr="00057C9B">
                              <w:rPr>
                                <w:rFonts w:eastAsia="Times New Roman"/>
                                <w:bCs/>
                                <w:color w:val="001D77"/>
                                <w:sz w:val="18"/>
                                <w:szCs w:val="18"/>
                                <w:lang w:val="en-GB" w:eastAsia="pl-PL"/>
                              </w:rPr>
                              <w:t>.</w:t>
                            </w:r>
                            <w:r w:rsidR="00974515">
                              <w:rPr>
                                <w:rFonts w:eastAsia="Times New Roman"/>
                                <w:bCs/>
                                <w:color w:val="001D77"/>
                                <w:sz w:val="18"/>
                                <w:szCs w:val="18"/>
                                <w:lang w:val="en-GB" w:eastAsia="pl-PL"/>
                              </w:rPr>
                              <w:t>8</w:t>
                            </w:r>
                            <w:r w:rsidR="00057C9B" w:rsidRPr="00057C9B">
                              <w:rPr>
                                <w:rFonts w:eastAsia="Times New Roman"/>
                                <w:bCs/>
                                <w:color w:val="001D77"/>
                                <w:sz w:val="18"/>
                                <w:szCs w:val="18"/>
                                <w:lang w:val="en-GB" w:eastAsia="pl-P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AB9ECA" id="_x0000_t202" coordsize="21600,21600" o:spt="202" path="m,l,21600r21600,l21600,xe">
                <v:stroke joinstyle="miter"/>
                <v:path gradientshapeok="t" o:connecttype="rect"/>
              </v:shapetype>
              <v:shape id="_x0000_s1027" type="#_x0000_t202" alt="The ratios of deficit and debt to GDP in 2024 have changed compared to the data published in October 2025, respectively: &#10;&#10;– from -6.5% to -6.4%,&#10;– from 55.1% to 54.8%.&#10;" style="position:absolute;left:0;text-align:left;margin-left:414.55pt;margin-top:19.85pt;width:135.85pt;height:98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" filled="f" stroked="f">
                <v:textbox>
                  <w:txbxContent>
                    <w:p w:rsidR="00057C9B" w:rsidRDefault="008D3EEF" w:rsidP="00810884">
                      <w:pPr>
                        <w:spacing w:before="0" w:after="0" w:line="220" w:lineRule="exact"/>
                        <w:rPr>
                          <w:rFonts w:eastAsia="Times New Roman"/>
                          <w:bCs/>
                          <w:color w:val="001D77"/>
                          <w:sz w:val="18"/>
                          <w:szCs w:val="18"/>
                          <w:lang w:val="en-GB" w:eastAsia="pl-PL"/>
                        </w:rPr>
                      </w:pPr>
                      <w:bookmarkStart w:id="17" w:name="_Hlk211417866"/>
                      <w:r w:rsidRPr="006C3907">
                        <w:rPr>
                          <w:rFonts w:eastAsia="Times New Roman"/>
                          <w:bCs/>
                          <w:color w:val="001D77"/>
                          <w:sz w:val="18"/>
                          <w:szCs w:val="18"/>
                          <w:lang w:val="en-GB" w:eastAsia="pl-PL"/>
                        </w:rPr>
                        <w:t>The</w:t>
                      </w:r>
                      <w:bookmarkEnd w:id="17"/>
                      <w:r w:rsidRPr="006C3907">
                        <w:rPr>
                          <w:rFonts w:eastAsia="Times New Roman"/>
                          <w:bCs/>
                          <w:color w:val="001D77"/>
                          <w:sz w:val="18"/>
                          <w:szCs w:val="18"/>
                          <w:lang w:val="en-GB" w:eastAsia="pl-PL"/>
                        </w:rPr>
                        <w:t xml:space="preserve"> ratios of deficit and debt to GDP </w:t>
                      </w:r>
                      <w:r w:rsidR="00701A6F">
                        <w:rPr>
                          <w:rFonts w:eastAsia="Times New Roman"/>
                          <w:bCs/>
                          <w:color w:val="001D77"/>
                          <w:sz w:val="18"/>
                          <w:szCs w:val="18"/>
                          <w:lang w:val="en-GB" w:eastAsia="pl-PL"/>
                        </w:rPr>
                        <w:t xml:space="preserve">in 2024 </w:t>
                      </w:r>
                      <w:r w:rsidR="00057C9B" w:rsidRPr="00057C9B">
                        <w:rPr>
                          <w:rFonts w:eastAsia="Times New Roman"/>
                          <w:bCs/>
                          <w:color w:val="001D77"/>
                          <w:sz w:val="18"/>
                          <w:szCs w:val="18"/>
                          <w:lang w:val="en-GB" w:eastAsia="pl-PL"/>
                        </w:rPr>
                        <w:t xml:space="preserve">have changed compared to the data published in </w:t>
                      </w:r>
                      <w:r w:rsidR="00701A6F">
                        <w:rPr>
                          <w:rFonts w:eastAsia="Times New Roman"/>
                          <w:bCs/>
                          <w:color w:val="001D77"/>
                          <w:sz w:val="18"/>
                          <w:szCs w:val="18"/>
                          <w:lang w:val="en-GB" w:eastAsia="pl-PL"/>
                        </w:rPr>
                        <w:t>October 2025</w:t>
                      </w:r>
                      <w:r w:rsidR="00057C9B" w:rsidRPr="00057C9B">
                        <w:rPr>
                          <w:rFonts w:eastAsia="Times New Roman"/>
                          <w:bCs/>
                          <w:color w:val="001D77"/>
                          <w:sz w:val="18"/>
                          <w:szCs w:val="18"/>
                          <w:lang w:val="en-GB" w:eastAsia="pl-PL"/>
                        </w:rPr>
                        <w:t xml:space="preserve">, respectively: </w:t>
                      </w:r>
                    </w:p>
                    <w:p w:rsidR="00810884" w:rsidRDefault="00810884" w:rsidP="0097315A">
                      <w:pPr>
                        <w:spacing w:before="0" w:after="0" w:line="120" w:lineRule="exact"/>
                        <w:rPr>
                          <w:rFonts w:eastAsia="Times New Roman"/>
                          <w:bCs/>
                          <w:color w:val="001D77"/>
                          <w:sz w:val="18"/>
                          <w:szCs w:val="18"/>
                          <w:lang w:val="en-GB" w:eastAsia="pl-PL"/>
                        </w:rPr>
                      </w:pPr>
                    </w:p>
                    <w:p w:rsidR="00057C9B" w:rsidRDefault="00DB76EB" w:rsidP="00810884">
                      <w:pPr>
                        <w:spacing w:before="0" w:after="0" w:line="220" w:lineRule="exact"/>
                        <w:rPr>
                          <w:rFonts w:eastAsia="Times New Roman"/>
                          <w:bCs/>
                          <w:color w:val="001D77"/>
                          <w:sz w:val="18"/>
                          <w:szCs w:val="18"/>
                          <w:lang w:val="en-GB" w:eastAsia="pl-PL"/>
                        </w:rPr>
                      </w:pPr>
                      <w:r w:rsidRPr="00DB76EB">
                        <w:rPr>
                          <w:rFonts w:eastAsia="Times New Roman"/>
                          <w:bCs/>
                          <w:color w:val="001D77"/>
                          <w:sz w:val="18"/>
                          <w:szCs w:val="18"/>
                          <w:lang w:val="en-GB" w:eastAsia="pl-PL"/>
                        </w:rPr>
                        <w:t>–</w:t>
                      </w:r>
                      <w:r w:rsidR="00057C9B" w:rsidRPr="00057C9B">
                        <w:rPr>
                          <w:rFonts w:eastAsia="Times New Roman"/>
                          <w:bCs/>
                          <w:color w:val="001D77"/>
                          <w:sz w:val="18"/>
                          <w:szCs w:val="18"/>
                          <w:lang w:val="en-GB" w:eastAsia="pl-PL"/>
                        </w:rPr>
                        <w:t xml:space="preserve"> from -6.</w:t>
                      </w:r>
                      <w:r w:rsidR="00C33026">
                        <w:rPr>
                          <w:rFonts w:eastAsia="Times New Roman"/>
                          <w:bCs/>
                          <w:color w:val="001D77"/>
                          <w:sz w:val="18"/>
                          <w:szCs w:val="18"/>
                          <w:lang w:val="en-GB" w:eastAsia="pl-PL"/>
                        </w:rPr>
                        <w:t>5</w:t>
                      </w:r>
                      <w:r w:rsidR="00057C9B" w:rsidRPr="00057C9B">
                        <w:rPr>
                          <w:rFonts w:eastAsia="Times New Roman"/>
                          <w:bCs/>
                          <w:color w:val="001D77"/>
                          <w:sz w:val="18"/>
                          <w:szCs w:val="18"/>
                          <w:lang w:val="en-GB" w:eastAsia="pl-PL"/>
                        </w:rPr>
                        <w:t>% to -6.</w:t>
                      </w:r>
                      <w:r w:rsidR="00974515">
                        <w:rPr>
                          <w:rFonts w:eastAsia="Times New Roman"/>
                          <w:bCs/>
                          <w:color w:val="001D77"/>
                          <w:sz w:val="18"/>
                          <w:szCs w:val="18"/>
                          <w:lang w:val="en-GB" w:eastAsia="pl-PL"/>
                        </w:rPr>
                        <w:t>4</w:t>
                      </w:r>
                      <w:r w:rsidR="00057C9B" w:rsidRPr="00057C9B">
                        <w:rPr>
                          <w:rFonts w:eastAsia="Times New Roman"/>
                          <w:bCs/>
                          <w:color w:val="001D77"/>
                          <w:sz w:val="18"/>
                          <w:szCs w:val="18"/>
                          <w:lang w:val="en-GB" w:eastAsia="pl-PL"/>
                        </w:rPr>
                        <w:t>%</w:t>
                      </w:r>
                      <w:r w:rsidR="00057C9B">
                        <w:rPr>
                          <w:rFonts w:eastAsia="Times New Roman"/>
                          <w:bCs/>
                          <w:color w:val="001D77"/>
                          <w:sz w:val="18"/>
                          <w:szCs w:val="18"/>
                          <w:lang w:val="en-GB" w:eastAsia="pl-PL"/>
                        </w:rPr>
                        <w:t>,</w:t>
                      </w:r>
                    </w:p>
                    <w:p w:rsidR="00D616D2" w:rsidRPr="006C3907" w:rsidRDefault="00DB76EB" w:rsidP="00810884">
                      <w:pPr>
                        <w:spacing w:before="0" w:after="0" w:line="220" w:lineRule="exact"/>
                        <w:rPr>
                          <w:rFonts w:eastAsia="Times New Roman"/>
                          <w:bCs/>
                          <w:color w:val="001D77"/>
                          <w:sz w:val="18"/>
                          <w:szCs w:val="18"/>
                          <w:lang w:val="en-GB" w:eastAsia="pl-PL"/>
                        </w:rPr>
                      </w:pPr>
                      <w:r>
                        <w:rPr>
                          <w:rFonts w:eastAsia="Times New Roman"/>
                          <w:bCs/>
                          <w:color w:val="001D77"/>
                          <w:sz w:val="18"/>
                          <w:szCs w:val="18"/>
                          <w:lang w:eastAsia="pl-PL"/>
                        </w:rPr>
                        <w:t>–</w:t>
                      </w:r>
                      <w:r w:rsidR="00057C9B" w:rsidRPr="00057C9B">
                        <w:rPr>
                          <w:rFonts w:eastAsia="Times New Roman"/>
                          <w:bCs/>
                          <w:color w:val="001D77"/>
                          <w:sz w:val="18"/>
                          <w:szCs w:val="18"/>
                          <w:lang w:val="en-GB" w:eastAsia="pl-PL"/>
                        </w:rPr>
                        <w:t xml:space="preserve"> from 55.</w:t>
                      </w:r>
                      <w:r w:rsidR="00974515">
                        <w:rPr>
                          <w:rFonts w:eastAsia="Times New Roman"/>
                          <w:bCs/>
                          <w:color w:val="001D77"/>
                          <w:sz w:val="18"/>
                          <w:szCs w:val="18"/>
                          <w:lang w:val="en-GB" w:eastAsia="pl-PL"/>
                        </w:rPr>
                        <w:t>1</w:t>
                      </w:r>
                      <w:r w:rsidR="00057C9B" w:rsidRPr="00057C9B">
                        <w:rPr>
                          <w:rFonts w:eastAsia="Times New Roman"/>
                          <w:bCs/>
                          <w:color w:val="001D77"/>
                          <w:sz w:val="18"/>
                          <w:szCs w:val="18"/>
                          <w:lang w:val="en-GB" w:eastAsia="pl-PL"/>
                        </w:rPr>
                        <w:t>% to 5</w:t>
                      </w:r>
                      <w:r w:rsidR="00974515">
                        <w:rPr>
                          <w:rFonts w:eastAsia="Times New Roman"/>
                          <w:bCs/>
                          <w:color w:val="001D77"/>
                          <w:sz w:val="18"/>
                          <w:szCs w:val="18"/>
                          <w:lang w:val="en-GB" w:eastAsia="pl-PL"/>
                        </w:rPr>
                        <w:t>4</w:t>
                      </w:r>
                      <w:r w:rsidR="00057C9B" w:rsidRPr="00057C9B">
                        <w:rPr>
                          <w:rFonts w:eastAsia="Times New Roman"/>
                          <w:bCs/>
                          <w:color w:val="001D77"/>
                          <w:sz w:val="18"/>
                          <w:szCs w:val="18"/>
                          <w:lang w:val="en-GB" w:eastAsia="pl-PL"/>
                        </w:rPr>
                        <w:t>.</w:t>
                      </w:r>
                      <w:r w:rsidR="00974515">
                        <w:rPr>
                          <w:rFonts w:eastAsia="Times New Roman"/>
                          <w:bCs/>
                          <w:color w:val="001D77"/>
                          <w:sz w:val="18"/>
                          <w:szCs w:val="18"/>
                          <w:lang w:val="en-GB" w:eastAsia="pl-PL"/>
                        </w:rPr>
                        <w:t>8</w:t>
                      </w:r>
                      <w:r w:rsidR="00057C9B" w:rsidRPr="00057C9B">
                        <w:rPr>
                          <w:rFonts w:eastAsia="Times New Roman"/>
                          <w:bCs/>
                          <w:color w:val="001D77"/>
                          <w:sz w:val="18"/>
                          <w:szCs w:val="18"/>
                          <w:lang w:val="en-GB" w:eastAsia="pl-PL"/>
                        </w:rPr>
                        <w:t>%.</w:t>
                      </w:r>
                    </w:p>
                  </w:txbxContent>
                </v:textbox>
                <w10:wrap type="tight"/>
              </v:shape>
            </w:pict>
          </mc:Fallback>
        </mc:AlternateContent>
      </w:r>
      <w:r w:rsidR="001C2F0A" w:rsidRPr="003818AB">
        <w:rPr>
          <w:rFonts w:ascii="Fira Sans" w:hAnsi="Fira Sans"/>
          <w:b/>
          <w:noProof/>
          <w:color w:val="auto"/>
          <w:spacing w:val="-2"/>
          <w:szCs w:val="19"/>
        </w:rPr>
        <w:t>Table 1</w:t>
      </w:r>
      <w:r w:rsidR="001C2F0A" w:rsidRPr="00F24737">
        <w:rPr>
          <w:rFonts w:ascii="Fira Sans" w:hAnsi="Fira Sans"/>
          <w:b/>
          <w:noProof/>
          <w:color w:val="auto"/>
          <w:spacing w:val="-2"/>
          <w:szCs w:val="19"/>
          <w:lang w:val="en-GB"/>
        </w:rPr>
        <w:t>.</w:t>
      </w:r>
      <w:r w:rsidR="001C2F0A" w:rsidRPr="003818AB">
        <w:rPr>
          <w:rFonts w:ascii="Fira Sans" w:hAnsi="Fira Sans"/>
          <w:b/>
          <w:noProof/>
          <w:color w:val="auto"/>
          <w:spacing w:val="-2"/>
          <w:szCs w:val="19"/>
        </w:rPr>
        <w:t xml:space="preserve"> General government deficit and debt</w:t>
      </w:r>
      <w:r w:rsidR="001C2F0A" w:rsidRPr="003818AB">
        <w:rPr>
          <w:rFonts w:ascii="Fira Sans" w:hAnsi="Fira Sans"/>
          <w:b/>
          <w:noProof/>
          <w:color w:val="auto"/>
          <w:spacing w:val="-2"/>
          <w:szCs w:val="19"/>
          <w:lang w:val="en-US"/>
        </w:rPr>
        <w:t xml:space="preserve"> (m</w:t>
      </w:r>
      <w:r w:rsidR="00003194">
        <w:rPr>
          <w:rFonts w:ascii="Fira Sans" w:hAnsi="Fira Sans"/>
          <w:b/>
          <w:noProof/>
          <w:color w:val="auto"/>
          <w:spacing w:val="-2"/>
          <w:szCs w:val="19"/>
          <w:lang w:val="en-US"/>
        </w:rPr>
        <w:t>il</w:t>
      </w:r>
      <w:r w:rsidR="001C2F0A" w:rsidRPr="003818AB">
        <w:rPr>
          <w:rFonts w:ascii="Fira Sans" w:hAnsi="Fira Sans"/>
          <w:b/>
          <w:noProof/>
          <w:color w:val="auto"/>
          <w:spacing w:val="-2"/>
          <w:szCs w:val="19"/>
          <w:lang w:val="en-US"/>
        </w:rPr>
        <w:t>l</w:t>
      </w:r>
      <w:r w:rsidR="00003194">
        <w:rPr>
          <w:rFonts w:ascii="Fira Sans" w:hAnsi="Fira Sans"/>
          <w:b/>
          <w:noProof/>
          <w:color w:val="auto"/>
          <w:spacing w:val="-2"/>
          <w:szCs w:val="19"/>
          <w:lang w:val="en-US"/>
        </w:rPr>
        <w:t>io</w:t>
      </w:r>
      <w:r w:rsidR="001C2F0A" w:rsidRPr="003818AB">
        <w:rPr>
          <w:rFonts w:ascii="Fira Sans" w:hAnsi="Fira Sans"/>
          <w:b/>
          <w:noProof/>
          <w:color w:val="auto"/>
          <w:spacing w:val="-2"/>
          <w:szCs w:val="19"/>
          <w:lang w:val="en-US"/>
        </w:rPr>
        <w:t xml:space="preserve">n </w:t>
      </w:r>
      <w:r w:rsidR="007F27A3">
        <w:rPr>
          <w:rFonts w:ascii="Fira Sans" w:hAnsi="Fira Sans"/>
          <w:b/>
          <w:noProof/>
          <w:color w:val="auto"/>
          <w:spacing w:val="-2"/>
          <w:szCs w:val="19"/>
          <w:lang w:val="en-US"/>
        </w:rPr>
        <w:t>PLN</w:t>
      </w:r>
      <w:r w:rsidR="001C2F0A" w:rsidRPr="003818AB">
        <w:rPr>
          <w:rFonts w:ascii="Fira Sans" w:hAnsi="Fira Sans"/>
          <w:b/>
          <w:noProof/>
          <w:color w:val="auto"/>
          <w:spacing w:val="-2"/>
          <w:szCs w:val="19"/>
          <w:lang w:val="en-US"/>
        </w:rPr>
        <w:t>)</w:t>
      </w:r>
    </w:p>
    <w:tbl>
      <w:tblPr>
        <w:tblpPr w:leftFromText="141" w:rightFromText="141" w:vertAnchor="text" w:horzAnchor="margin" w:tblpY="183"/>
        <w:tblW w:w="8009" w:type="dxa"/>
        <w:tblBorders>
          <w:insideH w:val="single" w:sz="4" w:space="0" w:color="001D77"/>
          <w:insideV w:val="single" w:sz="4" w:space="0" w:color="001D77"/>
        </w:tblBorders>
        <w:tblCellMar>
          <w:left w:w="70" w:type="dxa"/>
          <w:right w:w="70" w:type="dxa"/>
        </w:tblCellMar>
        <w:tblLook w:val="04A0" w:firstRow="1" w:lastRow="0" w:firstColumn="1" w:lastColumn="0" w:noHBand="0" w:noVBand="1"/>
        <w:tblCaption w:val="Table 1. General government deficit and debt (mln zl)"/>
        <w:tblDescription w:val="The table presents value of the general government deficit by sectors and the value of general government debt in relation to GDP in the years 2022-2025"/>
      </w:tblPr>
      <w:tblGrid>
        <w:gridCol w:w="3779"/>
        <w:gridCol w:w="1041"/>
        <w:gridCol w:w="1116"/>
        <w:gridCol w:w="1013"/>
        <w:gridCol w:w="1060"/>
      </w:tblGrid>
      <w:tr w:rsidR="008D3923" w:rsidRPr="000902B0" w:rsidTr="0053664C">
        <w:trPr>
          <w:trHeight w:val="568"/>
        </w:trPr>
        <w:tc>
          <w:tcPr>
            <w:tcW w:w="3779" w:type="dxa"/>
            <w:shd w:val="clear" w:color="auto" w:fill="auto"/>
            <w:vAlign w:val="center"/>
            <w:hideMark/>
          </w:tcPr>
          <w:p w:rsidR="008D3923" w:rsidRPr="003818AB" w:rsidRDefault="008D3923" w:rsidP="008D3923">
            <w:pPr>
              <w:spacing w:before="0" w:after="0"/>
              <w:jc w:val="center"/>
              <w:rPr>
                <w:rFonts w:eastAsia="Times New Roman" w:cs="Arial"/>
                <w:color w:val="000000"/>
                <w:szCs w:val="19"/>
                <w:lang w:eastAsia="pl-PL"/>
              </w:rPr>
            </w:pPr>
            <w:proofErr w:type="spellStart"/>
            <w:r w:rsidRPr="003818AB">
              <w:rPr>
                <w:rFonts w:eastAsia="Times New Roman" w:cs="Arial"/>
                <w:color w:val="000000"/>
                <w:szCs w:val="19"/>
                <w:lang w:eastAsia="pl-PL"/>
              </w:rPr>
              <w:t>Specification</w:t>
            </w:r>
            <w:proofErr w:type="spellEnd"/>
          </w:p>
        </w:tc>
        <w:tc>
          <w:tcPr>
            <w:tcW w:w="1041" w:type="dxa"/>
            <w:shd w:val="clear" w:color="auto" w:fill="auto"/>
            <w:vAlign w:val="center"/>
            <w:hideMark/>
          </w:tcPr>
          <w:p w:rsidR="008D3923" w:rsidRPr="002E01AD" w:rsidRDefault="008D3923" w:rsidP="008D3923">
            <w:pPr>
              <w:spacing w:before="0" w:after="0"/>
              <w:jc w:val="center"/>
              <w:rPr>
                <w:rFonts w:eastAsia="Times New Roman" w:cs="Arial"/>
                <w:color w:val="000000"/>
                <w:szCs w:val="19"/>
                <w:lang w:eastAsia="pl-PL"/>
              </w:rPr>
            </w:pPr>
            <w:r>
              <w:rPr>
                <w:rFonts w:eastAsia="Times New Roman" w:cs="Arial"/>
                <w:color w:val="000000"/>
                <w:szCs w:val="19"/>
                <w:lang w:eastAsia="pl-PL"/>
              </w:rPr>
              <w:t>2022</w:t>
            </w:r>
          </w:p>
        </w:tc>
        <w:tc>
          <w:tcPr>
            <w:tcW w:w="1116" w:type="dxa"/>
            <w:shd w:val="clear" w:color="auto" w:fill="auto"/>
            <w:vAlign w:val="center"/>
            <w:hideMark/>
          </w:tcPr>
          <w:p w:rsidR="008D3923" w:rsidRPr="002E01AD" w:rsidRDefault="008D3923" w:rsidP="008D3923">
            <w:pPr>
              <w:spacing w:before="0" w:after="0"/>
              <w:jc w:val="center"/>
              <w:rPr>
                <w:rFonts w:eastAsia="Times New Roman" w:cs="Arial"/>
                <w:color w:val="000000"/>
                <w:szCs w:val="19"/>
                <w:lang w:eastAsia="pl-PL"/>
              </w:rPr>
            </w:pPr>
            <w:r>
              <w:rPr>
                <w:rFonts w:eastAsia="Times New Roman" w:cs="Arial"/>
                <w:color w:val="000000"/>
                <w:szCs w:val="19"/>
                <w:lang w:eastAsia="pl-PL"/>
              </w:rPr>
              <w:t>2023</w:t>
            </w:r>
          </w:p>
        </w:tc>
        <w:tc>
          <w:tcPr>
            <w:tcW w:w="1013" w:type="dxa"/>
            <w:shd w:val="clear" w:color="auto" w:fill="auto"/>
            <w:vAlign w:val="center"/>
            <w:hideMark/>
          </w:tcPr>
          <w:p w:rsidR="008D3923" w:rsidRPr="002E01AD" w:rsidRDefault="008D3923" w:rsidP="008D3923">
            <w:pPr>
              <w:spacing w:before="0" w:after="0"/>
              <w:jc w:val="center"/>
              <w:rPr>
                <w:rFonts w:eastAsia="Times New Roman" w:cs="Arial"/>
                <w:color w:val="000000"/>
                <w:szCs w:val="19"/>
                <w:lang w:eastAsia="pl-PL"/>
              </w:rPr>
            </w:pPr>
            <w:r>
              <w:rPr>
                <w:rFonts w:eastAsia="Times New Roman" w:cs="Arial"/>
                <w:color w:val="000000"/>
                <w:szCs w:val="19"/>
                <w:lang w:eastAsia="pl-PL"/>
              </w:rPr>
              <w:t>2024</w:t>
            </w:r>
          </w:p>
        </w:tc>
        <w:tc>
          <w:tcPr>
            <w:tcW w:w="1060" w:type="dxa"/>
            <w:shd w:val="clear" w:color="auto" w:fill="auto"/>
            <w:vAlign w:val="center"/>
            <w:hideMark/>
          </w:tcPr>
          <w:p w:rsidR="008D3923" w:rsidRPr="002E01AD" w:rsidRDefault="008D3923" w:rsidP="008D3923">
            <w:pPr>
              <w:spacing w:before="0" w:after="0"/>
              <w:jc w:val="center"/>
              <w:rPr>
                <w:rFonts w:eastAsia="Times New Roman" w:cs="Arial"/>
                <w:color w:val="000000"/>
                <w:szCs w:val="19"/>
                <w:lang w:eastAsia="pl-PL"/>
              </w:rPr>
            </w:pPr>
            <w:r>
              <w:rPr>
                <w:rFonts w:eastAsia="Times New Roman" w:cs="Arial"/>
                <w:color w:val="000000"/>
                <w:szCs w:val="19"/>
                <w:lang w:eastAsia="pl-PL"/>
              </w:rPr>
              <w:t>2025</w:t>
            </w:r>
          </w:p>
        </w:tc>
      </w:tr>
      <w:tr w:rsidR="008D3923" w:rsidRPr="000902B0" w:rsidTr="008D3923">
        <w:trPr>
          <w:trHeight w:val="534"/>
        </w:trPr>
        <w:tc>
          <w:tcPr>
            <w:tcW w:w="3779" w:type="dxa"/>
            <w:shd w:val="clear" w:color="auto" w:fill="auto"/>
            <w:vAlign w:val="center"/>
            <w:hideMark/>
          </w:tcPr>
          <w:p w:rsidR="008D3923" w:rsidRPr="003818AB" w:rsidRDefault="008D3923" w:rsidP="008D3923">
            <w:pPr>
              <w:spacing w:before="0" w:after="0"/>
              <w:rPr>
                <w:rFonts w:eastAsia="Times New Roman" w:cs="Arial"/>
                <w:color w:val="000000"/>
                <w:szCs w:val="19"/>
                <w:lang w:eastAsia="pl-PL"/>
              </w:rPr>
            </w:pPr>
            <w:r w:rsidRPr="003818AB">
              <w:rPr>
                <w:rFonts w:eastAsia="Times New Roman" w:cs="Arial"/>
                <w:color w:val="000000"/>
                <w:szCs w:val="19"/>
                <w:lang w:eastAsia="pl-PL"/>
              </w:rPr>
              <w:t xml:space="preserve">Gross </w:t>
            </w:r>
            <w:proofErr w:type="spellStart"/>
            <w:r w:rsidRPr="003818AB">
              <w:rPr>
                <w:rFonts w:eastAsia="Times New Roman" w:cs="Arial"/>
                <w:color w:val="000000"/>
                <w:szCs w:val="19"/>
                <w:lang w:eastAsia="pl-PL"/>
              </w:rPr>
              <w:t>domestic</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product</w:t>
            </w:r>
            <w:proofErr w:type="spellEnd"/>
            <w:r w:rsidRPr="003818AB">
              <w:rPr>
                <w:rFonts w:eastAsia="Times New Roman" w:cs="Arial"/>
                <w:color w:val="000000"/>
                <w:szCs w:val="19"/>
                <w:lang w:eastAsia="pl-PL"/>
              </w:rPr>
              <w:t xml:space="preserve"> (GDP)</w:t>
            </w:r>
          </w:p>
        </w:tc>
        <w:tc>
          <w:tcPr>
            <w:tcW w:w="1041" w:type="dxa"/>
            <w:shd w:val="clear" w:color="auto" w:fill="auto"/>
            <w:vAlign w:val="center"/>
          </w:tcPr>
          <w:p w:rsidR="008D3923" w:rsidRPr="0007781D" w:rsidRDefault="008D3923" w:rsidP="008D3923">
            <w:pPr>
              <w:spacing w:before="0" w:after="0" w:line="240" w:lineRule="auto"/>
              <w:jc w:val="right"/>
              <w:rPr>
                <w:rFonts w:cs="Calibri"/>
                <w:color w:val="000000"/>
                <w:szCs w:val="19"/>
                <w:lang w:eastAsia="pl-PL"/>
              </w:rPr>
            </w:pPr>
            <w:r w:rsidRPr="0007781D">
              <w:rPr>
                <w:rFonts w:cs="Calibri"/>
                <w:color w:val="000000"/>
                <w:szCs w:val="19"/>
                <w:lang w:eastAsia="pl-PL"/>
              </w:rPr>
              <w:t>3 100 850</w:t>
            </w:r>
          </w:p>
        </w:tc>
        <w:tc>
          <w:tcPr>
            <w:tcW w:w="1116" w:type="dxa"/>
            <w:shd w:val="clear" w:color="auto" w:fill="auto"/>
            <w:vAlign w:val="center"/>
            <w:hideMark/>
          </w:tcPr>
          <w:p w:rsidR="008D3923" w:rsidRPr="0007781D" w:rsidRDefault="008D3923" w:rsidP="008D3923">
            <w:pPr>
              <w:spacing w:before="0" w:after="0" w:line="240" w:lineRule="auto"/>
              <w:jc w:val="right"/>
              <w:rPr>
                <w:rFonts w:cs="Calibri"/>
                <w:color w:val="000000"/>
                <w:szCs w:val="19"/>
                <w:lang w:eastAsia="pl-PL"/>
              </w:rPr>
            </w:pPr>
            <w:r w:rsidRPr="0007781D">
              <w:rPr>
                <w:rFonts w:cs="Calibri"/>
                <w:color w:val="000000"/>
                <w:szCs w:val="19"/>
                <w:lang w:eastAsia="pl-PL"/>
              </w:rPr>
              <w:t>3 415 274</w:t>
            </w:r>
          </w:p>
        </w:tc>
        <w:tc>
          <w:tcPr>
            <w:tcW w:w="1013" w:type="dxa"/>
            <w:shd w:val="clear" w:color="auto" w:fill="auto"/>
            <w:vAlign w:val="center"/>
            <w:hideMark/>
          </w:tcPr>
          <w:p w:rsidR="008D3923" w:rsidRPr="0007781D" w:rsidRDefault="008D3923" w:rsidP="008D3923">
            <w:pPr>
              <w:spacing w:before="0" w:after="0" w:line="240" w:lineRule="auto"/>
              <w:jc w:val="right"/>
              <w:rPr>
                <w:rFonts w:cs="Calibri"/>
                <w:color w:val="000000"/>
                <w:szCs w:val="19"/>
                <w:lang w:eastAsia="pl-PL"/>
              </w:rPr>
            </w:pPr>
            <w:r w:rsidRPr="0007781D">
              <w:rPr>
                <w:rFonts w:cs="Calibri"/>
                <w:color w:val="000000"/>
                <w:szCs w:val="19"/>
                <w:lang w:eastAsia="pl-PL"/>
              </w:rPr>
              <w:t>3 6</w:t>
            </w:r>
            <w:r w:rsidR="00F4202D">
              <w:rPr>
                <w:rFonts w:cs="Calibri"/>
                <w:color w:val="000000"/>
                <w:szCs w:val="19"/>
                <w:lang w:eastAsia="pl-PL"/>
              </w:rPr>
              <w:t>69</w:t>
            </w:r>
            <w:r w:rsidRPr="0007781D">
              <w:rPr>
                <w:rFonts w:cs="Calibri"/>
                <w:color w:val="000000"/>
                <w:szCs w:val="19"/>
                <w:lang w:eastAsia="pl-PL"/>
              </w:rPr>
              <w:t> </w:t>
            </w:r>
            <w:r w:rsidR="00F4202D">
              <w:rPr>
                <w:rFonts w:cs="Calibri"/>
                <w:color w:val="000000"/>
                <w:szCs w:val="19"/>
                <w:lang w:eastAsia="pl-PL"/>
              </w:rPr>
              <w:t>531</w:t>
            </w:r>
            <w:r w:rsidRPr="0007781D">
              <w:rPr>
                <w:rFonts w:cs="Calibri"/>
                <w:color w:val="000000"/>
                <w:szCs w:val="19"/>
                <w:lang w:eastAsia="pl-PL"/>
              </w:rPr>
              <w:t>*</w:t>
            </w:r>
          </w:p>
        </w:tc>
        <w:tc>
          <w:tcPr>
            <w:tcW w:w="1060" w:type="dxa"/>
            <w:shd w:val="clear" w:color="auto" w:fill="auto"/>
            <w:vAlign w:val="center"/>
          </w:tcPr>
          <w:p w:rsidR="008D3923" w:rsidRPr="0007781D" w:rsidRDefault="00F4202D" w:rsidP="008D3923">
            <w:pPr>
              <w:spacing w:before="0" w:after="0" w:line="240" w:lineRule="auto"/>
              <w:jc w:val="right"/>
              <w:rPr>
                <w:rFonts w:cs="Calibri"/>
                <w:color w:val="000000"/>
                <w:szCs w:val="19"/>
                <w:lang w:eastAsia="pl-PL"/>
              </w:rPr>
            </w:pPr>
            <w:r>
              <w:rPr>
                <w:rFonts w:cs="Calibri"/>
                <w:color w:val="000000"/>
                <w:szCs w:val="19"/>
                <w:lang w:eastAsia="pl-PL"/>
              </w:rPr>
              <w:t>3 912 673*</w:t>
            </w:r>
          </w:p>
        </w:tc>
      </w:tr>
      <w:tr w:rsidR="008D3923" w:rsidRPr="003818AB" w:rsidTr="008D3923">
        <w:trPr>
          <w:trHeight w:val="568"/>
        </w:trPr>
        <w:tc>
          <w:tcPr>
            <w:tcW w:w="3779" w:type="dxa"/>
            <w:shd w:val="clear" w:color="auto" w:fill="auto"/>
            <w:vAlign w:val="center"/>
            <w:hideMark/>
          </w:tcPr>
          <w:p w:rsidR="008D3923" w:rsidRPr="003818AB" w:rsidRDefault="008D3923" w:rsidP="008D3923">
            <w:pPr>
              <w:spacing w:before="0" w:after="0"/>
              <w:rPr>
                <w:rFonts w:eastAsia="Times New Roman" w:cs="Arial"/>
                <w:color w:val="000000"/>
                <w:szCs w:val="19"/>
                <w:lang w:eastAsia="pl-PL"/>
              </w:rPr>
            </w:pPr>
            <w:r w:rsidRPr="003818AB">
              <w:rPr>
                <w:rFonts w:eastAsia="Times New Roman" w:cs="Arial"/>
                <w:color w:val="000000"/>
                <w:szCs w:val="19"/>
                <w:lang w:eastAsia="pl-PL"/>
              </w:rPr>
              <w:t xml:space="preserve">General </w:t>
            </w:r>
            <w:proofErr w:type="spellStart"/>
            <w:r w:rsidRPr="003818AB">
              <w:rPr>
                <w:rFonts w:eastAsia="Times New Roman" w:cs="Arial"/>
                <w:color w:val="000000"/>
                <w:szCs w:val="19"/>
                <w:lang w:eastAsia="pl-PL"/>
              </w:rPr>
              <w:t>government</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deficit</w:t>
            </w:r>
            <w:proofErr w:type="spellEnd"/>
            <w:r w:rsidRPr="003818AB">
              <w:rPr>
                <w:rFonts w:eastAsia="Times New Roman" w:cs="Arial"/>
                <w:color w:val="000000"/>
                <w:szCs w:val="19"/>
                <w:lang w:eastAsia="pl-PL"/>
              </w:rPr>
              <w:t>/</w:t>
            </w:r>
            <w:proofErr w:type="spellStart"/>
            <w:r w:rsidRPr="003818AB">
              <w:rPr>
                <w:rFonts w:eastAsia="Times New Roman" w:cs="Arial"/>
                <w:color w:val="000000"/>
                <w:szCs w:val="19"/>
                <w:lang w:eastAsia="pl-PL"/>
              </w:rPr>
              <w:t>surplus</w:t>
            </w:r>
            <w:proofErr w:type="spellEnd"/>
          </w:p>
        </w:tc>
        <w:tc>
          <w:tcPr>
            <w:tcW w:w="1041" w:type="dxa"/>
            <w:shd w:val="clear" w:color="auto" w:fill="auto"/>
            <w:vAlign w:val="center"/>
          </w:tcPr>
          <w:p w:rsidR="008D3923" w:rsidRPr="0007781D" w:rsidRDefault="008D3923" w:rsidP="008D3923">
            <w:pPr>
              <w:jc w:val="right"/>
              <w:rPr>
                <w:rFonts w:cs="Calibri"/>
                <w:bCs/>
                <w:color w:val="000000"/>
                <w:szCs w:val="19"/>
              </w:rPr>
            </w:pPr>
            <w:r w:rsidRPr="0007781D">
              <w:rPr>
                <w:rFonts w:cs="Calibri"/>
                <w:bCs/>
                <w:color w:val="000000"/>
                <w:szCs w:val="19"/>
              </w:rPr>
              <w:t>-104 475</w:t>
            </w:r>
          </w:p>
        </w:tc>
        <w:tc>
          <w:tcPr>
            <w:tcW w:w="1116" w:type="dxa"/>
            <w:shd w:val="clear" w:color="auto" w:fill="auto"/>
            <w:vAlign w:val="center"/>
            <w:hideMark/>
          </w:tcPr>
          <w:p w:rsidR="008D3923" w:rsidRPr="0007781D" w:rsidRDefault="008D3923" w:rsidP="008D3923">
            <w:pPr>
              <w:jc w:val="right"/>
              <w:rPr>
                <w:rFonts w:cs="Calibri"/>
                <w:bCs/>
                <w:color w:val="000000"/>
                <w:szCs w:val="19"/>
              </w:rPr>
            </w:pPr>
            <w:r w:rsidRPr="0007781D">
              <w:rPr>
                <w:rFonts w:cs="Calibri"/>
                <w:bCs/>
                <w:color w:val="000000"/>
                <w:szCs w:val="19"/>
              </w:rPr>
              <w:t>-177 442</w:t>
            </w:r>
          </w:p>
        </w:tc>
        <w:tc>
          <w:tcPr>
            <w:tcW w:w="1013" w:type="dxa"/>
            <w:shd w:val="clear" w:color="auto" w:fill="auto"/>
            <w:vAlign w:val="center"/>
            <w:hideMark/>
          </w:tcPr>
          <w:p w:rsidR="008D3923" w:rsidRPr="0007781D" w:rsidRDefault="008D3923" w:rsidP="008D3923">
            <w:pPr>
              <w:jc w:val="right"/>
              <w:rPr>
                <w:rFonts w:cs="Calibri"/>
                <w:bCs/>
                <w:color w:val="000000"/>
                <w:szCs w:val="19"/>
              </w:rPr>
            </w:pPr>
            <w:r w:rsidRPr="0007781D">
              <w:rPr>
                <w:rFonts w:cs="Calibri"/>
                <w:bCs/>
                <w:color w:val="000000"/>
                <w:szCs w:val="19"/>
              </w:rPr>
              <w:t>-236 </w:t>
            </w:r>
            <w:r w:rsidR="00770436">
              <w:rPr>
                <w:rFonts w:cs="Calibri"/>
                <w:bCs/>
                <w:color w:val="000000"/>
                <w:szCs w:val="19"/>
              </w:rPr>
              <w:t>623</w:t>
            </w:r>
            <w:r w:rsidRPr="0007781D">
              <w:rPr>
                <w:rFonts w:cs="Calibri"/>
                <w:bCs/>
                <w:color w:val="000000"/>
                <w:szCs w:val="19"/>
              </w:rPr>
              <w:t>*</w:t>
            </w:r>
          </w:p>
        </w:tc>
        <w:tc>
          <w:tcPr>
            <w:tcW w:w="1060" w:type="dxa"/>
            <w:shd w:val="clear" w:color="auto" w:fill="auto"/>
            <w:vAlign w:val="center"/>
          </w:tcPr>
          <w:p w:rsidR="008D3923" w:rsidRPr="0007781D" w:rsidRDefault="00F4202D" w:rsidP="008D3923">
            <w:pPr>
              <w:jc w:val="right"/>
              <w:rPr>
                <w:rFonts w:cs="Calibri"/>
                <w:bCs/>
                <w:color w:val="000000"/>
                <w:szCs w:val="19"/>
              </w:rPr>
            </w:pPr>
            <w:r>
              <w:rPr>
                <w:rFonts w:cs="Calibri"/>
                <w:bCs/>
                <w:color w:val="000000"/>
                <w:szCs w:val="19"/>
              </w:rPr>
              <w:t>-283 969</w:t>
            </w:r>
          </w:p>
        </w:tc>
      </w:tr>
      <w:tr w:rsidR="008D3923" w:rsidRPr="003818AB" w:rsidTr="008D3923">
        <w:trPr>
          <w:trHeight w:val="363"/>
        </w:trPr>
        <w:tc>
          <w:tcPr>
            <w:tcW w:w="3779" w:type="dxa"/>
            <w:shd w:val="clear" w:color="auto" w:fill="auto"/>
            <w:vAlign w:val="center"/>
            <w:hideMark/>
          </w:tcPr>
          <w:p w:rsidR="008D3923" w:rsidRPr="003818AB" w:rsidRDefault="008D3923" w:rsidP="008D3923">
            <w:pPr>
              <w:spacing w:before="0" w:after="0"/>
              <w:jc w:val="right"/>
              <w:rPr>
                <w:rFonts w:eastAsia="Times New Roman" w:cs="Arial"/>
                <w:color w:val="000000"/>
                <w:szCs w:val="19"/>
                <w:lang w:eastAsia="pl-PL"/>
              </w:rPr>
            </w:pPr>
            <w:r w:rsidRPr="003818AB">
              <w:rPr>
                <w:rFonts w:eastAsia="Times New Roman" w:cs="Arial"/>
                <w:color w:val="000000"/>
                <w:szCs w:val="19"/>
                <w:lang w:eastAsia="pl-PL"/>
              </w:rPr>
              <w:t>% GDP</w:t>
            </w:r>
          </w:p>
        </w:tc>
        <w:tc>
          <w:tcPr>
            <w:tcW w:w="1041" w:type="dxa"/>
            <w:shd w:val="clear" w:color="auto" w:fill="auto"/>
            <w:vAlign w:val="center"/>
          </w:tcPr>
          <w:p w:rsidR="008D3923" w:rsidRPr="0007781D" w:rsidRDefault="008D3923" w:rsidP="008D3923">
            <w:pPr>
              <w:spacing w:before="0" w:after="0"/>
              <w:jc w:val="right"/>
              <w:rPr>
                <w:rFonts w:eastAsia="Times New Roman" w:cs="Arial"/>
                <w:color w:val="000000"/>
                <w:szCs w:val="19"/>
                <w:lang w:eastAsia="pl-PL"/>
              </w:rPr>
            </w:pPr>
            <w:r w:rsidRPr="0007781D">
              <w:rPr>
                <w:rFonts w:eastAsia="Times New Roman" w:cs="Arial"/>
                <w:color w:val="000000"/>
                <w:szCs w:val="19"/>
                <w:lang w:eastAsia="pl-PL"/>
              </w:rPr>
              <w:t>-3</w:t>
            </w:r>
            <w:r>
              <w:rPr>
                <w:rFonts w:eastAsia="Times New Roman" w:cs="Arial"/>
                <w:color w:val="000000"/>
                <w:szCs w:val="19"/>
                <w:lang w:eastAsia="pl-PL"/>
              </w:rPr>
              <w:t>.</w:t>
            </w:r>
            <w:r w:rsidRPr="0007781D">
              <w:rPr>
                <w:rFonts w:eastAsia="Times New Roman" w:cs="Arial"/>
                <w:color w:val="000000"/>
                <w:szCs w:val="19"/>
                <w:lang w:eastAsia="pl-PL"/>
              </w:rPr>
              <w:t>4%</w:t>
            </w:r>
          </w:p>
        </w:tc>
        <w:tc>
          <w:tcPr>
            <w:tcW w:w="1116" w:type="dxa"/>
            <w:shd w:val="clear" w:color="auto" w:fill="auto"/>
            <w:vAlign w:val="center"/>
            <w:hideMark/>
          </w:tcPr>
          <w:p w:rsidR="008D3923" w:rsidRPr="0007781D" w:rsidRDefault="008D3923" w:rsidP="008D3923">
            <w:pPr>
              <w:spacing w:before="0" w:after="0"/>
              <w:jc w:val="right"/>
              <w:rPr>
                <w:rFonts w:eastAsia="Times New Roman" w:cs="Arial"/>
                <w:color w:val="000000"/>
                <w:szCs w:val="19"/>
                <w:lang w:eastAsia="pl-PL"/>
              </w:rPr>
            </w:pPr>
            <w:r w:rsidRPr="0007781D">
              <w:rPr>
                <w:rFonts w:eastAsia="Times New Roman" w:cs="Arial"/>
                <w:color w:val="000000"/>
                <w:szCs w:val="19"/>
                <w:lang w:eastAsia="pl-PL"/>
              </w:rPr>
              <w:t>-5</w:t>
            </w:r>
            <w:r>
              <w:rPr>
                <w:rFonts w:eastAsia="Times New Roman" w:cs="Arial"/>
                <w:color w:val="000000"/>
                <w:szCs w:val="19"/>
                <w:lang w:eastAsia="pl-PL"/>
              </w:rPr>
              <w:t>.</w:t>
            </w:r>
            <w:r w:rsidRPr="0007781D">
              <w:rPr>
                <w:rFonts w:eastAsia="Times New Roman" w:cs="Arial"/>
                <w:color w:val="000000"/>
                <w:szCs w:val="19"/>
                <w:lang w:eastAsia="pl-PL"/>
              </w:rPr>
              <w:t>2%</w:t>
            </w:r>
          </w:p>
        </w:tc>
        <w:tc>
          <w:tcPr>
            <w:tcW w:w="1013" w:type="dxa"/>
            <w:shd w:val="clear" w:color="auto" w:fill="auto"/>
            <w:vAlign w:val="center"/>
            <w:hideMark/>
          </w:tcPr>
          <w:p w:rsidR="008D3923" w:rsidRPr="0007781D" w:rsidRDefault="008D3923" w:rsidP="008D3923">
            <w:pPr>
              <w:spacing w:before="0" w:after="0"/>
              <w:jc w:val="right"/>
              <w:rPr>
                <w:rFonts w:eastAsia="Times New Roman" w:cs="Arial"/>
                <w:color w:val="000000"/>
                <w:szCs w:val="19"/>
                <w:lang w:eastAsia="pl-PL"/>
              </w:rPr>
            </w:pPr>
            <w:r w:rsidRPr="0007781D">
              <w:rPr>
                <w:rFonts w:eastAsia="Times New Roman" w:cs="Arial"/>
                <w:color w:val="000000"/>
                <w:szCs w:val="19"/>
                <w:lang w:eastAsia="pl-PL"/>
              </w:rPr>
              <w:t>-6</w:t>
            </w:r>
            <w:r>
              <w:rPr>
                <w:rFonts w:eastAsia="Times New Roman" w:cs="Arial"/>
                <w:color w:val="000000"/>
                <w:szCs w:val="19"/>
                <w:lang w:eastAsia="pl-PL"/>
              </w:rPr>
              <w:t>.</w:t>
            </w:r>
            <w:r w:rsidR="00F4202D">
              <w:rPr>
                <w:rFonts w:eastAsia="Times New Roman" w:cs="Arial"/>
                <w:color w:val="000000"/>
                <w:szCs w:val="19"/>
                <w:lang w:eastAsia="pl-PL"/>
              </w:rPr>
              <w:t>4</w:t>
            </w:r>
            <w:r w:rsidRPr="0007781D">
              <w:rPr>
                <w:rFonts w:eastAsia="Times New Roman" w:cs="Arial"/>
                <w:color w:val="000000"/>
                <w:szCs w:val="19"/>
                <w:lang w:eastAsia="pl-PL"/>
              </w:rPr>
              <w:t>%</w:t>
            </w:r>
            <w:r w:rsidR="00AF0C31">
              <w:rPr>
                <w:rFonts w:eastAsia="Times New Roman" w:cs="Arial"/>
                <w:color w:val="000000"/>
                <w:szCs w:val="19"/>
                <w:lang w:eastAsia="pl-PL"/>
              </w:rPr>
              <w:t>*</w:t>
            </w:r>
          </w:p>
        </w:tc>
        <w:tc>
          <w:tcPr>
            <w:tcW w:w="1060" w:type="dxa"/>
            <w:shd w:val="clear" w:color="auto" w:fill="auto"/>
            <w:vAlign w:val="center"/>
          </w:tcPr>
          <w:p w:rsidR="008D3923" w:rsidRPr="0007781D" w:rsidRDefault="00F4202D" w:rsidP="008D3923">
            <w:pPr>
              <w:spacing w:before="0" w:after="0"/>
              <w:jc w:val="right"/>
              <w:rPr>
                <w:rFonts w:eastAsia="Times New Roman" w:cs="Arial"/>
                <w:color w:val="000000"/>
                <w:szCs w:val="19"/>
                <w:lang w:eastAsia="pl-PL"/>
              </w:rPr>
            </w:pPr>
            <w:r>
              <w:rPr>
                <w:rFonts w:eastAsia="Times New Roman" w:cs="Arial"/>
                <w:color w:val="000000"/>
                <w:szCs w:val="19"/>
                <w:lang w:eastAsia="pl-PL"/>
              </w:rPr>
              <w:t>-7</w:t>
            </w:r>
            <w:r w:rsidR="00781FD1">
              <w:rPr>
                <w:rFonts w:eastAsia="Times New Roman" w:cs="Arial"/>
                <w:color w:val="000000"/>
                <w:szCs w:val="19"/>
                <w:lang w:eastAsia="pl-PL"/>
              </w:rPr>
              <w:t>.</w:t>
            </w:r>
            <w:r>
              <w:rPr>
                <w:rFonts w:eastAsia="Times New Roman" w:cs="Arial"/>
                <w:color w:val="000000"/>
                <w:szCs w:val="19"/>
                <w:lang w:eastAsia="pl-PL"/>
              </w:rPr>
              <w:t>3%</w:t>
            </w:r>
          </w:p>
        </w:tc>
      </w:tr>
      <w:tr w:rsidR="008D3923" w:rsidRPr="000902B0" w:rsidTr="008D3923">
        <w:trPr>
          <w:trHeight w:val="568"/>
        </w:trPr>
        <w:tc>
          <w:tcPr>
            <w:tcW w:w="3779" w:type="dxa"/>
            <w:shd w:val="clear" w:color="auto" w:fill="auto"/>
            <w:vAlign w:val="center"/>
            <w:hideMark/>
          </w:tcPr>
          <w:p w:rsidR="008D3923" w:rsidRPr="003818AB" w:rsidRDefault="008D3923" w:rsidP="008D3923">
            <w:pPr>
              <w:spacing w:before="0" w:after="0"/>
              <w:rPr>
                <w:rFonts w:eastAsia="Times New Roman" w:cs="Arial"/>
                <w:color w:val="000000"/>
                <w:szCs w:val="19"/>
                <w:lang w:eastAsia="pl-PL"/>
              </w:rPr>
            </w:pPr>
            <w:r w:rsidRPr="003818AB">
              <w:rPr>
                <w:rFonts w:eastAsia="Times New Roman" w:cs="Arial"/>
                <w:color w:val="000000"/>
                <w:szCs w:val="19"/>
                <w:lang w:eastAsia="pl-PL"/>
              </w:rPr>
              <w:t xml:space="preserve">Central </w:t>
            </w:r>
            <w:proofErr w:type="spellStart"/>
            <w:r w:rsidRPr="003818AB">
              <w:rPr>
                <w:rFonts w:eastAsia="Times New Roman" w:cs="Arial"/>
                <w:color w:val="000000"/>
                <w:szCs w:val="19"/>
                <w:lang w:eastAsia="pl-PL"/>
              </w:rPr>
              <w:t>government</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deficit</w:t>
            </w:r>
            <w:proofErr w:type="spellEnd"/>
            <w:r w:rsidRPr="003818AB">
              <w:rPr>
                <w:rFonts w:eastAsia="Times New Roman" w:cs="Arial"/>
                <w:color w:val="000000"/>
                <w:szCs w:val="19"/>
                <w:lang w:eastAsia="pl-PL"/>
              </w:rPr>
              <w:t>/</w:t>
            </w:r>
            <w:proofErr w:type="spellStart"/>
            <w:r w:rsidRPr="003818AB">
              <w:rPr>
                <w:rFonts w:eastAsia="Times New Roman" w:cs="Arial"/>
                <w:color w:val="000000"/>
                <w:szCs w:val="19"/>
                <w:lang w:eastAsia="pl-PL"/>
              </w:rPr>
              <w:t>surplus</w:t>
            </w:r>
            <w:proofErr w:type="spellEnd"/>
          </w:p>
        </w:tc>
        <w:tc>
          <w:tcPr>
            <w:tcW w:w="1041" w:type="dxa"/>
            <w:shd w:val="clear" w:color="auto" w:fill="auto"/>
            <w:vAlign w:val="center"/>
          </w:tcPr>
          <w:p w:rsidR="008D3923" w:rsidRPr="0007781D" w:rsidRDefault="008D3923" w:rsidP="008D3923">
            <w:pPr>
              <w:spacing w:before="0" w:after="0"/>
              <w:jc w:val="right"/>
              <w:rPr>
                <w:rFonts w:eastAsia="Times New Roman" w:cs="Arial"/>
                <w:color w:val="000000"/>
                <w:szCs w:val="19"/>
                <w:lang w:eastAsia="pl-PL"/>
              </w:rPr>
            </w:pPr>
            <w:r w:rsidRPr="0007781D">
              <w:rPr>
                <w:rFonts w:eastAsia="Times New Roman" w:cs="Arial"/>
                <w:color w:val="000000"/>
                <w:szCs w:val="19"/>
                <w:lang w:eastAsia="pl-PL"/>
              </w:rPr>
              <w:t>-92 162</w:t>
            </w:r>
          </w:p>
        </w:tc>
        <w:tc>
          <w:tcPr>
            <w:tcW w:w="1116" w:type="dxa"/>
            <w:shd w:val="clear" w:color="auto" w:fill="auto"/>
            <w:vAlign w:val="center"/>
            <w:hideMark/>
          </w:tcPr>
          <w:p w:rsidR="008D3923" w:rsidRPr="0007781D" w:rsidRDefault="008D3923" w:rsidP="008D3923">
            <w:pPr>
              <w:spacing w:before="0" w:after="0"/>
              <w:jc w:val="right"/>
              <w:rPr>
                <w:rFonts w:eastAsia="Times New Roman" w:cs="Arial"/>
                <w:color w:val="000000"/>
                <w:szCs w:val="19"/>
                <w:lang w:eastAsia="pl-PL"/>
              </w:rPr>
            </w:pPr>
            <w:r w:rsidRPr="0007781D">
              <w:rPr>
                <w:rFonts w:eastAsia="Times New Roman" w:cs="Arial"/>
                <w:color w:val="000000"/>
                <w:szCs w:val="19"/>
                <w:lang w:eastAsia="pl-PL"/>
              </w:rPr>
              <w:t>-138 610</w:t>
            </w:r>
          </w:p>
        </w:tc>
        <w:tc>
          <w:tcPr>
            <w:tcW w:w="1013" w:type="dxa"/>
            <w:shd w:val="clear" w:color="auto" w:fill="auto"/>
            <w:vAlign w:val="center"/>
            <w:hideMark/>
          </w:tcPr>
          <w:p w:rsidR="008D3923" w:rsidRPr="0007781D" w:rsidRDefault="008D3923" w:rsidP="008D3923">
            <w:pPr>
              <w:spacing w:before="0" w:after="0"/>
              <w:jc w:val="right"/>
              <w:rPr>
                <w:rFonts w:eastAsia="Times New Roman" w:cs="Arial"/>
                <w:color w:val="000000"/>
                <w:szCs w:val="19"/>
                <w:lang w:eastAsia="pl-PL"/>
              </w:rPr>
            </w:pPr>
            <w:r w:rsidRPr="0007781D">
              <w:rPr>
                <w:rFonts w:eastAsia="Times New Roman" w:cs="Arial"/>
                <w:color w:val="000000"/>
                <w:szCs w:val="19"/>
                <w:lang w:eastAsia="pl-PL"/>
              </w:rPr>
              <w:t>-243 </w:t>
            </w:r>
            <w:r w:rsidR="00770436">
              <w:rPr>
                <w:rFonts w:eastAsia="Times New Roman" w:cs="Arial"/>
                <w:color w:val="000000"/>
                <w:szCs w:val="19"/>
                <w:lang w:eastAsia="pl-PL"/>
              </w:rPr>
              <w:t>933</w:t>
            </w:r>
            <w:r w:rsidRPr="0007781D">
              <w:rPr>
                <w:rFonts w:eastAsia="Times New Roman" w:cs="Arial"/>
                <w:color w:val="000000"/>
                <w:szCs w:val="19"/>
                <w:lang w:eastAsia="pl-PL"/>
              </w:rPr>
              <w:t>*</w:t>
            </w:r>
          </w:p>
        </w:tc>
        <w:tc>
          <w:tcPr>
            <w:tcW w:w="1060" w:type="dxa"/>
            <w:shd w:val="clear" w:color="auto" w:fill="auto"/>
            <w:vAlign w:val="center"/>
          </w:tcPr>
          <w:p w:rsidR="008D3923" w:rsidRPr="0007781D" w:rsidRDefault="00F4202D" w:rsidP="008D3923">
            <w:pPr>
              <w:spacing w:before="0" w:after="0"/>
              <w:jc w:val="right"/>
              <w:rPr>
                <w:rFonts w:eastAsia="Times New Roman" w:cs="Arial"/>
                <w:color w:val="000000"/>
                <w:szCs w:val="19"/>
                <w:lang w:eastAsia="pl-PL"/>
              </w:rPr>
            </w:pPr>
            <w:r>
              <w:rPr>
                <w:rFonts w:eastAsia="Times New Roman" w:cs="Arial"/>
                <w:color w:val="000000"/>
                <w:szCs w:val="19"/>
                <w:lang w:eastAsia="pl-PL"/>
              </w:rPr>
              <w:t>-280 082</w:t>
            </w:r>
          </w:p>
        </w:tc>
      </w:tr>
      <w:tr w:rsidR="008D3923" w:rsidRPr="000902B0" w:rsidTr="008D3923">
        <w:trPr>
          <w:trHeight w:val="346"/>
        </w:trPr>
        <w:tc>
          <w:tcPr>
            <w:tcW w:w="3779" w:type="dxa"/>
            <w:shd w:val="clear" w:color="auto" w:fill="auto"/>
            <w:vAlign w:val="center"/>
            <w:hideMark/>
          </w:tcPr>
          <w:p w:rsidR="008D3923" w:rsidRPr="003818AB" w:rsidRDefault="008D3923" w:rsidP="008D3923">
            <w:pPr>
              <w:spacing w:before="0" w:after="0"/>
              <w:jc w:val="right"/>
              <w:rPr>
                <w:rFonts w:eastAsia="Times New Roman" w:cs="Arial"/>
                <w:color w:val="000000"/>
                <w:szCs w:val="19"/>
                <w:lang w:eastAsia="pl-PL"/>
              </w:rPr>
            </w:pPr>
            <w:r w:rsidRPr="003818AB">
              <w:rPr>
                <w:rFonts w:eastAsia="Times New Roman" w:cs="Arial"/>
                <w:color w:val="000000"/>
                <w:szCs w:val="19"/>
                <w:lang w:eastAsia="pl-PL"/>
              </w:rPr>
              <w:t>% GDP</w:t>
            </w:r>
          </w:p>
        </w:tc>
        <w:tc>
          <w:tcPr>
            <w:tcW w:w="1041" w:type="dxa"/>
            <w:shd w:val="clear" w:color="auto" w:fill="auto"/>
            <w:vAlign w:val="center"/>
          </w:tcPr>
          <w:p w:rsidR="008D3923" w:rsidRPr="0007781D" w:rsidRDefault="008D3923" w:rsidP="008D3923">
            <w:pPr>
              <w:spacing w:before="0" w:after="0"/>
              <w:jc w:val="right"/>
              <w:rPr>
                <w:rFonts w:eastAsia="Times New Roman" w:cs="Arial"/>
                <w:color w:val="000000"/>
                <w:szCs w:val="19"/>
                <w:lang w:eastAsia="pl-PL"/>
              </w:rPr>
            </w:pPr>
            <w:r w:rsidRPr="0007781D">
              <w:rPr>
                <w:rFonts w:eastAsia="Times New Roman" w:cs="Arial"/>
                <w:color w:val="000000"/>
                <w:szCs w:val="19"/>
                <w:lang w:eastAsia="pl-PL"/>
              </w:rPr>
              <w:t>-3</w:t>
            </w:r>
            <w:r>
              <w:rPr>
                <w:rFonts w:eastAsia="Times New Roman" w:cs="Arial"/>
                <w:color w:val="000000"/>
                <w:szCs w:val="19"/>
                <w:lang w:eastAsia="pl-PL"/>
              </w:rPr>
              <w:t>.</w:t>
            </w:r>
            <w:r w:rsidRPr="0007781D">
              <w:rPr>
                <w:rFonts w:eastAsia="Times New Roman" w:cs="Arial"/>
                <w:color w:val="000000"/>
                <w:szCs w:val="19"/>
                <w:lang w:eastAsia="pl-PL"/>
              </w:rPr>
              <w:t>0%</w:t>
            </w:r>
          </w:p>
        </w:tc>
        <w:tc>
          <w:tcPr>
            <w:tcW w:w="1116" w:type="dxa"/>
            <w:shd w:val="clear" w:color="auto" w:fill="auto"/>
            <w:vAlign w:val="center"/>
            <w:hideMark/>
          </w:tcPr>
          <w:p w:rsidR="008D3923" w:rsidRPr="0007781D" w:rsidRDefault="008D3923" w:rsidP="008D3923">
            <w:pPr>
              <w:spacing w:before="0" w:after="0"/>
              <w:jc w:val="right"/>
              <w:rPr>
                <w:rFonts w:eastAsia="Times New Roman" w:cs="Arial"/>
                <w:color w:val="000000"/>
                <w:szCs w:val="19"/>
                <w:lang w:eastAsia="pl-PL"/>
              </w:rPr>
            </w:pPr>
            <w:r w:rsidRPr="0007781D">
              <w:rPr>
                <w:rFonts w:eastAsia="Times New Roman" w:cs="Arial"/>
                <w:color w:val="000000"/>
                <w:szCs w:val="19"/>
                <w:lang w:eastAsia="pl-PL"/>
              </w:rPr>
              <w:t>-4</w:t>
            </w:r>
            <w:r>
              <w:rPr>
                <w:rFonts w:eastAsia="Times New Roman" w:cs="Arial"/>
                <w:color w:val="000000"/>
                <w:szCs w:val="19"/>
                <w:lang w:eastAsia="pl-PL"/>
              </w:rPr>
              <w:t>.</w:t>
            </w:r>
            <w:r w:rsidRPr="0007781D">
              <w:rPr>
                <w:rFonts w:eastAsia="Times New Roman" w:cs="Arial"/>
                <w:color w:val="000000"/>
                <w:szCs w:val="19"/>
                <w:lang w:eastAsia="pl-PL"/>
              </w:rPr>
              <w:t>1%</w:t>
            </w:r>
          </w:p>
        </w:tc>
        <w:tc>
          <w:tcPr>
            <w:tcW w:w="1013" w:type="dxa"/>
            <w:shd w:val="clear" w:color="auto" w:fill="auto"/>
            <w:vAlign w:val="center"/>
            <w:hideMark/>
          </w:tcPr>
          <w:p w:rsidR="008D3923" w:rsidRPr="0007781D" w:rsidRDefault="008D3923" w:rsidP="008D3923">
            <w:pPr>
              <w:spacing w:before="0" w:after="0"/>
              <w:jc w:val="right"/>
              <w:rPr>
                <w:rFonts w:eastAsia="Times New Roman" w:cs="Arial"/>
                <w:color w:val="000000"/>
                <w:szCs w:val="19"/>
                <w:lang w:eastAsia="pl-PL"/>
              </w:rPr>
            </w:pPr>
            <w:r w:rsidRPr="0007781D">
              <w:rPr>
                <w:rFonts w:eastAsia="Times New Roman" w:cs="Arial"/>
                <w:color w:val="000000"/>
                <w:szCs w:val="19"/>
                <w:lang w:eastAsia="pl-PL"/>
              </w:rPr>
              <w:t>-6</w:t>
            </w:r>
            <w:r>
              <w:rPr>
                <w:rFonts w:eastAsia="Times New Roman" w:cs="Arial"/>
                <w:color w:val="000000"/>
                <w:szCs w:val="19"/>
                <w:lang w:eastAsia="pl-PL"/>
              </w:rPr>
              <w:t>.</w:t>
            </w:r>
            <w:r w:rsidR="00770436">
              <w:rPr>
                <w:rFonts w:eastAsia="Times New Roman" w:cs="Arial"/>
                <w:color w:val="000000"/>
                <w:szCs w:val="19"/>
                <w:lang w:eastAsia="pl-PL"/>
              </w:rPr>
              <w:t>6</w:t>
            </w:r>
            <w:r w:rsidRPr="0007781D">
              <w:rPr>
                <w:rFonts w:eastAsia="Times New Roman" w:cs="Arial"/>
                <w:color w:val="000000"/>
                <w:szCs w:val="19"/>
                <w:lang w:eastAsia="pl-PL"/>
              </w:rPr>
              <w:t>%</w:t>
            </w:r>
            <w:r w:rsidR="00770436">
              <w:rPr>
                <w:rFonts w:eastAsia="Times New Roman" w:cs="Arial"/>
                <w:color w:val="000000"/>
                <w:szCs w:val="19"/>
                <w:lang w:eastAsia="pl-PL"/>
              </w:rPr>
              <w:t>*</w:t>
            </w:r>
          </w:p>
        </w:tc>
        <w:tc>
          <w:tcPr>
            <w:tcW w:w="1060" w:type="dxa"/>
            <w:shd w:val="clear" w:color="auto" w:fill="auto"/>
            <w:vAlign w:val="center"/>
          </w:tcPr>
          <w:p w:rsidR="008D3923" w:rsidRPr="0007781D" w:rsidRDefault="00F4202D" w:rsidP="008D3923">
            <w:pPr>
              <w:spacing w:before="0" w:after="0"/>
              <w:jc w:val="right"/>
              <w:rPr>
                <w:rFonts w:eastAsia="Times New Roman" w:cs="Arial"/>
                <w:color w:val="000000"/>
                <w:szCs w:val="19"/>
                <w:lang w:eastAsia="pl-PL"/>
              </w:rPr>
            </w:pPr>
            <w:r>
              <w:rPr>
                <w:rFonts w:eastAsia="Times New Roman" w:cs="Arial"/>
                <w:color w:val="000000"/>
                <w:szCs w:val="19"/>
                <w:lang w:eastAsia="pl-PL"/>
              </w:rPr>
              <w:t>-7</w:t>
            </w:r>
            <w:r w:rsidR="00781FD1">
              <w:rPr>
                <w:rFonts w:eastAsia="Times New Roman" w:cs="Arial"/>
                <w:color w:val="000000"/>
                <w:szCs w:val="19"/>
                <w:lang w:eastAsia="pl-PL"/>
              </w:rPr>
              <w:t>.</w:t>
            </w:r>
            <w:r>
              <w:rPr>
                <w:rFonts w:eastAsia="Times New Roman" w:cs="Arial"/>
                <w:color w:val="000000"/>
                <w:szCs w:val="19"/>
                <w:lang w:eastAsia="pl-PL"/>
              </w:rPr>
              <w:t>2%</w:t>
            </w:r>
          </w:p>
        </w:tc>
      </w:tr>
      <w:tr w:rsidR="008D3923" w:rsidRPr="000902B0" w:rsidTr="008D3923">
        <w:trPr>
          <w:trHeight w:val="568"/>
        </w:trPr>
        <w:tc>
          <w:tcPr>
            <w:tcW w:w="3779" w:type="dxa"/>
            <w:shd w:val="clear" w:color="auto" w:fill="auto"/>
            <w:vAlign w:val="center"/>
            <w:hideMark/>
          </w:tcPr>
          <w:p w:rsidR="008D3923" w:rsidRPr="003818AB" w:rsidRDefault="008D3923" w:rsidP="008D3923">
            <w:pPr>
              <w:spacing w:before="0" w:after="0"/>
              <w:rPr>
                <w:rFonts w:eastAsia="Times New Roman" w:cs="Arial"/>
                <w:color w:val="000000"/>
                <w:szCs w:val="19"/>
                <w:lang w:eastAsia="pl-PL"/>
              </w:rPr>
            </w:pPr>
            <w:proofErr w:type="spellStart"/>
            <w:r w:rsidRPr="003818AB">
              <w:rPr>
                <w:rFonts w:eastAsia="Times New Roman" w:cs="Arial"/>
                <w:color w:val="000000"/>
                <w:szCs w:val="19"/>
                <w:lang w:eastAsia="pl-PL"/>
              </w:rPr>
              <w:t>Local</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government</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deficit</w:t>
            </w:r>
            <w:proofErr w:type="spellEnd"/>
            <w:r w:rsidRPr="003818AB">
              <w:rPr>
                <w:rFonts w:eastAsia="Times New Roman" w:cs="Arial"/>
                <w:color w:val="000000"/>
                <w:szCs w:val="19"/>
                <w:lang w:eastAsia="pl-PL"/>
              </w:rPr>
              <w:t>/</w:t>
            </w:r>
            <w:proofErr w:type="spellStart"/>
            <w:r w:rsidRPr="003818AB">
              <w:rPr>
                <w:rFonts w:eastAsia="Times New Roman" w:cs="Arial"/>
                <w:color w:val="000000"/>
                <w:szCs w:val="19"/>
                <w:lang w:eastAsia="pl-PL"/>
              </w:rPr>
              <w:t>surplus</w:t>
            </w:r>
            <w:proofErr w:type="spellEnd"/>
          </w:p>
        </w:tc>
        <w:tc>
          <w:tcPr>
            <w:tcW w:w="1041" w:type="dxa"/>
            <w:shd w:val="clear" w:color="auto" w:fill="auto"/>
            <w:vAlign w:val="center"/>
          </w:tcPr>
          <w:p w:rsidR="008D3923" w:rsidRPr="0007781D" w:rsidRDefault="008D3923" w:rsidP="008D3923">
            <w:pPr>
              <w:spacing w:before="0" w:after="0"/>
              <w:jc w:val="right"/>
              <w:rPr>
                <w:rFonts w:eastAsia="Times New Roman" w:cs="Arial"/>
                <w:color w:val="000000"/>
                <w:szCs w:val="19"/>
                <w:lang w:eastAsia="pl-PL"/>
              </w:rPr>
            </w:pPr>
            <w:r w:rsidRPr="0007781D">
              <w:rPr>
                <w:rFonts w:eastAsia="Times New Roman" w:cs="Arial"/>
                <w:color w:val="000000"/>
                <w:szCs w:val="19"/>
                <w:lang w:eastAsia="pl-PL"/>
              </w:rPr>
              <w:t>-13 274</w:t>
            </w:r>
          </w:p>
        </w:tc>
        <w:tc>
          <w:tcPr>
            <w:tcW w:w="1116" w:type="dxa"/>
            <w:shd w:val="clear" w:color="auto" w:fill="auto"/>
            <w:vAlign w:val="center"/>
            <w:hideMark/>
          </w:tcPr>
          <w:p w:rsidR="008D3923" w:rsidRPr="0007781D" w:rsidRDefault="008D3923" w:rsidP="008D3923">
            <w:pPr>
              <w:spacing w:before="0" w:after="0"/>
              <w:jc w:val="right"/>
              <w:rPr>
                <w:rFonts w:eastAsia="Times New Roman" w:cs="Arial"/>
                <w:color w:val="000000"/>
                <w:szCs w:val="19"/>
                <w:lang w:eastAsia="pl-PL"/>
              </w:rPr>
            </w:pPr>
            <w:r w:rsidRPr="0007781D">
              <w:rPr>
                <w:rFonts w:eastAsia="Times New Roman" w:cs="Arial"/>
                <w:color w:val="000000"/>
                <w:szCs w:val="19"/>
                <w:lang w:eastAsia="pl-PL"/>
              </w:rPr>
              <w:t>-24 811</w:t>
            </w:r>
          </w:p>
        </w:tc>
        <w:tc>
          <w:tcPr>
            <w:tcW w:w="1013" w:type="dxa"/>
            <w:shd w:val="clear" w:color="auto" w:fill="auto"/>
            <w:vAlign w:val="center"/>
            <w:hideMark/>
          </w:tcPr>
          <w:p w:rsidR="008D3923" w:rsidRPr="0007781D" w:rsidRDefault="008D3923" w:rsidP="008D3923">
            <w:pPr>
              <w:spacing w:before="0" w:after="0"/>
              <w:jc w:val="right"/>
              <w:rPr>
                <w:rFonts w:eastAsia="Times New Roman" w:cs="Arial"/>
                <w:color w:val="000000"/>
                <w:szCs w:val="19"/>
                <w:lang w:eastAsia="pl-PL"/>
              </w:rPr>
            </w:pPr>
            <w:r w:rsidRPr="0007781D">
              <w:rPr>
                <w:rFonts w:eastAsia="Times New Roman" w:cs="Arial"/>
                <w:color w:val="000000"/>
                <w:szCs w:val="19"/>
                <w:lang w:eastAsia="pl-PL"/>
              </w:rPr>
              <w:t>14 105</w:t>
            </w:r>
          </w:p>
        </w:tc>
        <w:tc>
          <w:tcPr>
            <w:tcW w:w="1060" w:type="dxa"/>
            <w:shd w:val="clear" w:color="auto" w:fill="auto"/>
            <w:vAlign w:val="center"/>
          </w:tcPr>
          <w:p w:rsidR="008D3923" w:rsidRPr="0007781D" w:rsidRDefault="00F4202D" w:rsidP="008D3923">
            <w:pPr>
              <w:spacing w:before="0" w:after="0"/>
              <w:jc w:val="right"/>
              <w:rPr>
                <w:rFonts w:eastAsia="Times New Roman" w:cs="Arial"/>
                <w:color w:val="000000"/>
                <w:szCs w:val="19"/>
                <w:lang w:eastAsia="pl-PL"/>
              </w:rPr>
            </w:pPr>
            <w:r>
              <w:rPr>
                <w:rFonts w:eastAsia="Times New Roman" w:cs="Arial"/>
                <w:color w:val="000000"/>
                <w:szCs w:val="19"/>
                <w:lang w:eastAsia="pl-PL"/>
              </w:rPr>
              <w:t>637</w:t>
            </w:r>
          </w:p>
        </w:tc>
      </w:tr>
      <w:tr w:rsidR="008D3923" w:rsidRPr="000902B0" w:rsidTr="008D3923">
        <w:trPr>
          <w:trHeight w:val="359"/>
        </w:trPr>
        <w:tc>
          <w:tcPr>
            <w:tcW w:w="3779" w:type="dxa"/>
            <w:shd w:val="clear" w:color="auto" w:fill="auto"/>
            <w:vAlign w:val="center"/>
            <w:hideMark/>
          </w:tcPr>
          <w:p w:rsidR="008D3923" w:rsidRPr="003818AB" w:rsidRDefault="008D3923" w:rsidP="008D3923">
            <w:pPr>
              <w:spacing w:before="0" w:after="0"/>
              <w:jc w:val="right"/>
              <w:rPr>
                <w:rFonts w:eastAsia="Times New Roman" w:cs="Arial"/>
                <w:color w:val="000000"/>
                <w:szCs w:val="19"/>
                <w:lang w:eastAsia="pl-PL"/>
              </w:rPr>
            </w:pPr>
            <w:r w:rsidRPr="003818AB">
              <w:rPr>
                <w:rFonts w:eastAsia="Times New Roman" w:cs="Arial"/>
                <w:color w:val="000000"/>
                <w:szCs w:val="19"/>
                <w:lang w:eastAsia="pl-PL"/>
              </w:rPr>
              <w:t>% GDP</w:t>
            </w:r>
          </w:p>
        </w:tc>
        <w:tc>
          <w:tcPr>
            <w:tcW w:w="1041" w:type="dxa"/>
            <w:shd w:val="clear" w:color="auto" w:fill="auto"/>
            <w:vAlign w:val="center"/>
          </w:tcPr>
          <w:p w:rsidR="008D3923" w:rsidRPr="0007781D" w:rsidRDefault="008D3923" w:rsidP="008D3923">
            <w:pPr>
              <w:spacing w:before="0" w:after="0"/>
              <w:jc w:val="right"/>
              <w:rPr>
                <w:rFonts w:eastAsia="Times New Roman" w:cs="Arial"/>
                <w:color w:val="000000"/>
                <w:szCs w:val="19"/>
                <w:lang w:eastAsia="pl-PL"/>
              </w:rPr>
            </w:pPr>
            <w:r w:rsidRPr="0007781D">
              <w:rPr>
                <w:rFonts w:eastAsia="Times New Roman" w:cs="Arial"/>
                <w:color w:val="000000"/>
                <w:szCs w:val="19"/>
                <w:lang w:eastAsia="pl-PL"/>
              </w:rPr>
              <w:t>-0</w:t>
            </w:r>
            <w:r>
              <w:rPr>
                <w:rFonts w:eastAsia="Times New Roman" w:cs="Arial"/>
                <w:color w:val="000000"/>
                <w:szCs w:val="19"/>
                <w:lang w:eastAsia="pl-PL"/>
              </w:rPr>
              <w:t>.</w:t>
            </w:r>
            <w:r w:rsidRPr="0007781D">
              <w:rPr>
                <w:rFonts w:eastAsia="Times New Roman" w:cs="Arial"/>
                <w:color w:val="000000"/>
                <w:szCs w:val="19"/>
                <w:lang w:eastAsia="pl-PL"/>
              </w:rPr>
              <w:t>4%</w:t>
            </w:r>
          </w:p>
        </w:tc>
        <w:tc>
          <w:tcPr>
            <w:tcW w:w="1116" w:type="dxa"/>
            <w:shd w:val="clear" w:color="auto" w:fill="auto"/>
            <w:vAlign w:val="center"/>
            <w:hideMark/>
          </w:tcPr>
          <w:p w:rsidR="008D3923" w:rsidRPr="0007781D" w:rsidRDefault="008D3923" w:rsidP="008D3923">
            <w:pPr>
              <w:spacing w:before="0" w:after="0"/>
              <w:jc w:val="right"/>
              <w:rPr>
                <w:rFonts w:eastAsia="Times New Roman" w:cs="Arial"/>
                <w:color w:val="000000"/>
                <w:szCs w:val="19"/>
                <w:lang w:eastAsia="pl-PL"/>
              </w:rPr>
            </w:pPr>
            <w:r w:rsidRPr="0007781D">
              <w:rPr>
                <w:rFonts w:eastAsia="Times New Roman" w:cs="Arial"/>
                <w:color w:val="000000"/>
                <w:szCs w:val="19"/>
                <w:lang w:eastAsia="pl-PL"/>
              </w:rPr>
              <w:t>-0</w:t>
            </w:r>
            <w:r>
              <w:rPr>
                <w:rFonts w:eastAsia="Times New Roman" w:cs="Arial"/>
                <w:color w:val="000000"/>
                <w:szCs w:val="19"/>
                <w:lang w:eastAsia="pl-PL"/>
              </w:rPr>
              <w:t>.</w:t>
            </w:r>
            <w:r w:rsidRPr="0007781D">
              <w:rPr>
                <w:rFonts w:eastAsia="Times New Roman" w:cs="Arial"/>
                <w:color w:val="000000"/>
                <w:szCs w:val="19"/>
                <w:lang w:eastAsia="pl-PL"/>
              </w:rPr>
              <w:t>7%</w:t>
            </w:r>
          </w:p>
        </w:tc>
        <w:tc>
          <w:tcPr>
            <w:tcW w:w="1013" w:type="dxa"/>
            <w:shd w:val="clear" w:color="auto" w:fill="auto"/>
            <w:vAlign w:val="center"/>
            <w:hideMark/>
          </w:tcPr>
          <w:p w:rsidR="008D3923" w:rsidRPr="0007781D" w:rsidRDefault="008D3923" w:rsidP="008D3923">
            <w:pPr>
              <w:spacing w:before="0" w:after="0"/>
              <w:jc w:val="right"/>
              <w:rPr>
                <w:rFonts w:eastAsia="Times New Roman" w:cs="Arial"/>
                <w:color w:val="000000"/>
                <w:szCs w:val="19"/>
                <w:lang w:eastAsia="pl-PL"/>
              </w:rPr>
            </w:pPr>
            <w:r w:rsidRPr="0007781D">
              <w:rPr>
                <w:rFonts w:eastAsia="Times New Roman" w:cs="Arial"/>
                <w:color w:val="000000"/>
                <w:szCs w:val="19"/>
                <w:lang w:eastAsia="pl-PL"/>
              </w:rPr>
              <w:t>0</w:t>
            </w:r>
            <w:r>
              <w:rPr>
                <w:rFonts w:eastAsia="Times New Roman" w:cs="Arial"/>
                <w:color w:val="000000"/>
                <w:szCs w:val="19"/>
                <w:lang w:eastAsia="pl-PL"/>
              </w:rPr>
              <w:t>.</w:t>
            </w:r>
            <w:r w:rsidRPr="0007781D">
              <w:rPr>
                <w:rFonts w:eastAsia="Times New Roman" w:cs="Arial"/>
                <w:color w:val="000000"/>
                <w:szCs w:val="19"/>
                <w:lang w:eastAsia="pl-PL"/>
              </w:rPr>
              <w:t>4%</w:t>
            </w:r>
          </w:p>
        </w:tc>
        <w:tc>
          <w:tcPr>
            <w:tcW w:w="1060" w:type="dxa"/>
            <w:shd w:val="clear" w:color="auto" w:fill="auto"/>
            <w:vAlign w:val="center"/>
          </w:tcPr>
          <w:p w:rsidR="008D3923" w:rsidRPr="0007781D" w:rsidRDefault="00F4202D" w:rsidP="008D3923">
            <w:pPr>
              <w:spacing w:before="0" w:after="0"/>
              <w:jc w:val="right"/>
              <w:rPr>
                <w:rFonts w:eastAsia="Times New Roman" w:cs="Arial"/>
                <w:color w:val="000000"/>
                <w:szCs w:val="19"/>
                <w:lang w:eastAsia="pl-PL"/>
              </w:rPr>
            </w:pPr>
            <w:r>
              <w:rPr>
                <w:rFonts w:eastAsia="Times New Roman" w:cs="Arial"/>
                <w:color w:val="000000"/>
                <w:szCs w:val="19"/>
                <w:lang w:eastAsia="pl-PL"/>
              </w:rPr>
              <w:t>0</w:t>
            </w:r>
            <w:r w:rsidR="00781FD1">
              <w:rPr>
                <w:rFonts w:eastAsia="Times New Roman" w:cs="Arial"/>
                <w:color w:val="000000"/>
                <w:szCs w:val="19"/>
                <w:lang w:eastAsia="pl-PL"/>
              </w:rPr>
              <w:t>.</w:t>
            </w:r>
            <w:r>
              <w:rPr>
                <w:rFonts w:eastAsia="Times New Roman" w:cs="Arial"/>
                <w:color w:val="000000"/>
                <w:szCs w:val="19"/>
                <w:lang w:eastAsia="pl-PL"/>
              </w:rPr>
              <w:t>0</w:t>
            </w:r>
            <w:r w:rsidR="00A94BE9">
              <w:rPr>
                <w:rFonts w:eastAsia="Times New Roman" w:cs="Arial"/>
                <w:color w:val="000000"/>
                <w:szCs w:val="19"/>
                <w:lang w:eastAsia="pl-PL"/>
              </w:rPr>
              <w:t>%</w:t>
            </w:r>
          </w:p>
        </w:tc>
      </w:tr>
      <w:tr w:rsidR="008D3923" w:rsidRPr="000902B0" w:rsidTr="008D3923">
        <w:trPr>
          <w:trHeight w:val="568"/>
        </w:trPr>
        <w:tc>
          <w:tcPr>
            <w:tcW w:w="3779" w:type="dxa"/>
            <w:shd w:val="clear" w:color="auto" w:fill="auto"/>
            <w:vAlign w:val="center"/>
            <w:hideMark/>
          </w:tcPr>
          <w:p w:rsidR="008D3923" w:rsidRPr="003818AB" w:rsidRDefault="008D3923" w:rsidP="008D3923">
            <w:pPr>
              <w:spacing w:before="0" w:after="0"/>
              <w:rPr>
                <w:rFonts w:eastAsia="Times New Roman" w:cs="Arial"/>
                <w:color w:val="000000"/>
                <w:szCs w:val="19"/>
                <w:lang w:val="en-US" w:eastAsia="pl-PL"/>
              </w:rPr>
            </w:pPr>
            <w:r w:rsidRPr="003818AB">
              <w:rPr>
                <w:rFonts w:eastAsia="Times New Roman" w:cs="Arial"/>
                <w:color w:val="000000"/>
                <w:szCs w:val="19"/>
                <w:lang w:val="en-US" w:eastAsia="pl-PL"/>
              </w:rPr>
              <w:t>Social security funds deficit/surplus</w:t>
            </w:r>
          </w:p>
        </w:tc>
        <w:tc>
          <w:tcPr>
            <w:tcW w:w="1041" w:type="dxa"/>
            <w:shd w:val="clear" w:color="auto" w:fill="auto"/>
            <w:vAlign w:val="center"/>
          </w:tcPr>
          <w:p w:rsidR="008D3923" w:rsidRPr="0007781D" w:rsidRDefault="008D3923" w:rsidP="008D3923">
            <w:pPr>
              <w:spacing w:before="0" w:after="0"/>
              <w:jc w:val="right"/>
              <w:rPr>
                <w:rFonts w:eastAsia="Times New Roman" w:cs="Arial"/>
                <w:color w:val="000000"/>
                <w:szCs w:val="19"/>
                <w:lang w:eastAsia="pl-PL"/>
              </w:rPr>
            </w:pPr>
            <w:r w:rsidRPr="0007781D">
              <w:rPr>
                <w:rFonts w:eastAsia="Times New Roman" w:cs="Arial"/>
                <w:color w:val="000000"/>
                <w:szCs w:val="19"/>
                <w:lang w:eastAsia="pl-PL"/>
              </w:rPr>
              <w:t>961</w:t>
            </w:r>
          </w:p>
        </w:tc>
        <w:tc>
          <w:tcPr>
            <w:tcW w:w="1116" w:type="dxa"/>
            <w:shd w:val="clear" w:color="auto" w:fill="auto"/>
            <w:vAlign w:val="center"/>
            <w:hideMark/>
          </w:tcPr>
          <w:p w:rsidR="008D3923" w:rsidRPr="0007781D" w:rsidRDefault="008D3923" w:rsidP="008D3923">
            <w:pPr>
              <w:spacing w:before="0" w:after="0"/>
              <w:jc w:val="right"/>
              <w:rPr>
                <w:rFonts w:eastAsia="Times New Roman" w:cs="Arial"/>
                <w:color w:val="000000"/>
                <w:szCs w:val="19"/>
                <w:lang w:eastAsia="pl-PL"/>
              </w:rPr>
            </w:pPr>
            <w:r w:rsidRPr="0007781D">
              <w:rPr>
                <w:rFonts w:eastAsia="Times New Roman" w:cs="Arial"/>
                <w:color w:val="000000"/>
                <w:szCs w:val="19"/>
                <w:lang w:eastAsia="pl-PL"/>
              </w:rPr>
              <w:t>-14 021</w:t>
            </w:r>
          </w:p>
        </w:tc>
        <w:tc>
          <w:tcPr>
            <w:tcW w:w="1013" w:type="dxa"/>
            <w:shd w:val="clear" w:color="auto" w:fill="auto"/>
            <w:vAlign w:val="center"/>
            <w:hideMark/>
          </w:tcPr>
          <w:p w:rsidR="008D3923" w:rsidRPr="0007781D" w:rsidRDefault="008D3923" w:rsidP="008D3923">
            <w:pPr>
              <w:spacing w:before="0" w:after="0"/>
              <w:jc w:val="right"/>
              <w:rPr>
                <w:rFonts w:eastAsia="Times New Roman" w:cs="Arial"/>
                <w:color w:val="000000"/>
                <w:szCs w:val="19"/>
                <w:lang w:eastAsia="pl-PL"/>
              </w:rPr>
            </w:pPr>
            <w:r w:rsidRPr="0007781D">
              <w:rPr>
                <w:rFonts w:eastAsia="Times New Roman" w:cs="Arial"/>
                <w:color w:val="000000"/>
                <w:szCs w:val="19"/>
                <w:lang w:eastAsia="pl-PL"/>
              </w:rPr>
              <w:t>-6 795</w:t>
            </w:r>
          </w:p>
        </w:tc>
        <w:tc>
          <w:tcPr>
            <w:tcW w:w="1060" w:type="dxa"/>
            <w:shd w:val="clear" w:color="auto" w:fill="auto"/>
            <w:vAlign w:val="center"/>
          </w:tcPr>
          <w:p w:rsidR="008D3923" w:rsidRPr="0007781D" w:rsidRDefault="00A94BE9" w:rsidP="008D3923">
            <w:pPr>
              <w:spacing w:before="0" w:after="0"/>
              <w:jc w:val="right"/>
              <w:rPr>
                <w:rFonts w:eastAsia="Times New Roman" w:cs="Arial"/>
                <w:color w:val="000000"/>
                <w:szCs w:val="19"/>
                <w:lang w:eastAsia="pl-PL"/>
              </w:rPr>
            </w:pPr>
            <w:r>
              <w:rPr>
                <w:rFonts w:eastAsia="Times New Roman" w:cs="Arial"/>
                <w:color w:val="000000"/>
                <w:szCs w:val="19"/>
                <w:lang w:eastAsia="pl-PL"/>
              </w:rPr>
              <w:t>-4 524</w:t>
            </w:r>
          </w:p>
        </w:tc>
      </w:tr>
      <w:tr w:rsidR="008D3923" w:rsidRPr="000902B0" w:rsidTr="008D3923">
        <w:trPr>
          <w:trHeight w:val="382"/>
        </w:trPr>
        <w:tc>
          <w:tcPr>
            <w:tcW w:w="3779" w:type="dxa"/>
            <w:shd w:val="clear" w:color="auto" w:fill="auto"/>
            <w:vAlign w:val="center"/>
            <w:hideMark/>
          </w:tcPr>
          <w:p w:rsidR="008D3923" w:rsidRPr="003818AB" w:rsidRDefault="008D3923" w:rsidP="008D3923">
            <w:pPr>
              <w:spacing w:before="0" w:after="0"/>
              <w:jc w:val="right"/>
              <w:rPr>
                <w:rFonts w:eastAsia="Times New Roman" w:cs="Arial"/>
                <w:color w:val="000000"/>
                <w:szCs w:val="19"/>
                <w:lang w:eastAsia="pl-PL"/>
              </w:rPr>
            </w:pPr>
            <w:r w:rsidRPr="003818AB">
              <w:rPr>
                <w:rFonts w:eastAsia="Times New Roman" w:cs="Arial"/>
                <w:color w:val="000000"/>
                <w:szCs w:val="19"/>
                <w:lang w:eastAsia="pl-PL"/>
              </w:rPr>
              <w:t>% GDP</w:t>
            </w:r>
          </w:p>
        </w:tc>
        <w:tc>
          <w:tcPr>
            <w:tcW w:w="1041" w:type="dxa"/>
            <w:shd w:val="clear" w:color="auto" w:fill="auto"/>
            <w:vAlign w:val="center"/>
          </w:tcPr>
          <w:p w:rsidR="008D3923" w:rsidRPr="0007781D" w:rsidRDefault="008D3923" w:rsidP="008D3923">
            <w:pPr>
              <w:spacing w:before="0" w:after="0"/>
              <w:jc w:val="right"/>
              <w:rPr>
                <w:rFonts w:eastAsia="Times New Roman" w:cs="Arial"/>
                <w:color w:val="000000"/>
                <w:szCs w:val="19"/>
                <w:lang w:eastAsia="pl-PL"/>
              </w:rPr>
            </w:pPr>
            <w:r w:rsidRPr="0007781D">
              <w:rPr>
                <w:rFonts w:eastAsia="Times New Roman" w:cs="Arial"/>
                <w:color w:val="000000"/>
                <w:szCs w:val="19"/>
                <w:lang w:eastAsia="pl-PL"/>
              </w:rPr>
              <w:t>0</w:t>
            </w:r>
            <w:r>
              <w:rPr>
                <w:rFonts w:eastAsia="Times New Roman" w:cs="Arial"/>
                <w:color w:val="000000"/>
                <w:szCs w:val="19"/>
                <w:lang w:eastAsia="pl-PL"/>
              </w:rPr>
              <w:t>.</w:t>
            </w:r>
            <w:r w:rsidRPr="0007781D">
              <w:rPr>
                <w:rFonts w:eastAsia="Times New Roman" w:cs="Arial"/>
                <w:color w:val="000000"/>
                <w:szCs w:val="19"/>
                <w:lang w:eastAsia="pl-PL"/>
              </w:rPr>
              <w:t>0%</w:t>
            </w:r>
          </w:p>
        </w:tc>
        <w:tc>
          <w:tcPr>
            <w:tcW w:w="1116" w:type="dxa"/>
            <w:shd w:val="clear" w:color="auto" w:fill="auto"/>
            <w:vAlign w:val="center"/>
            <w:hideMark/>
          </w:tcPr>
          <w:p w:rsidR="008D3923" w:rsidRPr="0007781D" w:rsidRDefault="008D3923" w:rsidP="008D3923">
            <w:pPr>
              <w:spacing w:before="0" w:after="0"/>
              <w:jc w:val="right"/>
              <w:rPr>
                <w:rFonts w:eastAsia="Times New Roman" w:cs="Arial"/>
                <w:color w:val="000000"/>
                <w:szCs w:val="19"/>
                <w:lang w:eastAsia="pl-PL"/>
              </w:rPr>
            </w:pPr>
            <w:r w:rsidRPr="0007781D">
              <w:rPr>
                <w:rFonts w:eastAsia="Times New Roman" w:cs="Arial"/>
                <w:color w:val="000000"/>
                <w:szCs w:val="19"/>
                <w:lang w:eastAsia="pl-PL"/>
              </w:rPr>
              <w:t>-0</w:t>
            </w:r>
            <w:r>
              <w:rPr>
                <w:rFonts w:eastAsia="Times New Roman" w:cs="Arial"/>
                <w:color w:val="000000"/>
                <w:szCs w:val="19"/>
                <w:lang w:eastAsia="pl-PL"/>
              </w:rPr>
              <w:t>.</w:t>
            </w:r>
            <w:r w:rsidRPr="0007781D">
              <w:rPr>
                <w:rFonts w:eastAsia="Times New Roman" w:cs="Arial"/>
                <w:color w:val="000000"/>
                <w:szCs w:val="19"/>
                <w:lang w:eastAsia="pl-PL"/>
              </w:rPr>
              <w:t>4%</w:t>
            </w:r>
          </w:p>
        </w:tc>
        <w:tc>
          <w:tcPr>
            <w:tcW w:w="1013" w:type="dxa"/>
            <w:shd w:val="clear" w:color="auto" w:fill="auto"/>
            <w:vAlign w:val="center"/>
            <w:hideMark/>
          </w:tcPr>
          <w:p w:rsidR="008D3923" w:rsidRPr="0007781D" w:rsidRDefault="008D3923" w:rsidP="008D3923">
            <w:pPr>
              <w:spacing w:before="0" w:after="0"/>
              <w:jc w:val="right"/>
              <w:rPr>
                <w:rFonts w:eastAsia="Times New Roman" w:cs="Arial"/>
                <w:color w:val="000000"/>
                <w:szCs w:val="19"/>
                <w:lang w:eastAsia="pl-PL"/>
              </w:rPr>
            </w:pPr>
            <w:r w:rsidRPr="0007781D">
              <w:rPr>
                <w:rFonts w:eastAsia="Times New Roman" w:cs="Arial"/>
                <w:color w:val="000000"/>
                <w:szCs w:val="19"/>
                <w:lang w:eastAsia="pl-PL"/>
              </w:rPr>
              <w:t>-0</w:t>
            </w:r>
            <w:r>
              <w:rPr>
                <w:rFonts w:eastAsia="Times New Roman" w:cs="Arial"/>
                <w:color w:val="000000"/>
                <w:szCs w:val="19"/>
                <w:lang w:eastAsia="pl-PL"/>
              </w:rPr>
              <w:t>.</w:t>
            </w:r>
            <w:r w:rsidRPr="0007781D">
              <w:rPr>
                <w:rFonts w:eastAsia="Times New Roman" w:cs="Arial"/>
                <w:color w:val="000000"/>
                <w:szCs w:val="19"/>
                <w:lang w:eastAsia="pl-PL"/>
              </w:rPr>
              <w:t>2%</w:t>
            </w:r>
          </w:p>
        </w:tc>
        <w:tc>
          <w:tcPr>
            <w:tcW w:w="1060" w:type="dxa"/>
            <w:shd w:val="clear" w:color="auto" w:fill="auto"/>
            <w:vAlign w:val="center"/>
          </w:tcPr>
          <w:p w:rsidR="008D3923" w:rsidRPr="0007781D" w:rsidRDefault="00A94BE9" w:rsidP="008D3923">
            <w:pPr>
              <w:spacing w:before="0" w:after="0"/>
              <w:jc w:val="right"/>
              <w:rPr>
                <w:rFonts w:eastAsia="Times New Roman" w:cs="Arial"/>
                <w:color w:val="000000"/>
                <w:szCs w:val="19"/>
                <w:lang w:eastAsia="pl-PL"/>
              </w:rPr>
            </w:pPr>
            <w:r>
              <w:rPr>
                <w:rFonts w:eastAsia="Times New Roman" w:cs="Arial"/>
                <w:color w:val="000000"/>
                <w:szCs w:val="19"/>
                <w:lang w:eastAsia="pl-PL"/>
              </w:rPr>
              <w:t>-0</w:t>
            </w:r>
            <w:r w:rsidR="00781FD1">
              <w:rPr>
                <w:rFonts w:eastAsia="Times New Roman" w:cs="Arial"/>
                <w:color w:val="000000"/>
                <w:szCs w:val="19"/>
                <w:lang w:eastAsia="pl-PL"/>
              </w:rPr>
              <w:t>.</w:t>
            </w:r>
            <w:r>
              <w:rPr>
                <w:rFonts w:eastAsia="Times New Roman" w:cs="Arial"/>
                <w:color w:val="000000"/>
                <w:szCs w:val="19"/>
                <w:lang w:eastAsia="pl-PL"/>
              </w:rPr>
              <w:t>1%</w:t>
            </w:r>
          </w:p>
        </w:tc>
      </w:tr>
      <w:tr w:rsidR="008D3923" w:rsidRPr="003818AB" w:rsidTr="008D3923">
        <w:trPr>
          <w:trHeight w:val="568"/>
        </w:trPr>
        <w:tc>
          <w:tcPr>
            <w:tcW w:w="3779" w:type="dxa"/>
            <w:shd w:val="clear" w:color="auto" w:fill="auto"/>
            <w:vAlign w:val="center"/>
            <w:hideMark/>
          </w:tcPr>
          <w:p w:rsidR="008D3923" w:rsidRPr="003818AB" w:rsidRDefault="008D3923" w:rsidP="008D3923">
            <w:pPr>
              <w:spacing w:before="0" w:after="0"/>
              <w:rPr>
                <w:rFonts w:ascii="Arial" w:hAnsi="Arial" w:cs="Arial"/>
                <w:bCs/>
                <w:color w:val="000000"/>
                <w:szCs w:val="19"/>
              </w:rPr>
            </w:pPr>
            <w:r w:rsidRPr="003818AB">
              <w:rPr>
                <w:rFonts w:eastAsia="Times New Roman" w:cs="Arial"/>
                <w:color w:val="000000"/>
                <w:szCs w:val="19"/>
                <w:lang w:eastAsia="pl-PL"/>
              </w:rPr>
              <w:t xml:space="preserve">General </w:t>
            </w:r>
            <w:proofErr w:type="spellStart"/>
            <w:r w:rsidRPr="003818AB">
              <w:rPr>
                <w:rFonts w:eastAsia="Times New Roman" w:cs="Arial"/>
                <w:color w:val="000000"/>
                <w:szCs w:val="19"/>
                <w:lang w:eastAsia="pl-PL"/>
              </w:rPr>
              <w:t>government</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debt</w:t>
            </w:r>
            <w:proofErr w:type="spellEnd"/>
          </w:p>
        </w:tc>
        <w:tc>
          <w:tcPr>
            <w:tcW w:w="1041" w:type="dxa"/>
            <w:shd w:val="clear" w:color="auto" w:fill="auto"/>
            <w:vAlign w:val="center"/>
          </w:tcPr>
          <w:p w:rsidR="008D3923" w:rsidRPr="0007781D" w:rsidRDefault="008D3923" w:rsidP="008D3923">
            <w:pPr>
              <w:spacing w:before="0" w:after="0"/>
              <w:jc w:val="right"/>
              <w:rPr>
                <w:rFonts w:eastAsia="Times New Roman" w:cs="Arial"/>
                <w:color w:val="000000"/>
                <w:szCs w:val="19"/>
                <w:lang w:eastAsia="pl-PL"/>
              </w:rPr>
            </w:pPr>
            <w:r w:rsidRPr="0007781D">
              <w:rPr>
                <w:rFonts w:eastAsia="Times New Roman" w:cs="Arial"/>
                <w:color w:val="000000"/>
                <w:szCs w:val="19"/>
                <w:lang w:eastAsia="pl-PL"/>
              </w:rPr>
              <w:t>1 512 812</w:t>
            </w:r>
          </w:p>
        </w:tc>
        <w:tc>
          <w:tcPr>
            <w:tcW w:w="1116" w:type="dxa"/>
            <w:shd w:val="clear" w:color="auto" w:fill="auto"/>
            <w:vAlign w:val="center"/>
            <w:hideMark/>
          </w:tcPr>
          <w:p w:rsidR="008D3923" w:rsidRPr="0007781D" w:rsidRDefault="008D3923" w:rsidP="008D3923">
            <w:pPr>
              <w:spacing w:before="0" w:after="0"/>
              <w:ind w:left="-213" w:firstLine="213"/>
              <w:jc w:val="right"/>
              <w:rPr>
                <w:rFonts w:eastAsia="Times New Roman" w:cs="Arial"/>
                <w:color w:val="000000"/>
                <w:szCs w:val="19"/>
                <w:lang w:eastAsia="pl-PL"/>
              </w:rPr>
            </w:pPr>
            <w:r w:rsidRPr="0007781D">
              <w:rPr>
                <w:rFonts w:eastAsia="Times New Roman" w:cs="Arial"/>
                <w:color w:val="000000"/>
                <w:szCs w:val="19"/>
                <w:lang w:eastAsia="pl-PL"/>
              </w:rPr>
              <w:t>1 691 261</w:t>
            </w:r>
          </w:p>
        </w:tc>
        <w:tc>
          <w:tcPr>
            <w:tcW w:w="1013" w:type="dxa"/>
            <w:shd w:val="clear" w:color="auto" w:fill="auto"/>
            <w:vAlign w:val="center"/>
            <w:hideMark/>
          </w:tcPr>
          <w:p w:rsidR="008D3923" w:rsidRPr="0007781D" w:rsidRDefault="008D3923" w:rsidP="008D3923">
            <w:pPr>
              <w:tabs>
                <w:tab w:val="left" w:pos="0"/>
              </w:tabs>
              <w:spacing w:before="0" w:after="0"/>
              <w:ind w:left="-55" w:right="-44"/>
              <w:jc w:val="right"/>
              <w:rPr>
                <w:rFonts w:eastAsia="Times New Roman" w:cs="Arial"/>
                <w:color w:val="000000"/>
                <w:szCs w:val="19"/>
                <w:lang w:eastAsia="pl-PL"/>
              </w:rPr>
            </w:pPr>
            <w:r w:rsidRPr="0007781D">
              <w:rPr>
                <w:rFonts w:eastAsia="Times New Roman" w:cs="Arial"/>
                <w:color w:val="000000"/>
                <w:szCs w:val="19"/>
                <w:lang w:eastAsia="pl-PL"/>
              </w:rPr>
              <w:t>2 012 640</w:t>
            </w:r>
          </w:p>
        </w:tc>
        <w:tc>
          <w:tcPr>
            <w:tcW w:w="1060" w:type="dxa"/>
            <w:shd w:val="clear" w:color="auto" w:fill="auto"/>
            <w:vAlign w:val="center"/>
          </w:tcPr>
          <w:p w:rsidR="008D3923" w:rsidRPr="0007781D" w:rsidRDefault="00A94BE9" w:rsidP="008D3923">
            <w:pPr>
              <w:tabs>
                <w:tab w:val="left" w:pos="0"/>
              </w:tabs>
              <w:spacing w:before="0" w:after="0"/>
              <w:ind w:left="-55" w:right="-44"/>
              <w:jc w:val="right"/>
              <w:rPr>
                <w:rFonts w:eastAsia="Times New Roman" w:cs="Arial"/>
                <w:color w:val="000000"/>
                <w:szCs w:val="19"/>
                <w:lang w:eastAsia="pl-PL"/>
              </w:rPr>
            </w:pPr>
            <w:r>
              <w:rPr>
                <w:rFonts w:eastAsia="Times New Roman" w:cs="Arial"/>
                <w:color w:val="000000"/>
                <w:szCs w:val="19"/>
                <w:lang w:eastAsia="pl-PL"/>
              </w:rPr>
              <w:t>2 335 153</w:t>
            </w:r>
          </w:p>
        </w:tc>
      </w:tr>
      <w:tr w:rsidR="008D3923" w:rsidRPr="003818AB" w:rsidTr="008D3923">
        <w:trPr>
          <w:trHeight w:val="339"/>
        </w:trPr>
        <w:tc>
          <w:tcPr>
            <w:tcW w:w="3779" w:type="dxa"/>
            <w:shd w:val="clear" w:color="auto" w:fill="auto"/>
            <w:vAlign w:val="center"/>
            <w:hideMark/>
          </w:tcPr>
          <w:p w:rsidR="008D3923" w:rsidRPr="003818AB" w:rsidRDefault="008D3923" w:rsidP="008D3923">
            <w:pPr>
              <w:spacing w:before="0" w:after="0"/>
              <w:jc w:val="right"/>
              <w:rPr>
                <w:rFonts w:eastAsia="Times New Roman" w:cs="Arial"/>
                <w:color w:val="000000"/>
                <w:szCs w:val="19"/>
                <w:lang w:eastAsia="pl-PL"/>
              </w:rPr>
            </w:pPr>
            <w:r w:rsidRPr="003818AB">
              <w:rPr>
                <w:rFonts w:eastAsia="Times New Roman" w:cs="Arial"/>
                <w:color w:val="000000"/>
                <w:szCs w:val="19"/>
                <w:lang w:eastAsia="pl-PL"/>
              </w:rPr>
              <w:t>% GDP</w:t>
            </w:r>
          </w:p>
        </w:tc>
        <w:tc>
          <w:tcPr>
            <w:tcW w:w="1041" w:type="dxa"/>
            <w:shd w:val="clear" w:color="auto" w:fill="auto"/>
            <w:vAlign w:val="center"/>
          </w:tcPr>
          <w:p w:rsidR="008D3923" w:rsidRPr="0007781D" w:rsidRDefault="008D3923" w:rsidP="008D3923">
            <w:pPr>
              <w:spacing w:before="0" w:after="0"/>
              <w:jc w:val="right"/>
              <w:rPr>
                <w:rFonts w:eastAsia="Times New Roman" w:cs="Arial"/>
                <w:color w:val="000000"/>
                <w:szCs w:val="19"/>
                <w:lang w:eastAsia="pl-PL"/>
              </w:rPr>
            </w:pPr>
            <w:r w:rsidRPr="0007781D">
              <w:rPr>
                <w:rFonts w:eastAsia="Times New Roman" w:cs="Arial"/>
                <w:color w:val="000000"/>
                <w:szCs w:val="19"/>
                <w:lang w:eastAsia="pl-PL"/>
              </w:rPr>
              <w:t>48</w:t>
            </w:r>
            <w:r>
              <w:rPr>
                <w:rFonts w:eastAsia="Times New Roman" w:cs="Arial"/>
                <w:color w:val="000000"/>
                <w:szCs w:val="19"/>
                <w:lang w:eastAsia="pl-PL"/>
              </w:rPr>
              <w:t>.</w:t>
            </w:r>
            <w:r w:rsidRPr="0007781D">
              <w:rPr>
                <w:rFonts w:eastAsia="Times New Roman" w:cs="Arial"/>
                <w:color w:val="000000"/>
                <w:szCs w:val="19"/>
                <w:lang w:eastAsia="pl-PL"/>
              </w:rPr>
              <w:t>8%</w:t>
            </w:r>
          </w:p>
        </w:tc>
        <w:tc>
          <w:tcPr>
            <w:tcW w:w="1116" w:type="dxa"/>
            <w:shd w:val="clear" w:color="auto" w:fill="auto"/>
            <w:vAlign w:val="center"/>
            <w:hideMark/>
          </w:tcPr>
          <w:p w:rsidR="008D3923" w:rsidRPr="0007781D" w:rsidRDefault="008D3923" w:rsidP="008D3923">
            <w:pPr>
              <w:spacing w:before="0" w:after="0"/>
              <w:jc w:val="right"/>
              <w:rPr>
                <w:rFonts w:eastAsia="Times New Roman" w:cs="Arial"/>
                <w:color w:val="000000"/>
                <w:szCs w:val="19"/>
                <w:lang w:eastAsia="pl-PL"/>
              </w:rPr>
            </w:pPr>
            <w:r w:rsidRPr="0007781D">
              <w:rPr>
                <w:rFonts w:eastAsia="Times New Roman" w:cs="Arial"/>
                <w:color w:val="000000"/>
                <w:szCs w:val="19"/>
                <w:lang w:eastAsia="pl-PL"/>
              </w:rPr>
              <w:t>49</w:t>
            </w:r>
            <w:r>
              <w:rPr>
                <w:rFonts w:eastAsia="Times New Roman" w:cs="Arial"/>
                <w:color w:val="000000"/>
                <w:szCs w:val="19"/>
                <w:lang w:eastAsia="pl-PL"/>
              </w:rPr>
              <w:t>.</w:t>
            </w:r>
            <w:r w:rsidRPr="0007781D">
              <w:rPr>
                <w:rFonts w:eastAsia="Times New Roman" w:cs="Arial"/>
                <w:color w:val="000000"/>
                <w:szCs w:val="19"/>
                <w:lang w:eastAsia="pl-PL"/>
              </w:rPr>
              <w:t>5%</w:t>
            </w:r>
          </w:p>
        </w:tc>
        <w:tc>
          <w:tcPr>
            <w:tcW w:w="1013" w:type="dxa"/>
            <w:shd w:val="clear" w:color="auto" w:fill="auto"/>
            <w:vAlign w:val="center"/>
            <w:hideMark/>
          </w:tcPr>
          <w:p w:rsidR="008D3923" w:rsidRPr="0007781D" w:rsidRDefault="008D3923" w:rsidP="008D3923">
            <w:pPr>
              <w:spacing w:before="0" w:after="0"/>
              <w:jc w:val="right"/>
              <w:rPr>
                <w:rFonts w:eastAsia="Times New Roman" w:cs="Arial"/>
                <w:color w:val="000000"/>
                <w:szCs w:val="19"/>
                <w:lang w:eastAsia="pl-PL"/>
              </w:rPr>
            </w:pPr>
            <w:r w:rsidRPr="0007781D">
              <w:rPr>
                <w:rFonts w:eastAsia="Times New Roman" w:cs="Arial"/>
                <w:color w:val="000000"/>
                <w:szCs w:val="19"/>
                <w:lang w:eastAsia="pl-PL"/>
              </w:rPr>
              <w:t>5</w:t>
            </w:r>
            <w:r w:rsidR="00770436">
              <w:rPr>
                <w:rFonts w:eastAsia="Times New Roman" w:cs="Arial"/>
                <w:color w:val="000000"/>
                <w:szCs w:val="19"/>
                <w:lang w:eastAsia="pl-PL"/>
              </w:rPr>
              <w:t>4</w:t>
            </w:r>
            <w:r>
              <w:rPr>
                <w:rFonts w:eastAsia="Times New Roman" w:cs="Arial"/>
                <w:color w:val="000000"/>
                <w:szCs w:val="19"/>
                <w:lang w:eastAsia="pl-PL"/>
              </w:rPr>
              <w:t>.</w:t>
            </w:r>
            <w:r w:rsidR="00770436">
              <w:rPr>
                <w:rFonts w:eastAsia="Times New Roman" w:cs="Arial"/>
                <w:color w:val="000000"/>
                <w:szCs w:val="19"/>
                <w:lang w:eastAsia="pl-PL"/>
              </w:rPr>
              <w:t>8</w:t>
            </w:r>
            <w:r w:rsidRPr="0007781D">
              <w:rPr>
                <w:rFonts w:eastAsia="Times New Roman" w:cs="Arial"/>
                <w:color w:val="000000"/>
                <w:szCs w:val="19"/>
                <w:lang w:eastAsia="pl-PL"/>
              </w:rPr>
              <w:t>%*</w:t>
            </w:r>
          </w:p>
        </w:tc>
        <w:tc>
          <w:tcPr>
            <w:tcW w:w="1060" w:type="dxa"/>
            <w:shd w:val="clear" w:color="auto" w:fill="auto"/>
            <w:vAlign w:val="center"/>
          </w:tcPr>
          <w:p w:rsidR="008D3923" w:rsidRPr="0007781D" w:rsidRDefault="00A94BE9" w:rsidP="008D3923">
            <w:pPr>
              <w:spacing w:before="0" w:after="0"/>
              <w:jc w:val="right"/>
              <w:rPr>
                <w:rFonts w:eastAsia="Times New Roman" w:cs="Arial"/>
                <w:color w:val="000000"/>
                <w:szCs w:val="19"/>
                <w:lang w:eastAsia="pl-PL"/>
              </w:rPr>
            </w:pPr>
            <w:r>
              <w:rPr>
                <w:rFonts w:eastAsia="Times New Roman" w:cs="Arial"/>
                <w:color w:val="000000"/>
                <w:szCs w:val="19"/>
                <w:lang w:eastAsia="pl-PL"/>
              </w:rPr>
              <w:t>59</w:t>
            </w:r>
            <w:r w:rsidR="00781FD1">
              <w:rPr>
                <w:rFonts w:eastAsia="Times New Roman" w:cs="Arial"/>
                <w:color w:val="000000"/>
                <w:szCs w:val="19"/>
                <w:lang w:eastAsia="pl-PL"/>
              </w:rPr>
              <w:t>.</w:t>
            </w:r>
            <w:r>
              <w:rPr>
                <w:rFonts w:eastAsia="Times New Roman" w:cs="Arial"/>
                <w:color w:val="000000"/>
                <w:szCs w:val="19"/>
                <w:lang w:eastAsia="pl-PL"/>
              </w:rPr>
              <w:t>7%</w:t>
            </w:r>
          </w:p>
        </w:tc>
      </w:tr>
    </w:tbl>
    <w:p w:rsidR="00686F3A" w:rsidRDefault="00686F3A" w:rsidP="001C2F0A">
      <w:pPr>
        <w:tabs>
          <w:tab w:val="left" w:pos="6237"/>
        </w:tabs>
        <w:spacing w:before="360"/>
        <w:rPr>
          <w:b/>
          <w:bCs/>
          <w:noProof/>
          <w:spacing w:val="-2"/>
          <w:sz w:val="18"/>
          <w:szCs w:val="18"/>
          <w:lang w:val="en-US"/>
        </w:rPr>
      </w:pPr>
    </w:p>
    <w:p w:rsidR="00C319D9" w:rsidRDefault="00C319D9" w:rsidP="001C2F0A">
      <w:pPr>
        <w:tabs>
          <w:tab w:val="left" w:pos="6237"/>
        </w:tabs>
        <w:spacing w:before="360"/>
        <w:rPr>
          <w:b/>
          <w:bCs/>
          <w:noProof/>
          <w:spacing w:val="-2"/>
          <w:sz w:val="18"/>
          <w:szCs w:val="18"/>
          <w:lang w:val="en-US"/>
        </w:rPr>
      </w:pPr>
      <w:r>
        <w:rPr>
          <w:b/>
          <w:bCs/>
          <w:noProof/>
          <w:spacing w:val="-2"/>
          <w:sz w:val="18"/>
          <w:szCs w:val="18"/>
          <w:lang w:eastAsia="pl-PL"/>
        </w:rPr>
        <w:drawing>
          <wp:anchor distT="0" distB="0" distL="114300" distR="114300" simplePos="0" relativeHeight="251705856" behindDoc="0" locked="0" layoutInCell="1" allowOverlap="1" wp14:anchorId="7E76AB26" wp14:editId="7E6C46C3">
            <wp:simplePos x="0" y="0"/>
            <wp:positionH relativeFrom="column">
              <wp:posOffset>19685</wp:posOffset>
            </wp:positionH>
            <wp:positionV relativeFrom="paragraph">
              <wp:posOffset>674370</wp:posOffset>
            </wp:positionV>
            <wp:extent cx="5046345" cy="2462530"/>
            <wp:effectExtent l="0" t="0" r="1905" b="0"/>
            <wp:wrapSquare wrapText="bothSides"/>
            <wp:docPr id="17" name="Obraz 17" descr="Chart 1. General government deficit in % of GDP&#10;&#10;The chart presents general government deficit in % of GDP in the years 2022-202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046345" cy="2462530"/>
                    </a:xfrm>
                    <a:prstGeom prst="rect">
                      <a:avLst/>
                    </a:prstGeom>
                    <a:noFill/>
                  </pic:spPr>
                </pic:pic>
              </a:graphicData>
            </a:graphic>
            <wp14:sizeRelV relativeFrom="margin">
              <wp14:pctHeight>0</wp14:pctHeight>
            </wp14:sizeRelV>
          </wp:anchor>
        </w:drawing>
      </w:r>
      <w:r w:rsidRPr="00A519DF">
        <w:rPr>
          <w:b/>
          <w:bCs/>
          <w:noProof/>
          <w:spacing w:val="-2"/>
          <w:sz w:val="18"/>
          <w:szCs w:val="18"/>
          <w:lang w:val="en-US"/>
        </w:rPr>
        <w:t>Chart 1.</w:t>
      </w:r>
      <w:r w:rsidRPr="00D82C77">
        <w:rPr>
          <w:b/>
          <w:bCs/>
          <w:noProof/>
          <w:spacing w:val="-2"/>
          <w:sz w:val="18"/>
          <w:szCs w:val="18"/>
          <w:lang w:val="en-US"/>
        </w:rPr>
        <w:t xml:space="preserve"> General government deficit in % of GDP</w:t>
      </w:r>
    </w:p>
    <w:p w:rsidR="00350EC7" w:rsidRDefault="00350EC7" w:rsidP="00E34AC6">
      <w:pPr>
        <w:tabs>
          <w:tab w:val="left" w:pos="6237"/>
        </w:tabs>
        <w:spacing w:before="360"/>
        <w:rPr>
          <w:b/>
          <w:bCs/>
          <w:noProof/>
          <w:spacing w:val="-2"/>
          <w:sz w:val="18"/>
          <w:szCs w:val="18"/>
          <w:lang w:val="en-US"/>
        </w:rPr>
      </w:pPr>
    </w:p>
    <w:p w:rsidR="00E34AC6" w:rsidRDefault="00E34AC6" w:rsidP="00F64219">
      <w:pPr>
        <w:tabs>
          <w:tab w:val="left" w:pos="6237"/>
        </w:tabs>
        <w:rPr>
          <w:b/>
          <w:bCs/>
          <w:noProof/>
          <w:spacing w:val="-2"/>
          <w:sz w:val="18"/>
          <w:szCs w:val="18"/>
          <w:lang w:val="en-US"/>
        </w:rPr>
      </w:pPr>
    </w:p>
    <w:p w:rsidR="00E34AC6" w:rsidRDefault="00E34AC6" w:rsidP="00F64219">
      <w:pPr>
        <w:tabs>
          <w:tab w:val="left" w:pos="6237"/>
        </w:tabs>
        <w:rPr>
          <w:b/>
          <w:bCs/>
          <w:noProof/>
          <w:spacing w:val="-2"/>
          <w:sz w:val="18"/>
          <w:szCs w:val="18"/>
          <w:lang w:val="en-US"/>
        </w:rPr>
      </w:pPr>
    </w:p>
    <w:p w:rsidR="00350EC7" w:rsidRDefault="00350EC7" w:rsidP="00F64219">
      <w:pPr>
        <w:tabs>
          <w:tab w:val="left" w:pos="6237"/>
        </w:tabs>
        <w:rPr>
          <w:b/>
          <w:bCs/>
          <w:noProof/>
          <w:spacing w:val="-2"/>
          <w:sz w:val="18"/>
          <w:szCs w:val="18"/>
          <w:lang w:val="en-US"/>
        </w:rPr>
      </w:pPr>
    </w:p>
    <w:p w:rsidR="0048700D" w:rsidRDefault="00967C90" w:rsidP="00902DF7">
      <w:pPr>
        <w:tabs>
          <w:tab w:val="left" w:pos="6237"/>
        </w:tabs>
        <w:spacing w:before="0" w:after="0"/>
        <w:rPr>
          <w:b/>
          <w:bCs/>
          <w:noProof/>
          <w:spacing w:val="-2"/>
          <w:sz w:val="18"/>
          <w:szCs w:val="18"/>
          <w:lang w:val="en-US"/>
        </w:rPr>
      </w:pPr>
      <w:r>
        <w:rPr>
          <w:b/>
          <w:bCs/>
          <w:noProof/>
          <w:spacing w:val="-2"/>
          <w:sz w:val="18"/>
          <w:szCs w:val="18"/>
          <w:lang w:eastAsia="pl-PL"/>
        </w:rPr>
        <w:drawing>
          <wp:anchor distT="0" distB="0" distL="114300" distR="114300" simplePos="0" relativeHeight="251706880" behindDoc="0" locked="0" layoutInCell="1" allowOverlap="1" wp14:anchorId="0D18D144" wp14:editId="5D4FFE59">
            <wp:simplePos x="0" y="0"/>
            <wp:positionH relativeFrom="margin">
              <wp:posOffset>-33020</wp:posOffset>
            </wp:positionH>
            <wp:positionV relativeFrom="paragraph">
              <wp:posOffset>306705</wp:posOffset>
            </wp:positionV>
            <wp:extent cx="5047615" cy="2738755"/>
            <wp:effectExtent l="0" t="0" r="635" b="4445"/>
            <wp:wrapSquare wrapText="bothSides"/>
            <wp:docPr id="20" name="Obraz 20" descr="Chart 2. General government debt in % of GDP&#10;&#10;The cgart presents general government debt in % of GDP in the years 2022-202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047615" cy="2738755"/>
                    </a:xfrm>
                    <a:prstGeom prst="rect">
                      <a:avLst/>
                    </a:prstGeom>
                    <a:noFill/>
                  </pic:spPr>
                </pic:pic>
              </a:graphicData>
            </a:graphic>
            <wp14:sizeRelV relativeFrom="margin">
              <wp14:pctHeight>0</wp14:pctHeight>
            </wp14:sizeRelV>
          </wp:anchor>
        </w:drawing>
      </w:r>
      <w:r w:rsidR="00F7518F" w:rsidRPr="00A519DF">
        <w:rPr>
          <w:b/>
          <w:bCs/>
          <w:noProof/>
          <w:spacing w:val="-2"/>
          <w:sz w:val="18"/>
          <w:szCs w:val="18"/>
          <w:lang w:val="en-US"/>
        </w:rPr>
        <w:t>Chart</w:t>
      </w:r>
      <w:r w:rsidR="00D82C77" w:rsidRPr="00A519DF">
        <w:rPr>
          <w:b/>
          <w:bCs/>
          <w:noProof/>
          <w:spacing w:val="-2"/>
          <w:sz w:val="18"/>
          <w:szCs w:val="18"/>
          <w:lang w:val="en-US"/>
        </w:rPr>
        <w:t xml:space="preserve"> 2</w:t>
      </w:r>
      <w:r w:rsidR="003818AB" w:rsidRPr="00A519DF">
        <w:rPr>
          <w:b/>
          <w:bCs/>
          <w:noProof/>
          <w:spacing w:val="-2"/>
          <w:sz w:val="18"/>
          <w:szCs w:val="18"/>
          <w:lang w:val="en-US"/>
        </w:rPr>
        <w:t>.</w:t>
      </w:r>
      <w:r w:rsidR="00D82C77">
        <w:rPr>
          <w:b/>
          <w:bCs/>
          <w:noProof/>
          <w:spacing w:val="-2"/>
          <w:sz w:val="18"/>
          <w:szCs w:val="18"/>
          <w:lang w:val="en-US"/>
        </w:rPr>
        <w:t xml:space="preserve"> </w:t>
      </w:r>
      <w:r w:rsidR="00D82C77" w:rsidRPr="00D82C77">
        <w:rPr>
          <w:b/>
          <w:bCs/>
          <w:noProof/>
          <w:spacing w:val="-2"/>
          <w:sz w:val="18"/>
          <w:szCs w:val="18"/>
          <w:lang w:val="en-US"/>
        </w:rPr>
        <w:t xml:space="preserve">General government </w:t>
      </w:r>
      <w:r w:rsidR="00D82C77">
        <w:rPr>
          <w:b/>
          <w:bCs/>
          <w:noProof/>
          <w:spacing w:val="-2"/>
          <w:sz w:val="18"/>
          <w:szCs w:val="18"/>
          <w:lang w:val="en-US"/>
        </w:rPr>
        <w:t>debt</w:t>
      </w:r>
      <w:r w:rsidR="00D82C77" w:rsidRPr="00D82C77">
        <w:rPr>
          <w:b/>
          <w:bCs/>
          <w:noProof/>
          <w:spacing w:val="-2"/>
          <w:sz w:val="18"/>
          <w:szCs w:val="18"/>
          <w:lang w:val="en-US"/>
        </w:rPr>
        <w:t xml:space="preserve"> in % of GDP</w:t>
      </w:r>
    </w:p>
    <w:p w:rsidR="00C9317E" w:rsidRPr="0034586A" w:rsidRDefault="0027223D" w:rsidP="001E0356">
      <w:pPr>
        <w:spacing w:before="360" w:line="288" w:lineRule="auto"/>
        <w:ind w:right="130"/>
        <w:rPr>
          <w:rFonts w:cs="Arial"/>
          <w:szCs w:val="19"/>
          <w:lang w:val="en-US"/>
        </w:rPr>
      </w:pPr>
      <w:r w:rsidRPr="0034586A">
        <w:rPr>
          <w:rFonts w:cs="Arial"/>
          <w:szCs w:val="19"/>
          <w:lang w:val="en-US"/>
        </w:rPr>
        <w:t>D</w:t>
      </w:r>
      <w:r w:rsidR="000E5F38" w:rsidRPr="0034586A">
        <w:rPr>
          <w:rFonts w:cs="Arial"/>
          <w:szCs w:val="19"/>
          <w:lang w:val="en-US"/>
        </w:rPr>
        <w:t xml:space="preserve">ata </w:t>
      </w:r>
      <w:r w:rsidR="0034586A" w:rsidRPr="0034586A">
        <w:rPr>
          <w:rFonts w:cs="Arial"/>
          <w:szCs w:val="19"/>
          <w:lang w:val="en-US"/>
        </w:rPr>
        <w:t xml:space="preserve">for 2022-2023 remained unchanged from those </w:t>
      </w:r>
      <w:r w:rsidR="000E5F38" w:rsidRPr="0034586A">
        <w:rPr>
          <w:rFonts w:cs="Arial"/>
          <w:szCs w:val="19"/>
          <w:lang w:val="en-US"/>
        </w:rPr>
        <w:t>previously published (</w:t>
      </w:r>
      <w:r w:rsidR="0034586A" w:rsidRPr="0034586A">
        <w:rPr>
          <w:rFonts w:cs="Arial"/>
          <w:szCs w:val="19"/>
          <w:lang w:val="en-US"/>
        </w:rPr>
        <w:t xml:space="preserve">in </w:t>
      </w:r>
      <w:r w:rsidRPr="0034586A">
        <w:rPr>
          <w:rFonts w:cs="Arial"/>
          <w:szCs w:val="19"/>
          <w:lang w:val="en-US"/>
        </w:rPr>
        <w:t>October</w:t>
      </w:r>
      <w:r w:rsidR="000E5F38" w:rsidRPr="0034586A">
        <w:rPr>
          <w:rFonts w:cs="Arial"/>
          <w:szCs w:val="19"/>
          <w:lang w:val="en-US"/>
        </w:rPr>
        <w:t xml:space="preserve"> 202</w:t>
      </w:r>
      <w:r w:rsidR="00845A8D" w:rsidRPr="0034586A">
        <w:rPr>
          <w:rFonts w:cs="Arial"/>
          <w:szCs w:val="19"/>
          <w:lang w:val="en-US"/>
        </w:rPr>
        <w:t>5</w:t>
      </w:r>
      <w:r w:rsidR="000E5F38" w:rsidRPr="0034586A">
        <w:rPr>
          <w:rFonts w:cs="Arial"/>
          <w:szCs w:val="19"/>
          <w:lang w:val="en-US"/>
        </w:rPr>
        <w:t>)</w:t>
      </w:r>
      <w:r w:rsidR="0034586A" w:rsidRPr="0034586A">
        <w:rPr>
          <w:rFonts w:cs="Arial"/>
          <w:szCs w:val="19"/>
          <w:lang w:val="en-US"/>
        </w:rPr>
        <w:t>.</w:t>
      </w:r>
      <w:r w:rsidR="00795C08" w:rsidRPr="0034586A">
        <w:rPr>
          <w:rFonts w:cs="Arial"/>
          <w:szCs w:val="19"/>
          <w:lang w:val="en-US"/>
        </w:rPr>
        <w:t xml:space="preserve"> </w:t>
      </w:r>
      <w:r w:rsidR="0034586A" w:rsidRPr="0034586A">
        <w:rPr>
          <w:rFonts w:cs="Arial"/>
          <w:szCs w:val="19"/>
          <w:lang w:val="en-US"/>
        </w:rPr>
        <w:t>However, the 2024 data were subject to revisions, mainly due to updated data sources for conceptual adjustments and debt write-offs.</w:t>
      </w:r>
    </w:p>
    <w:p w:rsidR="005A20DB" w:rsidRDefault="005A20DB" w:rsidP="00AE66C1">
      <w:pPr>
        <w:tabs>
          <w:tab w:val="left" w:pos="6237"/>
        </w:tabs>
        <w:spacing w:before="360"/>
        <w:rPr>
          <w:b/>
          <w:bCs/>
          <w:noProof/>
          <w:spacing w:val="-2"/>
          <w:szCs w:val="19"/>
          <w:lang w:val="en-US"/>
        </w:rPr>
      </w:pPr>
    </w:p>
    <w:p w:rsidR="0034586A" w:rsidRDefault="0034586A" w:rsidP="00AE66C1">
      <w:pPr>
        <w:tabs>
          <w:tab w:val="left" w:pos="6237"/>
        </w:tabs>
        <w:spacing w:before="360"/>
        <w:rPr>
          <w:b/>
          <w:bCs/>
          <w:noProof/>
          <w:spacing w:val="-2"/>
          <w:szCs w:val="19"/>
          <w:lang w:val="en-US"/>
        </w:rPr>
      </w:pPr>
    </w:p>
    <w:p w:rsidR="004C62B0" w:rsidRPr="00F93B25" w:rsidRDefault="004C62B0" w:rsidP="00AE66C1">
      <w:pPr>
        <w:tabs>
          <w:tab w:val="left" w:pos="6237"/>
        </w:tabs>
        <w:spacing w:before="360"/>
        <w:rPr>
          <w:b/>
          <w:bCs/>
          <w:noProof/>
          <w:spacing w:val="-2"/>
          <w:szCs w:val="19"/>
          <w:lang w:val="en-US"/>
        </w:rPr>
      </w:pPr>
      <w:r w:rsidRPr="00F93B25">
        <w:rPr>
          <w:b/>
          <w:bCs/>
          <w:noProof/>
          <w:spacing w:val="-2"/>
          <w:szCs w:val="19"/>
          <w:lang w:val="en-US"/>
        </w:rPr>
        <w:lastRenderedPageBreak/>
        <w:t>Table 2</w:t>
      </w:r>
      <w:r w:rsidR="001D25E9" w:rsidRPr="00F93B25">
        <w:rPr>
          <w:b/>
          <w:bCs/>
          <w:noProof/>
          <w:spacing w:val="-2"/>
          <w:szCs w:val="19"/>
          <w:lang w:val="en-US"/>
        </w:rPr>
        <w:t>.</w:t>
      </w:r>
      <w:r w:rsidRPr="00F93B25">
        <w:rPr>
          <w:b/>
          <w:bCs/>
          <w:noProof/>
          <w:spacing w:val="-2"/>
          <w:szCs w:val="19"/>
          <w:lang w:val="en-US"/>
        </w:rPr>
        <w:t xml:space="preserve"> Total revenues and expenditures of the general government sector according to ESA2010</w:t>
      </w:r>
      <w:r w:rsidR="00FA4CA5" w:rsidRPr="00FA4CA5">
        <w:rPr>
          <w:b/>
          <w:bCs/>
          <w:noProof/>
          <w:spacing w:val="-2"/>
          <w:szCs w:val="19"/>
          <w:lang w:val="en-US"/>
        </w:rPr>
        <w:t xml:space="preserve"> </w:t>
      </w:r>
      <w:r w:rsidRPr="00F93B25">
        <w:rPr>
          <w:b/>
          <w:bCs/>
          <w:noProof/>
          <w:spacing w:val="-2"/>
          <w:szCs w:val="19"/>
          <w:lang w:val="en-US"/>
        </w:rPr>
        <w:t>(m</w:t>
      </w:r>
      <w:r w:rsidR="00A70E20">
        <w:rPr>
          <w:b/>
          <w:bCs/>
          <w:noProof/>
          <w:spacing w:val="-2"/>
          <w:szCs w:val="19"/>
          <w:lang w:val="en-US"/>
        </w:rPr>
        <w:t>il</w:t>
      </w:r>
      <w:r w:rsidRPr="00F93B25">
        <w:rPr>
          <w:b/>
          <w:bCs/>
          <w:noProof/>
          <w:spacing w:val="-2"/>
          <w:szCs w:val="19"/>
          <w:lang w:val="en-US"/>
        </w:rPr>
        <w:t>l</w:t>
      </w:r>
      <w:r w:rsidR="00A70E20">
        <w:rPr>
          <w:b/>
          <w:bCs/>
          <w:noProof/>
          <w:spacing w:val="-2"/>
          <w:szCs w:val="19"/>
          <w:lang w:val="en-US"/>
        </w:rPr>
        <w:t>io</w:t>
      </w:r>
      <w:r w:rsidRPr="00F93B25">
        <w:rPr>
          <w:b/>
          <w:bCs/>
          <w:noProof/>
          <w:spacing w:val="-2"/>
          <w:szCs w:val="19"/>
          <w:lang w:val="en-US"/>
        </w:rPr>
        <w:t xml:space="preserve">n </w:t>
      </w:r>
      <w:r w:rsidR="00A70E20">
        <w:rPr>
          <w:b/>
          <w:bCs/>
          <w:noProof/>
          <w:spacing w:val="-2"/>
          <w:szCs w:val="19"/>
          <w:lang w:val="en-US"/>
        </w:rPr>
        <w:t>PLN</w:t>
      </w:r>
      <w:r w:rsidRPr="00F93B25">
        <w:rPr>
          <w:b/>
          <w:bCs/>
          <w:noProof/>
          <w:spacing w:val="-2"/>
          <w:szCs w:val="19"/>
          <w:lang w:val="en-US"/>
        </w:rPr>
        <w:t xml:space="preserve">) </w:t>
      </w:r>
    </w:p>
    <w:tbl>
      <w:tblPr>
        <w:tblW w:w="8288" w:type="dxa"/>
        <w:tblInd w:w="-142" w:type="dxa"/>
        <w:tblBorders>
          <w:insideH w:val="single" w:sz="4" w:space="0" w:color="001D77"/>
          <w:insideV w:val="single" w:sz="4" w:space="0" w:color="001D77"/>
        </w:tblBorders>
        <w:tblCellMar>
          <w:left w:w="70" w:type="dxa"/>
          <w:right w:w="70" w:type="dxa"/>
        </w:tblCellMar>
        <w:tblLook w:val="04A0" w:firstRow="1" w:lastRow="0" w:firstColumn="1" w:lastColumn="0" w:noHBand="0" w:noVBand="1"/>
        <w:tblCaption w:val="Table 2. Total revenues and expenditures of the general government sector according to ESA2010 in million PLN) "/>
        <w:tblDescription w:val="The table presents the value of total revenues and expenditures of the general governemnt sector and their relation to GDP in the years 2022-2025"/>
      </w:tblPr>
      <w:tblGrid>
        <w:gridCol w:w="2694"/>
        <w:gridCol w:w="1417"/>
        <w:gridCol w:w="1418"/>
        <w:gridCol w:w="1417"/>
        <w:gridCol w:w="1342"/>
      </w:tblGrid>
      <w:tr w:rsidR="00DF6283" w:rsidRPr="00560B28" w:rsidTr="005E4178">
        <w:trPr>
          <w:trHeight w:val="424"/>
        </w:trPr>
        <w:tc>
          <w:tcPr>
            <w:tcW w:w="2694" w:type="dxa"/>
            <w:shd w:val="clear" w:color="auto" w:fill="auto"/>
            <w:vAlign w:val="center"/>
            <w:hideMark/>
          </w:tcPr>
          <w:p w:rsidR="00DF6283" w:rsidRPr="00B42F8F" w:rsidRDefault="00DF6283" w:rsidP="00DF6283">
            <w:pPr>
              <w:spacing w:before="0" w:after="0" w:line="240" w:lineRule="auto"/>
              <w:jc w:val="center"/>
              <w:rPr>
                <w:rFonts w:eastAsia="Times New Roman"/>
                <w:bCs/>
                <w:color w:val="000000"/>
                <w:szCs w:val="19"/>
                <w:lang w:val="en-GB" w:eastAsia="pl-PL"/>
              </w:rPr>
            </w:pPr>
            <w:r w:rsidRPr="00B42F8F">
              <w:rPr>
                <w:rFonts w:eastAsia="Times New Roman"/>
                <w:bCs/>
                <w:color w:val="000000"/>
                <w:szCs w:val="19"/>
                <w:lang w:val="en-GB" w:eastAsia="pl-PL"/>
              </w:rPr>
              <w:t>Specification</w:t>
            </w:r>
          </w:p>
        </w:tc>
        <w:tc>
          <w:tcPr>
            <w:tcW w:w="1417" w:type="dxa"/>
            <w:shd w:val="clear" w:color="auto" w:fill="auto"/>
            <w:vAlign w:val="center"/>
            <w:hideMark/>
          </w:tcPr>
          <w:p w:rsidR="00DF6283" w:rsidRPr="00E867EB" w:rsidRDefault="00DF6283" w:rsidP="00DF6283">
            <w:pPr>
              <w:spacing w:before="0" w:after="0" w:line="240" w:lineRule="auto"/>
              <w:jc w:val="center"/>
              <w:rPr>
                <w:rFonts w:eastAsia="Times New Roman"/>
                <w:bCs/>
                <w:color w:val="000000"/>
                <w:szCs w:val="19"/>
                <w:lang w:eastAsia="pl-PL"/>
              </w:rPr>
            </w:pPr>
            <w:r>
              <w:rPr>
                <w:rFonts w:eastAsia="Times New Roman"/>
                <w:bCs/>
                <w:color w:val="000000"/>
                <w:szCs w:val="19"/>
                <w:lang w:eastAsia="pl-PL"/>
              </w:rPr>
              <w:t>2022</w:t>
            </w:r>
          </w:p>
        </w:tc>
        <w:tc>
          <w:tcPr>
            <w:tcW w:w="1418" w:type="dxa"/>
            <w:shd w:val="clear" w:color="auto" w:fill="auto"/>
            <w:vAlign w:val="center"/>
            <w:hideMark/>
          </w:tcPr>
          <w:p w:rsidR="00DF6283" w:rsidRPr="00E867EB" w:rsidRDefault="00DF6283" w:rsidP="00DF6283">
            <w:pPr>
              <w:spacing w:before="0" w:after="0" w:line="240" w:lineRule="auto"/>
              <w:jc w:val="center"/>
              <w:rPr>
                <w:rFonts w:eastAsia="Times New Roman"/>
                <w:bCs/>
                <w:color w:val="000000"/>
                <w:szCs w:val="19"/>
                <w:lang w:eastAsia="pl-PL"/>
              </w:rPr>
            </w:pPr>
            <w:r>
              <w:rPr>
                <w:rFonts w:eastAsia="Times New Roman"/>
                <w:bCs/>
                <w:color w:val="000000"/>
                <w:szCs w:val="19"/>
                <w:lang w:eastAsia="pl-PL"/>
              </w:rPr>
              <w:t>2023</w:t>
            </w:r>
          </w:p>
        </w:tc>
        <w:tc>
          <w:tcPr>
            <w:tcW w:w="1417" w:type="dxa"/>
            <w:shd w:val="clear" w:color="auto" w:fill="auto"/>
            <w:vAlign w:val="center"/>
            <w:hideMark/>
          </w:tcPr>
          <w:p w:rsidR="00DF6283" w:rsidRPr="00E867EB" w:rsidRDefault="00DF6283" w:rsidP="00DF6283">
            <w:pPr>
              <w:spacing w:before="0" w:after="0" w:line="240" w:lineRule="auto"/>
              <w:jc w:val="center"/>
              <w:rPr>
                <w:rFonts w:eastAsia="Times New Roman"/>
                <w:bCs/>
                <w:color w:val="000000"/>
                <w:szCs w:val="19"/>
                <w:lang w:eastAsia="pl-PL"/>
              </w:rPr>
            </w:pPr>
            <w:r>
              <w:rPr>
                <w:rFonts w:eastAsia="Times New Roman"/>
                <w:bCs/>
                <w:color w:val="000000"/>
                <w:szCs w:val="19"/>
                <w:lang w:eastAsia="pl-PL"/>
              </w:rPr>
              <w:t>2024</w:t>
            </w:r>
          </w:p>
        </w:tc>
        <w:tc>
          <w:tcPr>
            <w:tcW w:w="1342" w:type="dxa"/>
            <w:shd w:val="clear" w:color="auto" w:fill="auto"/>
            <w:vAlign w:val="center"/>
            <w:hideMark/>
          </w:tcPr>
          <w:p w:rsidR="00DF6283" w:rsidRPr="00E867EB" w:rsidRDefault="00DF6283" w:rsidP="00DF6283">
            <w:pPr>
              <w:spacing w:before="0" w:after="0" w:line="240" w:lineRule="auto"/>
              <w:jc w:val="center"/>
              <w:rPr>
                <w:rFonts w:eastAsia="Times New Roman"/>
                <w:bCs/>
                <w:color w:val="000000"/>
                <w:szCs w:val="19"/>
                <w:lang w:eastAsia="pl-PL"/>
              </w:rPr>
            </w:pPr>
            <w:r>
              <w:rPr>
                <w:rFonts w:eastAsia="Times New Roman"/>
                <w:bCs/>
                <w:color w:val="000000"/>
                <w:szCs w:val="19"/>
                <w:lang w:eastAsia="pl-PL"/>
              </w:rPr>
              <w:t>2025</w:t>
            </w:r>
          </w:p>
        </w:tc>
      </w:tr>
      <w:tr w:rsidR="00DF6283" w:rsidRPr="00560B28" w:rsidTr="00DF6283">
        <w:trPr>
          <w:trHeight w:val="394"/>
        </w:trPr>
        <w:tc>
          <w:tcPr>
            <w:tcW w:w="2694" w:type="dxa"/>
            <w:shd w:val="clear" w:color="auto" w:fill="auto"/>
            <w:vAlign w:val="center"/>
            <w:hideMark/>
          </w:tcPr>
          <w:p w:rsidR="00DF6283" w:rsidRPr="00B42F8F" w:rsidRDefault="00DF6283" w:rsidP="00DF6283">
            <w:pPr>
              <w:spacing w:before="0" w:after="0" w:line="240" w:lineRule="auto"/>
              <w:rPr>
                <w:rFonts w:eastAsia="Times New Roman"/>
                <w:bCs/>
                <w:color w:val="000000"/>
                <w:szCs w:val="19"/>
                <w:lang w:val="en-GB" w:eastAsia="pl-PL"/>
              </w:rPr>
            </w:pPr>
            <w:r w:rsidRPr="00B42F8F">
              <w:rPr>
                <w:rFonts w:eastAsia="Times New Roman"/>
                <w:bCs/>
                <w:color w:val="000000"/>
                <w:szCs w:val="19"/>
                <w:lang w:val="en-GB" w:eastAsia="pl-PL"/>
              </w:rPr>
              <w:t xml:space="preserve">Total revenues </w:t>
            </w:r>
          </w:p>
        </w:tc>
        <w:tc>
          <w:tcPr>
            <w:tcW w:w="1417" w:type="dxa"/>
            <w:shd w:val="clear" w:color="auto" w:fill="auto"/>
            <w:vAlign w:val="center"/>
          </w:tcPr>
          <w:p w:rsidR="00DF6283" w:rsidRPr="0007781D" w:rsidRDefault="00DF6283" w:rsidP="00DF6283">
            <w:pPr>
              <w:spacing w:before="0" w:after="0" w:line="240" w:lineRule="auto"/>
              <w:jc w:val="right"/>
              <w:rPr>
                <w:rFonts w:eastAsia="Times New Roman" w:cs="Arial"/>
                <w:color w:val="000000"/>
                <w:szCs w:val="19"/>
                <w:lang w:eastAsia="pl-PL"/>
              </w:rPr>
            </w:pPr>
            <w:r w:rsidRPr="0007781D">
              <w:rPr>
                <w:rFonts w:eastAsia="Times New Roman" w:cs="Arial"/>
                <w:color w:val="000000"/>
                <w:szCs w:val="19"/>
                <w:lang w:eastAsia="pl-PL"/>
              </w:rPr>
              <w:t>1 236 579</w:t>
            </w:r>
          </w:p>
        </w:tc>
        <w:tc>
          <w:tcPr>
            <w:tcW w:w="1418" w:type="dxa"/>
            <w:shd w:val="clear" w:color="auto" w:fill="auto"/>
            <w:vAlign w:val="center"/>
            <w:hideMark/>
          </w:tcPr>
          <w:p w:rsidR="00DF6283" w:rsidRPr="0007781D" w:rsidRDefault="00DF6283" w:rsidP="00DF6283">
            <w:pPr>
              <w:spacing w:before="0" w:after="0" w:line="240" w:lineRule="auto"/>
              <w:jc w:val="right"/>
              <w:rPr>
                <w:rFonts w:eastAsia="Times New Roman" w:cs="Arial"/>
                <w:color w:val="000000"/>
                <w:szCs w:val="19"/>
                <w:lang w:eastAsia="pl-PL"/>
              </w:rPr>
            </w:pPr>
            <w:r w:rsidRPr="0007781D">
              <w:rPr>
                <w:rFonts w:eastAsia="Times New Roman" w:cs="Arial"/>
                <w:color w:val="000000"/>
                <w:szCs w:val="19"/>
                <w:lang w:eastAsia="pl-PL"/>
              </w:rPr>
              <w:t>1 422 920</w:t>
            </w:r>
          </w:p>
        </w:tc>
        <w:tc>
          <w:tcPr>
            <w:tcW w:w="1417" w:type="dxa"/>
            <w:shd w:val="clear" w:color="auto" w:fill="auto"/>
            <w:vAlign w:val="center"/>
            <w:hideMark/>
          </w:tcPr>
          <w:p w:rsidR="00DF6283" w:rsidRPr="0007781D" w:rsidRDefault="00DF6283" w:rsidP="00DF6283">
            <w:pPr>
              <w:spacing w:before="0" w:after="0" w:line="240" w:lineRule="auto"/>
              <w:jc w:val="right"/>
              <w:rPr>
                <w:rFonts w:eastAsia="Times New Roman" w:cs="Arial"/>
                <w:color w:val="000000"/>
                <w:szCs w:val="19"/>
                <w:lang w:eastAsia="pl-PL"/>
              </w:rPr>
            </w:pPr>
            <w:r w:rsidRPr="0007781D">
              <w:rPr>
                <w:rFonts w:eastAsia="Times New Roman" w:cs="Arial"/>
                <w:color w:val="000000"/>
                <w:szCs w:val="19"/>
                <w:lang w:eastAsia="pl-PL"/>
              </w:rPr>
              <w:t>1 569</w:t>
            </w:r>
            <w:r>
              <w:rPr>
                <w:rFonts w:eastAsia="Times New Roman" w:cs="Arial"/>
                <w:color w:val="000000"/>
                <w:szCs w:val="19"/>
                <w:lang w:eastAsia="pl-PL"/>
              </w:rPr>
              <w:t> </w:t>
            </w:r>
            <w:r w:rsidRPr="0007781D">
              <w:rPr>
                <w:rFonts w:eastAsia="Times New Roman" w:cs="Arial"/>
                <w:color w:val="000000"/>
                <w:szCs w:val="19"/>
                <w:lang w:eastAsia="pl-PL"/>
              </w:rPr>
              <w:t>8</w:t>
            </w:r>
            <w:r w:rsidR="00D25540">
              <w:rPr>
                <w:rFonts w:eastAsia="Times New Roman" w:cs="Arial"/>
                <w:color w:val="000000"/>
                <w:szCs w:val="19"/>
                <w:lang w:eastAsia="pl-PL"/>
              </w:rPr>
              <w:t>87</w:t>
            </w:r>
            <w:r>
              <w:rPr>
                <w:rFonts w:eastAsia="Times New Roman" w:cs="Arial"/>
                <w:color w:val="000000"/>
                <w:szCs w:val="19"/>
                <w:lang w:eastAsia="pl-PL"/>
              </w:rPr>
              <w:t>*</w:t>
            </w:r>
          </w:p>
        </w:tc>
        <w:tc>
          <w:tcPr>
            <w:tcW w:w="1342" w:type="dxa"/>
            <w:shd w:val="clear" w:color="auto" w:fill="auto"/>
            <w:vAlign w:val="center"/>
          </w:tcPr>
          <w:p w:rsidR="00DF6283" w:rsidRPr="0007781D" w:rsidRDefault="00344368" w:rsidP="00DF6283">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1 705 919</w:t>
            </w:r>
          </w:p>
        </w:tc>
      </w:tr>
      <w:tr w:rsidR="00DF6283" w:rsidRPr="00560B28" w:rsidTr="00DF6283">
        <w:trPr>
          <w:trHeight w:val="284"/>
        </w:trPr>
        <w:tc>
          <w:tcPr>
            <w:tcW w:w="2694" w:type="dxa"/>
            <w:shd w:val="clear" w:color="auto" w:fill="auto"/>
            <w:vAlign w:val="center"/>
            <w:hideMark/>
          </w:tcPr>
          <w:p w:rsidR="00DF6283" w:rsidRPr="00B42F8F" w:rsidRDefault="00DF6283" w:rsidP="00DF6283">
            <w:pPr>
              <w:spacing w:before="0" w:after="0" w:line="240" w:lineRule="auto"/>
              <w:jc w:val="right"/>
              <w:rPr>
                <w:rFonts w:eastAsia="Times New Roman"/>
                <w:bCs/>
                <w:color w:val="000000"/>
                <w:szCs w:val="19"/>
                <w:lang w:val="en-GB" w:eastAsia="pl-PL"/>
              </w:rPr>
            </w:pPr>
            <w:r w:rsidRPr="00B42F8F">
              <w:rPr>
                <w:rFonts w:eastAsia="Times New Roman"/>
                <w:bCs/>
                <w:color w:val="000000"/>
                <w:szCs w:val="19"/>
                <w:lang w:val="en-GB" w:eastAsia="pl-PL"/>
              </w:rPr>
              <w:t>%</w:t>
            </w:r>
            <w:r>
              <w:rPr>
                <w:rFonts w:eastAsia="Times New Roman"/>
                <w:bCs/>
                <w:color w:val="000000"/>
                <w:szCs w:val="19"/>
                <w:lang w:val="en-GB" w:eastAsia="pl-PL"/>
              </w:rPr>
              <w:t xml:space="preserve"> </w:t>
            </w:r>
            <w:r w:rsidRPr="00B42F8F">
              <w:rPr>
                <w:rFonts w:eastAsia="Times New Roman"/>
                <w:bCs/>
                <w:color w:val="000000"/>
                <w:szCs w:val="19"/>
                <w:lang w:val="en-GB" w:eastAsia="pl-PL"/>
              </w:rPr>
              <w:t>GDP</w:t>
            </w:r>
          </w:p>
        </w:tc>
        <w:tc>
          <w:tcPr>
            <w:tcW w:w="1417" w:type="dxa"/>
            <w:shd w:val="clear" w:color="auto" w:fill="auto"/>
            <w:vAlign w:val="center"/>
          </w:tcPr>
          <w:p w:rsidR="00DF6283" w:rsidRPr="0007781D" w:rsidRDefault="00DF6283" w:rsidP="00DF6283">
            <w:pPr>
              <w:spacing w:before="0" w:after="0" w:line="240" w:lineRule="auto"/>
              <w:jc w:val="right"/>
              <w:rPr>
                <w:rFonts w:eastAsia="Times New Roman" w:cs="Arial"/>
                <w:color w:val="000000"/>
                <w:szCs w:val="19"/>
                <w:lang w:eastAsia="pl-PL"/>
              </w:rPr>
            </w:pPr>
            <w:r w:rsidRPr="0007781D">
              <w:rPr>
                <w:rFonts w:eastAsia="Times New Roman" w:cs="Arial"/>
                <w:color w:val="000000"/>
                <w:szCs w:val="19"/>
                <w:lang w:eastAsia="pl-PL"/>
              </w:rPr>
              <w:t>39</w:t>
            </w:r>
            <w:r>
              <w:rPr>
                <w:rFonts w:eastAsia="Times New Roman" w:cs="Arial"/>
                <w:color w:val="000000"/>
                <w:szCs w:val="19"/>
                <w:lang w:eastAsia="pl-PL"/>
              </w:rPr>
              <w:t>.</w:t>
            </w:r>
            <w:r w:rsidRPr="0007781D">
              <w:rPr>
                <w:rFonts w:eastAsia="Times New Roman" w:cs="Arial"/>
                <w:color w:val="000000"/>
                <w:szCs w:val="19"/>
                <w:lang w:eastAsia="pl-PL"/>
              </w:rPr>
              <w:t>9%</w:t>
            </w:r>
          </w:p>
        </w:tc>
        <w:tc>
          <w:tcPr>
            <w:tcW w:w="1418" w:type="dxa"/>
            <w:shd w:val="clear" w:color="auto" w:fill="auto"/>
            <w:vAlign w:val="center"/>
            <w:hideMark/>
          </w:tcPr>
          <w:p w:rsidR="00DF6283" w:rsidRPr="0007781D" w:rsidRDefault="00DF6283" w:rsidP="00DF6283">
            <w:pPr>
              <w:spacing w:before="0" w:after="0" w:line="240" w:lineRule="auto"/>
              <w:jc w:val="right"/>
              <w:rPr>
                <w:rFonts w:eastAsia="Times New Roman" w:cs="Arial"/>
                <w:color w:val="000000"/>
                <w:szCs w:val="19"/>
                <w:lang w:eastAsia="pl-PL"/>
              </w:rPr>
            </w:pPr>
            <w:r w:rsidRPr="0007781D">
              <w:rPr>
                <w:rFonts w:eastAsia="Times New Roman" w:cs="Arial"/>
                <w:color w:val="000000"/>
                <w:szCs w:val="19"/>
                <w:lang w:eastAsia="pl-PL"/>
              </w:rPr>
              <w:t>41</w:t>
            </w:r>
            <w:r>
              <w:rPr>
                <w:rFonts w:eastAsia="Times New Roman" w:cs="Arial"/>
                <w:color w:val="000000"/>
                <w:szCs w:val="19"/>
                <w:lang w:eastAsia="pl-PL"/>
              </w:rPr>
              <w:t>.</w:t>
            </w:r>
            <w:r w:rsidRPr="0007781D">
              <w:rPr>
                <w:rFonts w:eastAsia="Times New Roman" w:cs="Arial"/>
                <w:color w:val="000000"/>
                <w:szCs w:val="19"/>
                <w:lang w:eastAsia="pl-PL"/>
              </w:rPr>
              <w:t>7%</w:t>
            </w:r>
          </w:p>
        </w:tc>
        <w:tc>
          <w:tcPr>
            <w:tcW w:w="1417" w:type="dxa"/>
            <w:shd w:val="clear" w:color="auto" w:fill="auto"/>
            <w:vAlign w:val="center"/>
            <w:hideMark/>
          </w:tcPr>
          <w:p w:rsidR="00DF6283" w:rsidRPr="0007781D" w:rsidRDefault="00DF6283" w:rsidP="00DF6283">
            <w:pPr>
              <w:spacing w:before="0" w:after="0" w:line="240" w:lineRule="auto"/>
              <w:jc w:val="right"/>
              <w:rPr>
                <w:rFonts w:eastAsia="Times New Roman" w:cs="Arial"/>
                <w:color w:val="000000"/>
                <w:szCs w:val="19"/>
                <w:lang w:eastAsia="pl-PL"/>
              </w:rPr>
            </w:pPr>
            <w:r w:rsidRPr="0007781D">
              <w:rPr>
                <w:rFonts w:eastAsia="Times New Roman" w:cs="Arial"/>
                <w:color w:val="000000"/>
                <w:szCs w:val="19"/>
                <w:lang w:eastAsia="pl-PL"/>
              </w:rPr>
              <w:t>4</w:t>
            </w:r>
            <w:r w:rsidR="00C01CC5">
              <w:rPr>
                <w:rFonts w:eastAsia="Times New Roman" w:cs="Arial"/>
                <w:color w:val="000000"/>
                <w:szCs w:val="19"/>
                <w:lang w:eastAsia="pl-PL"/>
              </w:rPr>
              <w:t>2</w:t>
            </w:r>
            <w:r>
              <w:rPr>
                <w:rFonts w:eastAsia="Times New Roman" w:cs="Arial"/>
                <w:color w:val="000000"/>
                <w:szCs w:val="19"/>
                <w:lang w:eastAsia="pl-PL"/>
              </w:rPr>
              <w:t>.</w:t>
            </w:r>
            <w:r w:rsidR="00C01CC5">
              <w:rPr>
                <w:rFonts w:eastAsia="Times New Roman" w:cs="Arial"/>
                <w:color w:val="000000"/>
                <w:szCs w:val="19"/>
                <w:lang w:eastAsia="pl-PL"/>
              </w:rPr>
              <w:t>8</w:t>
            </w:r>
            <w:r w:rsidRPr="0007781D">
              <w:rPr>
                <w:rFonts w:eastAsia="Times New Roman" w:cs="Arial"/>
                <w:color w:val="000000"/>
                <w:szCs w:val="19"/>
                <w:lang w:eastAsia="pl-PL"/>
              </w:rPr>
              <w:t>%</w:t>
            </w:r>
            <w:r>
              <w:rPr>
                <w:rFonts w:eastAsia="Times New Roman" w:cs="Arial"/>
                <w:color w:val="000000"/>
                <w:szCs w:val="19"/>
                <w:lang w:eastAsia="pl-PL"/>
              </w:rPr>
              <w:t>*</w:t>
            </w:r>
          </w:p>
        </w:tc>
        <w:tc>
          <w:tcPr>
            <w:tcW w:w="1342" w:type="dxa"/>
            <w:shd w:val="clear" w:color="auto" w:fill="auto"/>
            <w:vAlign w:val="center"/>
          </w:tcPr>
          <w:p w:rsidR="00DF6283" w:rsidRPr="0007781D" w:rsidRDefault="00344368" w:rsidP="00DF6283">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43.6%</w:t>
            </w:r>
          </w:p>
        </w:tc>
      </w:tr>
      <w:tr w:rsidR="00DF6283" w:rsidRPr="00560B28" w:rsidTr="00DF6283">
        <w:trPr>
          <w:trHeight w:val="403"/>
        </w:trPr>
        <w:tc>
          <w:tcPr>
            <w:tcW w:w="2694" w:type="dxa"/>
            <w:shd w:val="clear" w:color="auto" w:fill="auto"/>
            <w:vAlign w:val="center"/>
            <w:hideMark/>
          </w:tcPr>
          <w:p w:rsidR="00DF6283" w:rsidRPr="00B42F8F" w:rsidRDefault="00DF6283" w:rsidP="00DF6283">
            <w:pPr>
              <w:spacing w:before="0" w:after="0" w:line="240" w:lineRule="auto"/>
              <w:rPr>
                <w:rFonts w:eastAsia="Times New Roman"/>
                <w:bCs/>
                <w:color w:val="000000"/>
                <w:szCs w:val="19"/>
                <w:lang w:val="en-GB" w:eastAsia="pl-PL"/>
              </w:rPr>
            </w:pPr>
            <w:r w:rsidRPr="00B42F8F">
              <w:rPr>
                <w:rFonts w:eastAsia="Times New Roman"/>
                <w:bCs/>
                <w:color w:val="000000"/>
                <w:szCs w:val="19"/>
                <w:lang w:val="en-GB" w:eastAsia="pl-PL"/>
              </w:rPr>
              <w:t>Total expenditures</w:t>
            </w:r>
          </w:p>
        </w:tc>
        <w:tc>
          <w:tcPr>
            <w:tcW w:w="1417" w:type="dxa"/>
            <w:shd w:val="clear" w:color="auto" w:fill="auto"/>
            <w:vAlign w:val="center"/>
          </w:tcPr>
          <w:p w:rsidR="00DF6283" w:rsidRPr="0007781D" w:rsidRDefault="00DF6283" w:rsidP="00DF6283">
            <w:pPr>
              <w:spacing w:before="0" w:after="0" w:line="240" w:lineRule="auto"/>
              <w:jc w:val="right"/>
              <w:rPr>
                <w:rFonts w:eastAsia="Times New Roman" w:cs="Arial"/>
                <w:color w:val="000000"/>
                <w:szCs w:val="19"/>
                <w:lang w:eastAsia="pl-PL"/>
              </w:rPr>
            </w:pPr>
            <w:r w:rsidRPr="0007781D">
              <w:rPr>
                <w:rFonts w:eastAsia="Times New Roman" w:cs="Arial"/>
                <w:color w:val="000000"/>
                <w:szCs w:val="19"/>
                <w:lang w:eastAsia="pl-PL"/>
              </w:rPr>
              <w:t>1 341 054</w:t>
            </w:r>
          </w:p>
        </w:tc>
        <w:tc>
          <w:tcPr>
            <w:tcW w:w="1418" w:type="dxa"/>
            <w:shd w:val="clear" w:color="auto" w:fill="auto"/>
            <w:vAlign w:val="center"/>
            <w:hideMark/>
          </w:tcPr>
          <w:p w:rsidR="00DF6283" w:rsidRPr="0007781D" w:rsidRDefault="00DF6283" w:rsidP="00DF6283">
            <w:pPr>
              <w:spacing w:before="0" w:after="0" w:line="240" w:lineRule="auto"/>
              <w:jc w:val="right"/>
              <w:rPr>
                <w:rFonts w:eastAsia="Times New Roman" w:cs="Arial"/>
                <w:color w:val="000000"/>
                <w:szCs w:val="19"/>
                <w:lang w:eastAsia="pl-PL"/>
              </w:rPr>
            </w:pPr>
            <w:r w:rsidRPr="0007781D">
              <w:rPr>
                <w:rFonts w:eastAsia="Times New Roman" w:cs="Arial"/>
                <w:color w:val="000000"/>
                <w:szCs w:val="19"/>
                <w:lang w:eastAsia="pl-PL"/>
              </w:rPr>
              <w:t>1 600 363</w:t>
            </w:r>
          </w:p>
        </w:tc>
        <w:tc>
          <w:tcPr>
            <w:tcW w:w="1417" w:type="dxa"/>
            <w:shd w:val="clear" w:color="auto" w:fill="auto"/>
            <w:vAlign w:val="center"/>
            <w:hideMark/>
          </w:tcPr>
          <w:p w:rsidR="00DF6283" w:rsidRPr="0007781D" w:rsidRDefault="00DF6283" w:rsidP="00DF6283">
            <w:pPr>
              <w:spacing w:before="0" w:after="0" w:line="240" w:lineRule="auto"/>
              <w:jc w:val="right"/>
              <w:rPr>
                <w:rFonts w:eastAsia="Times New Roman" w:cs="Arial"/>
                <w:color w:val="000000"/>
                <w:szCs w:val="19"/>
                <w:lang w:eastAsia="pl-PL"/>
              </w:rPr>
            </w:pPr>
            <w:r w:rsidRPr="0007781D">
              <w:rPr>
                <w:rFonts w:eastAsia="Times New Roman" w:cs="Arial"/>
                <w:color w:val="000000"/>
                <w:szCs w:val="19"/>
                <w:lang w:eastAsia="pl-PL"/>
              </w:rPr>
              <w:t>1 806</w:t>
            </w:r>
            <w:r>
              <w:rPr>
                <w:rFonts w:eastAsia="Times New Roman" w:cs="Arial"/>
                <w:color w:val="000000"/>
                <w:szCs w:val="19"/>
                <w:lang w:eastAsia="pl-PL"/>
              </w:rPr>
              <w:t> </w:t>
            </w:r>
            <w:r w:rsidR="00BD061F">
              <w:rPr>
                <w:rFonts w:eastAsia="Times New Roman" w:cs="Arial"/>
                <w:color w:val="000000"/>
                <w:szCs w:val="19"/>
                <w:lang w:eastAsia="pl-PL"/>
              </w:rPr>
              <w:t>511</w:t>
            </w:r>
            <w:r>
              <w:rPr>
                <w:rFonts w:eastAsia="Times New Roman" w:cs="Arial"/>
                <w:color w:val="000000"/>
                <w:szCs w:val="19"/>
                <w:lang w:eastAsia="pl-PL"/>
              </w:rPr>
              <w:t>*</w:t>
            </w:r>
          </w:p>
        </w:tc>
        <w:tc>
          <w:tcPr>
            <w:tcW w:w="1342" w:type="dxa"/>
            <w:shd w:val="clear" w:color="auto" w:fill="auto"/>
            <w:vAlign w:val="center"/>
          </w:tcPr>
          <w:p w:rsidR="00DF6283" w:rsidRPr="0007781D" w:rsidRDefault="00344368" w:rsidP="00DF6283">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1 989 889</w:t>
            </w:r>
          </w:p>
        </w:tc>
      </w:tr>
      <w:tr w:rsidR="00DF6283" w:rsidRPr="00560B28" w:rsidTr="00DF6283">
        <w:trPr>
          <w:trHeight w:val="284"/>
        </w:trPr>
        <w:tc>
          <w:tcPr>
            <w:tcW w:w="2694" w:type="dxa"/>
            <w:shd w:val="clear" w:color="auto" w:fill="auto"/>
            <w:vAlign w:val="center"/>
            <w:hideMark/>
          </w:tcPr>
          <w:p w:rsidR="00DF6283" w:rsidRPr="00B42F8F" w:rsidRDefault="00DF6283" w:rsidP="00DF6283">
            <w:pPr>
              <w:spacing w:before="0" w:after="0" w:line="240" w:lineRule="auto"/>
              <w:jc w:val="right"/>
              <w:rPr>
                <w:rFonts w:eastAsia="Times New Roman"/>
                <w:bCs/>
                <w:color w:val="000000"/>
                <w:szCs w:val="19"/>
                <w:lang w:eastAsia="pl-PL"/>
              </w:rPr>
            </w:pPr>
            <w:r w:rsidRPr="00B42F8F">
              <w:rPr>
                <w:rFonts w:eastAsia="Times New Roman"/>
                <w:bCs/>
                <w:color w:val="000000"/>
                <w:szCs w:val="19"/>
                <w:lang w:eastAsia="pl-PL"/>
              </w:rPr>
              <w:t xml:space="preserve"> % GDP </w:t>
            </w:r>
          </w:p>
        </w:tc>
        <w:tc>
          <w:tcPr>
            <w:tcW w:w="1417" w:type="dxa"/>
            <w:shd w:val="clear" w:color="auto" w:fill="auto"/>
            <w:vAlign w:val="center"/>
          </w:tcPr>
          <w:p w:rsidR="00DF6283" w:rsidRPr="0007781D" w:rsidRDefault="00DF6283" w:rsidP="00DF6283">
            <w:pPr>
              <w:spacing w:before="0" w:after="0" w:line="240" w:lineRule="auto"/>
              <w:jc w:val="right"/>
              <w:rPr>
                <w:rFonts w:eastAsia="Times New Roman" w:cs="Arial"/>
                <w:color w:val="000000"/>
                <w:szCs w:val="19"/>
                <w:lang w:eastAsia="pl-PL"/>
              </w:rPr>
            </w:pPr>
            <w:r w:rsidRPr="0007781D">
              <w:rPr>
                <w:rFonts w:eastAsia="Times New Roman" w:cs="Arial"/>
                <w:color w:val="000000"/>
                <w:szCs w:val="19"/>
                <w:lang w:eastAsia="pl-PL"/>
              </w:rPr>
              <w:t>43</w:t>
            </w:r>
            <w:r>
              <w:rPr>
                <w:rFonts w:eastAsia="Times New Roman" w:cs="Arial"/>
                <w:color w:val="000000"/>
                <w:szCs w:val="19"/>
                <w:lang w:eastAsia="pl-PL"/>
              </w:rPr>
              <w:t>.</w:t>
            </w:r>
            <w:r w:rsidRPr="0007781D">
              <w:rPr>
                <w:rFonts w:eastAsia="Times New Roman" w:cs="Arial"/>
                <w:color w:val="000000"/>
                <w:szCs w:val="19"/>
                <w:lang w:eastAsia="pl-PL"/>
              </w:rPr>
              <w:t>2%</w:t>
            </w:r>
          </w:p>
        </w:tc>
        <w:tc>
          <w:tcPr>
            <w:tcW w:w="1418" w:type="dxa"/>
            <w:shd w:val="clear" w:color="auto" w:fill="auto"/>
            <w:vAlign w:val="center"/>
            <w:hideMark/>
          </w:tcPr>
          <w:p w:rsidR="00DF6283" w:rsidRPr="0007781D" w:rsidRDefault="00DF6283" w:rsidP="00DF6283">
            <w:pPr>
              <w:spacing w:before="0" w:after="0" w:line="240" w:lineRule="auto"/>
              <w:jc w:val="right"/>
              <w:rPr>
                <w:rFonts w:eastAsia="Times New Roman" w:cs="Arial"/>
                <w:color w:val="000000"/>
                <w:szCs w:val="19"/>
                <w:lang w:eastAsia="pl-PL"/>
              </w:rPr>
            </w:pPr>
            <w:r w:rsidRPr="0007781D">
              <w:rPr>
                <w:rFonts w:eastAsia="Times New Roman" w:cs="Arial"/>
                <w:color w:val="000000"/>
                <w:szCs w:val="19"/>
                <w:lang w:eastAsia="pl-PL"/>
              </w:rPr>
              <w:t>46</w:t>
            </w:r>
            <w:r>
              <w:rPr>
                <w:rFonts w:eastAsia="Times New Roman" w:cs="Arial"/>
                <w:color w:val="000000"/>
                <w:szCs w:val="19"/>
                <w:lang w:eastAsia="pl-PL"/>
              </w:rPr>
              <w:t>.</w:t>
            </w:r>
            <w:r w:rsidRPr="0007781D">
              <w:rPr>
                <w:rFonts w:eastAsia="Times New Roman" w:cs="Arial"/>
                <w:color w:val="000000"/>
                <w:szCs w:val="19"/>
                <w:lang w:eastAsia="pl-PL"/>
              </w:rPr>
              <w:t>9%</w:t>
            </w:r>
          </w:p>
        </w:tc>
        <w:tc>
          <w:tcPr>
            <w:tcW w:w="1417" w:type="dxa"/>
            <w:shd w:val="clear" w:color="auto" w:fill="auto"/>
            <w:vAlign w:val="center"/>
            <w:hideMark/>
          </w:tcPr>
          <w:p w:rsidR="00DF6283" w:rsidRPr="0007781D" w:rsidRDefault="00DF6283" w:rsidP="00DF6283">
            <w:pPr>
              <w:spacing w:before="0" w:after="0" w:line="240" w:lineRule="auto"/>
              <w:jc w:val="right"/>
              <w:rPr>
                <w:rFonts w:eastAsia="Times New Roman" w:cs="Arial"/>
                <w:color w:val="000000"/>
                <w:szCs w:val="19"/>
                <w:lang w:eastAsia="pl-PL"/>
              </w:rPr>
            </w:pPr>
            <w:r w:rsidRPr="0007781D">
              <w:rPr>
                <w:rFonts w:eastAsia="Times New Roman" w:cs="Arial"/>
                <w:color w:val="000000"/>
                <w:szCs w:val="19"/>
                <w:lang w:eastAsia="pl-PL"/>
              </w:rPr>
              <w:t>49</w:t>
            </w:r>
            <w:r>
              <w:rPr>
                <w:rFonts w:eastAsia="Times New Roman" w:cs="Arial"/>
                <w:color w:val="000000"/>
                <w:szCs w:val="19"/>
                <w:lang w:eastAsia="pl-PL"/>
              </w:rPr>
              <w:t>.</w:t>
            </w:r>
            <w:r w:rsidR="00344368">
              <w:rPr>
                <w:rFonts w:eastAsia="Times New Roman" w:cs="Arial"/>
                <w:color w:val="000000"/>
                <w:szCs w:val="19"/>
                <w:lang w:eastAsia="pl-PL"/>
              </w:rPr>
              <w:t>2</w:t>
            </w:r>
            <w:r w:rsidRPr="0007781D">
              <w:rPr>
                <w:rFonts w:eastAsia="Times New Roman" w:cs="Arial"/>
                <w:color w:val="000000"/>
                <w:szCs w:val="19"/>
                <w:lang w:eastAsia="pl-PL"/>
              </w:rPr>
              <w:t>%</w:t>
            </w:r>
          </w:p>
        </w:tc>
        <w:tc>
          <w:tcPr>
            <w:tcW w:w="1342" w:type="dxa"/>
            <w:shd w:val="clear" w:color="auto" w:fill="auto"/>
            <w:vAlign w:val="center"/>
          </w:tcPr>
          <w:p w:rsidR="00DF6283" w:rsidRPr="0007781D" w:rsidRDefault="00344368" w:rsidP="00DF6283">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50.9%</w:t>
            </w:r>
          </w:p>
        </w:tc>
      </w:tr>
    </w:tbl>
    <w:p w:rsidR="0056307A" w:rsidRDefault="0056307A" w:rsidP="006B55C0">
      <w:pPr>
        <w:tabs>
          <w:tab w:val="left" w:pos="6237"/>
        </w:tabs>
        <w:rPr>
          <w:b/>
          <w:bCs/>
          <w:noProof/>
          <w:spacing w:val="-2"/>
          <w:sz w:val="18"/>
          <w:szCs w:val="18"/>
          <w:lang w:val="en-US"/>
        </w:rPr>
      </w:pPr>
    </w:p>
    <w:p w:rsidR="0056307A" w:rsidRDefault="0056307A" w:rsidP="006B55C0">
      <w:pPr>
        <w:tabs>
          <w:tab w:val="left" w:pos="6237"/>
        </w:tabs>
        <w:rPr>
          <w:b/>
          <w:bCs/>
          <w:noProof/>
          <w:spacing w:val="-2"/>
          <w:sz w:val="18"/>
          <w:szCs w:val="18"/>
          <w:lang w:val="en-US"/>
        </w:rPr>
      </w:pPr>
    </w:p>
    <w:p w:rsidR="00320AC4" w:rsidRDefault="00320AC4" w:rsidP="006B55C0">
      <w:pPr>
        <w:tabs>
          <w:tab w:val="left" w:pos="6237"/>
        </w:tabs>
        <w:rPr>
          <w:b/>
          <w:bCs/>
          <w:noProof/>
          <w:spacing w:val="-2"/>
          <w:sz w:val="18"/>
          <w:szCs w:val="18"/>
          <w:lang w:val="en-US"/>
        </w:rPr>
      </w:pPr>
    </w:p>
    <w:p w:rsidR="002A6FDA" w:rsidRDefault="00F7518F" w:rsidP="006B55C0">
      <w:pPr>
        <w:tabs>
          <w:tab w:val="left" w:pos="6237"/>
        </w:tabs>
        <w:rPr>
          <w:b/>
          <w:bCs/>
          <w:noProof/>
          <w:spacing w:val="-2"/>
          <w:sz w:val="18"/>
          <w:szCs w:val="18"/>
          <w:lang w:val="en-US"/>
        </w:rPr>
      </w:pPr>
      <w:r w:rsidRPr="00E10EBE">
        <w:rPr>
          <w:b/>
          <w:bCs/>
          <w:noProof/>
          <w:spacing w:val="-2"/>
          <w:sz w:val="18"/>
          <w:szCs w:val="18"/>
          <w:lang w:val="en-US"/>
        </w:rPr>
        <w:t>Chart</w:t>
      </w:r>
      <w:r w:rsidR="00124E9E" w:rsidRPr="00E10EBE">
        <w:rPr>
          <w:b/>
          <w:bCs/>
          <w:noProof/>
          <w:spacing w:val="-2"/>
          <w:sz w:val="18"/>
          <w:szCs w:val="18"/>
          <w:lang w:val="en-US"/>
        </w:rPr>
        <w:t xml:space="preserve"> 3</w:t>
      </w:r>
      <w:r w:rsidR="00704CED" w:rsidRPr="00E10EBE">
        <w:rPr>
          <w:b/>
          <w:bCs/>
          <w:noProof/>
          <w:spacing w:val="-2"/>
          <w:sz w:val="18"/>
          <w:szCs w:val="18"/>
          <w:lang w:val="en-US"/>
        </w:rPr>
        <w:t>.</w:t>
      </w:r>
      <w:r w:rsidR="00124E9E" w:rsidRPr="002A6FDA">
        <w:rPr>
          <w:b/>
          <w:bCs/>
          <w:noProof/>
          <w:spacing w:val="-2"/>
          <w:sz w:val="18"/>
          <w:szCs w:val="18"/>
          <w:lang w:val="en-US"/>
        </w:rPr>
        <w:t xml:space="preserve"> </w:t>
      </w:r>
      <w:r w:rsidR="002A6FDA" w:rsidRPr="002A6FDA">
        <w:rPr>
          <w:b/>
          <w:bCs/>
          <w:noProof/>
          <w:spacing w:val="-2"/>
          <w:sz w:val="18"/>
          <w:szCs w:val="18"/>
          <w:lang w:val="en-US"/>
        </w:rPr>
        <w:t>Total revenues and expenditures of the general government sector in % of GDP</w:t>
      </w:r>
    </w:p>
    <w:p w:rsidR="00DB7681" w:rsidRDefault="009250E8" w:rsidP="005917EF">
      <w:pPr>
        <w:spacing w:before="360" w:line="288" w:lineRule="auto"/>
        <w:ind w:right="130"/>
        <w:rPr>
          <w:rFonts w:cs="Arial"/>
          <w:szCs w:val="19"/>
          <w:lang w:val="en-US"/>
        </w:rPr>
      </w:pPr>
      <w:r>
        <w:rPr>
          <w:rFonts w:cs="Arial"/>
          <w:noProof/>
          <w:szCs w:val="19"/>
          <w:lang w:eastAsia="pl-PL"/>
        </w:rPr>
        <w:drawing>
          <wp:inline distT="0" distB="0" distL="0" distR="0" wp14:anchorId="3D9F4F49" wp14:editId="3692B775">
            <wp:extent cx="5047614" cy="3090007"/>
            <wp:effectExtent l="0" t="0" r="1270" b="0"/>
            <wp:docPr id="22" name="Obraz 22" descr="Chart 3. Total revenues and expenditures of the general government sector in % of GDP&#10;&#10;The chart presents total revenues and expenditures of the general government sector in % of GDP in the years 2022-202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047614" cy="3090007"/>
                    </a:xfrm>
                    <a:prstGeom prst="rect">
                      <a:avLst/>
                    </a:prstGeom>
                    <a:noFill/>
                  </pic:spPr>
                </pic:pic>
              </a:graphicData>
            </a:graphic>
          </wp:inline>
        </w:drawing>
      </w:r>
    </w:p>
    <w:p w:rsidR="00172ECF" w:rsidRDefault="00172ECF" w:rsidP="00AA37AC">
      <w:pPr>
        <w:spacing w:before="0" w:line="288" w:lineRule="auto"/>
        <w:ind w:right="130"/>
        <w:rPr>
          <w:rFonts w:cs="Arial"/>
          <w:szCs w:val="19"/>
          <w:lang w:val="en-US"/>
        </w:rPr>
      </w:pPr>
    </w:p>
    <w:p w:rsidR="00AB1A0C" w:rsidRDefault="006E3228" w:rsidP="00AA37AC">
      <w:pPr>
        <w:spacing w:before="0" w:line="288" w:lineRule="auto"/>
        <w:ind w:right="130"/>
        <w:rPr>
          <w:rFonts w:cs="Arial"/>
          <w:szCs w:val="19"/>
          <w:lang w:val="en-US"/>
        </w:rPr>
      </w:pPr>
      <w:r>
        <w:rPr>
          <w:rFonts w:cs="Arial"/>
          <w:szCs w:val="19"/>
          <w:lang w:val="en-US"/>
        </w:rPr>
        <w:t xml:space="preserve">The total values for the general government revenue and expenditure for 2022-2023 remained unchanged compared to those </w:t>
      </w:r>
      <w:r w:rsidR="00001FDD">
        <w:rPr>
          <w:rFonts w:cs="Arial"/>
          <w:szCs w:val="19"/>
          <w:lang w:val="en-US"/>
        </w:rPr>
        <w:t xml:space="preserve">previously published (in October 2025). A minor revision to the revenue structure resulted from the registration of funds received from the European Union and was done in the transaction other current transfers and capital transfers. More significant changes occurred in the expenditure structure due to the reclassification of funds transferred by the sector to other entities. Changes </w:t>
      </w:r>
      <w:r w:rsidR="00C57166">
        <w:rPr>
          <w:rFonts w:cs="Arial"/>
          <w:szCs w:val="19"/>
          <w:lang w:val="en-US"/>
        </w:rPr>
        <w:t>occurred in the transaction capital transfers, which increased by PLN 9,701 million in 2022 and decreased by PLN</w:t>
      </w:r>
      <w:r w:rsidR="00CE3820">
        <w:rPr>
          <w:rFonts w:cs="Arial"/>
          <w:szCs w:val="19"/>
          <w:lang w:val="en-US"/>
        </w:rPr>
        <w:t> </w:t>
      </w:r>
      <w:r w:rsidR="00C57166">
        <w:rPr>
          <w:rFonts w:cs="Arial"/>
          <w:szCs w:val="19"/>
          <w:lang w:val="en-US"/>
        </w:rPr>
        <w:t xml:space="preserve">8,153 million in 2023. In 2022, there was a drop in the amount of PLN 9,700 million in other current transfers and a growth in the amount of PLN 8,154 million in 2023. </w:t>
      </w:r>
    </w:p>
    <w:p w:rsidR="006E3228" w:rsidRDefault="00C57166" w:rsidP="00AA37AC">
      <w:pPr>
        <w:spacing w:before="0" w:line="288" w:lineRule="auto"/>
        <w:ind w:right="130"/>
        <w:rPr>
          <w:rFonts w:cs="Arial"/>
          <w:szCs w:val="19"/>
          <w:lang w:val="en-US"/>
        </w:rPr>
      </w:pPr>
      <w:bookmarkStart w:id="18" w:name="_GoBack"/>
      <w:bookmarkEnd w:id="18"/>
      <w:r>
        <w:rPr>
          <w:rFonts w:cs="Arial"/>
          <w:szCs w:val="19"/>
          <w:lang w:val="en-US"/>
        </w:rPr>
        <w:t>The revision of general government revenue in 2024 resulted in an increase of PLN 129 million. The changes primarily affected capital transfers, other current transfers and output. The revision of expenditure in 2024 resulted in their increase of PLN 191 million and mainly concerned subsidies (an increase of PLN 8,</w:t>
      </w:r>
      <w:r w:rsidR="00CE3820">
        <w:rPr>
          <w:rFonts w:cs="Arial"/>
          <w:szCs w:val="19"/>
          <w:lang w:val="en-US"/>
        </w:rPr>
        <w:t>947 million) and capital transfers (a decrease of PLN 9,441 million).</w:t>
      </w:r>
    </w:p>
    <w:p w:rsidR="00CE3820" w:rsidRDefault="00CE3820" w:rsidP="00AA37AC">
      <w:pPr>
        <w:spacing w:before="0" w:line="288" w:lineRule="auto"/>
        <w:ind w:right="130"/>
        <w:rPr>
          <w:rFonts w:cs="Arial"/>
          <w:szCs w:val="19"/>
          <w:lang w:val="en-US"/>
        </w:rPr>
      </w:pPr>
    </w:p>
    <w:p w:rsidR="00CE3820" w:rsidRDefault="00CE3820" w:rsidP="00AA37AC">
      <w:pPr>
        <w:spacing w:before="0" w:line="288" w:lineRule="auto"/>
        <w:ind w:right="130"/>
        <w:rPr>
          <w:rFonts w:cs="Arial"/>
          <w:szCs w:val="19"/>
          <w:lang w:val="en-US"/>
        </w:rPr>
      </w:pPr>
    </w:p>
    <w:p w:rsidR="001A5332" w:rsidRDefault="001A5332" w:rsidP="00AA37AC">
      <w:pPr>
        <w:spacing w:before="0" w:line="288" w:lineRule="auto"/>
        <w:ind w:right="130"/>
        <w:rPr>
          <w:rFonts w:cs="Arial"/>
          <w:szCs w:val="19"/>
          <w:lang w:val="en-US"/>
        </w:rPr>
      </w:pPr>
      <w:r w:rsidRPr="00AA6E24">
        <w:rPr>
          <w:rFonts w:cs="Arial"/>
          <w:szCs w:val="19"/>
          <w:lang w:val="en-US"/>
        </w:rPr>
        <w:lastRenderedPageBreak/>
        <w:t>Detailed data on revenues and expenditures of the general government sector divided into ESA2010 transactions are presented in Annex 1.</w:t>
      </w:r>
    </w:p>
    <w:p w:rsidR="00A95B33" w:rsidRPr="00A95B33" w:rsidRDefault="00A95B33" w:rsidP="00AA37AC">
      <w:pPr>
        <w:spacing w:line="288" w:lineRule="auto"/>
        <w:ind w:right="130"/>
        <w:rPr>
          <w:rFonts w:cs="Arial"/>
          <w:szCs w:val="19"/>
          <w:lang w:val="en-US"/>
        </w:rPr>
      </w:pPr>
      <w:r w:rsidRPr="00A95B33">
        <w:rPr>
          <w:rFonts w:cs="Arial"/>
          <w:szCs w:val="19"/>
          <w:lang w:val="en-US"/>
        </w:rPr>
        <w:t>Information on</w:t>
      </w:r>
      <w:r w:rsidR="008202F5">
        <w:rPr>
          <w:rFonts w:cs="Arial"/>
          <w:szCs w:val="19"/>
          <w:lang w:val="en-US"/>
        </w:rPr>
        <w:t xml:space="preserve"> the</w:t>
      </w:r>
      <w:r w:rsidRPr="00A95B33">
        <w:rPr>
          <w:rFonts w:cs="Arial"/>
          <w:szCs w:val="19"/>
          <w:lang w:val="en-US"/>
        </w:rPr>
        <w:t xml:space="preserve"> general government deficit and debt of all EU Member States will </w:t>
      </w:r>
      <w:r w:rsidR="00116E26">
        <w:rPr>
          <w:rFonts w:cs="Arial"/>
          <w:szCs w:val="19"/>
          <w:lang w:val="en-US"/>
        </w:rPr>
        <w:t xml:space="preserve">                 </w:t>
      </w:r>
      <w:r w:rsidRPr="00A95B33">
        <w:rPr>
          <w:rFonts w:cs="Arial"/>
          <w:szCs w:val="19"/>
          <w:lang w:val="en-US"/>
        </w:rPr>
        <w:t xml:space="preserve">be available on </w:t>
      </w:r>
      <w:r w:rsidR="000F10F9">
        <w:rPr>
          <w:rFonts w:cs="Arial"/>
          <w:szCs w:val="19"/>
          <w:lang w:val="en-US"/>
        </w:rPr>
        <w:t>2</w:t>
      </w:r>
      <w:r w:rsidR="004334E1">
        <w:rPr>
          <w:rFonts w:cs="Arial"/>
          <w:szCs w:val="19"/>
          <w:lang w:val="en-US"/>
        </w:rPr>
        <w:t>2</w:t>
      </w:r>
      <w:r w:rsidR="00532943" w:rsidRPr="00A95B33">
        <w:rPr>
          <w:rFonts w:cs="Arial"/>
          <w:szCs w:val="19"/>
          <w:lang w:val="en-US"/>
        </w:rPr>
        <w:t xml:space="preserve"> </w:t>
      </w:r>
      <w:r w:rsidR="004334E1">
        <w:rPr>
          <w:rFonts w:cs="Arial"/>
          <w:szCs w:val="19"/>
          <w:lang w:val="en-US"/>
        </w:rPr>
        <w:t>April</w:t>
      </w:r>
      <w:r w:rsidR="002D5237">
        <w:rPr>
          <w:rFonts w:cs="Arial"/>
          <w:szCs w:val="19"/>
          <w:lang w:val="en-US"/>
        </w:rPr>
        <w:t xml:space="preserve"> </w:t>
      </w:r>
      <w:r w:rsidR="00C678E8">
        <w:rPr>
          <w:rFonts w:cs="Arial"/>
          <w:szCs w:val="19"/>
          <w:lang w:val="en-US"/>
        </w:rPr>
        <w:t>202</w:t>
      </w:r>
      <w:r w:rsidR="004334E1">
        <w:rPr>
          <w:rFonts w:cs="Arial"/>
          <w:szCs w:val="19"/>
          <w:lang w:val="en-US"/>
        </w:rPr>
        <w:t>6</w:t>
      </w:r>
      <w:r w:rsidR="00532943" w:rsidRPr="00A95B33">
        <w:rPr>
          <w:rFonts w:cs="Arial"/>
          <w:szCs w:val="19"/>
          <w:lang w:val="en-US"/>
        </w:rPr>
        <w:t xml:space="preserve"> </w:t>
      </w:r>
      <w:r w:rsidRPr="00A95B33">
        <w:rPr>
          <w:rFonts w:cs="Arial"/>
          <w:szCs w:val="19"/>
          <w:lang w:val="en-US"/>
        </w:rPr>
        <w:t>at 11 a.m. on the Eurostat website:</w:t>
      </w:r>
    </w:p>
    <w:p w:rsidR="002B7767" w:rsidRPr="009C381E" w:rsidRDefault="002B7767" w:rsidP="00AA37AC">
      <w:pPr>
        <w:spacing w:line="288" w:lineRule="auto"/>
        <w:ind w:right="130"/>
        <w:rPr>
          <w:rStyle w:val="Hipercze"/>
          <w:szCs w:val="19"/>
          <w:lang w:val="en-US"/>
        </w:rPr>
      </w:pPr>
      <w:r>
        <w:rPr>
          <w:szCs w:val="19"/>
          <w:lang w:val="en-US"/>
        </w:rPr>
        <w:fldChar w:fldCharType="begin"/>
      </w:r>
      <w:r w:rsidR="00DF7D96">
        <w:rPr>
          <w:szCs w:val="19"/>
          <w:lang w:val="en-US"/>
        </w:rPr>
        <w:instrText>HYPERLINK "https://ec.europa.eu/eurostat/en/web/main/news/euro-indicators" \o "Website address to European Comission publications https://ec.europa.eu/eurostat/en/web/main/news/euro-indicators"</w:instrText>
      </w:r>
      <w:r>
        <w:rPr>
          <w:szCs w:val="19"/>
          <w:lang w:val="en-US"/>
        </w:rPr>
        <w:fldChar w:fldCharType="separate"/>
      </w:r>
      <w:r w:rsidR="00322414" w:rsidRPr="00322414">
        <w:rPr>
          <w:rStyle w:val="Hipercze"/>
          <w:szCs w:val="19"/>
          <w:lang w:val="en-US"/>
        </w:rPr>
        <w:t>https://ec.europa.eu/eurostat/en/web/main/news/euro-indicators</w:t>
      </w:r>
    </w:p>
    <w:p w:rsidR="00C80397" w:rsidRPr="00C80397" w:rsidRDefault="002B7767" w:rsidP="00AA37AC">
      <w:pPr>
        <w:spacing w:line="288" w:lineRule="auto"/>
        <w:ind w:right="130"/>
        <w:rPr>
          <w:rFonts w:cs="Arial"/>
          <w:color w:val="FF0000"/>
          <w:szCs w:val="19"/>
          <w:lang w:val="en-US"/>
        </w:rPr>
      </w:pPr>
      <w:r>
        <w:rPr>
          <w:szCs w:val="19"/>
          <w:lang w:val="en-US"/>
        </w:rPr>
        <w:fldChar w:fldCharType="end"/>
      </w:r>
      <w:r w:rsidR="00A95B33" w:rsidRPr="00A95B33">
        <w:rPr>
          <w:rFonts w:cs="Arial"/>
          <w:szCs w:val="19"/>
          <w:lang w:val="en-US"/>
        </w:rPr>
        <w:t xml:space="preserve">Inventory of the methods, procedures and sources used for the compilation of deficit and debt data and the underlying government sector accounts according to ESA2010 prepared according to the European Commission’s guidelines in English version is available on Eurostat website: </w:t>
      </w:r>
      <w:r w:rsidR="008F3133">
        <w:rPr>
          <w:rFonts w:cs="Arial"/>
          <w:szCs w:val="19"/>
          <w:lang w:val="en-US"/>
        </w:rPr>
        <w:t xml:space="preserve"> </w:t>
      </w:r>
    </w:p>
    <w:p w:rsidR="0034360C" w:rsidRPr="00967C90" w:rsidRDefault="0034360C" w:rsidP="00C80397">
      <w:pPr>
        <w:spacing w:line="288" w:lineRule="auto"/>
        <w:ind w:right="130"/>
        <w:rPr>
          <w:rStyle w:val="Hipercze"/>
          <w:rFonts w:cs="Arial"/>
          <w:szCs w:val="19"/>
          <w:lang w:val="en-US"/>
        </w:rPr>
      </w:pPr>
      <w:r>
        <w:rPr>
          <w:szCs w:val="19"/>
        </w:rPr>
        <w:fldChar w:fldCharType="begin"/>
      </w:r>
      <w:r w:rsidR="00DF7D96" w:rsidRPr="00967C90">
        <w:rPr>
          <w:szCs w:val="19"/>
          <w:lang w:val="en-US"/>
        </w:rPr>
        <w:instrText>HYPERLINK "http://ec.europa.eu/eurostat/web/government-finance-statistics/excessive-deficit-procedure/edp-inventories" \o "Website address to European Comission publications http://ec.europa.eu/eurostat/web/government-finance-statistics/excessive-deficit-procedure/edp-inventories"</w:instrText>
      </w:r>
      <w:r>
        <w:rPr>
          <w:szCs w:val="19"/>
        </w:rPr>
        <w:fldChar w:fldCharType="separate"/>
      </w:r>
      <w:r w:rsidRPr="00967C90">
        <w:rPr>
          <w:rStyle w:val="Hipercze"/>
          <w:szCs w:val="19"/>
          <w:lang w:val="en-US"/>
        </w:rPr>
        <w:t>http://ec.europa.eu/eurostat/web/government-finance-statistics/excessive-deficit-procedure/edp-inventories</w:t>
      </w:r>
    </w:p>
    <w:p w:rsidR="002C237F" w:rsidRDefault="0034360C" w:rsidP="00C80397">
      <w:pPr>
        <w:spacing w:line="288" w:lineRule="auto"/>
        <w:ind w:right="130"/>
        <w:rPr>
          <w:rFonts w:cs="Arial"/>
          <w:szCs w:val="19"/>
          <w:lang w:val="en-US"/>
        </w:rPr>
      </w:pPr>
      <w:r>
        <w:rPr>
          <w:szCs w:val="19"/>
        </w:rPr>
        <w:fldChar w:fldCharType="end"/>
      </w:r>
    </w:p>
    <w:p w:rsidR="002C237F" w:rsidRPr="002C237F" w:rsidRDefault="002C237F" w:rsidP="002C237F">
      <w:pPr>
        <w:rPr>
          <w:rFonts w:cs="Arial"/>
          <w:szCs w:val="19"/>
          <w:lang w:val="en-US"/>
        </w:rPr>
      </w:pPr>
    </w:p>
    <w:p w:rsidR="002C237F" w:rsidRPr="002C237F" w:rsidRDefault="002C237F" w:rsidP="002C237F">
      <w:pPr>
        <w:rPr>
          <w:rFonts w:cs="Arial"/>
          <w:szCs w:val="19"/>
          <w:lang w:val="en-US"/>
        </w:rPr>
      </w:pPr>
    </w:p>
    <w:p w:rsidR="002C237F" w:rsidRPr="002C237F" w:rsidRDefault="002C237F" w:rsidP="002C237F">
      <w:pPr>
        <w:rPr>
          <w:rFonts w:cs="Arial"/>
          <w:szCs w:val="19"/>
          <w:lang w:val="en-US"/>
        </w:rPr>
      </w:pPr>
    </w:p>
    <w:p w:rsidR="002C237F" w:rsidRPr="002C237F" w:rsidRDefault="002C237F" w:rsidP="002C237F">
      <w:pPr>
        <w:rPr>
          <w:rFonts w:cs="Arial"/>
          <w:szCs w:val="19"/>
          <w:lang w:val="en-US"/>
        </w:rPr>
      </w:pPr>
    </w:p>
    <w:p w:rsidR="002C237F" w:rsidRPr="002C237F" w:rsidRDefault="002C237F" w:rsidP="002C237F">
      <w:pPr>
        <w:rPr>
          <w:rFonts w:cs="Arial"/>
          <w:szCs w:val="19"/>
          <w:lang w:val="en-US"/>
        </w:rPr>
      </w:pPr>
    </w:p>
    <w:p w:rsidR="002C237F" w:rsidRPr="002C237F" w:rsidRDefault="002C237F" w:rsidP="002C237F">
      <w:pPr>
        <w:rPr>
          <w:rFonts w:cs="Arial"/>
          <w:szCs w:val="19"/>
          <w:lang w:val="en-US"/>
        </w:rPr>
      </w:pPr>
    </w:p>
    <w:p w:rsidR="002C237F" w:rsidRPr="002C237F" w:rsidRDefault="002C237F" w:rsidP="002C237F">
      <w:pPr>
        <w:rPr>
          <w:rFonts w:cs="Arial"/>
          <w:szCs w:val="19"/>
          <w:lang w:val="en-US"/>
        </w:rPr>
      </w:pPr>
    </w:p>
    <w:p w:rsidR="002C237F" w:rsidRPr="002C237F" w:rsidRDefault="002C237F" w:rsidP="002C237F">
      <w:pPr>
        <w:rPr>
          <w:rFonts w:cs="Arial"/>
          <w:szCs w:val="19"/>
          <w:lang w:val="en-US"/>
        </w:rPr>
      </w:pPr>
    </w:p>
    <w:p w:rsidR="002C237F" w:rsidRPr="002C237F" w:rsidRDefault="002C237F" w:rsidP="002C237F">
      <w:pPr>
        <w:rPr>
          <w:rFonts w:cs="Arial"/>
          <w:szCs w:val="19"/>
          <w:lang w:val="en-US"/>
        </w:rPr>
      </w:pPr>
    </w:p>
    <w:p w:rsidR="002C237F" w:rsidRPr="002C237F" w:rsidRDefault="002C237F" w:rsidP="002C237F">
      <w:pPr>
        <w:rPr>
          <w:rFonts w:cs="Arial"/>
          <w:szCs w:val="19"/>
          <w:lang w:val="en-US"/>
        </w:rPr>
      </w:pPr>
    </w:p>
    <w:p w:rsidR="002C237F" w:rsidRPr="002C237F" w:rsidRDefault="002C237F" w:rsidP="002C237F">
      <w:pPr>
        <w:rPr>
          <w:rFonts w:cs="Arial"/>
          <w:szCs w:val="19"/>
          <w:lang w:val="en-US"/>
        </w:rPr>
      </w:pPr>
    </w:p>
    <w:p w:rsidR="002C237F" w:rsidRPr="002C237F" w:rsidRDefault="002C237F" w:rsidP="002C237F">
      <w:pPr>
        <w:rPr>
          <w:rFonts w:cs="Arial"/>
          <w:szCs w:val="19"/>
          <w:lang w:val="en-US"/>
        </w:rPr>
      </w:pPr>
    </w:p>
    <w:p w:rsidR="002C237F" w:rsidRPr="002C237F" w:rsidRDefault="002C237F" w:rsidP="002C237F">
      <w:pPr>
        <w:rPr>
          <w:rFonts w:cs="Arial"/>
          <w:szCs w:val="19"/>
          <w:lang w:val="en-US"/>
        </w:rPr>
      </w:pPr>
    </w:p>
    <w:p w:rsidR="002C237F" w:rsidRPr="002C237F" w:rsidRDefault="002C237F" w:rsidP="002C237F">
      <w:pPr>
        <w:rPr>
          <w:rFonts w:cs="Arial"/>
          <w:szCs w:val="19"/>
          <w:lang w:val="en-US"/>
        </w:rPr>
      </w:pPr>
    </w:p>
    <w:p w:rsidR="002C237F" w:rsidRPr="002C237F" w:rsidRDefault="002C237F" w:rsidP="002C237F">
      <w:pPr>
        <w:rPr>
          <w:rFonts w:cs="Arial"/>
          <w:szCs w:val="19"/>
          <w:lang w:val="en-US"/>
        </w:rPr>
      </w:pPr>
    </w:p>
    <w:p w:rsidR="002C237F" w:rsidRPr="002C237F" w:rsidRDefault="002C237F" w:rsidP="002C237F">
      <w:pPr>
        <w:rPr>
          <w:rFonts w:cs="Arial"/>
          <w:szCs w:val="19"/>
          <w:lang w:val="en-US"/>
        </w:rPr>
      </w:pPr>
    </w:p>
    <w:p w:rsidR="002C237F" w:rsidRPr="002C237F" w:rsidRDefault="002C237F" w:rsidP="002C237F">
      <w:pPr>
        <w:rPr>
          <w:rFonts w:cs="Arial"/>
          <w:szCs w:val="19"/>
          <w:lang w:val="en-US"/>
        </w:rPr>
      </w:pPr>
    </w:p>
    <w:p w:rsidR="002C237F" w:rsidRPr="002C237F" w:rsidRDefault="002C237F" w:rsidP="002C237F">
      <w:pPr>
        <w:rPr>
          <w:rFonts w:cs="Arial"/>
          <w:szCs w:val="19"/>
          <w:lang w:val="en-US"/>
        </w:rPr>
      </w:pPr>
    </w:p>
    <w:p w:rsidR="002C237F" w:rsidRPr="002C237F" w:rsidRDefault="002C237F" w:rsidP="002C237F">
      <w:pPr>
        <w:rPr>
          <w:rFonts w:cs="Arial"/>
          <w:szCs w:val="19"/>
          <w:lang w:val="en-US"/>
        </w:rPr>
      </w:pPr>
    </w:p>
    <w:p w:rsidR="002C237F" w:rsidRDefault="002C237F" w:rsidP="002C237F">
      <w:pPr>
        <w:rPr>
          <w:rFonts w:cs="Arial"/>
          <w:szCs w:val="19"/>
          <w:lang w:val="en-US"/>
        </w:rPr>
      </w:pPr>
    </w:p>
    <w:p w:rsidR="00DC29E7" w:rsidRDefault="00DC29E7" w:rsidP="002C237F">
      <w:pPr>
        <w:spacing w:line="288" w:lineRule="auto"/>
        <w:rPr>
          <w:lang w:val="en-GB"/>
        </w:rPr>
      </w:pPr>
    </w:p>
    <w:p w:rsidR="00DC29E7" w:rsidRDefault="00DC29E7" w:rsidP="002C237F">
      <w:pPr>
        <w:spacing w:line="288" w:lineRule="auto"/>
        <w:rPr>
          <w:lang w:val="en-GB"/>
        </w:rPr>
      </w:pPr>
    </w:p>
    <w:p w:rsidR="002C237F" w:rsidRDefault="002C237F" w:rsidP="002C237F">
      <w:pPr>
        <w:spacing w:line="288" w:lineRule="auto"/>
        <w:rPr>
          <w:rFonts w:ascii="Calibri" w:hAnsi="Calibri"/>
          <w:sz w:val="22"/>
          <w:lang w:val="en-US"/>
        </w:rPr>
      </w:pPr>
      <w:r>
        <w:rPr>
          <w:lang w:val="en-GB"/>
        </w:rPr>
        <w:t>In case of quoting Statistics Poland data, please provide information: “Source of data: Statistics Poland”, and in case of publishing calculations made on data published by Statistics Poland, please include the following disclaimer: “Own study based on figures from Statistics Poland”.</w:t>
      </w:r>
    </w:p>
    <w:p w:rsidR="002C237F" w:rsidRDefault="002C237F" w:rsidP="002C237F">
      <w:pPr>
        <w:rPr>
          <w:rFonts w:cs="Arial"/>
          <w:szCs w:val="19"/>
          <w:lang w:val="en-US"/>
        </w:rPr>
      </w:pPr>
    </w:p>
    <w:p w:rsidR="002C237F" w:rsidRDefault="002C237F" w:rsidP="002C237F">
      <w:pPr>
        <w:rPr>
          <w:rFonts w:cs="Arial"/>
          <w:szCs w:val="19"/>
          <w:lang w:val="en-US"/>
        </w:rPr>
      </w:pPr>
    </w:p>
    <w:p w:rsidR="00C80397" w:rsidRPr="002C237F" w:rsidRDefault="00C80397" w:rsidP="002C237F">
      <w:pPr>
        <w:rPr>
          <w:rFonts w:cs="Arial"/>
          <w:szCs w:val="19"/>
          <w:lang w:val="en-US"/>
        </w:rPr>
        <w:sectPr w:rsidR="00C80397" w:rsidRPr="002C237F" w:rsidSect="00495040">
          <w:headerReference w:type="default" r:id="rId14"/>
          <w:headerReference w:type="first" r:id="rId15"/>
          <w:pgSz w:w="11906" w:h="16838"/>
          <w:pgMar w:top="1532" w:right="3117" w:bottom="720" w:left="720" w:header="284" w:footer="397" w:gutter="0"/>
          <w:cols w:space="708"/>
          <w:titlePg/>
          <w:docGrid w:linePitch="360"/>
        </w:sectPr>
      </w:pPr>
    </w:p>
    <w:p w:rsidR="00F75026" w:rsidRPr="00F24737" w:rsidRDefault="00F75026" w:rsidP="00F75026">
      <w:pPr>
        <w:rPr>
          <w:sz w:val="18"/>
          <w:lang w:val="en-GB"/>
        </w:rPr>
      </w:pPr>
    </w:p>
    <w:tbl>
      <w:tblPr>
        <w:tblW w:w="9853" w:type="dxa"/>
        <w:tblInd w:w="279" w:type="dxa"/>
        <w:tblLook w:val="04A0" w:firstRow="1" w:lastRow="0" w:firstColumn="1" w:lastColumn="0" w:noHBand="0" w:noVBand="1"/>
      </w:tblPr>
      <w:tblGrid>
        <w:gridCol w:w="4926"/>
        <w:gridCol w:w="4927"/>
      </w:tblGrid>
      <w:tr w:rsidR="000D319A" w:rsidRPr="00C319D9" w:rsidTr="001D3F48">
        <w:trPr>
          <w:trHeight w:val="1626"/>
        </w:trPr>
        <w:tc>
          <w:tcPr>
            <w:tcW w:w="4926" w:type="dxa"/>
            <w:shd w:val="clear" w:color="auto" w:fill="auto"/>
          </w:tcPr>
          <w:p w:rsidR="000D319A" w:rsidRPr="00F24737" w:rsidRDefault="000D319A" w:rsidP="000D319A">
            <w:pPr>
              <w:spacing w:before="0" w:after="0" w:line="276" w:lineRule="auto"/>
              <w:rPr>
                <w:rFonts w:cs="Arial"/>
                <w:sz w:val="20"/>
                <w:lang w:val="en-GB"/>
              </w:rPr>
            </w:pPr>
            <w:bookmarkStart w:id="19" w:name="_Hlk101427354"/>
            <w:r w:rsidRPr="00F24737">
              <w:rPr>
                <w:rFonts w:cs="Arial"/>
                <w:sz w:val="20"/>
                <w:lang w:val="en-GB"/>
              </w:rPr>
              <w:t>Prepared by:</w:t>
            </w:r>
          </w:p>
          <w:p w:rsidR="000D319A" w:rsidRPr="00F24737" w:rsidRDefault="000D319A" w:rsidP="000D319A">
            <w:pPr>
              <w:spacing w:before="0" w:line="276" w:lineRule="auto"/>
              <w:rPr>
                <w:rFonts w:cs="Arial"/>
                <w:b/>
                <w:color w:val="000000"/>
                <w:sz w:val="20"/>
                <w:lang w:val="en-GB"/>
              </w:rPr>
            </w:pPr>
            <w:r w:rsidRPr="00F24737">
              <w:rPr>
                <w:rFonts w:cs="Arial"/>
                <w:b/>
                <w:color w:val="000000"/>
                <w:sz w:val="20"/>
                <w:lang w:val="en-GB"/>
              </w:rPr>
              <w:t>National Accounts</w:t>
            </w:r>
            <w:r w:rsidRPr="002C1A71">
              <w:rPr>
                <w:rFonts w:cs="Arial"/>
                <w:b/>
                <w:color w:val="000000"/>
                <w:sz w:val="18"/>
                <w:szCs w:val="18"/>
                <w:lang w:val="en-US"/>
              </w:rPr>
              <w:t xml:space="preserve"> </w:t>
            </w:r>
            <w:r w:rsidRPr="00F24737">
              <w:rPr>
                <w:rFonts w:cs="Arial"/>
                <w:b/>
                <w:color w:val="000000"/>
                <w:sz w:val="20"/>
                <w:lang w:val="en-GB"/>
              </w:rPr>
              <w:t>Department</w:t>
            </w:r>
          </w:p>
          <w:p w:rsidR="000D319A" w:rsidRPr="002C1A71" w:rsidRDefault="000D319A" w:rsidP="000D319A">
            <w:pPr>
              <w:spacing w:before="0" w:after="0" w:line="276" w:lineRule="auto"/>
              <w:rPr>
                <w:b/>
                <w:sz w:val="20"/>
                <w:szCs w:val="20"/>
                <w:lang w:val="fi-FI"/>
              </w:rPr>
            </w:pPr>
            <w:r w:rsidRPr="002C1A71">
              <w:rPr>
                <w:b/>
                <w:sz w:val="20"/>
                <w:szCs w:val="20"/>
                <w:lang w:val="fi-FI"/>
              </w:rPr>
              <w:t xml:space="preserve">Director </w:t>
            </w:r>
            <w:r>
              <w:rPr>
                <w:b/>
                <w:sz w:val="20"/>
                <w:szCs w:val="20"/>
                <w:lang w:val="fi-FI"/>
              </w:rPr>
              <w:t>Ew</w:t>
            </w:r>
            <w:r w:rsidRPr="002C1A71">
              <w:rPr>
                <w:b/>
                <w:sz w:val="20"/>
                <w:szCs w:val="20"/>
                <w:lang w:val="fi-FI"/>
              </w:rPr>
              <w:t xml:space="preserve">a </w:t>
            </w:r>
            <w:r>
              <w:rPr>
                <w:b/>
                <w:sz w:val="20"/>
                <w:szCs w:val="20"/>
                <w:lang w:val="fi-FI"/>
              </w:rPr>
              <w:t>Soroczyńsk</w:t>
            </w:r>
            <w:r w:rsidRPr="002C1A71">
              <w:rPr>
                <w:b/>
                <w:sz w:val="20"/>
                <w:szCs w:val="20"/>
                <w:lang w:val="fi-FI"/>
              </w:rPr>
              <w:t>a</w:t>
            </w:r>
          </w:p>
          <w:p w:rsidR="000D319A" w:rsidRPr="002C1A71" w:rsidRDefault="000D319A" w:rsidP="000D319A">
            <w:pPr>
              <w:pStyle w:val="Nagwek3"/>
              <w:spacing w:before="0" w:after="120" w:line="240" w:lineRule="auto"/>
              <w:rPr>
                <w:rFonts w:ascii="Fira Sans" w:hAnsi="Fira Sans" w:cs="Arial"/>
                <w:color w:val="000000"/>
                <w:sz w:val="20"/>
                <w:lang w:val="fi-FI"/>
              </w:rPr>
            </w:pPr>
            <w:r w:rsidRPr="002C1A71">
              <w:rPr>
                <w:rFonts w:ascii="Fira Sans" w:hAnsi="Fira Sans" w:cs="Arial"/>
                <w:color w:val="000000"/>
                <w:sz w:val="20"/>
                <w:lang w:val="fi-FI"/>
              </w:rPr>
              <w:t>Phone: (+48 22)</w:t>
            </w:r>
            <w:r w:rsidRPr="002C1A71">
              <w:rPr>
                <w:rFonts w:ascii="Fira Sans" w:hAnsi="Fira Sans" w:cs="Arial"/>
                <w:color w:val="000000"/>
                <w:sz w:val="20"/>
                <w:lang w:val="fi-FI" w:eastAsia="en-US"/>
              </w:rPr>
              <w:t> 608 31 17</w:t>
            </w:r>
          </w:p>
        </w:tc>
        <w:tc>
          <w:tcPr>
            <w:tcW w:w="4927" w:type="dxa"/>
            <w:shd w:val="clear" w:color="auto" w:fill="auto"/>
          </w:tcPr>
          <w:p w:rsidR="000D319A" w:rsidRPr="005653EE" w:rsidRDefault="000D319A" w:rsidP="000D319A">
            <w:pPr>
              <w:rPr>
                <w:rFonts w:ascii="Calibri" w:hAnsi="Calibri"/>
                <w:sz w:val="22"/>
                <w:lang w:val="en-GB"/>
              </w:rPr>
            </w:pPr>
            <w:r w:rsidRPr="005653EE">
              <w:rPr>
                <w:rFonts w:cs="Arial"/>
                <w:sz w:val="20"/>
                <w:lang w:val="en-GB"/>
              </w:rPr>
              <w:t>Issued by:</w:t>
            </w:r>
          </w:p>
          <w:p w:rsidR="000D319A" w:rsidRPr="005653EE" w:rsidRDefault="000D319A" w:rsidP="000D319A">
            <w:pPr>
              <w:rPr>
                <w:b/>
                <w:lang w:val="en-GB"/>
              </w:rPr>
            </w:pPr>
            <w:r w:rsidRPr="005653EE">
              <w:rPr>
                <w:b/>
                <w:lang w:val="en-GB"/>
              </w:rPr>
              <w:t>Press Office</w:t>
            </w:r>
          </w:p>
          <w:p w:rsidR="000D319A" w:rsidRPr="005653EE" w:rsidRDefault="000D319A" w:rsidP="000D319A">
            <w:pPr>
              <w:rPr>
                <w:lang w:val="en-GB"/>
              </w:rPr>
            </w:pPr>
            <w:r w:rsidRPr="005653EE">
              <w:rPr>
                <w:lang w:val="en-GB"/>
              </w:rPr>
              <w:t>Mobile +48 695 255 032</w:t>
            </w:r>
          </w:p>
          <w:p w:rsidR="000D319A" w:rsidRDefault="000D319A" w:rsidP="000D319A">
            <w:pPr>
              <w:spacing w:after="0"/>
              <w:rPr>
                <w:lang w:val="en-GB"/>
              </w:rPr>
            </w:pPr>
            <w:r w:rsidRPr="005653EE">
              <w:rPr>
                <w:lang w:val="en-GB"/>
              </w:rPr>
              <w:t xml:space="preserve">Phone +48 22 608 38 04, +48 22 449 41 45, </w:t>
            </w:r>
          </w:p>
          <w:p w:rsidR="000D319A" w:rsidRPr="005653EE" w:rsidRDefault="000D319A" w:rsidP="000D319A">
            <w:pPr>
              <w:spacing w:before="0"/>
              <w:rPr>
                <w:lang w:val="en-GB"/>
              </w:rPr>
            </w:pPr>
            <w:r w:rsidRPr="005653EE">
              <w:rPr>
                <w:lang w:val="en-GB"/>
              </w:rPr>
              <w:t>+48 22 608 30 09</w:t>
            </w:r>
          </w:p>
          <w:p w:rsidR="000D319A" w:rsidRPr="005653EE" w:rsidRDefault="000D319A" w:rsidP="000D319A">
            <w:pPr>
              <w:rPr>
                <w:lang w:val="en-GB"/>
              </w:rPr>
            </w:pPr>
            <w:r w:rsidRPr="00A82D31">
              <w:rPr>
                <w:b/>
                <w:sz w:val="20"/>
                <w:lang w:val="en-GB"/>
              </w:rPr>
              <w:t>e-mail:</w:t>
            </w:r>
            <w:r w:rsidRPr="00A82D31">
              <w:rPr>
                <w:sz w:val="20"/>
                <w:lang w:val="en-GB"/>
              </w:rPr>
              <w:t xml:space="preserve"> </w:t>
            </w:r>
            <w:hyperlink r:id="rId16" w:history="1">
              <w:r w:rsidRPr="00394E26">
                <w:rPr>
                  <w:rStyle w:val="Hipercze"/>
                  <w:rFonts w:eastAsiaTheme="majorEastAsia" w:cs="Arial"/>
                  <w:b/>
                  <w:color w:val="auto"/>
                  <w:sz w:val="20"/>
                  <w:szCs w:val="20"/>
                  <w:lang w:val="en-US"/>
                </w:rPr>
                <w:t>obslugaprasowa@stat.gov.pl</w:t>
              </w:r>
            </w:hyperlink>
          </w:p>
          <w:p w:rsidR="000D319A" w:rsidRPr="005653EE" w:rsidRDefault="000D319A" w:rsidP="000D319A">
            <w:pPr>
              <w:rPr>
                <w:sz w:val="18"/>
                <w:lang w:val="en-GB"/>
              </w:rPr>
            </w:pPr>
          </w:p>
        </w:tc>
      </w:tr>
      <w:tr w:rsidR="00D97E48" w:rsidRPr="00A57B83" w:rsidTr="00B85BE2">
        <w:trPr>
          <w:trHeight w:val="418"/>
        </w:trPr>
        <w:tc>
          <w:tcPr>
            <w:tcW w:w="4926" w:type="dxa"/>
            <w:vMerge w:val="restart"/>
            <w:shd w:val="clear" w:color="auto" w:fill="auto"/>
          </w:tcPr>
          <w:p w:rsidR="00D97E48" w:rsidRPr="002C1A71" w:rsidRDefault="00D97E48" w:rsidP="00D97E48">
            <w:pPr>
              <w:rPr>
                <w:sz w:val="18"/>
                <w:lang w:val="en-US"/>
              </w:rPr>
            </w:pPr>
          </w:p>
        </w:tc>
        <w:tc>
          <w:tcPr>
            <w:tcW w:w="4927" w:type="dxa"/>
            <w:vAlign w:val="center"/>
          </w:tcPr>
          <w:p w:rsidR="00D97E48" w:rsidRDefault="00D97E48" w:rsidP="00D97E48">
            <w:pPr>
              <w:ind w:firstLine="680"/>
              <w:rPr>
                <w:sz w:val="18"/>
              </w:rPr>
            </w:pPr>
            <w:r>
              <w:rPr>
                <w:noProof/>
                <w:sz w:val="20"/>
                <w:lang w:eastAsia="pl-PL"/>
              </w:rPr>
              <w:drawing>
                <wp:anchor distT="0" distB="0" distL="114300" distR="114300" simplePos="0" relativeHeight="251708928" behindDoc="0" locked="0" layoutInCell="1" allowOverlap="1" wp14:anchorId="508C57F5" wp14:editId="33172B05">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18" w:history="1">
              <w:r w:rsidRPr="00F7264C">
                <w:rPr>
                  <w:rStyle w:val="Hipercze"/>
                  <w:rFonts w:cstheme="minorBidi"/>
                  <w:sz w:val="20"/>
                </w:rPr>
                <w:t>stat.gov.pl/en/</w:t>
              </w:r>
              <w:r w:rsidRPr="00F7264C">
                <w:rPr>
                  <w:rStyle w:val="Hipercze"/>
                  <w:rFonts w:cstheme="minorBidi"/>
                  <w:sz w:val="18"/>
                </w:rPr>
                <w:t xml:space="preserve">    </w:t>
              </w:r>
            </w:hyperlink>
            <w:r>
              <w:rPr>
                <w:sz w:val="18"/>
              </w:rPr>
              <w:t xml:space="preserve"> </w:t>
            </w:r>
          </w:p>
        </w:tc>
      </w:tr>
      <w:tr w:rsidR="00D97E48" w:rsidTr="00B85BE2">
        <w:trPr>
          <w:trHeight w:val="418"/>
        </w:trPr>
        <w:tc>
          <w:tcPr>
            <w:tcW w:w="4926" w:type="dxa"/>
            <w:vMerge/>
            <w:shd w:val="clear" w:color="auto" w:fill="auto"/>
          </w:tcPr>
          <w:p w:rsidR="00D97E48" w:rsidRPr="00F24737" w:rsidRDefault="00D97E48" w:rsidP="00D97E48">
            <w:pPr>
              <w:rPr>
                <w:b/>
                <w:sz w:val="20"/>
                <w:lang w:val="en-US"/>
              </w:rPr>
            </w:pPr>
          </w:p>
        </w:tc>
        <w:tc>
          <w:tcPr>
            <w:tcW w:w="4927" w:type="dxa"/>
            <w:vAlign w:val="center"/>
          </w:tcPr>
          <w:p w:rsidR="00D97E48" w:rsidRDefault="00D97E48" w:rsidP="00D97E48">
            <w:pPr>
              <w:ind w:firstLine="680"/>
              <w:rPr>
                <w:sz w:val="18"/>
              </w:rPr>
            </w:pPr>
            <w:r>
              <w:rPr>
                <w:noProof/>
                <w:sz w:val="20"/>
                <w:lang w:eastAsia="pl-PL"/>
              </w:rPr>
              <w:drawing>
                <wp:anchor distT="0" distB="0" distL="114300" distR="114300" simplePos="0" relativeHeight="251709952" behindDoc="0" locked="0" layoutInCell="1" allowOverlap="1" wp14:anchorId="3F85E4AC" wp14:editId="0EA26497">
                  <wp:simplePos x="0" y="0"/>
                  <wp:positionH relativeFrom="column">
                    <wp:posOffset>76200</wp:posOffset>
                  </wp:positionH>
                  <wp:positionV relativeFrom="paragraph">
                    <wp:posOffset>21590</wp:posOffset>
                  </wp:positionV>
                  <wp:extent cx="251460" cy="251460"/>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0" w:history="1">
              <w:r w:rsidRPr="00F7264C">
                <w:rPr>
                  <w:rStyle w:val="Hipercze"/>
                  <w:rFonts w:cstheme="minorBidi"/>
                  <w:sz w:val="20"/>
                </w:rPr>
                <w:t>@</w:t>
              </w:r>
              <w:proofErr w:type="spellStart"/>
              <w:r w:rsidRPr="00F7264C">
                <w:rPr>
                  <w:rStyle w:val="Hipercze"/>
                  <w:rFonts w:cstheme="minorBidi"/>
                  <w:noProof/>
                  <w:sz w:val="20"/>
                  <w:lang w:eastAsia="pl-PL"/>
                </w:rPr>
                <w:t>StatPoland</w:t>
              </w:r>
              <w:proofErr w:type="spellEnd"/>
            </w:hyperlink>
          </w:p>
        </w:tc>
      </w:tr>
      <w:tr w:rsidR="00D97E48" w:rsidTr="00B85BE2">
        <w:trPr>
          <w:trHeight w:val="480"/>
        </w:trPr>
        <w:tc>
          <w:tcPr>
            <w:tcW w:w="4926" w:type="dxa"/>
            <w:vMerge/>
            <w:shd w:val="clear" w:color="auto" w:fill="auto"/>
          </w:tcPr>
          <w:p w:rsidR="00D97E48" w:rsidRPr="002C1A71" w:rsidRDefault="00D97E48" w:rsidP="00D97E48">
            <w:pPr>
              <w:rPr>
                <w:b/>
                <w:sz w:val="20"/>
              </w:rPr>
            </w:pPr>
          </w:p>
        </w:tc>
        <w:tc>
          <w:tcPr>
            <w:tcW w:w="4927" w:type="dxa"/>
          </w:tcPr>
          <w:p w:rsidR="00D97E48" w:rsidRDefault="00D97E48" w:rsidP="00D97E48">
            <w:pPr>
              <w:ind w:firstLine="680"/>
              <w:rPr>
                <w:sz w:val="18"/>
              </w:rPr>
            </w:pPr>
            <w:r>
              <w:rPr>
                <w:noProof/>
                <w:sz w:val="20"/>
                <w:lang w:eastAsia="pl-PL"/>
              </w:rPr>
              <w:drawing>
                <wp:anchor distT="0" distB="0" distL="114300" distR="114300" simplePos="0" relativeHeight="251710976" behindDoc="0" locked="0" layoutInCell="1" allowOverlap="1" wp14:anchorId="366D4C01" wp14:editId="1A098EA5">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2" w:history="1">
              <w:r w:rsidRPr="00F7264C">
                <w:rPr>
                  <w:rStyle w:val="Hipercze"/>
                  <w:rFonts w:cstheme="minorBidi"/>
                  <w:sz w:val="20"/>
                </w:rPr>
                <w:t>@</w:t>
              </w:r>
              <w:proofErr w:type="spellStart"/>
              <w:r w:rsidRPr="00F7264C">
                <w:rPr>
                  <w:rStyle w:val="Hipercze"/>
                  <w:rFonts w:cstheme="minorBidi"/>
                  <w:sz w:val="20"/>
                </w:rPr>
                <w:t>GlownyUrzadStatystyczny</w:t>
              </w:r>
              <w:proofErr w:type="spellEnd"/>
            </w:hyperlink>
            <w:r>
              <w:rPr>
                <w:noProof/>
                <w:sz w:val="20"/>
                <w:lang w:eastAsia="pl-PL"/>
              </w:rPr>
              <w:t xml:space="preserve"> </w:t>
            </w:r>
          </w:p>
        </w:tc>
      </w:tr>
      <w:tr w:rsidR="00D97E48" w:rsidTr="00B85BE2">
        <w:trPr>
          <w:trHeight w:val="480"/>
        </w:trPr>
        <w:tc>
          <w:tcPr>
            <w:tcW w:w="4926" w:type="dxa"/>
            <w:shd w:val="clear" w:color="auto" w:fill="auto"/>
          </w:tcPr>
          <w:p w:rsidR="00D97E48" w:rsidRPr="002C1A71" w:rsidRDefault="00D97E48" w:rsidP="00D97E48">
            <w:pPr>
              <w:rPr>
                <w:b/>
                <w:sz w:val="20"/>
              </w:rPr>
            </w:pPr>
          </w:p>
        </w:tc>
        <w:tc>
          <w:tcPr>
            <w:tcW w:w="4927" w:type="dxa"/>
          </w:tcPr>
          <w:p w:rsidR="00D97E48" w:rsidRPr="003D5F42" w:rsidRDefault="00D97E48" w:rsidP="00D97E48">
            <w:pPr>
              <w:ind w:firstLine="680"/>
              <w:rPr>
                <w:sz w:val="20"/>
              </w:rPr>
            </w:pPr>
            <w:r>
              <w:rPr>
                <w:noProof/>
                <w:sz w:val="20"/>
                <w:lang w:eastAsia="pl-PL"/>
              </w:rPr>
              <w:drawing>
                <wp:anchor distT="0" distB="0" distL="114300" distR="114300" simplePos="0" relativeHeight="251712000" behindDoc="0" locked="0" layoutInCell="1" allowOverlap="1" wp14:anchorId="76B5B77D" wp14:editId="344D33EB">
                  <wp:simplePos x="0" y="0"/>
                  <wp:positionH relativeFrom="column">
                    <wp:posOffset>82550</wp:posOffset>
                  </wp:positionH>
                  <wp:positionV relativeFrom="paragraph">
                    <wp:posOffset>12700</wp:posOffset>
                  </wp:positionV>
                  <wp:extent cx="251460" cy="251460"/>
                  <wp:effectExtent l="0" t="0" r="0" b="0"/>
                  <wp:wrapNone/>
                  <wp:docPr id="5" name="Obraz 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4" w:history="1">
              <w:r w:rsidRPr="00F7264C">
                <w:rPr>
                  <w:rStyle w:val="Hipercze"/>
                  <w:rFonts w:cstheme="minorBidi"/>
                  <w:sz w:val="20"/>
                </w:rPr>
                <w:t>@</w:t>
              </w:r>
              <w:proofErr w:type="spellStart"/>
              <w:r w:rsidRPr="00F7264C">
                <w:rPr>
                  <w:rStyle w:val="Hipercze"/>
                  <w:rFonts w:cstheme="minorBidi"/>
                  <w:sz w:val="20"/>
                </w:rPr>
                <w:t>gus_stat</w:t>
              </w:r>
              <w:proofErr w:type="spellEnd"/>
            </w:hyperlink>
          </w:p>
        </w:tc>
      </w:tr>
      <w:tr w:rsidR="00D97E48" w:rsidTr="00B85BE2">
        <w:trPr>
          <w:trHeight w:val="480"/>
        </w:trPr>
        <w:tc>
          <w:tcPr>
            <w:tcW w:w="4926" w:type="dxa"/>
            <w:shd w:val="clear" w:color="auto" w:fill="auto"/>
          </w:tcPr>
          <w:p w:rsidR="00D97E48" w:rsidRPr="002C1A71" w:rsidRDefault="00D97E48" w:rsidP="00D97E48">
            <w:pPr>
              <w:rPr>
                <w:b/>
                <w:sz w:val="20"/>
              </w:rPr>
            </w:pPr>
          </w:p>
        </w:tc>
        <w:tc>
          <w:tcPr>
            <w:tcW w:w="4927" w:type="dxa"/>
          </w:tcPr>
          <w:p w:rsidR="00D97E48" w:rsidRPr="003D5F42" w:rsidRDefault="00D97E48" w:rsidP="00D97E48">
            <w:pPr>
              <w:ind w:firstLine="680"/>
              <w:rPr>
                <w:sz w:val="20"/>
              </w:rPr>
            </w:pPr>
            <w:r>
              <w:rPr>
                <w:noProof/>
                <w:sz w:val="20"/>
                <w:lang w:eastAsia="pl-PL"/>
              </w:rPr>
              <w:drawing>
                <wp:anchor distT="0" distB="0" distL="114300" distR="114300" simplePos="0" relativeHeight="251713024" behindDoc="0" locked="0" layoutInCell="1" allowOverlap="1" wp14:anchorId="360552F3" wp14:editId="054C1743">
                  <wp:simplePos x="0" y="0"/>
                  <wp:positionH relativeFrom="column">
                    <wp:posOffset>82550</wp:posOffset>
                  </wp:positionH>
                  <wp:positionV relativeFrom="paragraph">
                    <wp:posOffset>13970</wp:posOffset>
                  </wp:positionV>
                  <wp:extent cx="251460" cy="251460"/>
                  <wp:effectExtent l="0" t="0" r="0" b="0"/>
                  <wp:wrapNone/>
                  <wp:docPr id="11" name="Obraz 11"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6" w:history="1">
              <w:r w:rsidRPr="00F7264C">
                <w:rPr>
                  <w:rStyle w:val="Hipercze"/>
                  <w:rFonts w:cstheme="minorBidi"/>
                  <w:sz w:val="20"/>
                </w:rPr>
                <w:t>@</w:t>
              </w:r>
              <w:proofErr w:type="spellStart"/>
              <w:r w:rsidRPr="00F7264C">
                <w:rPr>
                  <w:rStyle w:val="Hipercze"/>
                  <w:rFonts w:cstheme="minorBidi"/>
                  <w:sz w:val="20"/>
                </w:rPr>
                <w:t>GłównyUrządStatystycznyGUS</w:t>
              </w:r>
              <w:proofErr w:type="spellEnd"/>
            </w:hyperlink>
          </w:p>
        </w:tc>
      </w:tr>
      <w:tr w:rsidR="00D97E48" w:rsidTr="00B85BE2">
        <w:trPr>
          <w:trHeight w:val="953"/>
        </w:trPr>
        <w:tc>
          <w:tcPr>
            <w:tcW w:w="4926" w:type="dxa"/>
            <w:shd w:val="clear" w:color="auto" w:fill="auto"/>
          </w:tcPr>
          <w:p w:rsidR="00D97E48" w:rsidRPr="002C1A71" w:rsidRDefault="00D97E48" w:rsidP="00D97E48">
            <w:pPr>
              <w:rPr>
                <w:b/>
                <w:sz w:val="20"/>
              </w:rPr>
            </w:pPr>
          </w:p>
        </w:tc>
        <w:tc>
          <w:tcPr>
            <w:tcW w:w="4927" w:type="dxa"/>
          </w:tcPr>
          <w:p w:rsidR="00D97E48" w:rsidRPr="003D5F42" w:rsidRDefault="0096021F" w:rsidP="00D97E48">
            <w:pPr>
              <w:ind w:firstLine="680"/>
              <w:rPr>
                <w:sz w:val="20"/>
              </w:rPr>
            </w:pPr>
            <w:hyperlink r:id="rId27" w:history="1">
              <w:r w:rsidR="00D97E48" w:rsidRPr="00F7264C">
                <w:rPr>
                  <w:rStyle w:val="Hipercze"/>
                  <w:rFonts w:cstheme="minorBidi"/>
                  <w:noProof/>
                  <w:sz w:val="20"/>
                  <w:lang w:eastAsia="pl-PL"/>
                </w:rPr>
                <w:t>@Glówny Urząd Statystyczny</w:t>
              </w:r>
            </w:hyperlink>
            <w:r w:rsidR="00D97E48">
              <w:rPr>
                <w:noProof/>
                <w:sz w:val="20"/>
                <w:lang w:eastAsia="pl-PL"/>
              </w:rPr>
              <w:drawing>
                <wp:anchor distT="0" distB="0" distL="114300" distR="114300" simplePos="0" relativeHeight="251714048" behindDoc="0" locked="0" layoutInCell="1" allowOverlap="1" wp14:anchorId="50E83F17" wp14:editId="78C92AEC">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D97E48" w:rsidTr="001D3F48">
        <w:trPr>
          <w:trHeight w:val="4114"/>
        </w:trPr>
        <w:tc>
          <w:tcPr>
            <w:tcW w:w="9853" w:type="dxa"/>
            <w:gridSpan w:val="2"/>
            <w:shd w:val="clear" w:color="auto" w:fill="D9D9D9"/>
          </w:tcPr>
          <w:p w:rsidR="00D97E48" w:rsidRPr="002C1A71" w:rsidRDefault="00D97E48" w:rsidP="00D97E48">
            <w:pPr>
              <w:rPr>
                <w:b/>
                <w:lang w:val="en-US"/>
              </w:rPr>
            </w:pPr>
            <w:r w:rsidRPr="002C1A71">
              <w:rPr>
                <w:b/>
                <w:lang w:val="en-US"/>
              </w:rPr>
              <w:t>Related studies</w:t>
            </w:r>
          </w:p>
          <w:p w:rsidR="00D97E48" w:rsidRPr="00F24737" w:rsidRDefault="00D97E48" w:rsidP="00D97E48">
            <w:pPr>
              <w:rPr>
                <w:rStyle w:val="Hipercze"/>
                <w:rFonts w:eastAsia="Calibri"/>
                <w:lang w:val="en-GB"/>
              </w:rPr>
            </w:pPr>
            <w:r w:rsidRPr="002C1A71">
              <w:rPr>
                <w:rStyle w:val="Hipercze"/>
                <w:rFonts w:eastAsia="Calibri"/>
              </w:rPr>
              <w:fldChar w:fldCharType="begin"/>
            </w:r>
            <w:r w:rsidRPr="00967C90">
              <w:rPr>
                <w:rStyle w:val="Hipercze"/>
                <w:rFonts w:eastAsia="Calibri"/>
                <w:lang w:val="en-US"/>
              </w:rPr>
              <w:instrText>HYPERLINK "https://stat.gov.pl/en/topics/national-accounts/general-government-statistics/general-government-deficit-and-debt-in-2024,5,41.html" \o "Website address at news release 'General government deficit and debt in 2024.'"</w:instrText>
            </w:r>
            <w:r w:rsidRPr="002C1A71">
              <w:rPr>
                <w:rStyle w:val="Hipercze"/>
                <w:rFonts w:eastAsia="Calibri"/>
              </w:rPr>
              <w:fldChar w:fldCharType="separate"/>
            </w:r>
            <w:r w:rsidRPr="00F24737">
              <w:rPr>
                <w:rStyle w:val="Hipercze"/>
                <w:rFonts w:eastAsia="Calibri"/>
                <w:lang w:val="en-GB"/>
              </w:rPr>
              <w:t>General government deficit and debt in 202</w:t>
            </w:r>
            <w:r>
              <w:rPr>
                <w:rStyle w:val="Hipercze"/>
                <w:rFonts w:eastAsia="Calibri"/>
                <w:lang w:val="en-GB"/>
              </w:rPr>
              <w:t>4</w:t>
            </w:r>
          </w:p>
          <w:p w:rsidR="00D97E48" w:rsidRPr="002C1A71" w:rsidRDefault="00D97E48" w:rsidP="00D97E48">
            <w:pPr>
              <w:rPr>
                <w:rStyle w:val="Hipercze"/>
                <w:rFonts w:cs="Arial"/>
                <w:color w:val="auto"/>
                <w:sz w:val="18"/>
                <w:szCs w:val="30"/>
                <w:shd w:val="clear" w:color="auto" w:fill="F0F0F0"/>
                <w:lang w:val="en-US"/>
              </w:rPr>
            </w:pPr>
            <w:r w:rsidRPr="002C1A71">
              <w:rPr>
                <w:rStyle w:val="Hipercze"/>
                <w:rFonts w:eastAsia="Calibri"/>
              </w:rPr>
              <w:fldChar w:fldCharType="end"/>
            </w:r>
          </w:p>
          <w:p w:rsidR="00D97E48" w:rsidRPr="002C1A71" w:rsidRDefault="00D97E48" w:rsidP="00D97E48">
            <w:pPr>
              <w:rPr>
                <w:rStyle w:val="shorttext"/>
                <w:b/>
                <w:lang w:val="en-GB"/>
              </w:rPr>
            </w:pPr>
            <w:r w:rsidRPr="002C1A71">
              <w:rPr>
                <w:rStyle w:val="shorttext"/>
                <w:b/>
                <w:lang w:val="en-GB"/>
              </w:rPr>
              <w:t>Subject available in databases</w:t>
            </w:r>
          </w:p>
          <w:p w:rsidR="00D97E48" w:rsidRPr="00F24737" w:rsidRDefault="0096021F" w:rsidP="00D97E48">
            <w:pPr>
              <w:rPr>
                <w:rStyle w:val="Hipercze"/>
                <w:rFonts w:eastAsia="Calibri"/>
                <w:lang w:val="en-GB"/>
              </w:rPr>
            </w:pPr>
            <w:hyperlink r:id="rId29" w:tooltip="Website address at knowledge database-national accounts is available" w:history="1">
              <w:r w:rsidR="00D97E48" w:rsidRPr="00F24737">
                <w:rPr>
                  <w:rStyle w:val="Hipercze"/>
                  <w:rFonts w:eastAsia="Calibri"/>
                  <w:lang w:val="en-GB"/>
                </w:rPr>
                <w:t>Knowledge Databases – National Accounts</w:t>
              </w:r>
            </w:hyperlink>
          </w:p>
          <w:p w:rsidR="00D97E48" w:rsidRPr="002C1A71" w:rsidRDefault="00D97E48" w:rsidP="00D97E48">
            <w:pPr>
              <w:rPr>
                <w:b/>
                <w:szCs w:val="24"/>
                <w:highlight w:val="yellow"/>
                <w:lang w:val="en-US"/>
              </w:rPr>
            </w:pPr>
          </w:p>
          <w:p w:rsidR="00D97E48" w:rsidRPr="002C1A71" w:rsidRDefault="00D97E48" w:rsidP="00D97E48">
            <w:pPr>
              <w:rPr>
                <w:b/>
                <w:szCs w:val="24"/>
                <w:lang w:val="en-US"/>
              </w:rPr>
            </w:pPr>
            <w:r w:rsidRPr="002C1A71">
              <w:rPr>
                <w:rStyle w:val="shorttext"/>
                <w:b/>
                <w:lang w:val="en"/>
              </w:rPr>
              <w:t>Important concepts available in the dictionary</w:t>
            </w:r>
          </w:p>
          <w:p w:rsidR="00D97E48" w:rsidRPr="002C1A71" w:rsidRDefault="0096021F" w:rsidP="00D97E48">
            <w:pPr>
              <w:rPr>
                <w:rStyle w:val="Hipercze"/>
                <w:rFonts w:eastAsia="Calibri"/>
              </w:rPr>
            </w:pPr>
            <w:hyperlink r:id="rId30" w:tooltip="Website address at terms used in official statistics to define a meaning –gross domestic product is available" w:history="1">
              <w:r w:rsidR="00D97E48" w:rsidRPr="002C1A71">
                <w:rPr>
                  <w:rStyle w:val="Hipercze"/>
                  <w:rFonts w:eastAsia="Calibri"/>
                </w:rPr>
                <w:t xml:space="preserve">Gross </w:t>
              </w:r>
              <w:proofErr w:type="spellStart"/>
              <w:r w:rsidR="00D97E48" w:rsidRPr="002C1A71">
                <w:rPr>
                  <w:rStyle w:val="Hipercze"/>
                  <w:rFonts w:eastAsia="Calibri"/>
                </w:rPr>
                <w:t>domestic</w:t>
              </w:r>
              <w:proofErr w:type="spellEnd"/>
              <w:r w:rsidR="00D97E48" w:rsidRPr="002C1A71">
                <w:rPr>
                  <w:rStyle w:val="Hipercze"/>
                  <w:rFonts w:eastAsia="Calibri"/>
                </w:rPr>
                <w:t xml:space="preserve"> </w:t>
              </w:r>
              <w:proofErr w:type="spellStart"/>
              <w:r w:rsidR="00D97E48" w:rsidRPr="002C1A71">
                <w:rPr>
                  <w:rStyle w:val="Hipercze"/>
                  <w:rFonts w:eastAsia="Calibri"/>
                </w:rPr>
                <w:t>product</w:t>
              </w:r>
              <w:proofErr w:type="spellEnd"/>
            </w:hyperlink>
          </w:p>
          <w:p w:rsidR="00D97E48" w:rsidRPr="00417835" w:rsidRDefault="00D97E48" w:rsidP="00D97E48">
            <w:pPr>
              <w:rPr>
                <w:rStyle w:val="Hipercze"/>
              </w:rPr>
            </w:pPr>
          </w:p>
          <w:p w:rsidR="00D97E48" w:rsidRPr="002C1A71" w:rsidRDefault="00D97E48" w:rsidP="00D97E48">
            <w:pPr>
              <w:rPr>
                <w:b/>
                <w:color w:val="000000"/>
                <w:szCs w:val="24"/>
                <w:lang w:val="en-GB"/>
              </w:rPr>
            </w:pPr>
          </w:p>
          <w:p w:rsidR="00D97E48" w:rsidRPr="002C1A71" w:rsidRDefault="00D97E48" w:rsidP="00D97E48">
            <w:pPr>
              <w:rPr>
                <w:b/>
                <w:color w:val="000000"/>
                <w:szCs w:val="24"/>
                <w:lang w:val="en-GB"/>
              </w:rPr>
            </w:pPr>
          </w:p>
          <w:p w:rsidR="00D97E48" w:rsidRPr="002C1A71" w:rsidRDefault="00D97E48" w:rsidP="00D97E48">
            <w:pPr>
              <w:rPr>
                <w:b/>
                <w:color w:val="000000"/>
                <w:szCs w:val="24"/>
                <w:lang w:val="en-GB"/>
              </w:rPr>
            </w:pPr>
          </w:p>
        </w:tc>
      </w:tr>
      <w:bookmarkEnd w:id="19"/>
    </w:tbl>
    <w:p w:rsidR="00704CED" w:rsidRPr="00905C6D" w:rsidRDefault="00704CED" w:rsidP="00704CED">
      <w:pPr>
        <w:rPr>
          <w:sz w:val="18"/>
          <w:szCs w:val="18"/>
          <w:lang w:val="en-GB"/>
        </w:rPr>
      </w:pPr>
    </w:p>
    <w:p w:rsidR="00704CED" w:rsidRPr="00905C6D" w:rsidRDefault="00704CED" w:rsidP="00704CED">
      <w:pPr>
        <w:rPr>
          <w:sz w:val="18"/>
          <w:lang w:val="en-GB"/>
        </w:rPr>
      </w:pPr>
    </w:p>
    <w:p w:rsidR="00D261A2" w:rsidRPr="00001C5B" w:rsidRDefault="00D261A2" w:rsidP="00E76D26">
      <w:pPr>
        <w:rPr>
          <w:sz w:val="18"/>
        </w:rPr>
      </w:pPr>
    </w:p>
    <w:sectPr w:rsidR="00D261A2" w:rsidRPr="00001C5B" w:rsidSect="00FF1FB2">
      <w:headerReference w:type="default" r:id="rId31"/>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21F" w:rsidRDefault="0096021F" w:rsidP="000662E2">
      <w:pPr>
        <w:spacing w:after="0" w:line="240" w:lineRule="auto"/>
      </w:pPr>
      <w:r>
        <w:separator/>
      </w:r>
    </w:p>
  </w:endnote>
  <w:endnote w:type="continuationSeparator" w:id="0">
    <w:p w:rsidR="0096021F" w:rsidRDefault="0096021F"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altName w:val="Calibri"/>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21F" w:rsidRDefault="0096021F" w:rsidP="000662E2">
      <w:pPr>
        <w:spacing w:after="0" w:line="240" w:lineRule="auto"/>
      </w:pPr>
      <w:r>
        <w:separator/>
      </w:r>
    </w:p>
  </w:footnote>
  <w:footnote w:type="continuationSeparator" w:id="0">
    <w:p w:rsidR="0096021F" w:rsidRDefault="0096021F" w:rsidP="000662E2">
      <w:pPr>
        <w:spacing w:after="0" w:line="240" w:lineRule="auto"/>
      </w:pPr>
      <w:r>
        <w:continuationSeparator/>
      </w:r>
    </w:p>
  </w:footnote>
  <w:footnote w:id="1">
    <w:p w:rsidR="004301BD" w:rsidRPr="003818AB" w:rsidRDefault="001D3039" w:rsidP="003818AB">
      <w:pPr>
        <w:spacing w:before="0" w:after="0" w:line="240" w:lineRule="auto"/>
        <w:rPr>
          <w:rFonts w:cs="Arial"/>
          <w:szCs w:val="19"/>
          <w:lang w:val="en-US"/>
        </w:rPr>
      </w:pPr>
      <w:r w:rsidRPr="003818AB">
        <w:rPr>
          <w:rFonts w:cs="Arial"/>
          <w:szCs w:val="19"/>
          <w:lang w:val="en-US"/>
        </w:rPr>
        <w:t>* Data have</w:t>
      </w:r>
      <w:r w:rsidR="004301BD" w:rsidRPr="003818AB">
        <w:rPr>
          <w:rFonts w:cs="Arial"/>
          <w:szCs w:val="19"/>
          <w:lang w:val="en-US"/>
        </w:rPr>
        <w:t xml:space="preserve"> been revised in relation to the previously published on </w:t>
      </w:r>
      <w:r w:rsidR="00D24980" w:rsidRPr="008D3EEF">
        <w:rPr>
          <w:rFonts w:cs="Arial"/>
          <w:szCs w:val="19"/>
          <w:lang w:val="en-US"/>
        </w:rPr>
        <w:t>2</w:t>
      </w:r>
      <w:r w:rsidR="00C3031D">
        <w:rPr>
          <w:rFonts w:cs="Arial"/>
          <w:szCs w:val="19"/>
          <w:lang w:val="en-US"/>
        </w:rPr>
        <w:t>1</w:t>
      </w:r>
      <w:r w:rsidR="00D24980" w:rsidRPr="008D3EEF">
        <w:rPr>
          <w:rFonts w:cs="Arial"/>
          <w:szCs w:val="19"/>
          <w:lang w:val="en-US"/>
        </w:rPr>
        <w:t>.</w:t>
      </w:r>
      <w:r w:rsidR="00C3031D">
        <w:rPr>
          <w:rFonts w:cs="Arial"/>
          <w:szCs w:val="19"/>
          <w:lang w:val="en-US"/>
        </w:rPr>
        <w:t>1</w:t>
      </w:r>
      <w:r w:rsidR="000A0407" w:rsidRPr="008D3EEF">
        <w:rPr>
          <w:rFonts w:cs="Arial"/>
          <w:szCs w:val="19"/>
          <w:lang w:val="en-US"/>
        </w:rPr>
        <w:t>0</w:t>
      </w:r>
      <w:r w:rsidR="00714E3D" w:rsidRPr="008D3EEF">
        <w:rPr>
          <w:rFonts w:cs="Arial"/>
          <w:szCs w:val="19"/>
          <w:lang w:val="en-US"/>
        </w:rPr>
        <w:t>.202</w:t>
      </w:r>
      <w:r w:rsidR="0059041F" w:rsidRPr="008D3EEF">
        <w:rPr>
          <w:rFonts w:cs="Arial"/>
          <w:szCs w:val="19"/>
          <w:lang w:val="en-US"/>
        </w:rPr>
        <w:t>5</w:t>
      </w:r>
      <w:r w:rsidR="006455CE" w:rsidRPr="008D3EEF">
        <w:rPr>
          <w:rFonts w:cs="Arial"/>
          <w:szCs w:val="19"/>
          <w:lang w:val="en-US"/>
        </w:rPr>
        <w:t>.</w:t>
      </w:r>
    </w:p>
    <w:p w:rsidR="00646EF1" w:rsidRPr="003818AB" w:rsidRDefault="00F4367F" w:rsidP="003818AB">
      <w:pPr>
        <w:spacing w:before="0" w:after="0" w:line="240" w:lineRule="auto"/>
        <w:rPr>
          <w:rFonts w:cs="Arial"/>
          <w:szCs w:val="19"/>
          <w:u w:val="single"/>
          <w:lang w:val="en-US"/>
        </w:rPr>
      </w:pPr>
      <w:r w:rsidRPr="003818AB">
        <w:rPr>
          <w:rStyle w:val="Odwoanieprzypisudolnego"/>
          <w:rFonts w:cs="Arial"/>
          <w:szCs w:val="19"/>
        </w:rPr>
        <w:footnoteRef/>
      </w:r>
      <w:r w:rsidRPr="003818AB">
        <w:rPr>
          <w:rFonts w:cs="Arial"/>
          <w:szCs w:val="19"/>
          <w:lang w:val="en-US"/>
        </w:rPr>
        <w:t xml:space="preserve"> </w:t>
      </w:r>
      <w:r w:rsidR="00646EF1" w:rsidRPr="003818AB">
        <w:rPr>
          <w:rFonts w:cs="Arial"/>
          <w:szCs w:val="19"/>
          <w:lang w:val="en-US"/>
        </w:rPr>
        <w:t>T</w:t>
      </w:r>
      <w:r w:rsidR="004301BD" w:rsidRPr="003818AB">
        <w:rPr>
          <w:rFonts w:cs="Arial"/>
          <w:szCs w:val="19"/>
          <w:lang w:val="en-US"/>
        </w:rPr>
        <w:t>he man</w:t>
      </w:r>
      <w:r w:rsidR="00765921" w:rsidRPr="003818AB">
        <w:rPr>
          <w:rFonts w:cs="Arial"/>
          <w:szCs w:val="19"/>
          <w:lang w:val="en-US"/>
        </w:rPr>
        <w:t xml:space="preserve">ual is available on the website: </w:t>
      </w:r>
      <w:r w:rsidR="00B62758" w:rsidRPr="00D221C4">
        <w:rPr>
          <w:rFonts w:cs="Arial"/>
          <w:color w:val="000000"/>
          <w:szCs w:val="19"/>
          <w:u w:val="single"/>
          <w:lang w:val="en-GB"/>
        </w:rPr>
        <w:t>https://ec.europa.eu/eurostat/documents/3859598/16029761/KS-GQ-23-002-EN-N.pdf/77a75b07-61c3-7d34-5243-70d09bc00e44?version=3.0&amp;t=1677163672121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2E2" w:rsidRDefault="006E5848" w:rsidP="004C62B0">
    <w:pPr>
      <w:pStyle w:val="Nagwek"/>
      <w:ind w:right="-155"/>
    </w:pPr>
    <w:r>
      <w:rPr>
        <w:noProof/>
        <w:lang w:eastAsia="pl-PL"/>
      </w:rPr>
      <mc:AlternateContent>
        <mc:Choice Requires="wps">
          <w:drawing>
            <wp:anchor distT="0" distB="0" distL="114300" distR="114300" simplePos="0" relativeHeight="251655680" behindDoc="1" locked="0" layoutInCell="1" allowOverlap="1" wp14:anchorId="545A98D7" wp14:editId="32A645C0">
              <wp:simplePos x="0" y="0"/>
              <wp:positionH relativeFrom="page">
                <wp:align>right</wp:align>
              </wp:positionH>
              <wp:positionV relativeFrom="paragraph">
                <wp:posOffset>-178435</wp:posOffset>
              </wp:positionV>
              <wp:extent cx="1874520" cy="22680295"/>
              <wp:effectExtent l="3810" t="4445" r="0" b="3810"/>
              <wp:wrapNone/>
              <wp:docPr id="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22680295"/>
                      </a:xfrm>
                      <a:prstGeom prst="rect">
                        <a:avLst/>
                      </a:prstGeom>
                      <a:solidFill>
                        <a:srgbClr val="D8D8D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858DAFA" id="Prostokąt 24" o:spid="_x0000_s1026" style="position:absolute;margin-left:96.4pt;margin-top:-14.05pt;width:147.6pt;height:1785.85pt;z-index:-2516608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" fillcolor="#d8d8d8" stroked="f" strokeweight="1pt">
              <w10:wrap anchorx="page"/>
            </v:rect>
          </w:pict>
        </mc:Fallback>
      </mc:AlternateContent>
    </w:r>
  </w:p>
  <w:p w:rsidR="000662E2" w:rsidRDefault="000662E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749" w:rsidRDefault="006E5848" w:rsidP="00F64219">
    <w:pPr>
      <w:pStyle w:val="Nagwek"/>
      <w:rPr>
        <w:noProof/>
        <w:lang w:eastAsia="pl-PL"/>
      </w:rPr>
    </w:pPr>
    <w:r>
      <w:rPr>
        <w:noProof/>
        <w:lang w:eastAsia="pl-PL"/>
      </w:rPr>
      <w:drawing>
        <wp:anchor distT="0" distB="0" distL="114300" distR="114300" simplePos="0" relativeHeight="251659776" behindDoc="0" locked="0" layoutInCell="1" allowOverlap="1" wp14:anchorId="2FCEA1D4" wp14:editId="25231C02">
          <wp:simplePos x="0" y="0"/>
          <wp:positionH relativeFrom="column">
            <wp:posOffset>5080</wp:posOffset>
          </wp:positionH>
          <wp:positionV relativeFrom="paragraph">
            <wp:posOffset>87630</wp:posOffset>
          </wp:positionV>
          <wp:extent cx="1838325" cy="696595"/>
          <wp:effectExtent l="0" t="0" r="0" b="0"/>
          <wp:wrapSquare wrapText="bothSides"/>
          <wp:docPr id="13" name="Obraz 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Statistics Poland logoty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6965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mc:AlternateContent>
        <mc:Choice Requires="wps">
          <w:drawing>
            <wp:anchor distT="0" distB="0" distL="114300" distR="114300" simplePos="0" relativeHeight="251657728" behindDoc="0" locked="0" layoutInCell="1" allowOverlap="1" wp14:anchorId="4EF631F9" wp14:editId="55E7EE9A">
              <wp:simplePos x="0" y="0"/>
              <wp:positionH relativeFrom="column">
                <wp:posOffset>5036820</wp:posOffset>
              </wp:positionH>
              <wp:positionV relativeFrom="paragraph">
                <wp:posOffset>198755</wp:posOffset>
              </wp:positionV>
              <wp:extent cx="2060575" cy="357505"/>
              <wp:effectExtent l="7620" t="7620" r="8255" b="6350"/>
              <wp:wrapNone/>
              <wp:docPr id="3" name="Schemat blokowy: opóźnienie 6" descr="News releases&#10;&#10;&#10;&#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060575" cy="357505"/>
                      </a:xfrm>
                      <a:custGeom>
                        <a:avLst/>
                        <a:gdLst>
                          <a:gd name="T0" fmla="*/ 0 w 3527018"/>
                          <a:gd name="T1" fmla="*/ 0 h 612140"/>
                          <a:gd name="T2" fmla="*/ 1881761 w 3527018"/>
                          <a:gd name="T3" fmla="*/ 0 h 612140"/>
                          <a:gd name="T4" fmla="*/ 2060575 w 3527018"/>
                          <a:gd name="T5" fmla="*/ 178753 h 612140"/>
                          <a:gd name="T6" fmla="*/ 1881761 w 3527018"/>
                          <a:gd name="T7" fmla="*/ 357505 h 612140"/>
                          <a:gd name="T8" fmla="*/ 0 w 3527018"/>
                          <a:gd name="T9" fmla="*/ 357505 h 612140"/>
                          <a:gd name="T10" fmla="*/ 0 w 3527018"/>
                          <a:gd name="T11" fmla="*/ 0 h 612140"/>
                          <a:gd name="T12" fmla="*/ 0 60000 65536"/>
                          <a:gd name="T13" fmla="*/ 0 60000 65536"/>
                          <a:gd name="T14" fmla="*/ 0 60000 65536"/>
                          <a:gd name="T15" fmla="*/ 0 60000 65536"/>
                          <a:gd name="T16" fmla="*/ 0 60000 65536"/>
                          <a:gd name="T17" fmla="*/ 0 60000 65536"/>
                          <a:gd name="T18" fmla="*/ 0 w 3527018"/>
                          <a:gd name="T19" fmla="*/ 0 h 612140"/>
                          <a:gd name="T20" fmla="*/ 3527018 w 3527018"/>
                          <a:gd name="T21" fmla="*/ 612140 h 612140"/>
                        </a:gdLst>
                        <a:ahLst/>
                        <a:cxnLst>
                          <a:cxn ang="T12">
                            <a:pos x="T0" y="T1"/>
                          </a:cxn>
                          <a:cxn ang="T13">
                            <a:pos x="T2" y="T3"/>
                          </a:cxn>
                          <a:cxn ang="T14">
                            <a:pos x="T4" y="T5"/>
                          </a:cxn>
                          <a:cxn ang="T15">
                            <a:pos x="T6" y="T7"/>
                          </a:cxn>
                          <a:cxn ang="T16">
                            <a:pos x="T8" y="T9"/>
                          </a:cxn>
                          <a:cxn ang="T17">
                            <a:pos x="T10" y="T11"/>
                          </a:cxn>
                        </a:cxnLst>
                        <a:rect l="T18" t="T19" r="T20" b="T21"/>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FD626C" w:rsidRDefault="00893DFA" w:rsidP="00FD626C">
                          <w:pPr>
                            <w:spacing w:after="0" w:line="240" w:lineRule="auto"/>
                            <w:ind w:left="227"/>
                            <w:jc w:val="both"/>
                            <w:rPr>
                              <w:rStyle w:val="shorttext"/>
                              <w:lang w:val="en"/>
                            </w:rPr>
                          </w:pPr>
                          <w:r>
                            <w:rPr>
                              <w:rStyle w:val="shorttext"/>
                              <w:lang w:val="en"/>
                            </w:rPr>
                            <w:t>NEWS RELEASES</w:t>
                          </w:r>
                        </w:p>
                        <w:p w:rsidR="00893DFA" w:rsidRPr="003C6C8D" w:rsidRDefault="00893DFA" w:rsidP="00FD626C">
                          <w:pPr>
                            <w:spacing w:after="0" w:line="240" w:lineRule="auto"/>
                            <w:ind w:left="227"/>
                            <w:jc w:val="both"/>
                            <w:rPr>
                              <w:rFonts w:ascii="Fira Sans SemiBold" w:hAnsi="Fira Sans SemiBold"/>
                            </w:rPr>
                          </w:pPr>
                        </w:p>
                        <w:p w:rsidR="00F37172" w:rsidRPr="00FD626C" w:rsidRDefault="00F37172" w:rsidP="00FD626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EF631F9" id="Schemat blokowy: opóźnienie 6" o:spid="_x0000_s1028" alt="News releases&#10;&#10;&#10;&#10;" style="position:absolute;margin-left:396.6pt;margin-top:15.65pt;width:162.25pt;height:28.1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" adj="-11796480,,5400" path="m,l3220948,v169038,,306070,137032,306070,306070c3527018,475108,3389986,612140,3220948,612140l,612140,,xe" fillcolor="#001d77" stroked="f" strokeweight="1pt">
              <v:stroke joinstyle="miter"/>
              <v:formulas/>
              <v:path arrowok="t" o:connecttype="custom" o:connectlocs="0,0;1099373,0;1203841,104396;1099373,208792;0,208792;0,0" o:connectangles="0,0,0,0,0,0" textboxrect="0,0,3527018,612140"/>
              <v:textbox>
                <w:txbxContent>
                  <w:p w:rsidR="00FD626C" w:rsidRDefault="00893DFA" w:rsidP="00FD626C">
                    <w:pPr>
                      <w:spacing w:after="0" w:line="240" w:lineRule="auto"/>
                      <w:ind w:left="227"/>
                      <w:jc w:val="both"/>
                      <w:rPr>
                        <w:rStyle w:val="shorttext"/>
                        <w:lang w:val="en"/>
                      </w:rPr>
                    </w:pPr>
                    <w:r>
                      <w:rPr>
                        <w:rStyle w:val="shorttext"/>
                        <w:lang w:val="en"/>
                      </w:rPr>
                      <w:t>NEWS RELEASES</w:t>
                    </w:r>
                  </w:p>
                  <w:p w:rsidR="00893DFA" w:rsidRPr="003C6C8D" w:rsidRDefault="00893DFA" w:rsidP="00FD626C">
                    <w:pPr>
                      <w:spacing w:after="0" w:line="240" w:lineRule="auto"/>
                      <w:ind w:left="227"/>
                      <w:jc w:val="both"/>
                      <w:rPr>
                        <w:rFonts w:ascii="Fira Sans SemiBold" w:hAnsi="Fira Sans SemiBold"/>
                      </w:rPr>
                    </w:pPr>
                  </w:p>
                  <w:p w:rsidR="00F37172" w:rsidRPr="00FD626C" w:rsidRDefault="00F37172" w:rsidP="00FD626C"/>
                </w:txbxContent>
              </v:textbox>
            </v:shape>
          </w:pict>
        </mc:Fallback>
      </mc:AlternateContent>
    </w:r>
    <w:r>
      <w:rPr>
        <w:noProof/>
        <w:lang w:eastAsia="pl-PL"/>
      </w:rPr>
      <mc:AlternateContent>
        <mc:Choice Requires="wps">
          <w:drawing>
            <wp:anchor distT="0" distB="0" distL="114300" distR="114300" simplePos="0" relativeHeight="251656704" behindDoc="1" locked="0" layoutInCell="1" allowOverlap="1" wp14:anchorId="3DB97F49" wp14:editId="1054D83B">
              <wp:simplePos x="0" y="0"/>
              <wp:positionH relativeFrom="column">
                <wp:posOffset>5219065</wp:posOffset>
              </wp:positionH>
              <wp:positionV relativeFrom="paragraph">
                <wp:posOffset>511810</wp:posOffset>
              </wp:positionV>
              <wp:extent cx="1871980" cy="22905085"/>
              <wp:effectExtent l="0" t="0" r="0" b="2540"/>
              <wp:wrapTight wrapText="bothSides">
                <wp:wrapPolygon edited="0">
                  <wp:start x="-110" y="0"/>
                  <wp:lineTo x="-110" y="21591"/>
                  <wp:lineTo x="21600" y="21591"/>
                  <wp:lineTo x="21600" y="0"/>
                  <wp:lineTo x="-110" y="0"/>
                </wp:wrapPolygon>
              </wp:wrapTight>
              <wp:docPr id="2"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22905085"/>
                      </a:xfrm>
                      <a:prstGeom prst="rect">
                        <a:avLst/>
                      </a:prstGeom>
                      <a:solidFill>
                        <a:srgbClr val="D8D8D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0C901F3" id="Prostokąt 10" o:spid="_x0000_s1026" style="position:absolute;margin-left:410.95pt;margin-top:40.3pt;width:147.4pt;height:180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" fillcolor="#d8d8d8" stroked="f" strokeweight="1pt">
              <w10:wrap type="tight"/>
            </v:rect>
          </w:pict>
        </mc:Fallback>
      </mc:AlternateContent>
    </w:r>
    <w:r>
      <w:rPr>
        <w:noProof/>
        <w:lang w:eastAsia="pl-PL"/>
      </w:rPr>
      <mc:AlternateContent>
        <mc:Choice Requires="wps">
          <w:drawing>
            <wp:anchor distT="45720" distB="45720" distL="114300" distR="114300" simplePos="0" relativeHeight="251658752" behindDoc="0" locked="0" layoutInCell="1" allowOverlap="1" wp14:anchorId="21F81891" wp14:editId="674B3E2B">
              <wp:simplePos x="0" y="0"/>
              <wp:positionH relativeFrom="column">
                <wp:posOffset>5219700</wp:posOffset>
              </wp:positionH>
              <wp:positionV relativeFrom="paragraph">
                <wp:posOffset>716915</wp:posOffset>
              </wp:positionV>
              <wp:extent cx="1432560" cy="336550"/>
              <wp:effectExtent l="0" t="1905" r="0" b="4445"/>
              <wp:wrapNone/>
              <wp:docPr id="1" name="Text Box 1" descr="Publication date 22.04.202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172" w:rsidRPr="003818AB" w:rsidRDefault="00D24980" w:rsidP="00F37172">
                          <w:pPr>
                            <w:jc w:val="both"/>
                            <w:rPr>
                              <w:rFonts w:ascii="Fira Sans SemiBold" w:hAnsi="Fira Sans SemiBold"/>
                              <w:color w:val="001D77"/>
                              <w:sz w:val="20"/>
                            </w:rPr>
                          </w:pPr>
                          <w:r>
                            <w:rPr>
                              <w:rFonts w:ascii="Fira Sans SemiBold" w:hAnsi="Fira Sans SemiBold"/>
                              <w:color w:val="001D77"/>
                              <w:sz w:val="20"/>
                            </w:rPr>
                            <w:t>2</w:t>
                          </w:r>
                          <w:r w:rsidR="00D7778E">
                            <w:rPr>
                              <w:rFonts w:ascii="Fira Sans SemiBold" w:hAnsi="Fira Sans SemiBold"/>
                              <w:color w:val="001D77"/>
                              <w:sz w:val="20"/>
                            </w:rPr>
                            <w:t>2</w:t>
                          </w:r>
                          <w:r>
                            <w:rPr>
                              <w:rFonts w:ascii="Fira Sans SemiBold" w:hAnsi="Fira Sans SemiBold"/>
                              <w:color w:val="001D77"/>
                              <w:sz w:val="20"/>
                            </w:rPr>
                            <w:t>.</w:t>
                          </w:r>
                          <w:r w:rsidR="008D3EEF">
                            <w:rPr>
                              <w:rFonts w:ascii="Fira Sans SemiBold" w:hAnsi="Fira Sans SemiBold"/>
                              <w:color w:val="001D77"/>
                              <w:sz w:val="20"/>
                            </w:rPr>
                            <w:t>0</w:t>
                          </w:r>
                          <w:r w:rsidR="00D7778E">
                            <w:rPr>
                              <w:rFonts w:ascii="Fira Sans SemiBold" w:hAnsi="Fira Sans SemiBold"/>
                              <w:color w:val="001D77"/>
                              <w:sz w:val="20"/>
                            </w:rPr>
                            <w:t>4</w:t>
                          </w:r>
                          <w:r>
                            <w:rPr>
                              <w:rFonts w:ascii="Fira Sans SemiBold" w:hAnsi="Fira Sans SemiBold"/>
                              <w:color w:val="001D77"/>
                              <w:sz w:val="20"/>
                            </w:rPr>
                            <w:t>.202</w:t>
                          </w:r>
                          <w:r w:rsidR="00D7778E">
                            <w:rPr>
                              <w:rFonts w:ascii="Fira Sans SemiBold" w:hAnsi="Fira Sans SemiBold"/>
                              <w:color w:val="001D77"/>
                              <w:sz w:val="20"/>
                            </w:rPr>
                            <w:t>6</w:t>
                          </w:r>
                        </w:p>
                        <w:p w:rsidR="0072384A" w:rsidRPr="00C97596" w:rsidRDefault="0072384A" w:rsidP="00F37172">
                          <w:pPr>
                            <w:jc w:val="both"/>
                            <w:rPr>
                              <w:rFonts w:ascii="Fira Sans SemiBold" w:hAnsi="Fira Sans SemiBold"/>
                              <w:color w:val="001D77"/>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F81891" id="_x0000_t202" coordsize="21600,21600" o:spt="202" path="m,l,21600r21600,l21600,xe">
              <v:stroke joinstyle="miter"/>
              <v:path gradientshapeok="t" o:connecttype="rect"/>
            </v:shapetype>
            <v:shape id="Text Box 1" o:spid="_x0000_s1029" type="#_x0000_t202" alt="Publication date 22.04.2026&#10;" style="position:absolute;margin-left:411pt;margin-top:56.45pt;width:112.8pt;height:26.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" filled="f" stroked="f">
              <v:textbox>
                <w:txbxContent>
                  <w:p w:rsidR="00F37172" w:rsidRPr="003818AB" w:rsidRDefault="00D24980" w:rsidP="00F37172">
                    <w:pPr>
                      <w:jc w:val="both"/>
                      <w:rPr>
                        <w:rFonts w:ascii="Fira Sans SemiBold" w:hAnsi="Fira Sans SemiBold"/>
                        <w:color w:val="001D77"/>
                        <w:sz w:val="20"/>
                      </w:rPr>
                    </w:pPr>
                    <w:r>
                      <w:rPr>
                        <w:rFonts w:ascii="Fira Sans SemiBold" w:hAnsi="Fira Sans SemiBold"/>
                        <w:color w:val="001D77"/>
                        <w:sz w:val="20"/>
                      </w:rPr>
                      <w:t>2</w:t>
                    </w:r>
                    <w:r w:rsidR="00D7778E">
                      <w:rPr>
                        <w:rFonts w:ascii="Fira Sans SemiBold" w:hAnsi="Fira Sans SemiBold"/>
                        <w:color w:val="001D77"/>
                        <w:sz w:val="20"/>
                      </w:rPr>
                      <w:t>2</w:t>
                    </w:r>
                    <w:r>
                      <w:rPr>
                        <w:rFonts w:ascii="Fira Sans SemiBold" w:hAnsi="Fira Sans SemiBold"/>
                        <w:color w:val="001D77"/>
                        <w:sz w:val="20"/>
                      </w:rPr>
                      <w:t>.</w:t>
                    </w:r>
                    <w:r w:rsidR="008D3EEF">
                      <w:rPr>
                        <w:rFonts w:ascii="Fira Sans SemiBold" w:hAnsi="Fira Sans SemiBold"/>
                        <w:color w:val="001D77"/>
                        <w:sz w:val="20"/>
                      </w:rPr>
                      <w:t>0</w:t>
                    </w:r>
                    <w:r w:rsidR="00D7778E">
                      <w:rPr>
                        <w:rFonts w:ascii="Fira Sans SemiBold" w:hAnsi="Fira Sans SemiBold"/>
                        <w:color w:val="001D77"/>
                        <w:sz w:val="20"/>
                      </w:rPr>
                      <w:t>4</w:t>
                    </w:r>
                    <w:r>
                      <w:rPr>
                        <w:rFonts w:ascii="Fira Sans SemiBold" w:hAnsi="Fira Sans SemiBold"/>
                        <w:color w:val="001D77"/>
                        <w:sz w:val="20"/>
                      </w:rPr>
                      <w:t>.202</w:t>
                    </w:r>
                    <w:r w:rsidR="00D7778E">
                      <w:rPr>
                        <w:rFonts w:ascii="Fira Sans SemiBold" w:hAnsi="Fira Sans SemiBold"/>
                        <w:color w:val="001D77"/>
                        <w:sz w:val="20"/>
                      </w:rPr>
                      <w:t>6</w:t>
                    </w:r>
                  </w:p>
                  <w:p w:rsidR="0072384A" w:rsidRPr="00C97596" w:rsidRDefault="0072384A" w:rsidP="00F37172">
                    <w:pPr>
                      <w:jc w:val="both"/>
                      <w:rPr>
                        <w:rFonts w:ascii="Fira Sans SemiBold" w:hAnsi="Fira Sans SemiBold"/>
                        <w:color w:val="001D77"/>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CC5" w:rsidRDefault="00607CC5">
    <w:pPr>
      <w:pStyle w:val="Nagwek"/>
    </w:pPr>
  </w:p>
  <w:p w:rsidR="00607CC5" w:rsidRDefault="00607C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3.5pt;height:124.6pt;visibility:visible" o:bullet="t">
        <v:imagedata r:id="rId1" o:title=""/>
      </v:shape>
    </w:pict>
  </w:numPicBullet>
  <w:numPicBullet w:numPicBulletId="1">
    <w:pict>
      <v:shape id="_x0000_i1035" type="#_x0000_t75" style="width:123.5pt;height:124.6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documentProtection w:edit="trackedChanges" w:enforcement="0"/>
  <w:defaultTabStop w:val="708"/>
  <w:autoHyphenation/>
  <w:hyphenationZone w:val="425"/>
  <w:drawingGridHorizontalSpacing w:val="57"/>
  <w:drawingGridVerticalSpacing w:val="57"/>
  <w:characterSpacingControl w:val="doNotCompress"/>
  <w:hdrShapeDefaults>
    <o:shapedefaults v:ext="edit" spidmax="2049"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88E"/>
    <w:rsid w:val="00001C5B"/>
    <w:rsid w:val="00001FDD"/>
    <w:rsid w:val="00003194"/>
    <w:rsid w:val="00003437"/>
    <w:rsid w:val="0000349C"/>
    <w:rsid w:val="00003C62"/>
    <w:rsid w:val="00006DEF"/>
    <w:rsid w:val="0000709F"/>
    <w:rsid w:val="000108B8"/>
    <w:rsid w:val="000152F5"/>
    <w:rsid w:val="000166E0"/>
    <w:rsid w:val="00030B2F"/>
    <w:rsid w:val="000351AF"/>
    <w:rsid w:val="00036AAE"/>
    <w:rsid w:val="00036FDD"/>
    <w:rsid w:val="00040320"/>
    <w:rsid w:val="0004582E"/>
    <w:rsid w:val="000470AA"/>
    <w:rsid w:val="0005234C"/>
    <w:rsid w:val="00052F16"/>
    <w:rsid w:val="00057B03"/>
    <w:rsid w:val="00057C9B"/>
    <w:rsid w:val="00057CA1"/>
    <w:rsid w:val="00060050"/>
    <w:rsid w:val="00062FB3"/>
    <w:rsid w:val="000662E2"/>
    <w:rsid w:val="00066438"/>
    <w:rsid w:val="00066883"/>
    <w:rsid w:val="00067AFD"/>
    <w:rsid w:val="00067B83"/>
    <w:rsid w:val="000700A1"/>
    <w:rsid w:val="00072C66"/>
    <w:rsid w:val="000734F2"/>
    <w:rsid w:val="00074DD8"/>
    <w:rsid w:val="0007781D"/>
    <w:rsid w:val="000806F7"/>
    <w:rsid w:val="00080771"/>
    <w:rsid w:val="0008133A"/>
    <w:rsid w:val="000850F3"/>
    <w:rsid w:val="000869E3"/>
    <w:rsid w:val="0009213C"/>
    <w:rsid w:val="00093008"/>
    <w:rsid w:val="00094689"/>
    <w:rsid w:val="000954A9"/>
    <w:rsid w:val="000A0407"/>
    <w:rsid w:val="000A3C3C"/>
    <w:rsid w:val="000B0727"/>
    <w:rsid w:val="000B50F5"/>
    <w:rsid w:val="000B54A0"/>
    <w:rsid w:val="000C135D"/>
    <w:rsid w:val="000C55A5"/>
    <w:rsid w:val="000C57EA"/>
    <w:rsid w:val="000D13D0"/>
    <w:rsid w:val="000D1D43"/>
    <w:rsid w:val="000D20C4"/>
    <w:rsid w:val="000D225C"/>
    <w:rsid w:val="000D2A5C"/>
    <w:rsid w:val="000D3145"/>
    <w:rsid w:val="000D319A"/>
    <w:rsid w:val="000D66F3"/>
    <w:rsid w:val="000E0918"/>
    <w:rsid w:val="000E2279"/>
    <w:rsid w:val="000E4937"/>
    <w:rsid w:val="000E5F38"/>
    <w:rsid w:val="000E6618"/>
    <w:rsid w:val="000F10F9"/>
    <w:rsid w:val="00100444"/>
    <w:rsid w:val="001011C3"/>
    <w:rsid w:val="001036E7"/>
    <w:rsid w:val="00110D87"/>
    <w:rsid w:val="00111425"/>
    <w:rsid w:val="00114DB9"/>
    <w:rsid w:val="00116087"/>
    <w:rsid w:val="0011642E"/>
    <w:rsid w:val="00116E26"/>
    <w:rsid w:val="00124E9E"/>
    <w:rsid w:val="00126D76"/>
    <w:rsid w:val="00130296"/>
    <w:rsid w:val="00131434"/>
    <w:rsid w:val="0013276F"/>
    <w:rsid w:val="001328FA"/>
    <w:rsid w:val="0013658D"/>
    <w:rsid w:val="001377AC"/>
    <w:rsid w:val="001423B6"/>
    <w:rsid w:val="00142CA9"/>
    <w:rsid w:val="001433F1"/>
    <w:rsid w:val="001448A7"/>
    <w:rsid w:val="00146621"/>
    <w:rsid w:val="00146F51"/>
    <w:rsid w:val="001471B9"/>
    <w:rsid w:val="001478BF"/>
    <w:rsid w:val="00150391"/>
    <w:rsid w:val="001510FE"/>
    <w:rsid w:val="00151952"/>
    <w:rsid w:val="00152273"/>
    <w:rsid w:val="001542BB"/>
    <w:rsid w:val="00154BEE"/>
    <w:rsid w:val="00162325"/>
    <w:rsid w:val="0016567D"/>
    <w:rsid w:val="00172ECF"/>
    <w:rsid w:val="001733FB"/>
    <w:rsid w:val="001766A6"/>
    <w:rsid w:val="00185AD0"/>
    <w:rsid w:val="001951DA"/>
    <w:rsid w:val="001A174B"/>
    <w:rsid w:val="001A2FC2"/>
    <w:rsid w:val="001A5332"/>
    <w:rsid w:val="001A7E95"/>
    <w:rsid w:val="001B4FC4"/>
    <w:rsid w:val="001B6F2F"/>
    <w:rsid w:val="001C2F0A"/>
    <w:rsid w:val="001C3269"/>
    <w:rsid w:val="001D187C"/>
    <w:rsid w:val="001D1DB4"/>
    <w:rsid w:val="001D25E9"/>
    <w:rsid w:val="001D3039"/>
    <w:rsid w:val="001D3F48"/>
    <w:rsid w:val="001E0356"/>
    <w:rsid w:val="001E2B1C"/>
    <w:rsid w:val="001E3FF4"/>
    <w:rsid w:val="001E7357"/>
    <w:rsid w:val="001F0374"/>
    <w:rsid w:val="001F4767"/>
    <w:rsid w:val="001F7382"/>
    <w:rsid w:val="00202F0E"/>
    <w:rsid w:val="00220346"/>
    <w:rsid w:val="00223FD3"/>
    <w:rsid w:val="002244CC"/>
    <w:rsid w:val="0022623B"/>
    <w:rsid w:val="0023016F"/>
    <w:rsid w:val="00232938"/>
    <w:rsid w:val="0023558F"/>
    <w:rsid w:val="002409EE"/>
    <w:rsid w:val="002452DA"/>
    <w:rsid w:val="00253EC9"/>
    <w:rsid w:val="00257081"/>
    <w:rsid w:val="002574F9"/>
    <w:rsid w:val="002600BF"/>
    <w:rsid w:val="00262883"/>
    <w:rsid w:val="002631E2"/>
    <w:rsid w:val="00267DFF"/>
    <w:rsid w:val="0027203D"/>
    <w:rsid w:val="0027223D"/>
    <w:rsid w:val="00274706"/>
    <w:rsid w:val="00276811"/>
    <w:rsid w:val="002803F1"/>
    <w:rsid w:val="00280C0E"/>
    <w:rsid w:val="00282699"/>
    <w:rsid w:val="0028762C"/>
    <w:rsid w:val="0029081F"/>
    <w:rsid w:val="00291E28"/>
    <w:rsid w:val="002926DF"/>
    <w:rsid w:val="0029316F"/>
    <w:rsid w:val="0029469C"/>
    <w:rsid w:val="00296697"/>
    <w:rsid w:val="002A2947"/>
    <w:rsid w:val="002A6FDA"/>
    <w:rsid w:val="002B0472"/>
    <w:rsid w:val="002B5988"/>
    <w:rsid w:val="002B662C"/>
    <w:rsid w:val="002B6B12"/>
    <w:rsid w:val="002B7767"/>
    <w:rsid w:val="002C237F"/>
    <w:rsid w:val="002C6F5F"/>
    <w:rsid w:val="002D24C5"/>
    <w:rsid w:val="002D5237"/>
    <w:rsid w:val="002D7EFE"/>
    <w:rsid w:val="002E0C25"/>
    <w:rsid w:val="002E6140"/>
    <w:rsid w:val="002E66E7"/>
    <w:rsid w:val="002E6953"/>
    <w:rsid w:val="002E6985"/>
    <w:rsid w:val="002E71B6"/>
    <w:rsid w:val="002F0491"/>
    <w:rsid w:val="002F26D7"/>
    <w:rsid w:val="002F6567"/>
    <w:rsid w:val="002F6DAE"/>
    <w:rsid w:val="002F77C8"/>
    <w:rsid w:val="0030011A"/>
    <w:rsid w:val="00301795"/>
    <w:rsid w:val="00304841"/>
    <w:rsid w:val="00304F22"/>
    <w:rsid w:val="0030612E"/>
    <w:rsid w:val="00306C7C"/>
    <w:rsid w:val="003071E2"/>
    <w:rsid w:val="00307960"/>
    <w:rsid w:val="0031282B"/>
    <w:rsid w:val="00312FF3"/>
    <w:rsid w:val="00313055"/>
    <w:rsid w:val="00316D51"/>
    <w:rsid w:val="00320855"/>
    <w:rsid w:val="00320AC4"/>
    <w:rsid w:val="00322414"/>
    <w:rsid w:val="00322EDD"/>
    <w:rsid w:val="00322FEF"/>
    <w:rsid w:val="00326279"/>
    <w:rsid w:val="00326832"/>
    <w:rsid w:val="00332320"/>
    <w:rsid w:val="00332F60"/>
    <w:rsid w:val="003344B0"/>
    <w:rsid w:val="0034360C"/>
    <w:rsid w:val="00344368"/>
    <w:rsid w:val="003452E2"/>
    <w:rsid w:val="0034586A"/>
    <w:rsid w:val="00347D72"/>
    <w:rsid w:val="00350EC7"/>
    <w:rsid w:val="00352795"/>
    <w:rsid w:val="003533AD"/>
    <w:rsid w:val="00353FF9"/>
    <w:rsid w:val="00357611"/>
    <w:rsid w:val="00361913"/>
    <w:rsid w:val="0036643A"/>
    <w:rsid w:val="00366D5E"/>
    <w:rsid w:val="00367237"/>
    <w:rsid w:val="0037077F"/>
    <w:rsid w:val="00373882"/>
    <w:rsid w:val="00373AD5"/>
    <w:rsid w:val="00373EDF"/>
    <w:rsid w:val="00374326"/>
    <w:rsid w:val="0037522D"/>
    <w:rsid w:val="003760AD"/>
    <w:rsid w:val="003760C5"/>
    <w:rsid w:val="0037770B"/>
    <w:rsid w:val="003818AB"/>
    <w:rsid w:val="0038292F"/>
    <w:rsid w:val="003843DB"/>
    <w:rsid w:val="00390650"/>
    <w:rsid w:val="00393761"/>
    <w:rsid w:val="00397D18"/>
    <w:rsid w:val="003A198C"/>
    <w:rsid w:val="003A1B36"/>
    <w:rsid w:val="003A35BE"/>
    <w:rsid w:val="003A3C11"/>
    <w:rsid w:val="003A4A79"/>
    <w:rsid w:val="003A65D9"/>
    <w:rsid w:val="003B1454"/>
    <w:rsid w:val="003B5FC7"/>
    <w:rsid w:val="003C1CC5"/>
    <w:rsid w:val="003C59E0"/>
    <w:rsid w:val="003C5CB8"/>
    <w:rsid w:val="003C6C8D"/>
    <w:rsid w:val="003C791F"/>
    <w:rsid w:val="003D4B92"/>
    <w:rsid w:val="003D4F95"/>
    <w:rsid w:val="003D5F42"/>
    <w:rsid w:val="003D60A9"/>
    <w:rsid w:val="003D6799"/>
    <w:rsid w:val="003D691C"/>
    <w:rsid w:val="003D7DDC"/>
    <w:rsid w:val="003E1260"/>
    <w:rsid w:val="003E1872"/>
    <w:rsid w:val="003E2353"/>
    <w:rsid w:val="003E421F"/>
    <w:rsid w:val="003E4FD0"/>
    <w:rsid w:val="003E5607"/>
    <w:rsid w:val="003E64E5"/>
    <w:rsid w:val="003F33BD"/>
    <w:rsid w:val="003F4C97"/>
    <w:rsid w:val="003F7FE6"/>
    <w:rsid w:val="00400193"/>
    <w:rsid w:val="004046AC"/>
    <w:rsid w:val="00411FD8"/>
    <w:rsid w:val="00412FAE"/>
    <w:rsid w:val="00416B53"/>
    <w:rsid w:val="00417F49"/>
    <w:rsid w:val="004212E7"/>
    <w:rsid w:val="0042254A"/>
    <w:rsid w:val="004232BA"/>
    <w:rsid w:val="0042446D"/>
    <w:rsid w:val="00426879"/>
    <w:rsid w:val="00427BF8"/>
    <w:rsid w:val="004301BD"/>
    <w:rsid w:val="00431C02"/>
    <w:rsid w:val="004320A6"/>
    <w:rsid w:val="00432C9A"/>
    <w:rsid w:val="004334E1"/>
    <w:rsid w:val="004356DC"/>
    <w:rsid w:val="004357CF"/>
    <w:rsid w:val="00436230"/>
    <w:rsid w:val="004372E5"/>
    <w:rsid w:val="00437395"/>
    <w:rsid w:val="004406E5"/>
    <w:rsid w:val="00444EA8"/>
    <w:rsid w:val="00445047"/>
    <w:rsid w:val="0046016E"/>
    <w:rsid w:val="00463888"/>
    <w:rsid w:val="00463E39"/>
    <w:rsid w:val="004657FC"/>
    <w:rsid w:val="00466C0E"/>
    <w:rsid w:val="00466DED"/>
    <w:rsid w:val="00472571"/>
    <w:rsid w:val="004733F6"/>
    <w:rsid w:val="0047454E"/>
    <w:rsid w:val="00474E69"/>
    <w:rsid w:val="00475A31"/>
    <w:rsid w:val="004773B6"/>
    <w:rsid w:val="0048170D"/>
    <w:rsid w:val="00482124"/>
    <w:rsid w:val="00485CF6"/>
    <w:rsid w:val="0048700D"/>
    <w:rsid w:val="0049158F"/>
    <w:rsid w:val="004916D2"/>
    <w:rsid w:val="00494218"/>
    <w:rsid w:val="00494E16"/>
    <w:rsid w:val="00495040"/>
    <w:rsid w:val="0049621B"/>
    <w:rsid w:val="004B065A"/>
    <w:rsid w:val="004B270C"/>
    <w:rsid w:val="004B4F88"/>
    <w:rsid w:val="004C1895"/>
    <w:rsid w:val="004C1995"/>
    <w:rsid w:val="004C62B0"/>
    <w:rsid w:val="004C6D40"/>
    <w:rsid w:val="004D1501"/>
    <w:rsid w:val="004D37DF"/>
    <w:rsid w:val="004D5717"/>
    <w:rsid w:val="004E36D9"/>
    <w:rsid w:val="004E5344"/>
    <w:rsid w:val="004F0C3C"/>
    <w:rsid w:val="004F63FC"/>
    <w:rsid w:val="004F69C4"/>
    <w:rsid w:val="005026F8"/>
    <w:rsid w:val="00503152"/>
    <w:rsid w:val="00505A92"/>
    <w:rsid w:val="00513E55"/>
    <w:rsid w:val="00513E95"/>
    <w:rsid w:val="00516117"/>
    <w:rsid w:val="0051666B"/>
    <w:rsid w:val="00517FB3"/>
    <w:rsid w:val="005203F1"/>
    <w:rsid w:val="00521BC3"/>
    <w:rsid w:val="00521C72"/>
    <w:rsid w:val="00525798"/>
    <w:rsid w:val="00530DD6"/>
    <w:rsid w:val="00532943"/>
    <w:rsid w:val="00533632"/>
    <w:rsid w:val="00534A1C"/>
    <w:rsid w:val="0053664C"/>
    <w:rsid w:val="0054251F"/>
    <w:rsid w:val="00542628"/>
    <w:rsid w:val="00547BE0"/>
    <w:rsid w:val="00547CF5"/>
    <w:rsid w:val="00550618"/>
    <w:rsid w:val="00551C63"/>
    <w:rsid w:val="005520D8"/>
    <w:rsid w:val="005535A2"/>
    <w:rsid w:val="00554D74"/>
    <w:rsid w:val="00556CF1"/>
    <w:rsid w:val="0056307A"/>
    <w:rsid w:val="00571BEA"/>
    <w:rsid w:val="00572E91"/>
    <w:rsid w:val="00573C80"/>
    <w:rsid w:val="00574821"/>
    <w:rsid w:val="005762A7"/>
    <w:rsid w:val="005773B0"/>
    <w:rsid w:val="00577EAC"/>
    <w:rsid w:val="00582073"/>
    <w:rsid w:val="0059041F"/>
    <w:rsid w:val="005905E0"/>
    <w:rsid w:val="00591649"/>
    <w:rsid w:val="005916D7"/>
    <w:rsid w:val="005917EF"/>
    <w:rsid w:val="005A20DB"/>
    <w:rsid w:val="005A698C"/>
    <w:rsid w:val="005A6D3D"/>
    <w:rsid w:val="005B0A49"/>
    <w:rsid w:val="005B0BE6"/>
    <w:rsid w:val="005B7514"/>
    <w:rsid w:val="005C35BD"/>
    <w:rsid w:val="005C49AF"/>
    <w:rsid w:val="005D0DDF"/>
    <w:rsid w:val="005D2A63"/>
    <w:rsid w:val="005D753C"/>
    <w:rsid w:val="005E0799"/>
    <w:rsid w:val="005E4178"/>
    <w:rsid w:val="005E49E4"/>
    <w:rsid w:val="005E645F"/>
    <w:rsid w:val="005E6CE0"/>
    <w:rsid w:val="005F0C9B"/>
    <w:rsid w:val="005F5390"/>
    <w:rsid w:val="005F5A80"/>
    <w:rsid w:val="006044FF"/>
    <w:rsid w:val="00607CC5"/>
    <w:rsid w:val="00616189"/>
    <w:rsid w:val="0062390F"/>
    <w:rsid w:val="00624080"/>
    <w:rsid w:val="006240E0"/>
    <w:rsid w:val="00625F00"/>
    <w:rsid w:val="00626676"/>
    <w:rsid w:val="006275D5"/>
    <w:rsid w:val="00630789"/>
    <w:rsid w:val="00633014"/>
    <w:rsid w:val="0063437B"/>
    <w:rsid w:val="00635D93"/>
    <w:rsid w:val="006455CE"/>
    <w:rsid w:val="00646EF1"/>
    <w:rsid w:val="0065389A"/>
    <w:rsid w:val="006618F5"/>
    <w:rsid w:val="006673CA"/>
    <w:rsid w:val="00667ADC"/>
    <w:rsid w:val="0067350E"/>
    <w:rsid w:val="00673C26"/>
    <w:rsid w:val="006812AF"/>
    <w:rsid w:val="006822F9"/>
    <w:rsid w:val="0068327D"/>
    <w:rsid w:val="00686F3A"/>
    <w:rsid w:val="00690893"/>
    <w:rsid w:val="006914F1"/>
    <w:rsid w:val="00692EB6"/>
    <w:rsid w:val="00694AF0"/>
    <w:rsid w:val="00695E23"/>
    <w:rsid w:val="006A0131"/>
    <w:rsid w:val="006A0327"/>
    <w:rsid w:val="006A10BF"/>
    <w:rsid w:val="006B0E9E"/>
    <w:rsid w:val="006B55C0"/>
    <w:rsid w:val="006B5AE4"/>
    <w:rsid w:val="006B5E06"/>
    <w:rsid w:val="006C3907"/>
    <w:rsid w:val="006C4D80"/>
    <w:rsid w:val="006D3220"/>
    <w:rsid w:val="006D3E99"/>
    <w:rsid w:val="006D4054"/>
    <w:rsid w:val="006D49AB"/>
    <w:rsid w:val="006D4C20"/>
    <w:rsid w:val="006E02EC"/>
    <w:rsid w:val="006E3228"/>
    <w:rsid w:val="006E4685"/>
    <w:rsid w:val="006E5848"/>
    <w:rsid w:val="006F3A3A"/>
    <w:rsid w:val="006F4638"/>
    <w:rsid w:val="006F569E"/>
    <w:rsid w:val="00700067"/>
    <w:rsid w:val="00701A6F"/>
    <w:rsid w:val="00704CED"/>
    <w:rsid w:val="00706C85"/>
    <w:rsid w:val="00714E3D"/>
    <w:rsid w:val="0071510B"/>
    <w:rsid w:val="00717AFC"/>
    <w:rsid w:val="007211B1"/>
    <w:rsid w:val="0072170E"/>
    <w:rsid w:val="007232BE"/>
    <w:rsid w:val="0072384A"/>
    <w:rsid w:val="007266EC"/>
    <w:rsid w:val="00727557"/>
    <w:rsid w:val="00741EA9"/>
    <w:rsid w:val="00742082"/>
    <w:rsid w:val="00743351"/>
    <w:rsid w:val="00746187"/>
    <w:rsid w:val="00747BF9"/>
    <w:rsid w:val="0076254F"/>
    <w:rsid w:val="00765921"/>
    <w:rsid w:val="00770436"/>
    <w:rsid w:val="00772308"/>
    <w:rsid w:val="0077231D"/>
    <w:rsid w:val="00773CA5"/>
    <w:rsid w:val="007801F5"/>
    <w:rsid w:val="00781FD1"/>
    <w:rsid w:val="00783CA4"/>
    <w:rsid w:val="007842FB"/>
    <w:rsid w:val="00786124"/>
    <w:rsid w:val="00787696"/>
    <w:rsid w:val="00787801"/>
    <w:rsid w:val="0079514B"/>
    <w:rsid w:val="00795C08"/>
    <w:rsid w:val="007A20C5"/>
    <w:rsid w:val="007A2DC1"/>
    <w:rsid w:val="007A2DF0"/>
    <w:rsid w:val="007A4EF4"/>
    <w:rsid w:val="007A69AD"/>
    <w:rsid w:val="007B3B9A"/>
    <w:rsid w:val="007B5A2A"/>
    <w:rsid w:val="007C0A9B"/>
    <w:rsid w:val="007C2125"/>
    <w:rsid w:val="007C4319"/>
    <w:rsid w:val="007C4817"/>
    <w:rsid w:val="007C5AEF"/>
    <w:rsid w:val="007D3319"/>
    <w:rsid w:val="007D335D"/>
    <w:rsid w:val="007D544C"/>
    <w:rsid w:val="007E173E"/>
    <w:rsid w:val="007E1968"/>
    <w:rsid w:val="007E3314"/>
    <w:rsid w:val="007E4B03"/>
    <w:rsid w:val="007E50CC"/>
    <w:rsid w:val="007E7070"/>
    <w:rsid w:val="007E7E83"/>
    <w:rsid w:val="007F27A3"/>
    <w:rsid w:val="007F324B"/>
    <w:rsid w:val="007F3F8F"/>
    <w:rsid w:val="007F4B18"/>
    <w:rsid w:val="007F4FCD"/>
    <w:rsid w:val="00804313"/>
    <w:rsid w:val="0080553C"/>
    <w:rsid w:val="00805B46"/>
    <w:rsid w:val="00805E15"/>
    <w:rsid w:val="0080765C"/>
    <w:rsid w:val="00807A5D"/>
    <w:rsid w:val="00810884"/>
    <w:rsid w:val="00811539"/>
    <w:rsid w:val="00811D37"/>
    <w:rsid w:val="00813856"/>
    <w:rsid w:val="008202F5"/>
    <w:rsid w:val="00822919"/>
    <w:rsid w:val="00823A6E"/>
    <w:rsid w:val="00825DC2"/>
    <w:rsid w:val="0082630A"/>
    <w:rsid w:val="00827455"/>
    <w:rsid w:val="0082793A"/>
    <w:rsid w:val="00830E55"/>
    <w:rsid w:val="00831544"/>
    <w:rsid w:val="00834AD3"/>
    <w:rsid w:val="0084182C"/>
    <w:rsid w:val="00843795"/>
    <w:rsid w:val="00845A8D"/>
    <w:rsid w:val="00847419"/>
    <w:rsid w:val="00847842"/>
    <w:rsid w:val="00847F0F"/>
    <w:rsid w:val="00852448"/>
    <w:rsid w:val="0085527B"/>
    <w:rsid w:val="00860E59"/>
    <w:rsid w:val="00865D62"/>
    <w:rsid w:val="00871069"/>
    <w:rsid w:val="00871B59"/>
    <w:rsid w:val="008736A6"/>
    <w:rsid w:val="0087425A"/>
    <w:rsid w:val="0088258A"/>
    <w:rsid w:val="00882C77"/>
    <w:rsid w:val="00885D71"/>
    <w:rsid w:val="008862C5"/>
    <w:rsid w:val="00886332"/>
    <w:rsid w:val="00890179"/>
    <w:rsid w:val="00892036"/>
    <w:rsid w:val="00893DFA"/>
    <w:rsid w:val="008A05A9"/>
    <w:rsid w:val="008A26D9"/>
    <w:rsid w:val="008A462E"/>
    <w:rsid w:val="008A6E26"/>
    <w:rsid w:val="008A7F13"/>
    <w:rsid w:val="008B0038"/>
    <w:rsid w:val="008B0F83"/>
    <w:rsid w:val="008B1E16"/>
    <w:rsid w:val="008B5A4B"/>
    <w:rsid w:val="008B5AC7"/>
    <w:rsid w:val="008B6123"/>
    <w:rsid w:val="008C0C29"/>
    <w:rsid w:val="008C0CF3"/>
    <w:rsid w:val="008C45AE"/>
    <w:rsid w:val="008C5481"/>
    <w:rsid w:val="008D3879"/>
    <w:rsid w:val="008D3923"/>
    <w:rsid w:val="008D3EEF"/>
    <w:rsid w:val="008D4286"/>
    <w:rsid w:val="008E2D58"/>
    <w:rsid w:val="008E3FD3"/>
    <w:rsid w:val="008E5724"/>
    <w:rsid w:val="008F3133"/>
    <w:rsid w:val="008F3638"/>
    <w:rsid w:val="008F6F31"/>
    <w:rsid w:val="008F74DF"/>
    <w:rsid w:val="008F77D5"/>
    <w:rsid w:val="009007C1"/>
    <w:rsid w:val="00902DF7"/>
    <w:rsid w:val="00905709"/>
    <w:rsid w:val="00905B8B"/>
    <w:rsid w:val="00905C6D"/>
    <w:rsid w:val="009109A6"/>
    <w:rsid w:val="009127BA"/>
    <w:rsid w:val="009201A8"/>
    <w:rsid w:val="009227A6"/>
    <w:rsid w:val="0092428C"/>
    <w:rsid w:val="009250E8"/>
    <w:rsid w:val="00930709"/>
    <w:rsid w:val="00930939"/>
    <w:rsid w:val="00930DBE"/>
    <w:rsid w:val="00933EC1"/>
    <w:rsid w:val="00935267"/>
    <w:rsid w:val="00935F3A"/>
    <w:rsid w:val="00940EED"/>
    <w:rsid w:val="0094172E"/>
    <w:rsid w:val="0094433C"/>
    <w:rsid w:val="00952EAA"/>
    <w:rsid w:val="009530DB"/>
    <w:rsid w:val="00953676"/>
    <w:rsid w:val="0096021F"/>
    <w:rsid w:val="00962814"/>
    <w:rsid w:val="009637BF"/>
    <w:rsid w:val="00967C90"/>
    <w:rsid w:val="009705EE"/>
    <w:rsid w:val="009724EC"/>
    <w:rsid w:val="0097315A"/>
    <w:rsid w:val="00974515"/>
    <w:rsid w:val="00977927"/>
    <w:rsid w:val="0098135C"/>
    <w:rsid w:val="00981472"/>
    <w:rsid w:val="0098156A"/>
    <w:rsid w:val="00983768"/>
    <w:rsid w:val="00986BE7"/>
    <w:rsid w:val="00991BAC"/>
    <w:rsid w:val="00996425"/>
    <w:rsid w:val="00996CD1"/>
    <w:rsid w:val="009A0715"/>
    <w:rsid w:val="009A0AEE"/>
    <w:rsid w:val="009A62C2"/>
    <w:rsid w:val="009A6EA0"/>
    <w:rsid w:val="009B021C"/>
    <w:rsid w:val="009B7C4B"/>
    <w:rsid w:val="009C0398"/>
    <w:rsid w:val="009C113C"/>
    <w:rsid w:val="009C1335"/>
    <w:rsid w:val="009C1AB2"/>
    <w:rsid w:val="009C33CD"/>
    <w:rsid w:val="009C70BD"/>
    <w:rsid w:val="009C71ED"/>
    <w:rsid w:val="009C7251"/>
    <w:rsid w:val="009C748C"/>
    <w:rsid w:val="009D1F87"/>
    <w:rsid w:val="009D23F3"/>
    <w:rsid w:val="009E2E91"/>
    <w:rsid w:val="009E3936"/>
    <w:rsid w:val="009F2201"/>
    <w:rsid w:val="009F76B9"/>
    <w:rsid w:val="00A02E78"/>
    <w:rsid w:val="00A075F1"/>
    <w:rsid w:val="00A1169C"/>
    <w:rsid w:val="00A11E70"/>
    <w:rsid w:val="00A12D2D"/>
    <w:rsid w:val="00A139F5"/>
    <w:rsid w:val="00A16A41"/>
    <w:rsid w:val="00A3114A"/>
    <w:rsid w:val="00A32A01"/>
    <w:rsid w:val="00A32D05"/>
    <w:rsid w:val="00A334DB"/>
    <w:rsid w:val="00A337E2"/>
    <w:rsid w:val="00A353C4"/>
    <w:rsid w:val="00A35913"/>
    <w:rsid w:val="00A35AE2"/>
    <w:rsid w:val="00A365F4"/>
    <w:rsid w:val="00A3719C"/>
    <w:rsid w:val="00A377DA"/>
    <w:rsid w:val="00A40C43"/>
    <w:rsid w:val="00A41997"/>
    <w:rsid w:val="00A42D7C"/>
    <w:rsid w:val="00A46098"/>
    <w:rsid w:val="00A47D80"/>
    <w:rsid w:val="00A47F3A"/>
    <w:rsid w:val="00A519DF"/>
    <w:rsid w:val="00A51EF7"/>
    <w:rsid w:val="00A53132"/>
    <w:rsid w:val="00A563F2"/>
    <w:rsid w:val="00A566E8"/>
    <w:rsid w:val="00A57B83"/>
    <w:rsid w:val="00A605CD"/>
    <w:rsid w:val="00A617CD"/>
    <w:rsid w:val="00A62678"/>
    <w:rsid w:val="00A649FF"/>
    <w:rsid w:val="00A67688"/>
    <w:rsid w:val="00A67F74"/>
    <w:rsid w:val="00A70693"/>
    <w:rsid w:val="00A70E20"/>
    <w:rsid w:val="00A810F9"/>
    <w:rsid w:val="00A86ECC"/>
    <w:rsid w:val="00A86FCC"/>
    <w:rsid w:val="00A87F65"/>
    <w:rsid w:val="00A90146"/>
    <w:rsid w:val="00A90AF9"/>
    <w:rsid w:val="00A914BC"/>
    <w:rsid w:val="00A942F9"/>
    <w:rsid w:val="00A94912"/>
    <w:rsid w:val="00A94BE9"/>
    <w:rsid w:val="00A95B33"/>
    <w:rsid w:val="00A976C1"/>
    <w:rsid w:val="00AA37AC"/>
    <w:rsid w:val="00AA52F9"/>
    <w:rsid w:val="00AA710D"/>
    <w:rsid w:val="00AB004C"/>
    <w:rsid w:val="00AB1A0C"/>
    <w:rsid w:val="00AB317B"/>
    <w:rsid w:val="00AB4EF0"/>
    <w:rsid w:val="00AB5D92"/>
    <w:rsid w:val="00AB5F21"/>
    <w:rsid w:val="00AB6D25"/>
    <w:rsid w:val="00AC0A23"/>
    <w:rsid w:val="00AC2BA8"/>
    <w:rsid w:val="00AC66AB"/>
    <w:rsid w:val="00AC6A4B"/>
    <w:rsid w:val="00AC757E"/>
    <w:rsid w:val="00AD07F3"/>
    <w:rsid w:val="00AD0F3D"/>
    <w:rsid w:val="00AD161A"/>
    <w:rsid w:val="00AD5989"/>
    <w:rsid w:val="00AD6205"/>
    <w:rsid w:val="00AE2D4B"/>
    <w:rsid w:val="00AE4F41"/>
    <w:rsid w:val="00AE4F99"/>
    <w:rsid w:val="00AE66C1"/>
    <w:rsid w:val="00AE7699"/>
    <w:rsid w:val="00AF0A5D"/>
    <w:rsid w:val="00AF0C31"/>
    <w:rsid w:val="00AF6A83"/>
    <w:rsid w:val="00AF7583"/>
    <w:rsid w:val="00B10B0E"/>
    <w:rsid w:val="00B119FA"/>
    <w:rsid w:val="00B141C4"/>
    <w:rsid w:val="00B14869"/>
    <w:rsid w:val="00B14952"/>
    <w:rsid w:val="00B14A55"/>
    <w:rsid w:val="00B170D5"/>
    <w:rsid w:val="00B17987"/>
    <w:rsid w:val="00B20E86"/>
    <w:rsid w:val="00B237B4"/>
    <w:rsid w:val="00B258CC"/>
    <w:rsid w:val="00B27975"/>
    <w:rsid w:val="00B27ABB"/>
    <w:rsid w:val="00B3166E"/>
    <w:rsid w:val="00B31E5A"/>
    <w:rsid w:val="00B3240E"/>
    <w:rsid w:val="00B33B76"/>
    <w:rsid w:val="00B37D7C"/>
    <w:rsid w:val="00B42F8F"/>
    <w:rsid w:val="00B62758"/>
    <w:rsid w:val="00B632DC"/>
    <w:rsid w:val="00B63DC1"/>
    <w:rsid w:val="00B6457A"/>
    <w:rsid w:val="00B653AB"/>
    <w:rsid w:val="00B65F9E"/>
    <w:rsid w:val="00B66B19"/>
    <w:rsid w:val="00B67C46"/>
    <w:rsid w:val="00B712E6"/>
    <w:rsid w:val="00B72A6B"/>
    <w:rsid w:val="00B85636"/>
    <w:rsid w:val="00B914E9"/>
    <w:rsid w:val="00B956EE"/>
    <w:rsid w:val="00BA2BA1"/>
    <w:rsid w:val="00BA2F07"/>
    <w:rsid w:val="00BB0128"/>
    <w:rsid w:val="00BB0447"/>
    <w:rsid w:val="00BB0A85"/>
    <w:rsid w:val="00BB18E8"/>
    <w:rsid w:val="00BB4F09"/>
    <w:rsid w:val="00BB52BF"/>
    <w:rsid w:val="00BC4167"/>
    <w:rsid w:val="00BC6DC1"/>
    <w:rsid w:val="00BC7B8A"/>
    <w:rsid w:val="00BD061F"/>
    <w:rsid w:val="00BD3D40"/>
    <w:rsid w:val="00BD4289"/>
    <w:rsid w:val="00BD4E33"/>
    <w:rsid w:val="00BE2DE5"/>
    <w:rsid w:val="00BE5024"/>
    <w:rsid w:val="00BF0BB4"/>
    <w:rsid w:val="00BF61FA"/>
    <w:rsid w:val="00C002F7"/>
    <w:rsid w:val="00C006F3"/>
    <w:rsid w:val="00C00B05"/>
    <w:rsid w:val="00C01CC5"/>
    <w:rsid w:val="00C02A43"/>
    <w:rsid w:val="00C030DE"/>
    <w:rsid w:val="00C04CF9"/>
    <w:rsid w:val="00C07AB3"/>
    <w:rsid w:val="00C10066"/>
    <w:rsid w:val="00C17A31"/>
    <w:rsid w:val="00C22105"/>
    <w:rsid w:val="00C22198"/>
    <w:rsid w:val="00C244B6"/>
    <w:rsid w:val="00C3031D"/>
    <w:rsid w:val="00C31912"/>
    <w:rsid w:val="00C319D9"/>
    <w:rsid w:val="00C3240D"/>
    <w:rsid w:val="00C33026"/>
    <w:rsid w:val="00C34A57"/>
    <w:rsid w:val="00C3702F"/>
    <w:rsid w:val="00C37B54"/>
    <w:rsid w:val="00C41B62"/>
    <w:rsid w:val="00C471C2"/>
    <w:rsid w:val="00C5122A"/>
    <w:rsid w:val="00C5160D"/>
    <w:rsid w:val="00C55C1F"/>
    <w:rsid w:val="00C56B97"/>
    <w:rsid w:val="00C57166"/>
    <w:rsid w:val="00C6453E"/>
    <w:rsid w:val="00C64A37"/>
    <w:rsid w:val="00C65C10"/>
    <w:rsid w:val="00C678E8"/>
    <w:rsid w:val="00C70D48"/>
    <w:rsid w:val="00C7158E"/>
    <w:rsid w:val="00C7250B"/>
    <w:rsid w:val="00C7281A"/>
    <w:rsid w:val="00C7346B"/>
    <w:rsid w:val="00C74D9F"/>
    <w:rsid w:val="00C76CAA"/>
    <w:rsid w:val="00C778CF"/>
    <w:rsid w:val="00C77C0E"/>
    <w:rsid w:val="00C80397"/>
    <w:rsid w:val="00C8573E"/>
    <w:rsid w:val="00C85C79"/>
    <w:rsid w:val="00C91687"/>
    <w:rsid w:val="00C924A8"/>
    <w:rsid w:val="00C9317E"/>
    <w:rsid w:val="00C934F2"/>
    <w:rsid w:val="00C945FE"/>
    <w:rsid w:val="00C95D0C"/>
    <w:rsid w:val="00C96FAA"/>
    <w:rsid w:val="00C97A04"/>
    <w:rsid w:val="00C97DB3"/>
    <w:rsid w:val="00CA107B"/>
    <w:rsid w:val="00CA4348"/>
    <w:rsid w:val="00CA484D"/>
    <w:rsid w:val="00CA4A73"/>
    <w:rsid w:val="00CA60D4"/>
    <w:rsid w:val="00CB1757"/>
    <w:rsid w:val="00CB3650"/>
    <w:rsid w:val="00CB62B5"/>
    <w:rsid w:val="00CC03D4"/>
    <w:rsid w:val="00CC1796"/>
    <w:rsid w:val="00CC3F28"/>
    <w:rsid w:val="00CC5264"/>
    <w:rsid w:val="00CC6671"/>
    <w:rsid w:val="00CC739E"/>
    <w:rsid w:val="00CD050F"/>
    <w:rsid w:val="00CD493A"/>
    <w:rsid w:val="00CD4DEB"/>
    <w:rsid w:val="00CD58B7"/>
    <w:rsid w:val="00CE3820"/>
    <w:rsid w:val="00CE5F1F"/>
    <w:rsid w:val="00CF301C"/>
    <w:rsid w:val="00CF4099"/>
    <w:rsid w:val="00CF6889"/>
    <w:rsid w:val="00D00796"/>
    <w:rsid w:val="00D02F6A"/>
    <w:rsid w:val="00D04AAE"/>
    <w:rsid w:val="00D153FF"/>
    <w:rsid w:val="00D15AEE"/>
    <w:rsid w:val="00D1777E"/>
    <w:rsid w:val="00D2207F"/>
    <w:rsid w:val="00D221C4"/>
    <w:rsid w:val="00D24980"/>
    <w:rsid w:val="00D24BA1"/>
    <w:rsid w:val="00D25540"/>
    <w:rsid w:val="00D261A2"/>
    <w:rsid w:val="00D54A72"/>
    <w:rsid w:val="00D60796"/>
    <w:rsid w:val="00D616D2"/>
    <w:rsid w:val="00D62996"/>
    <w:rsid w:val="00D63B5F"/>
    <w:rsid w:val="00D66940"/>
    <w:rsid w:val="00D70EF7"/>
    <w:rsid w:val="00D7313D"/>
    <w:rsid w:val="00D7778E"/>
    <w:rsid w:val="00D77F89"/>
    <w:rsid w:val="00D82118"/>
    <w:rsid w:val="00D82C77"/>
    <w:rsid w:val="00D8397C"/>
    <w:rsid w:val="00D86CFF"/>
    <w:rsid w:val="00D94635"/>
    <w:rsid w:val="00D94EED"/>
    <w:rsid w:val="00D9552D"/>
    <w:rsid w:val="00D96026"/>
    <w:rsid w:val="00D9796F"/>
    <w:rsid w:val="00D97E48"/>
    <w:rsid w:val="00DA12B4"/>
    <w:rsid w:val="00DA1B65"/>
    <w:rsid w:val="00DA21C6"/>
    <w:rsid w:val="00DA4A65"/>
    <w:rsid w:val="00DA5837"/>
    <w:rsid w:val="00DA7768"/>
    <w:rsid w:val="00DA7C1C"/>
    <w:rsid w:val="00DB147A"/>
    <w:rsid w:val="00DB1B7A"/>
    <w:rsid w:val="00DB24F1"/>
    <w:rsid w:val="00DB42D7"/>
    <w:rsid w:val="00DB562E"/>
    <w:rsid w:val="00DB7681"/>
    <w:rsid w:val="00DB76EB"/>
    <w:rsid w:val="00DC29E7"/>
    <w:rsid w:val="00DC5C70"/>
    <w:rsid w:val="00DC6668"/>
    <w:rsid w:val="00DC6708"/>
    <w:rsid w:val="00DD192E"/>
    <w:rsid w:val="00DD2849"/>
    <w:rsid w:val="00DD4043"/>
    <w:rsid w:val="00DE0213"/>
    <w:rsid w:val="00DE190C"/>
    <w:rsid w:val="00DF30B1"/>
    <w:rsid w:val="00DF50E2"/>
    <w:rsid w:val="00DF5E19"/>
    <w:rsid w:val="00DF6283"/>
    <w:rsid w:val="00DF7D96"/>
    <w:rsid w:val="00E01436"/>
    <w:rsid w:val="00E029B6"/>
    <w:rsid w:val="00E02B32"/>
    <w:rsid w:val="00E045BD"/>
    <w:rsid w:val="00E10EBE"/>
    <w:rsid w:val="00E11AEE"/>
    <w:rsid w:val="00E146C4"/>
    <w:rsid w:val="00E14FE3"/>
    <w:rsid w:val="00E154F0"/>
    <w:rsid w:val="00E17B77"/>
    <w:rsid w:val="00E228B8"/>
    <w:rsid w:val="00E23337"/>
    <w:rsid w:val="00E259EA"/>
    <w:rsid w:val="00E25FC7"/>
    <w:rsid w:val="00E32061"/>
    <w:rsid w:val="00E34AC6"/>
    <w:rsid w:val="00E424F8"/>
    <w:rsid w:val="00E42FF9"/>
    <w:rsid w:val="00E430D4"/>
    <w:rsid w:val="00E4636A"/>
    <w:rsid w:val="00E4714C"/>
    <w:rsid w:val="00E51AEB"/>
    <w:rsid w:val="00E522A7"/>
    <w:rsid w:val="00E54349"/>
    <w:rsid w:val="00E54452"/>
    <w:rsid w:val="00E5594F"/>
    <w:rsid w:val="00E664C5"/>
    <w:rsid w:val="00E671A2"/>
    <w:rsid w:val="00E75A6E"/>
    <w:rsid w:val="00E76D26"/>
    <w:rsid w:val="00E814B2"/>
    <w:rsid w:val="00E815A3"/>
    <w:rsid w:val="00E816C9"/>
    <w:rsid w:val="00E82CD8"/>
    <w:rsid w:val="00E907AF"/>
    <w:rsid w:val="00E97600"/>
    <w:rsid w:val="00EA089C"/>
    <w:rsid w:val="00EA25CA"/>
    <w:rsid w:val="00EA292A"/>
    <w:rsid w:val="00EA4A7E"/>
    <w:rsid w:val="00EA7439"/>
    <w:rsid w:val="00EA7735"/>
    <w:rsid w:val="00EA7C59"/>
    <w:rsid w:val="00EB0D5D"/>
    <w:rsid w:val="00EB1390"/>
    <w:rsid w:val="00EB1BB9"/>
    <w:rsid w:val="00EB2C71"/>
    <w:rsid w:val="00EB3163"/>
    <w:rsid w:val="00EB4340"/>
    <w:rsid w:val="00EB556D"/>
    <w:rsid w:val="00EB5A7D"/>
    <w:rsid w:val="00ED0CE4"/>
    <w:rsid w:val="00ED2F82"/>
    <w:rsid w:val="00ED3432"/>
    <w:rsid w:val="00ED55C0"/>
    <w:rsid w:val="00ED682B"/>
    <w:rsid w:val="00ED73E7"/>
    <w:rsid w:val="00ED74D7"/>
    <w:rsid w:val="00ED7773"/>
    <w:rsid w:val="00EE15E2"/>
    <w:rsid w:val="00EE41D5"/>
    <w:rsid w:val="00EF0B7B"/>
    <w:rsid w:val="00EF4243"/>
    <w:rsid w:val="00EF639B"/>
    <w:rsid w:val="00EF64C0"/>
    <w:rsid w:val="00F037A4"/>
    <w:rsid w:val="00F04245"/>
    <w:rsid w:val="00F04580"/>
    <w:rsid w:val="00F04CF3"/>
    <w:rsid w:val="00F06B8D"/>
    <w:rsid w:val="00F17DA1"/>
    <w:rsid w:val="00F22B78"/>
    <w:rsid w:val="00F23BFC"/>
    <w:rsid w:val="00F24737"/>
    <w:rsid w:val="00F24A70"/>
    <w:rsid w:val="00F26745"/>
    <w:rsid w:val="00F2756D"/>
    <w:rsid w:val="00F27C8F"/>
    <w:rsid w:val="00F32749"/>
    <w:rsid w:val="00F33072"/>
    <w:rsid w:val="00F37172"/>
    <w:rsid w:val="00F37D35"/>
    <w:rsid w:val="00F4202D"/>
    <w:rsid w:val="00F4367F"/>
    <w:rsid w:val="00F4477E"/>
    <w:rsid w:val="00F5012A"/>
    <w:rsid w:val="00F517E6"/>
    <w:rsid w:val="00F53584"/>
    <w:rsid w:val="00F64219"/>
    <w:rsid w:val="00F64508"/>
    <w:rsid w:val="00F67D8F"/>
    <w:rsid w:val="00F728FF"/>
    <w:rsid w:val="00F747CA"/>
    <w:rsid w:val="00F75026"/>
    <w:rsid w:val="00F7518F"/>
    <w:rsid w:val="00F75F92"/>
    <w:rsid w:val="00F802BE"/>
    <w:rsid w:val="00F81AE9"/>
    <w:rsid w:val="00F82F18"/>
    <w:rsid w:val="00F86024"/>
    <w:rsid w:val="00F8611A"/>
    <w:rsid w:val="00F867B1"/>
    <w:rsid w:val="00F92945"/>
    <w:rsid w:val="00F931B6"/>
    <w:rsid w:val="00F936AA"/>
    <w:rsid w:val="00F93B25"/>
    <w:rsid w:val="00F973A9"/>
    <w:rsid w:val="00FA2E22"/>
    <w:rsid w:val="00FA4CA5"/>
    <w:rsid w:val="00FA5128"/>
    <w:rsid w:val="00FA7D66"/>
    <w:rsid w:val="00FB0534"/>
    <w:rsid w:val="00FB2597"/>
    <w:rsid w:val="00FB42D4"/>
    <w:rsid w:val="00FB4558"/>
    <w:rsid w:val="00FB5906"/>
    <w:rsid w:val="00FB60FD"/>
    <w:rsid w:val="00FB762F"/>
    <w:rsid w:val="00FC2AED"/>
    <w:rsid w:val="00FC3A17"/>
    <w:rsid w:val="00FC6054"/>
    <w:rsid w:val="00FD0C1E"/>
    <w:rsid w:val="00FD2D8B"/>
    <w:rsid w:val="00FD37CD"/>
    <w:rsid w:val="00FD5EA7"/>
    <w:rsid w:val="00FD626C"/>
    <w:rsid w:val="00FE2D63"/>
    <w:rsid w:val="00FF1F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f" fillcolor="white" stroke="f">
      <v:fill color="white" on="f"/>
      <v:stroke on="f"/>
    </o:shapedefaults>
    <o:shapelayout v:ext="edit">
      <o:idmap v:ext="edit" data="1"/>
    </o:shapelayout>
  </w:shapeDefaults>
  <w:decimalSymbol w:val=","/>
  <w:listSeparator w:val=";"/>
  <w14:docId w14:val="6AFBBEF6"/>
  <w15:chartTrackingRefBased/>
  <w15:docId w15:val="{FF868038-062A-4796-9E54-08DEA9FC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ira Sans Light" w:eastAsia="Fira Sans Light" w:hAnsi="Fira Sans Light"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szCs w:val="22"/>
      <w:lang w:eastAsia="en-US"/>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bCs/>
      <w:color w:val="001D77"/>
      <w:szCs w:val="24"/>
      <w:lang w:val="x-none"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Fira Sans Medium" w:eastAsia="Times New Roman" w:hAnsi="Fira Sans Medium"/>
      <w:color w:val="2E74B5"/>
      <w:sz w:val="26"/>
      <w:szCs w:val="26"/>
      <w:lang w:val="x-none" w:eastAsia="x-none"/>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Fira Sans Medium" w:eastAsia="Times New Roman" w:hAnsi="Fira Sans Medium"/>
      <w:color w:val="1F4D78"/>
      <w:sz w:val="24"/>
      <w:szCs w:val="24"/>
      <w:lang w:val="x-none" w:eastAsia="x-none"/>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Fira Sans Medium" w:eastAsia="Times New Roman" w:hAnsi="Fira Sans Medium"/>
      <w:i/>
      <w:iCs/>
      <w:color w:val="2E74B5"/>
      <w:sz w:val="20"/>
      <w:szCs w:val="20"/>
      <w:lang w:val="x-none" w:eastAsia="x-none"/>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Fira Sans Medium" w:eastAsia="Times New Roman" w:hAnsi="Fira Sans Medium"/>
      <w:color w:val="2E74B5"/>
      <w:sz w:val="20"/>
      <w:szCs w:val="20"/>
      <w:lang w:val="x-none" w:eastAsia="x-none"/>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Fira Sans Medium" w:eastAsia="Times New Roman" w:hAnsi="Fira Sans Medium"/>
      <w:color w:val="272727"/>
      <w:sz w:val="21"/>
      <w:szCs w:val="21"/>
      <w:lang w:val="x-none" w:eastAsia="x-none"/>
    </w:rPr>
  </w:style>
  <w:style w:type="paragraph" w:styleId="Nagwek9">
    <w:name w:val="heading 9"/>
    <w:basedOn w:val="Normalny"/>
    <w:next w:val="Normalny"/>
    <w:link w:val="Nagwek9Znak"/>
    <w:uiPriority w:val="9"/>
    <w:unhideWhenUsed/>
    <w:qFormat/>
    <w:rsid w:val="007A2DC1"/>
    <w:pPr>
      <w:keepNext/>
      <w:keepLines/>
      <w:spacing w:before="40" w:after="0"/>
      <w:outlineLvl w:val="8"/>
    </w:pPr>
    <w:rPr>
      <w:rFonts w:ascii="Fira Sans Medium" w:eastAsia="Times New Roman" w:hAnsi="Fira Sans Medium"/>
      <w:i/>
      <w:iCs/>
      <w:color w:val="272727"/>
      <w:sz w:val="21"/>
      <w:szCs w:val="21"/>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link w:val="Nagwek2"/>
    <w:uiPriority w:val="9"/>
    <w:rsid w:val="007A2DC1"/>
    <w:rPr>
      <w:rFonts w:ascii="Fira Sans Medium" w:eastAsia="Times New Roman" w:hAnsi="Fira Sans Medium" w:cs="Times New Roman"/>
      <w:color w:val="2E74B5"/>
      <w:sz w:val="26"/>
      <w:szCs w:val="26"/>
    </w:rPr>
  </w:style>
  <w:style w:type="character" w:customStyle="1" w:styleId="Nagwek3Znak">
    <w:name w:val="Nagłówek 3 Znak"/>
    <w:link w:val="Nagwek3"/>
    <w:uiPriority w:val="9"/>
    <w:rsid w:val="007A2DC1"/>
    <w:rPr>
      <w:rFonts w:ascii="Fira Sans Medium" w:eastAsia="Times New Roman" w:hAnsi="Fira Sans Medium" w:cs="Times New Roman"/>
      <w:color w:val="1F4D78"/>
      <w:sz w:val="24"/>
      <w:szCs w:val="24"/>
    </w:rPr>
  </w:style>
  <w:style w:type="character" w:customStyle="1" w:styleId="Nagwek5Znak">
    <w:name w:val="Nagłówek 5 Znak"/>
    <w:link w:val="Nagwek5"/>
    <w:uiPriority w:val="9"/>
    <w:semiHidden/>
    <w:rsid w:val="007A2DC1"/>
    <w:rPr>
      <w:rFonts w:ascii="Fira Sans Medium" w:eastAsia="Times New Roman" w:hAnsi="Fira Sans Medium" w:cs="Times New Roman"/>
      <w:color w:val="2E74B5"/>
    </w:rPr>
  </w:style>
  <w:style w:type="character" w:customStyle="1" w:styleId="Nagwek8Znak">
    <w:name w:val="Nagłówek 8 Znak"/>
    <w:link w:val="Nagwek8"/>
    <w:uiPriority w:val="9"/>
    <w:rsid w:val="007A2DC1"/>
    <w:rPr>
      <w:rFonts w:ascii="Fira Sans Medium" w:eastAsia="Times New Roman" w:hAnsi="Fira Sans Medium" w:cs="Times New Roman"/>
      <w:color w:val="272727"/>
      <w:sz w:val="21"/>
      <w:szCs w:val="21"/>
    </w:rPr>
  </w:style>
  <w:style w:type="character" w:customStyle="1" w:styleId="Nagwek9Znak">
    <w:name w:val="Nagłówek 9 Znak"/>
    <w:link w:val="Nagwek9"/>
    <w:uiPriority w:val="9"/>
    <w:rsid w:val="007A2DC1"/>
    <w:rPr>
      <w:rFonts w:ascii="Fira Sans Medium" w:eastAsia="Times New Roman" w:hAnsi="Fira Sans Medium" w:cs="Times New Roman"/>
      <w:i/>
      <w:iCs/>
      <w:color w:val="272727"/>
      <w:sz w:val="21"/>
      <w:szCs w:val="21"/>
    </w:rPr>
  </w:style>
  <w:style w:type="table" w:customStyle="1" w:styleId="Tabelasiatki1jasnaakcent11">
    <w:name w:val="Tabela siatki 1 — jasna — akcent 11"/>
    <w:basedOn w:val="Standardowy"/>
    <w:uiPriority w:val="46"/>
    <w:rsid w:val="007A2DC1"/>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sz w:val="18"/>
      <w:szCs w:val="18"/>
      <w:lang w:val="x-none" w:eastAsia="x-none"/>
    </w:rPr>
  </w:style>
  <w:style w:type="character" w:customStyle="1" w:styleId="TekstdymkaZnak">
    <w:name w:val="Tekst dymka Znak"/>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link w:val="Nagwek4"/>
    <w:uiPriority w:val="9"/>
    <w:semiHidden/>
    <w:rsid w:val="00437395"/>
    <w:rPr>
      <w:rFonts w:ascii="Fira Sans Medium" w:eastAsia="Times New Roman" w:hAnsi="Fira Sans Medium" w:cs="Times New Roman"/>
      <w:i/>
      <w:iCs/>
      <w:color w:val="2E74B5"/>
    </w:rPr>
  </w:style>
  <w:style w:type="character" w:styleId="Pogrubienie">
    <w:name w:val="Strong"/>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rFonts w:ascii="Fira Sans Light" w:hAnsi="Fira Sans Light"/>
      <w:sz w:val="20"/>
      <w:szCs w:val="20"/>
      <w:lang w:val="x-none" w:eastAsia="x-none"/>
    </w:rPr>
  </w:style>
  <w:style w:type="character" w:customStyle="1" w:styleId="TekstprzypisudolnegoZnak">
    <w:name w:val="Tekst przypisu dolnego Znak"/>
    <w:link w:val="Tekstprzypisudolnego"/>
    <w:uiPriority w:val="99"/>
    <w:rsid w:val="001448A7"/>
    <w:rPr>
      <w:sz w:val="20"/>
      <w:szCs w:val="20"/>
    </w:rPr>
  </w:style>
  <w:style w:type="character" w:styleId="Odwoanieprzypisudolnego">
    <w:name w:val="footnote reference"/>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sz w:val="40"/>
      <w:szCs w:val="26"/>
    </w:rPr>
  </w:style>
  <w:style w:type="paragraph" w:customStyle="1" w:styleId="tekstzboku">
    <w:name w:val="tekst z boku"/>
    <w:basedOn w:val="Normalny"/>
    <w:qFormat/>
    <w:rsid w:val="008F74DF"/>
    <w:pPr>
      <w:spacing w:after="0"/>
    </w:pPr>
    <w:rPr>
      <w:rFonts w:eastAsia="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uiPriority w:val="99"/>
    <w:semiHidden/>
    <w:unhideWhenUsed/>
    <w:rsid w:val="00695E23"/>
    <w:rPr>
      <w:color w:val="954F72"/>
      <w:u w:val="single"/>
    </w:rPr>
  </w:style>
  <w:style w:type="character" w:customStyle="1" w:styleId="shorttext">
    <w:name w:val="short_text"/>
    <w:basedOn w:val="Domylnaczcionkaakapitu"/>
    <w:rsid w:val="00FD626C"/>
  </w:style>
  <w:style w:type="paragraph" w:styleId="NormalnyWeb">
    <w:name w:val="Normal (Web)"/>
    <w:basedOn w:val="Normalny"/>
    <w:uiPriority w:val="99"/>
    <w:semiHidden/>
    <w:unhideWhenUsed/>
    <w:rsid w:val="00FD626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lt-edited1">
    <w:name w:val="alt-edited1"/>
    <w:rsid w:val="006A0327"/>
    <w:rPr>
      <w:color w:val="4D90F0"/>
    </w:rPr>
  </w:style>
  <w:style w:type="paragraph" w:styleId="Tekstprzypisukocowego">
    <w:name w:val="endnote text"/>
    <w:basedOn w:val="Normalny"/>
    <w:link w:val="TekstprzypisukocowegoZnak"/>
    <w:uiPriority w:val="99"/>
    <w:semiHidden/>
    <w:unhideWhenUsed/>
    <w:rsid w:val="004301BD"/>
    <w:pPr>
      <w:spacing w:before="0" w:after="200" w:line="276" w:lineRule="auto"/>
    </w:pPr>
    <w:rPr>
      <w:rFonts w:ascii="Calibri" w:eastAsia="Times New Roman" w:hAnsi="Calibri"/>
      <w:sz w:val="20"/>
      <w:szCs w:val="20"/>
      <w:lang w:val="x-none" w:eastAsia="x-none"/>
    </w:rPr>
  </w:style>
  <w:style w:type="character" w:customStyle="1" w:styleId="TekstprzypisukocowegoZnak">
    <w:name w:val="Tekst przypisu końcowego Znak"/>
    <w:link w:val="Tekstprzypisukocowego"/>
    <w:uiPriority w:val="99"/>
    <w:semiHidden/>
    <w:rsid w:val="004301BD"/>
    <w:rPr>
      <w:rFonts w:ascii="Calibri" w:eastAsia="Times New Roman" w:hAnsi="Calibri"/>
    </w:rPr>
  </w:style>
  <w:style w:type="character" w:styleId="Odwoanieprzypisukocowego">
    <w:name w:val="endnote reference"/>
    <w:uiPriority w:val="99"/>
    <w:semiHidden/>
    <w:unhideWhenUsed/>
    <w:rsid w:val="004301BD"/>
    <w:rPr>
      <w:vertAlign w:val="superscript"/>
    </w:rPr>
  </w:style>
  <w:style w:type="character" w:styleId="Odwoaniedokomentarza">
    <w:name w:val="annotation reference"/>
    <w:uiPriority w:val="99"/>
    <w:semiHidden/>
    <w:unhideWhenUsed/>
    <w:rsid w:val="000734F2"/>
    <w:rPr>
      <w:sz w:val="16"/>
      <w:szCs w:val="16"/>
    </w:rPr>
  </w:style>
  <w:style w:type="paragraph" w:styleId="Tekstkomentarza">
    <w:name w:val="annotation text"/>
    <w:basedOn w:val="Normalny"/>
    <w:link w:val="TekstkomentarzaZnak"/>
    <w:uiPriority w:val="99"/>
    <w:semiHidden/>
    <w:unhideWhenUsed/>
    <w:rsid w:val="000734F2"/>
    <w:rPr>
      <w:sz w:val="20"/>
      <w:szCs w:val="20"/>
    </w:rPr>
  </w:style>
  <w:style w:type="character" w:customStyle="1" w:styleId="TekstkomentarzaZnak">
    <w:name w:val="Tekst komentarza Znak"/>
    <w:link w:val="Tekstkomentarza"/>
    <w:uiPriority w:val="99"/>
    <w:semiHidden/>
    <w:rsid w:val="000734F2"/>
    <w:rPr>
      <w:rFonts w:ascii="Fira Sans" w:hAnsi="Fira Sans"/>
      <w:lang w:eastAsia="en-US"/>
    </w:rPr>
  </w:style>
  <w:style w:type="paragraph" w:styleId="Tematkomentarza">
    <w:name w:val="annotation subject"/>
    <w:basedOn w:val="Tekstkomentarza"/>
    <w:next w:val="Tekstkomentarza"/>
    <w:link w:val="TematkomentarzaZnak"/>
    <w:uiPriority w:val="99"/>
    <w:semiHidden/>
    <w:unhideWhenUsed/>
    <w:rsid w:val="00322FEF"/>
    <w:rPr>
      <w:b/>
      <w:bCs/>
    </w:rPr>
  </w:style>
  <w:style w:type="character" w:customStyle="1" w:styleId="TematkomentarzaZnak">
    <w:name w:val="Temat komentarza Znak"/>
    <w:link w:val="Tematkomentarza"/>
    <w:uiPriority w:val="99"/>
    <w:semiHidden/>
    <w:rsid w:val="00322FEF"/>
    <w:rPr>
      <w:rFonts w:ascii="Fira Sans" w:hAnsi="Fira Sans"/>
      <w:b/>
      <w:bCs/>
      <w:lang w:eastAsia="en-US"/>
    </w:rPr>
  </w:style>
  <w:style w:type="paragraph" w:customStyle="1" w:styleId="Opiswskanika">
    <w:name w:val="Opis wskaźnika"/>
    <w:basedOn w:val="tekstnaniebieskimtle"/>
    <w:link w:val="OpiswskanikaZnak"/>
    <w:qFormat/>
    <w:rsid w:val="003818AB"/>
    <w:rPr>
      <w:color w:val="FFFFFF"/>
    </w:rPr>
  </w:style>
  <w:style w:type="character" w:customStyle="1" w:styleId="OpiswskanikaZnak">
    <w:name w:val="Opis wskaźnika Znak"/>
    <w:link w:val="Opiswskanika"/>
    <w:rsid w:val="003818AB"/>
    <w:rPr>
      <w:rFonts w:ascii="Fira Sans" w:hAnsi="Fira Sans"/>
      <w:color w:val="FFFFFF"/>
      <w:szCs w:val="22"/>
      <w:lang w:eastAsia="en-US"/>
    </w:rPr>
  </w:style>
  <w:style w:type="character" w:customStyle="1" w:styleId="Nierozpoznanawzmianka1">
    <w:name w:val="Nierozpoznana wzmianka1"/>
    <w:basedOn w:val="Domylnaczcionkaakapitu"/>
    <w:uiPriority w:val="99"/>
    <w:semiHidden/>
    <w:unhideWhenUsed/>
    <w:rsid w:val="0034360C"/>
    <w:rPr>
      <w:color w:val="605E5C"/>
      <w:shd w:val="clear" w:color="auto" w:fill="E1DFDD"/>
    </w:rPr>
  </w:style>
  <w:style w:type="character" w:customStyle="1" w:styleId="Nierozpoznanawzmianka2">
    <w:name w:val="Nierozpoznana wzmianka2"/>
    <w:basedOn w:val="Domylnaczcionkaakapitu"/>
    <w:uiPriority w:val="99"/>
    <w:semiHidden/>
    <w:unhideWhenUsed/>
    <w:rsid w:val="00930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082606">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18158686">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063792020">
      <w:bodyDiv w:val="1"/>
      <w:marLeft w:val="0"/>
      <w:marRight w:val="0"/>
      <w:marTop w:val="0"/>
      <w:marBottom w:val="0"/>
      <w:divBdr>
        <w:top w:val="none" w:sz="0" w:space="0" w:color="auto"/>
        <w:left w:val="none" w:sz="0" w:space="0" w:color="auto"/>
        <w:bottom w:val="none" w:sz="0" w:space="0" w:color="auto"/>
        <w:right w:val="none" w:sz="0" w:space="0" w:color="auto"/>
      </w:divBdr>
    </w:div>
    <w:div w:id="115425113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656492982">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06347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new.stat.gov.pl/en" TargetMode="External"/><Relationship Id="rId26" Type="http://schemas.openxmlformats.org/officeDocument/2006/relationships/hyperlink" Target="https://youtube.com/@glownyurzadstatystycznygus?si=IgHa1awoYniiJyQI" TargetMode="Externa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obslugaprasowa@stat.gov.pl" TargetMode="External"/><Relationship Id="rId20" Type="http://schemas.openxmlformats.org/officeDocument/2006/relationships/hyperlink" Target="https://x.com/StatPoland" TargetMode="External"/><Relationship Id="rId29" Type="http://schemas.openxmlformats.org/officeDocument/2006/relationships/hyperlink" Target="http://swaid.stat.gov.pl/EN/SitePagesDBW/RachunkiNarodow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www.instagram.com/gus_stat/?nex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10.png"/><Relationship Id="rId28"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facebook.com/GlownyUrzadStatystyczny" TargetMode="External"/><Relationship Id="rId27" Type="http://schemas.openxmlformats.org/officeDocument/2006/relationships/hyperlink" Target="https://www.linkedin.com/company/glownyurzadstatystyczny/" TargetMode="External"/><Relationship Id="rId30" Type="http://schemas.openxmlformats.org/officeDocument/2006/relationships/hyperlink" Target="https://stat.gov.pl/en/metainformation/glossary/terms-used-in-official-statistics/364,term.html"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0" ma:contentTypeDescription="Utwórz nowy dokument." ma:contentTypeScope="" ma:versionID="862468e506de763a75f0c99d3ddc06d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88ACA-9FE1-458C-B959-E2D15BF0DA96}">
  <ds:schemaRefs>
    <ds:schemaRef ds:uri="http://schemas.microsoft.com/sharepoint/v3/contenttype/forms"/>
  </ds:schemaRefs>
</ds:datastoreItem>
</file>

<file path=customXml/itemProps2.xml><?xml version="1.0" encoding="utf-8"?>
<ds:datastoreItem xmlns:ds="http://schemas.openxmlformats.org/officeDocument/2006/customXml" ds:itemID="{B954C410-1BC0-41FD-9E3C-1F1A31A14B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7796EB-7793-4EAE-9008-93798DC6C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84FE5AE-7C3F-49CE-8375-A6C87C2AF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930</Words>
  <Characters>5583</Characters>
  <DocSecurity>0</DocSecurity>
  <Lines>46</Lines>
  <Paragraphs>12</Paragraphs>
  <ScaleCrop>false</ScaleCrop>
  <HeadingPairs>
    <vt:vector size="2" baseType="variant">
      <vt:variant>
        <vt:lpstr>Tytuł</vt:lpstr>
      </vt:variant>
      <vt:variant>
        <vt:i4>1</vt:i4>
      </vt:variant>
    </vt:vector>
  </HeadingPairs>
  <TitlesOfParts>
    <vt:vector size="1" baseType="lpstr">
      <vt:lpstr>General goverment deficit and debt in 2024</vt:lpstr>
    </vt:vector>
  </TitlesOfParts>
  <Company/>
  <LinksUpToDate>false</LinksUpToDate>
  <CharactersWithSpaces>6501</CharactersWithSpaces>
  <SharedDoc>false</SharedDoc>
  <HLinks>
    <vt:vector size="30" baseType="variant">
      <vt:variant>
        <vt:i4>8257585</vt:i4>
      </vt:variant>
      <vt:variant>
        <vt:i4>12</vt:i4>
      </vt:variant>
      <vt:variant>
        <vt:i4>0</vt:i4>
      </vt:variant>
      <vt:variant>
        <vt:i4>5</vt:i4>
      </vt:variant>
      <vt:variant>
        <vt:lpwstr>http://stat.gov.pl/en/metainformations/glossary/terms-used-in-official-statistics/364,term.html</vt:lpwstr>
      </vt:variant>
      <vt:variant>
        <vt:lpwstr/>
      </vt:variant>
      <vt:variant>
        <vt:i4>3670060</vt:i4>
      </vt:variant>
      <vt:variant>
        <vt:i4>9</vt:i4>
      </vt:variant>
      <vt:variant>
        <vt:i4>0</vt:i4>
      </vt:variant>
      <vt:variant>
        <vt:i4>5</vt:i4>
      </vt:variant>
      <vt:variant>
        <vt:lpwstr>http://swaid.stat.gov.pl/EN/SitePagesDBW/RachunkiNarodowe.aspx</vt:lpwstr>
      </vt:variant>
      <vt:variant>
        <vt:lpwstr/>
      </vt:variant>
      <vt:variant>
        <vt:i4>8323117</vt:i4>
      </vt:variant>
      <vt:variant>
        <vt:i4>6</vt:i4>
      </vt:variant>
      <vt:variant>
        <vt:i4>0</vt:i4>
      </vt:variant>
      <vt:variant>
        <vt:i4>5</vt:i4>
      </vt:variant>
      <vt:variant>
        <vt:lpwstr>https://stat.gov.pl/en/topics/national-accounts/general-government-statistics/general-government-deficit-and-debt-in-2020,5,33.html</vt:lpwstr>
      </vt:variant>
      <vt:variant>
        <vt:lpwstr/>
      </vt:variant>
      <vt:variant>
        <vt:i4>3997761</vt:i4>
      </vt:variant>
      <vt:variant>
        <vt:i4>3</vt:i4>
      </vt:variant>
      <vt:variant>
        <vt:i4>0</vt:i4>
      </vt:variant>
      <vt:variant>
        <vt:i4>5</vt:i4>
      </vt:variant>
      <vt:variant>
        <vt:lpwstr>mailto:obslugaprasowa@stat.gov.pl</vt:lpwstr>
      </vt:variant>
      <vt:variant>
        <vt:lpwstr/>
      </vt:variant>
      <vt:variant>
        <vt:i4>5308490</vt:i4>
      </vt:variant>
      <vt:variant>
        <vt:i4>0</vt:i4>
      </vt:variant>
      <vt:variant>
        <vt:i4>0</vt:i4>
      </vt:variant>
      <vt:variant>
        <vt:i4>5</vt:i4>
      </vt:variant>
      <vt:variant>
        <vt:lpwstr>http://epp.eurostat.ec.europa.eu/portal/page/portal/eurostat/home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government deficit and debt</dc:title>
  <dc:subject/>
  <dc:creator>Statistics Poland</dc:creator>
  <cp:keywords/>
  <cp:lastPrinted>2024-04-23T12:02:00Z</cp:lastPrinted>
  <dcterms:created xsi:type="dcterms:W3CDTF">2026-04-19T07:49:00Z</dcterms:created>
  <dcterms:modified xsi:type="dcterms:W3CDTF">2026-04-21T09:42:00Z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