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A3594E" w14:textId="4CD3E0A6" w:rsidR="007160E2" w:rsidRPr="006516A4" w:rsidRDefault="006516A4" w:rsidP="00915ECB">
      <w:pPr>
        <w:pStyle w:val="Tytuinfomacjisygnalnej"/>
        <w:rPr>
          <w:lang w:val="en-GB"/>
        </w:rPr>
      </w:pPr>
      <w:bookmarkStart w:id="0" w:name="OLE_LINK1"/>
      <w:r w:rsidRPr="006516A4">
        <w:rPr>
          <w:lang w:val="en-GB"/>
        </w:rPr>
        <w:t>Labour cost index</w:t>
      </w:r>
      <w:r w:rsidR="00A256EB">
        <w:rPr>
          <w:rStyle w:val="Odwoanieprzypisudolnego"/>
          <w:lang w:val="en-GB"/>
        </w:rPr>
        <w:footnoteReference w:id="1"/>
      </w:r>
      <w:r w:rsidRPr="006516A4">
        <w:rPr>
          <w:lang w:val="en-GB"/>
        </w:rPr>
        <w:t xml:space="preserve"> in the quarters of</w:t>
      </w:r>
      <w:r w:rsidR="00915ECB" w:rsidRPr="006516A4">
        <w:rPr>
          <w:lang w:val="en-GB"/>
        </w:rPr>
        <w:t xml:space="preserve"> 202</w:t>
      </w:r>
      <w:r w:rsidR="00086E07" w:rsidRPr="006516A4">
        <w:rPr>
          <w:lang w:val="en-GB"/>
        </w:rPr>
        <w:t>5</w:t>
      </w:r>
    </w:p>
    <w:bookmarkEnd w:id="0"/>
    <w:p w14:paraId="08A5AC27" w14:textId="5AA7B6B2" w:rsidR="00915ECB" w:rsidRPr="003B3226" w:rsidRDefault="006973AF" w:rsidP="00237F88">
      <w:pPr>
        <w:pStyle w:val="Lead"/>
        <w:spacing w:after="1080"/>
        <w:rPr>
          <w:rFonts w:eastAsia="Times New Roman" w:cs="Times New Roman"/>
          <w:bCs/>
          <w:noProof w:val="0"/>
          <w:lang w:val="en-GB"/>
        </w:rPr>
      </w:pPr>
      <w:r>
        <w:rPr>
          <w:color w:val="001D77"/>
        </w:rPr>
        <mc:AlternateContent>
          <mc:Choice Requires="wps">
            <w:drawing>
              <wp:anchor distT="45720" distB="45720" distL="114300" distR="114300" simplePos="0" relativeHeight="251798528" behindDoc="0" locked="0" layoutInCell="1" allowOverlap="1" wp14:anchorId="1B01E4DE" wp14:editId="03A85835">
                <wp:simplePos x="0" y="0"/>
                <wp:positionH relativeFrom="margin">
                  <wp:posOffset>-4445</wp:posOffset>
                </wp:positionH>
                <wp:positionV relativeFrom="paragraph">
                  <wp:posOffset>13335</wp:posOffset>
                </wp:positionV>
                <wp:extent cx="2679700" cy="1240155"/>
                <wp:effectExtent l="0" t="0" r="0" b="0"/>
                <wp:wrapSquare wrapText="bothSides"/>
                <wp:docPr id="10" name="Pole tekstowe 2" descr="170.6 The value of the labour cost index for Quarter 4 20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240155"/>
                        </a:xfrm>
                        <a:prstGeom prst="roundRect">
                          <a:avLst/>
                        </a:prstGeom>
                        <a:solidFill>
                          <a:srgbClr val="001D77"/>
                        </a:solidFill>
                        <a:ln w="9525">
                          <a:noFill/>
                          <a:miter lim="800000"/>
                          <a:headEnd/>
                          <a:tailEnd/>
                        </a:ln>
                      </wps:spPr>
                      <wps:txbx>
                        <w:txbxContent>
                          <w:p w14:paraId="7020DC1A" w14:textId="1EE6A90B" w:rsidR="009C47DA" w:rsidRPr="00405A10" w:rsidRDefault="006516A4" w:rsidP="009078CF">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05A10">
                              <w:rPr>
                                <w:rStyle w:val="WartowskanikaZnak"/>
                                <w:sz w:val="72"/>
                                <w:szCs w:val="72"/>
                                <w:lang w:val="en-GB"/>
                              </w:rPr>
                              <w:t>170.</w:t>
                            </w:r>
                            <w:r w:rsidR="00086E07" w:rsidRPr="00405A10">
                              <w:rPr>
                                <w:rStyle w:val="WartowskanikaZnak"/>
                                <w:sz w:val="72"/>
                                <w:szCs w:val="72"/>
                                <w:lang w:val="en-GB"/>
                              </w:rPr>
                              <w:t>6</w:t>
                            </w:r>
                          </w:p>
                          <w:p w14:paraId="37A8B926" w14:textId="540D313B" w:rsidR="009C47DA" w:rsidRPr="006516A4" w:rsidRDefault="006516A4" w:rsidP="00915ECB">
                            <w:pPr>
                              <w:pStyle w:val="Opiswskanika"/>
                              <w:rPr>
                                <w:lang w:val="en-GB"/>
                              </w:rPr>
                            </w:pPr>
                            <w:r w:rsidRPr="006516A4">
                              <w:rPr>
                                <w:lang w:val="en-GB"/>
                              </w:rPr>
                              <w:t>The value of the</w:t>
                            </w:r>
                            <w:r w:rsidR="003B3226">
                              <w:rPr>
                                <w:lang w:val="en-GB"/>
                              </w:rPr>
                              <w:t xml:space="preserve"> l</w:t>
                            </w:r>
                            <w:r w:rsidRPr="006516A4">
                              <w:rPr>
                                <w:lang w:val="en-GB"/>
                              </w:rPr>
                              <w:t>abour</w:t>
                            </w:r>
                            <w:r w:rsidR="003B3226">
                              <w:rPr>
                                <w:lang w:val="en-GB"/>
                              </w:rPr>
                              <w:t xml:space="preserve"> cost i</w:t>
                            </w:r>
                            <w:r w:rsidRPr="006516A4">
                              <w:rPr>
                                <w:lang w:val="en-GB"/>
                              </w:rPr>
                              <w:t>ndex for Quarter 4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B01E4DE" id="Pole tekstowe 2" o:spid="_x0000_s1026" alt="170.6 The value of the labour cost index for Quarter 4 2025&#10;" style="position:absolute;margin-left:-.35pt;margin-top:1.05pt;width:211pt;height:97.6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1YXwIAAHAEAAAOAAAAZHJzL2Uyb0RvYy54bWysVNtuEzEQfUfiH0ZG4o3sRUnTLt1UpaUI&#10;qUCh5QO8tjdr1etZbCe75esZO2kb4A2RB2tmx3PmzBlPTs+m3sBWOa/R1qyY5QyUFSi1Xdfs+93V&#10;m2MGPnAruUGravagPDtbvXxxOg6VKrFDI5UDArG+GoeadSEMVZZ50ame+xkOylKwRdfzQK5bZ9Lx&#10;kdB7k5V5fpSN6OTgUCjv6evlLshWCb9tlQhf2tarAKZmxC2k06WziWe2OuXV2vGh02JPg/8Di55r&#10;S0WfoC554LBx+i+oXguHHtswE9hn2LZaqNQDdVPkf3Rz2/FBpV5IHD88yeT/H6z4vL1xoCXNjuSx&#10;vKcZ3aBRENS9DzgqKBlI5QVpVizz2RHcdQq23GwUYAuBHMMb3DgQ6ANoK9UENC74uuEu0GjnUObl&#10;4vWr6fxtFHscfEU1bweqGqZ3OBFsEs4P1yjuPVi86Lhdq3PncOwUl9RsETOzg9Qdjo8gzfgJJZHm&#10;m4AJaGpdHydB2gKhU1cPT4NWUwBBH8uj5ckyp5CgWFHO82KxSDV49Zg+OB8+KOwhGjVzuLHyGz2n&#10;VINvr32InHj1eC+W9Gi0vNLGJMetmwvjolZUPy8ul8t9id+uGQtjzU4W5SIhW4z56VX2OupndF+z&#10;4zz+YjqvoibvrUx24NrsbGJi7F6kqMtOoTA1E12MyjUoH0guh7sVoJUlo0P3k8FIz79m/gdNTDEw&#10;Hy1JflLM53FfkjNfLEty3GGkOYxwKwiqZoHBzrwIacciX4vnNJpWJ72emey50rNOMu5XMO7NoZ9u&#10;Pf9RrH4BAAD//wMAUEsDBBQABgAIAAAAIQBCMDX23QAAAAcBAAAPAAAAZHJzL2Rvd25yZXYueG1s&#10;TI7BTsMwEETvSPyDtUhcotZJWlEIcSqKFA70RAp3N97GEfE6st0m/D3mRI+jeZp55XY2A7ug870l&#10;AdkyBYbUWtVTJ+DzUC8egfkgScnBEgr4QQ/b6vamlIWyE33gpQkdiyPkCylAhzAWnPtWo5F+aUek&#10;2J2sMzLE6DqunJziuBl4nqYP3Mie4oOWI75qbL+bsxGwc6d9k65mr3eH931S18nX25QIcX83vzwD&#10;CziHfxj+9KM6VNHpaM+kPBsELDYRFJBnwGK7zrMVsGPEnjZr4FXJr/2rXwAAAP//AwBQSwECLQAU&#10;AAYACAAAACEAtoM4kv4AAADhAQAAEwAAAAAAAAAAAAAAAAAAAAAAW0NvbnRlbnRfVHlwZXNdLnht&#10;bFBLAQItABQABgAIAAAAIQA4/SH/1gAAAJQBAAALAAAAAAAAAAAAAAAAAC8BAABfcmVscy8ucmVs&#10;c1BLAQItABQABgAIAAAAIQBEYY1YXwIAAHAEAAAOAAAAAAAAAAAAAAAAAC4CAABkcnMvZTJvRG9j&#10;LnhtbFBLAQItABQABgAIAAAAIQBCMDX23QAAAAcBAAAPAAAAAAAAAAAAAAAAALkEAABkcnMvZG93&#10;bnJldi54bWxQSwUGAAAAAAQABADzAAAAwwUAAAAA&#10;" fillcolor="#001d77" stroked="f">
                <v:stroke joinstyle="miter"/>
                <v:textbox>
                  <w:txbxContent>
                    <w:p w14:paraId="7020DC1A" w14:textId="1EE6A90B" w:rsidR="009C47DA" w:rsidRPr="00405A10" w:rsidRDefault="006516A4" w:rsidP="009078CF">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05A10">
                        <w:rPr>
                          <w:rStyle w:val="WartowskanikaZnak"/>
                          <w:sz w:val="72"/>
                          <w:szCs w:val="72"/>
                          <w:lang w:val="en-GB"/>
                        </w:rPr>
                        <w:t>170.</w:t>
                      </w:r>
                      <w:r w:rsidR="00086E07" w:rsidRPr="00405A10">
                        <w:rPr>
                          <w:rStyle w:val="WartowskanikaZnak"/>
                          <w:sz w:val="72"/>
                          <w:szCs w:val="72"/>
                          <w:lang w:val="en-GB"/>
                        </w:rPr>
                        <w:t>6</w:t>
                      </w:r>
                    </w:p>
                    <w:p w14:paraId="37A8B926" w14:textId="540D313B" w:rsidR="009C47DA" w:rsidRPr="006516A4" w:rsidRDefault="006516A4" w:rsidP="00915ECB">
                      <w:pPr>
                        <w:pStyle w:val="Opiswskanika"/>
                        <w:rPr>
                          <w:lang w:val="en-GB"/>
                        </w:rPr>
                      </w:pPr>
                      <w:r w:rsidRPr="006516A4">
                        <w:rPr>
                          <w:lang w:val="en-GB"/>
                        </w:rPr>
                        <w:t>The value of the</w:t>
                      </w:r>
                      <w:r w:rsidR="003B3226">
                        <w:rPr>
                          <w:lang w:val="en-GB"/>
                        </w:rPr>
                        <w:t xml:space="preserve"> l</w:t>
                      </w:r>
                      <w:r w:rsidRPr="006516A4">
                        <w:rPr>
                          <w:lang w:val="en-GB"/>
                        </w:rPr>
                        <w:t>abour</w:t>
                      </w:r>
                      <w:r w:rsidR="003B3226">
                        <w:rPr>
                          <w:lang w:val="en-GB"/>
                        </w:rPr>
                        <w:t xml:space="preserve"> cost i</w:t>
                      </w:r>
                      <w:r w:rsidRPr="006516A4">
                        <w:rPr>
                          <w:lang w:val="en-GB"/>
                        </w:rPr>
                        <w:t>ndex for Quarter 4 2025</w:t>
                      </w:r>
                    </w:p>
                  </w:txbxContent>
                </v:textbox>
                <w10:wrap type="square" anchorx="margin"/>
              </v:roundrect>
            </w:pict>
          </mc:Fallback>
        </mc:AlternateContent>
      </w:r>
      <w:r w:rsidR="00D731EC">
        <w:rPr>
          <w:rFonts w:eastAsia="Times New Roman" w:cs="Times New Roman"/>
          <w:bCs/>
          <w:noProof w:val="0"/>
          <w:lang w:val="en-GB"/>
        </w:rPr>
        <w:t xml:space="preserve">In Quarter 4 </w:t>
      </w:r>
      <w:r w:rsidR="00D731EC" w:rsidRPr="00D731EC">
        <w:rPr>
          <w:rFonts w:eastAsia="Times New Roman" w:cs="Times New Roman"/>
          <w:bCs/>
          <w:noProof w:val="0"/>
          <w:lang w:val="en-GB"/>
        </w:rPr>
        <w:t>2025, the labour cost index rose by 5.0% compared with Quarter 1 of the same year, and increased by 2.8%</w:t>
      </w:r>
      <w:r w:rsidR="00856D23">
        <w:rPr>
          <w:rFonts w:eastAsia="Times New Roman" w:cs="Times New Roman"/>
          <w:bCs/>
          <w:noProof w:val="0"/>
          <w:lang w:val="en-GB"/>
        </w:rPr>
        <w:t xml:space="preserve"> and 1.7% compared with Quarter</w:t>
      </w:r>
      <w:r w:rsidR="00D731EC" w:rsidRPr="00D731EC">
        <w:rPr>
          <w:rFonts w:eastAsia="Times New Roman" w:cs="Times New Roman"/>
          <w:bCs/>
          <w:noProof w:val="0"/>
          <w:lang w:val="en-GB"/>
        </w:rPr>
        <w:t xml:space="preserve"> 2 and</w:t>
      </w:r>
      <w:r w:rsidR="00856D23">
        <w:rPr>
          <w:rFonts w:eastAsia="Times New Roman" w:cs="Times New Roman"/>
          <w:bCs/>
          <w:noProof w:val="0"/>
          <w:lang w:val="en-GB"/>
        </w:rPr>
        <w:t xml:space="preserve"> Quarter 3 </w:t>
      </w:r>
      <w:r w:rsidR="00D731EC" w:rsidRPr="00D731EC">
        <w:rPr>
          <w:rFonts w:eastAsia="Times New Roman" w:cs="Times New Roman"/>
          <w:bCs/>
          <w:noProof w:val="0"/>
          <w:lang w:val="en-GB"/>
        </w:rPr>
        <w:t>2025</w:t>
      </w:r>
      <w:r w:rsidR="00856D23">
        <w:rPr>
          <w:rFonts w:eastAsia="Times New Roman" w:cs="Times New Roman"/>
          <w:bCs/>
          <w:noProof w:val="0"/>
          <w:lang w:val="en-GB"/>
        </w:rPr>
        <w:t>,</w:t>
      </w:r>
      <w:r w:rsidR="00D731EC" w:rsidRPr="00D731EC">
        <w:rPr>
          <w:rFonts w:eastAsia="Times New Roman" w:cs="Times New Roman"/>
          <w:bCs/>
          <w:noProof w:val="0"/>
          <w:lang w:val="en-GB"/>
        </w:rPr>
        <w:t xml:space="preserve"> respectively.</w:t>
      </w:r>
    </w:p>
    <w:p w14:paraId="2BE4AA6C" w14:textId="486084FD" w:rsidR="00D06B5C" w:rsidRPr="00B616AF" w:rsidRDefault="002E15B5" w:rsidP="006B4FAA">
      <w:pPr>
        <w:spacing w:line="288" w:lineRule="auto"/>
        <w:rPr>
          <w:rStyle w:val="Odwoaniedokomentarza"/>
          <w:sz w:val="19"/>
          <w:szCs w:val="22"/>
          <w:lang w:val="en-GB" w:eastAsia="pl-PL"/>
        </w:rPr>
      </w:pPr>
      <w:r>
        <w:rPr>
          <w:noProof/>
          <w:lang w:eastAsia="pl-PL"/>
        </w:rPr>
        <mc:AlternateContent>
          <mc:Choice Requires="wps">
            <w:drawing>
              <wp:anchor distT="45720" distB="45720" distL="114300" distR="114300" simplePos="0" relativeHeight="251889664" behindDoc="1" locked="0" layoutInCell="1" allowOverlap="1" wp14:anchorId="58D8A88E" wp14:editId="7566D6F5">
                <wp:simplePos x="0" y="0"/>
                <wp:positionH relativeFrom="column">
                  <wp:posOffset>5224780</wp:posOffset>
                </wp:positionH>
                <wp:positionV relativeFrom="paragraph">
                  <wp:posOffset>-1270</wp:posOffset>
                </wp:positionV>
                <wp:extent cx="1772285" cy="973455"/>
                <wp:effectExtent l="0" t="0" r="0" b="0"/>
                <wp:wrapTight wrapText="bothSides">
                  <wp:wrapPolygon edited="0">
                    <wp:start x="697" y="0"/>
                    <wp:lineTo x="697" y="21135"/>
                    <wp:lineTo x="20664" y="21135"/>
                    <wp:lineTo x="20664" y="0"/>
                    <wp:lineTo x="697" y="0"/>
                  </wp:wrapPolygon>
                </wp:wrapTight>
                <wp:docPr id="6" name="Pole tekstowe 4" descr="LCI is an indicator of the rate of change relative to the base year. The base year for the data presented is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973455"/>
                        </a:xfrm>
                        <a:prstGeom prst="rect">
                          <a:avLst/>
                        </a:prstGeom>
                        <a:noFill/>
                        <a:ln w="9525">
                          <a:noFill/>
                          <a:miter lim="800000"/>
                          <a:headEnd/>
                          <a:tailEnd/>
                        </a:ln>
                      </wps:spPr>
                      <wps:txbx>
                        <w:txbxContent>
                          <w:p w14:paraId="1E06ADEE" w14:textId="7AAB9ECC" w:rsidR="002E15B5" w:rsidRPr="00476051" w:rsidRDefault="002E15B5" w:rsidP="002E15B5">
                            <w:pPr>
                              <w:pStyle w:val="tekstzboku"/>
                              <w:rPr>
                                <w:lang w:val="en-GB"/>
                              </w:rPr>
                            </w:pPr>
                            <w:r>
                              <w:rPr>
                                <w:lang w:val="en-GB"/>
                              </w:rPr>
                              <w:t>LCI</w:t>
                            </w:r>
                            <w:r w:rsidRPr="002E15B5">
                              <w:rPr>
                                <w:lang w:val="en-GB"/>
                              </w:rPr>
                              <w:t xml:space="preserve"> is an indicator of the rate of change relative to the base year. The base year for the data presented is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8D8A88E" id="_x0000_t202" coordsize="21600,21600" o:spt="202" path="m,l,21600r21600,l21600,xe">
                <v:stroke joinstyle="miter"/>
                <v:path gradientshapeok="t" o:connecttype="rect"/>
              </v:shapetype>
              <v:shape id="Pole tekstowe 4" o:spid="_x0000_s1027" type="#_x0000_t202" alt="LCI is an indicator of the rate of change relative to the base year. The base year for the data presented is 2020." style="position:absolute;margin-left:411.4pt;margin-top:-.1pt;width:139.55pt;height:76.65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zfWAIAAHkEAAAOAAAAZHJzL2Uyb0RvYy54bWysVMFu2zAMvQ/YPwi6L3a8pEmNOkXXrkOB&#10;bivQ7gMYiY6F2qInqXGyrx8lp2mw3YblIIih+Mj3SPricte1YovOG7KVnE5yKdAq0sZuKvnj6fbD&#10;UgofwGpoyWIl9+jl5er9u4uhL7GghlqNTjCI9eXQV7IJoS+zzKsGO/AT6tGysybXQWDTbTLtYGD0&#10;rs2KPD/LBnK6d6TQe/73ZnTKVcKva1The117DKKtJNcW0unSuY5ntrqAcuOgb4w6lAH/UEUHxnLS&#10;I9QNBBAvzvwF1RnlyFMdJoq6jOraKEwcmM00/4PNYwM9Ji4sju+PMvn/B6u+bR+cMLqSZ1JY6LhF&#10;D9SiCPjsAw0oZlJo9Iolu7++E8YLsMJYbRQEcoJqERoUDgLGu2rAbtjEFoLZMgol9xo8ij2Cm4gn&#10;fn00Bfc1PdBRrt6hRxtQxyxFXuST2J2h9yUX+dhzmWH3iXY8ZUlp39+TevbC0nXKeuUcDQ2CZnWm&#10;MTI7CR1xfARZD19JM014CZSAdrXrYuu4GYLReUr2x8nAXRAqplwsimI5l0Kx73zxcTafpxRQvkb3&#10;zocvSB3T8DxljicvocP23odYDZSvT2IyS7embdP0tVYMDDov5ingxNOZwMvRmq6Syzz+xnGNJD9b&#10;nYIDmHa8c4LWHlhHoiPlsFvvUnuTJFGRNek9y+Bo3AXeXb405H5JMfAeVNL/fAGHUrR3lqU8n85m&#10;cXGSMZsvCjbcqWd96gGrGKqSQfKcxOt1SMs2Ur5iyWuT1Hir5FAyz3cS6bCLcYFO7fTq7Yux+g0A&#10;AP//AwBQSwMEFAAGAAgAAAAhAGx/oRreAAAACgEAAA8AAABkcnMvZG93bnJldi54bWxMj8FuwjAQ&#10;RO+V+AdrkXoDO2mpIM0GIapeW5W2SNxMvCRR43UUG5L+fc2p3HY0o5m3+Xq0rbhQ7xvHCMlcgSAu&#10;nWm4Qvj6fJ0tQfig2ejWMSH8kod1MbnLdWbcwB902YVKxBL2mUaoQ+gyKX1Zk9V+7jri6J1cb3WI&#10;sq+k6fUQy20rU6WepNUNx4Vad7StqfzZnS3C99vpsH9U79WLXXSDG5Vku5KI99Nx8wwi0Bj+w3DF&#10;j+hQRKajO7PxokVYpmlEDwizFMTVT1SyAnGM1+IhAVnk8vaF4g8AAP//AwBQSwECLQAUAAYACAAA&#10;ACEAtoM4kv4AAADhAQAAEwAAAAAAAAAAAAAAAAAAAAAAW0NvbnRlbnRfVHlwZXNdLnhtbFBLAQIt&#10;ABQABgAIAAAAIQA4/SH/1gAAAJQBAAALAAAAAAAAAAAAAAAAAC8BAABfcmVscy8ucmVsc1BLAQIt&#10;ABQABgAIAAAAIQCLiUzfWAIAAHkEAAAOAAAAAAAAAAAAAAAAAC4CAABkcnMvZTJvRG9jLnhtbFBL&#10;AQItABQABgAIAAAAIQBsf6Ea3gAAAAoBAAAPAAAAAAAAAAAAAAAAALIEAABkcnMvZG93bnJldi54&#10;bWxQSwUGAAAAAAQABADzAAAAvQUAAAAA&#10;" filled="f" stroked="f">
                <v:textbox>
                  <w:txbxContent>
                    <w:p w14:paraId="1E06ADEE" w14:textId="7AAB9ECC" w:rsidR="002E15B5" w:rsidRPr="00476051" w:rsidRDefault="002E15B5" w:rsidP="002E15B5">
                      <w:pPr>
                        <w:pStyle w:val="tekstzboku"/>
                        <w:rPr>
                          <w:lang w:val="en-GB"/>
                        </w:rPr>
                      </w:pPr>
                      <w:r>
                        <w:rPr>
                          <w:lang w:val="en-GB"/>
                        </w:rPr>
                        <w:t>LCI</w:t>
                      </w:r>
                      <w:r w:rsidRPr="002E15B5">
                        <w:rPr>
                          <w:lang w:val="en-GB"/>
                        </w:rPr>
                        <w:t xml:space="preserve"> is an indicator of the rate of change relative to the base year. The base year for the data presented is 2020</w:t>
                      </w:r>
                    </w:p>
                  </w:txbxContent>
                </v:textbox>
                <w10:wrap type="tight"/>
              </v:shape>
            </w:pict>
          </mc:Fallback>
        </mc:AlternateContent>
      </w:r>
      <w:r w:rsidR="00B616AF">
        <w:rPr>
          <w:lang w:val="en-GB" w:eastAsia="pl-PL"/>
        </w:rPr>
        <w:t xml:space="preserve">In Quarter 4 </w:t>
      </w:r>
      <w:r w:rsidR="00B616AF" w:rsidRPr="00B616AF">
        <w:rPr>
          <w:lang w:val="en-GB" w:eastAsia="pl-PL"/>
        </w:rPr>
        <w:t>2025, labour costs per hour worked were 70.6% higher than in the base year, i.e. 2020. By the end of 2025, labour costs in Poland had risen and the number of hours worked ha</w:t>
      </w:r>
      <w:r w:rsidR="00B616AF">
        <w:rPr>
          <w:lang w:val="en-GB" w:eastAsia="pl-PL"/>
        </w:rPr>
        <w:t>d increased slightly. Labour costs in Quarter 4</w:t>
      </w:r>
      <w:r w:rsidR="00B616AF" w:rsidRPr="00B616AF">
        <w:rPr>
          <w:lang w:val="en-GB" w:eastAsia="pl-PL"/>
        </w:rPr>
        <w:t xml:space="preserve"> 2025 rose by 7.7% comp</w:t>
      </w:r>
      <w:r w:rsidR="00B616AF">
        <w:rPr>
          <w:lang w:val="en-GB" w:eastAsia="pl-PL"/>
        </w:rPr>
        <w:t>ared with Quarter 4</w:t>
      </w:r>
      <w:r w:rsidR="00B616AF" w:rsidRPr="00B616AF">
        <w:rPr>
          <w:lang w:val="en-GB" w:eastAsia="pl-PL"/>
        </w:rPr>
        <w:t xml:space="preserve"> 2024, whilst the number of hou</w:t>
      </w:r>
      <w:r w:rsidR="00B616AF">
        <w:rPr>
          <w:lang w:val="en-GB" w:eastAsia="pl-PL"/>
        </w:rPr>
        <w:t>rs worked was 0.2% higher in</w:t>
      </w:r>
      <w:r w:rsidR="00B616AF" w:rsidRPr="00B616AF">
        <w:rPr>
          <w:lang w:val="en-GB" w:eastAsia="pl-PL"/>
        </w:rPr>
        <w:t xml:space="preserve"> that period.</w:t>
      </w:r>
    </w:p>
    <w:p w14:paraId="7B76354B" w14:textId="67260CE3" w:rsidR="00C30C6E" w:rsidRPr="007C5186" w:rsidRDefault="00903031" w:rsidP="009078CF">
      <w:pPr>
        <w:spacing w:line="288" w:lineRule="auto"/>
        <w:rPr>
          <w:lang w:val="en-GB" w:eastAsia="pl-PL"/>
        </w:rPr>
      </w:pPr>
      <w:r w:rsidRPr="00903031">
        <w:rPr>
          <w:lang w:val="en-GB" w:eastAsia="pl-PL"/>
        </w:rPr>
        <w:t xml:space="preserve">In 2025, the lowest </w:t>
      </w:r>
      <w:r>
        <w:rPr>
          <w:lang w:val="en-GB" w:eastAsia="pl-PL"/>
        </w:rPr>
        <w:t xml:space="preserve">value of LCI </w:t>
      </w:r>
      <w:r w:rsidRPr="00903031">
        <w:rPr>
          <w:lang w:val="en-GB" w:eastAsia="pl-PL"/>
        </w:rPr>
        <w:t>was recorded in Quarter 1 – 162.5. In the following quarters, the index rose:</w:t>
      </w:r>
      <w:r>
        <w:rPr>
          <w:lang w:val="en-GB" w:eastAsia="pl-PL"/>
        </w:rPr>
        <w:t xml:space="preserve"> in Quarter 2 it rose by 2.1%</w:t>
      </w:r>
      <w:r w:rsidRPr="00903031">
        <w:rPr>
          <w:lang w:val="en-GB" w:eastAsia="pl-PL"/>
        </w:rPr>
        <w:t xml:space="preserve">, in Quarter 3 by 3.3%, and in Quarter 4 by 5.0% compared with Quarter 1. </w:t>
      </w:r>
      <w:r>
        <w:rPr>
          <w:lang w:val="en-GB" w:eastAsia="pl-PL"/>
        </w:rPr>
        <w:t xml:space="preserve">In the breakdown by </w:t>
      </w:r>
      <w:r w:rsidRPr="00903031">
        <w:rPr>
          <w:lang w:val="en-GB" w:eastAsia="pl-PL"/>
        </w:rPr>
        <w:t>PKD 2007</w:t>
      </w:r>
      <w:r>
        <w:rPr>
          <w:lang w:val="en-GB" w:eastAsia="pl-PL"/>
        </w:rPr>
        <w:t>/NACE Rev. 2</w:t>
      </w:r>
      <w:r w:rsidR="002C4208">
        <w:rPr>
          <w:lang w:val="en-GB" w:eastAsia="pl-PL"/>
        </w:rPr>
        <w:t xml:space="preserve"> section</w:t>
      </w:r>
      <w:r w:rsidRPr="00903031">
        <w:rPr>
          <w:lang w:val="en-GB" w:eastAsia="pl-PL"/>
        </w:rPr>
        <w:t xml:space="preserve">, the highest </w:t>
      </w:r>
      <w:r>
        <w:rPr>
          <w:lang w:val="en-GB" w:eastAsia="pl-PL"/>
        </w:rPr>
        <w:t>values of LCI</w:t>
      </w:r>
      <w:r w:rsidRPr="00903031">
        <w:rPr>
          <w:lang w:val="en-GB" w:eastAsia="pl-PL"/>
        </w:rPr>
        <w:t xml:space="preserve"> throughout the year were recorded in the</w:t>
      </w:r>
      <w:r>
        <w:rPr>
          <w:lang w:val="en-GB" w:eastAsia="pl-PL"/>
        </w:rPr>
        <w:t xml:space="preserve"> </w:t>
      </w:r>
      <w:r w:rsidRPr="00903031">
        <w:rPr>
          <w:lang w:val="en-GB" w:eastAsia="pl-PL"/>
        </w:rPr>
        <w:t>Human health and social work activities (Q)</w:t>
      </w:r>
      <w:r w:rsidR="0023220E">
        <w:rPr>
          <w:lang w:val="en-GB" w:eastAsia="pl-PL"/>
        </w:rPr>
        <w:t xml:space="preserve"> section</w:t>
      </w:r>
      <w:r w:rsidRPr="00903031">
        <w:rPr>
          <w:lang w:val="en-GB" w:eastAsia="pl-PL"/>
        </w:rPr>
        <w:t xml:space="preserve">. </w:t>
      </w:r>
      <w:proofErr w:type="spellStart"/>
      <w:r w:rsidR="00E233A5">
        <w:t>These</w:t>
      </w:r>
      <w:proofErr w:type="spellEnd"/>
      <w:r w:rsidR="00E233A5">
        <w:t xml:space="preserve"> </w:t>
      </w:r>
      <w:proofErr w:type="spellStart"/>
      <w:r w:rsidR="00E233A5">
        <w:t>values</w:t>
      </w:r>
      <w:proofErr w:type="spellEnd"/>
      <w:r w:rsidR="00E233A5">
        <w:t xml:space="preserve"> </w:t>
      </w:r>
      <w:proofErr w:type="spellStart"/>
      <w:r w:rsidR="00E233A5">
        <w:t>amounted</w:t>
      </w:r>
      <w:proofErr w:type="spellEnd"/>
      <w:r w:rsidR="00E233A5">
        <w:t xml:space="preserve"> to: 185.0 in </w:t>
      </w:r>
      <w:proofErr w:type="spellStart"/>
      <w:r w:rsidR="00E233A5">
        <w:t>Quarter</w:t>
      </w:r>
      <w:proofErr w:type="spellEnd"/>
      <w:r w:rsidR="00E233A5">
        <w:t xml:space="preserve"> 1, 187.9 in </w:t>
      </w:r>
      <w:proofErr w:type="spellStart"/>
      <w:r w:rsidR="00E233A5">
        <w:t>Quarter</w:t>
      </w:r>
      <w:proofErr w:type="spellEnd"/>
      <w:r w:rsidR="00E233A5">
        <w:t xml:space="preserve"> 2, 189.9 in the </w:t>
      </w:r>
      <w:proofErr w:type="spellStart"/>
      <w:r w:rsidR="00E233A5">
        <w:t>Quarter</w:t>
      </w:r>
      <w:proofErr w:type="spellEnd"/>
      <w:r w:rsidR="00E233A5">
        <w:t xml:space="preserve"> 3, and 192.0 in </w:t>
      </w:r>
      <w:proofErr w:type="spellStart"/>
      <w:r w:rsidR="00E233A5">
        <w:t>Quarter</w:t>
      </w:r>
      <w:proofErr w:type="spellEnd"/>
      <w:r w:rsidR="00E233A5">
        <w:t xml:space="preserve"> 4.</w:t>
      </w:r>
      <w:r w:rsidRPr="00903031">
        <w:rPr>
          <w:lang w:val="en-GB" w:eastAsia="pl-PL"/>
        </w:rPr>
        <w:t xml:space="preserve"> The lowest values, however, occurred in different sections depend</w:t>
      </w:r>
      <w:r>
        <w:rPr>
          <w:lang w:val="en-GB" w:eastAsia="pl-PL"/>
        </w:rPr>
        <w:t xml:space="preserve">ing on the quarter: in Quarter 1 and Quarter 3 in the </w:t>
      </w:r>
      <w:r w:rsidRPr="00903031">
        <w:rPr>
          <w:lang w:val="en-GB" w:eastAsia="pl-PL"/>
        </w:rPr>
        <w:t>Electricity, gas, steam and air conditioning supply (D)</w:t>
      </w:r>
      <w:r>
        <w:rPr>
          <w:lang w:val="en-GB" w:eastAsia="pl-PL"/>
        </w:rPr>
        <w:t xml:space="preserve"> section</w:t>
      </w:r>
      <w:r w:rsidRPr="00903031">
        <w:rPr>
          <w:lang w:val="en-GB" w:eastAsia="pl-PL"/>
        </w:rPr>
        <w:t xml:space="preserve"> – 152.2 </w:t>
      </w:r>
      <w:r>
        <w:rPr>
          <w:lang w:val="en-GB" w:eastAsia="pl-PL"/>
        </w:rPr>
        <w:t>and 147.2; in Quarter 2</w:t>
      </w:r>
      <w:r w:rsidRPr="00903031">
        <w:rPr>
          <w:lang w:val="en-GB" w:eastAsia="pl-PL"/>
        </w:rPr>
        <w:t xml:space="preserve"> in the R</w:t>
      </w:r>
      <w:r>
        <w:rPr>
          <w:lang w:val="en-GB" w:eastAsia="pl-PL"/>
        </w:rPr>
        <w:t xml:space="preserve">eal estate activities </w:t>
      </w:r>
      <w:r w:rsidRPr="00903031">
        <w:rPr>
          <w:lang w:val="en-GB" w:eastAsia="pl-PL"/>
        </w:rPr>
        <w:t>(L)</w:t>
      </w:r>
      <w:r>
        <w:rPr>
          <w:lang w:val="en-GB" w:eastAsia="pl-PL"/>
        </w:rPr>
        <w:t xml:space="preserve"> section</w:t>
      </w:r>
      <w:r w:rsidRPr="00903031">
        <w:rPr>
          <w:lang w:val="en-GB" w:eastAsia="pl-PL"/>
        </w:rPr>
        <w:t xml:space="preserve"> – </w:t>
      </w:r>
      <w:r w:rsidR="00671BB9">
        <w:rPr>
          <w:lang w:val="en-GB" w:eastAsia="pl-PL"/>
        </w:rPr>
        <w:t xml:space="preserve">155.1; and in </w:t>
      </w:r>
      <w:r>
        <w:rPr>
          <w:lang w:val="en-GB" w:eastAsia="pl-PL"/>
        </w:rPr>
        <w:t>Quarter 4</w:t>
      </w:r>
      <w:r w:rsidRPr="00903031">
        <w:rPr>
          <w:lang w:val="en-GB" w:eastAsia="pl-PL"/>
        </w:rPr>
        <w:t xml:space="preserve"> in </w:t>
      </w:r>
      <w:r>
        <w:rPr>
          <w:lang w:val="en-GB" w:eastAsia="pl-PL"/>
        </w:rPr>
        <w:t>the Mining and quarrying</w:t>
      </w:r>
      <w:r w:rsidRPr="00903031">
        <w:rPr>
          <w:lang w:val="en-GB" w:eastAsia="pl-PL"/>
        </w:rPr>
        <w:t xml:space="preserve"> (B)</w:t>
      </w:r>
      <w:r>
        <w:rPr>
          <w:lang w:val="en-GB" w:eastAsia="pl-PL"/>
        </w:rPr>
        <w:t xml:space="preserve"> section</w:t>
      </w:r>
      <w:r w:rsidRPr="00903031">
        <w:rPr>
          <w:lang w:val="en-GB" w:eastAsia="pl-PL"/>
        </w:rPr>
        <w:t xml:space="preserve"> – 147.8.</w:t>
      </w:r>
    </w:p>
    <w:p w14:paraId="776E091E" w14:textId="79E39145" w:rsidR="006C2FAA" w:rsidRDefault="00E6335C" w:rsidP="00F74AD8">
      <w:pPr>
        <w:spacing w:before="360" w:line="240" w:lineRule="auto"/>
        <w:rPr>
          <w:b/>
          <w:lang w:val="en-GB"/>
        </w:rPr>
      </w:pPr>
      <w:r>
        <w:rPr>
          <w:b/>
          <w:noProof/>
          <w:lang w:eastAsia="pl-PL"/>
        </w:rPr>
        <w:drawing>
          <wp:anchor distT="0" distB="0" distL="114300" distR="114300" simplePos="0" relativeHeight="251885568" behindDoc="0" locked="0" layoutInCell="1" allowOverlap="1" wp14:anchorId="1D835BC5" wp14:editId="7DCDE22B">
            <wp:simplePos x="0" y="0"/>
            <wp:positionH relativeFrom="margin">
              <wp:align>left</wp:align>
            </wp:positionH>
            <wp:positionV relativeFrom="paragraph">
              <wp:posOffset>379095</wp:posOffset>
            </wp:positionV>
            <wp:extent cx="5035550" cy="2329180"/>
            <wp:effectExtent l="0" t="0" r="0" b="0"/>
            <wp:wrapTopAndBottom/>
            <wp:docPr id="5" name="Obraz 5" descr="The line chart shows the values of the total labour cost index for each quarter from 2016 to 2025. A clear upward trend in the index is evident. In the first quarter of 2016, it stood at 76.7, and in the fourth quarter of 2025, it reached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5550" cy="2329180"/>
                    </a:xfrm>
                    <a:prstGeom prst="rect">
                      <a:avLst/>
                    </a:prstGeom>
                    <a:noFill/>
                  </pic:spPr>
                </pic:pic>
              </a:graphicData>
            </a:graphic>
            <wp14:sizeRelH relativeFrom="page">
              <wp14:pctWidth>0</wp14:pctWidth>
            </wp14:sizeRelH>
            <wp14:sizeRelV relativeFrom="page">
              <wp14:pctHeight>0</wp14:pctHeight>
            </wp14:sizeRelV>
          </wp:anchor>
        </w:drawing>
      </w:r>
      <w:r w:rsidR="00F64B07" w:rsidRPr="00292589">
        <w:rPr>
          <w:b/>
          <w:lang w:val="en-GB"/>
        </w:rPr>
        <w:t>Chart</w:t>
      </w:r>
      <w:r w:rsidR="00120358" w:rsidRPr="00292589">
        <w:rPr>
          <w:b/>
          <w:lang w:val="en-GB"/>
        </w:rPr>
        <w:t xml:space="preserve"> 1. </w:t>
      </w:r>
      <w:r w:rsidR="00F64B07" w:rsidRPr="00F64B07">
        <w:rPr>
          <w:b/>
          <w:lang w:val="en-GB"/>
        </w:rPr>
        <w:t>Labour cost index</w:t>
      </w:r>
      <w:r w:rsidR="00BF69AD">
        <w:rPr>
          <w:b/>
          <w:lang w:val="en-GB"/>
        </w:rPr>
        <w:t xml:space="preserve"> (2020=100)</w:t>
      </w:r>
      <w:bookmarkStart w:id="1" w:name="_GoBack"/>
      <w:bookmarkEnd w:id="1"/>
    </w:p>
    <w:p w14:paraId="142DA715" w14:textId="66BD0DF8" w:rsidR="00800B0A" w:rsidRPr="007E07BB" w:rsidRDefault="0065098D" w:rsidP="009078CF">
      <w:pPr>
        <w:spacing w:before="360" w:line="240" w:lineRule="auto"/>
        <w:rPr>
          <w:lang w:val="en-GB" w:eastAsia="pl-PL"/>
        </w:rPr>
      </w:pPr>
      <w:r>
        <w:rPr>
          <w:noProof/>
          <w:lang w:eastAsia="pl-PL"/>
        </w:rPr>
        <mc:AlternateContent>
          <mc:Choice Requires="wps">
            <w:drawing>
              <wp:anchor distT="45720" distB="45720" distL="114300" distR="114300" simplePos="0" relativeHeight="251845632" behindDoc="1" locked="0" layoutInCell="1" allowOverlap="1" wp14:anchorId="46A3FDFA" wp14:editId="07BF7DF4">
                <wp:simplePos x="0" y="0"/>
                <wp:positionH relativeFrom="column">
                  <wp:posOffset>5248275</wp:posOffset>
                </wp:positionH>
                <wp:positionV relativeFrom="paragraph">
                  <wp:posOffset>2718435</wp:posOffset>
                </wp:positionV>
                <wp:extent cx="1772285" cy="842645"/>
                <wp:effectExtent l="0" t="0" r="0" b="0"/>
                <wp:wrapTight wrapText="bothSides">
                  <wp:wrapPolygon edited="0">
                    <wp:start x="697" y="0"/>
                    <wp:lineTo x="697" y="20998"/>
                    <wp:lineTo x="20664" y="20998"/>
                    <wp:lineTo x="20664" y="0"/>
                    <wp:lineTo x="697" y="0"/>
                  </wp:wrapPolygon>
                </wp:wrapTight>
                <wp:docPr id="7" name="Pole tekstowe 4" descr="In the fourth quarter of 2025, Poland was among the EU Member States with the highest values of the labour cost inde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842645"/>
                        </a:xfrm>
                        <a:prstGeom prst="rect">
                          <a:avLst/>
                        </a:prstGeom>
                        <a:noFill/>
                        <a:ln w="9525">
                          <a:noFill/>
                          <a:miter lim="800000"/>
                          <a:headEnd/>
                          <a:tailEnd/>
                        </a:ln>
                      </wps:spPr>
                      <wps:txbx>
                        <w:txbxContent>
                          <w:p w14:paraId="342D891D" w14:textId="5BC05F54" w:rsidR="009C47DA" w:rsidRPr="00476051" w:rsidRDefault="00476051" w:rsidP="00E537D4">
                            <w:pPr>
                              <w:pStyle w:val="tekstzboku"/>
                              <w:rPr>
                                <w:lang w:val="en-GB"/>
                              </w:rPr>
                            </w:pPr>
                            <w:r w:rsidRPr="00476051">
                              <w:rPr>
                                <w:lang w:val="en-GB"/>
                              </w:rPr>
                              <w:t>In Quarter 4 2025, Poland was among the EU Member States with the highest values of the labour cost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6A3FDFA" id="_x0000_t202" coordsize="21600,21600" o:spt="202" path="m,l,21600r21600,l21600,xe">
                <v:stroke joinstyle="miter"/>
                <v:path gradientshapeok="t" o:connecttype="rect"/>
              </v:shapetype>
              <v:shape id="_x0000_s1028" type="#_x0000_t202" alt="In the fourth quarter of 2025, Poland was among the EU Member States with the highest values of the labour cost index." style="position:absolute;margin-left:413.25pt;margin-top:214.05pt;width:139.55pt;height:66.35pt;z-index:-25147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P3YQIAAH0EAAAOAAAAZHJzL2Uyb0RvYy54bWysVNtu2zAMfR+wfyD0vMWJkTStUafoehkK&#10;rFuBrh8gy3QsVBY9SYndff0oOe2C7W2YHwRJFA95DkmfX4ydgT06r8mWYjGbC0CrqNZ2W4qn77cf&#10;TwX4IG0tDVksxQt6cbF5/+586AvMqSVTowMGsb4Y+lK0IfRFlnnVYif9jHq0bGzIdTLw0W2z2smB&#10;0TuT5fP5STaQq3tHCr3n2+vJKDYJv2lQhW9N4zGAKQXnFtLq0lrFNducy2LrZN9qdUhD/kMWndSW&#10;g75BXcsgYef0X1CdVo48NWGmqMuoabTCxIHZLOZ/sHlsZY+JC4vj+zeZ/P+DVV/3Dw50XYq1ACs7&#10;LtEDGYSAzz7QgLAUUKNXLNmdhdAiNLRzoYUfO+kCl44ayOf56gOwG5cZBulBdmS36fHNE9xjV/G7&#10;xyADehg0+0aYVm9b9AH20uz4nmHirZEVw4Mitmhb4ziLFRp6X3Cijz2nGsZPNHKnJbV9/4XUswdL&#10;V620W7x0joYWZc0KLaJnduQ64fgIUg33VDNVuQuUgMbGdbF8XBBgdO6Ul7fuwDGAiiHX6zw/XQlQ&#10;bDtd5ifLVQohi1fv3vnwGamDuCmF4+5L6HL/xYeYjSxen8Rglm61MakDjYWhFGerfJUcjiydjiob&#10;3XHMefymlo0kb2ydnIPUZtpzAGMPrCPRiXIYqzGVOH8Vs6L6hWVwNM0Dzy9vWnI/BQw8C6Xwsbwo&#10;wNxZlvJssVzG4UmH5Wqd88EdW6pji7SKoUoRBEzbq5AGbqJ8yZI3OqkRazNlckiZezyJdJjHOETH&#10;5/Tq919j8wsAAP//AwBQSwMEFAAGAAgAAAAhAC75+j3fAAAADAEAAA8AAABkcnMvZG93bnJldi54&#10;bWxMj8tOwzAQRfdI/IM1SOyonaiJ0pBJhUBsQZSH1J0bT5OIeBzFbhP+HncFy9E9uvdMtV3sIM40&#10;+d4xQrJSIIgbZ3puET7en+8KED5oNnpwTAg/5GFbX19VujRu5jc670IrYgn7UiN0IYyllL7pyGq/&#10;ciNxzI5usjrEc2qlmfQcy+0gU6VyaXXPcaHTIz121HzvThbh8+W4/1qr1/bJZuPsFiXZbiTi7c3y&#10;cA8i0BL+YLjoR3Woo9PBndh4MSAUaZ5FFGGdFgmIC5GoLAdxQMhyVYCsK/n/ifoXAAD//wMAUEsB&#10;Ai0AFAAGAAgAAAAhALaDOJL+AAAA4QEAABMAAAAAAAAAAAAAAAAAAAAAAFtDb250ZW50X1R5cGVz&#10;XS54bWxQSwECLQAUAAYACAAAACEAOP0h/9YAAACUAQAACwAAAAAAAAAAAAAAAAAvAQAAX3JlbHMv&#10;LnJlbHNQSwECLQAUAAYACAAAACEA32vT92ECAAB9BAAADgAAAAAAAAAAAAAAAAAuAgAAZHJzL2Uy&#10;b0RvYy54bWxQSwECLQAUAAYACAAAACEALvn6Pd8AAAAMAQAADwAAAAAAAAAAAAAAAAC7BAAAZHJz&#10;L2Rvd25yZXYueG1sUEsFBgAAAAAEAAQA8wAAAMcFAAAAAA==&#10;" filled="f" stroked="f">
                <v:textbox>
                  <w:txbxContent>
                    <w:p w14:paraId="342D891D" w14:textId="5BC05F54" w:rsidR="009C47DA" w:rsidRPr="00476051" w:rsidRDefault="00476051" w:rsidP="00E537D4">
                      <w:pPr>
                        <w:pStyle w:val="tekstzboku"/>
                        <w:rPr>
                          <w:lang w:val="en-GB"/>
                        </w:rPr>
                      </w:pPr>
                      <w:r w:rsidRPr="00476051">
                        <w:rPr>
                          <w:lang w:val="en-GB"/>
                        </w:rPr>
                        <w:t>In Quarter 4 2025, Poland was among the EU Member States with the highest values of the labour cost index</w:t>
                      </w:r>
                    </w:p>
                  </w:txbxContent>
                </v:textbox>
                <w10:wrap type="tight"/>
              </v:shape>
            </w:pict>
          </mc:Fallback>
        </mc:AlternateContent>
      </w:r>
      <w:r w:rsidR="007E07BB" w:rsidRPr="007E07BB">
        <w:rPr>
          <w:b/>
          <w:color w:val="001D77"/>
          <w:lang w:val="en-GB"/>
        </w:rPr>
        <w:t>Poland compared to th</w:t>
      </w:r>
      <w:r w:rsidR="007E07BB">
        <w:rPr>
          <w:b/>
          <w:color w:val="001D77"/>
          <w:lang w:val="en-GB"/>
        </w:rPr>
        <w:t>e European Union</w:t>
      </w:r>
    </w:p>
    <w:p w14:paraId="0580BA3D" w14:textId="0D8D93B5" w:rsidR="009078CF" w:rsidRPr="007E07BB" w:rsidRDefault="007E07BB" w:rsidP="00832EA5">
      <w:pPr>
        <w:spacing w:line="288" w:lineRule="auto"/>
        <w:rPr>
          <w:lang w:val="en-GB" w:eastAsia="pl-PL"/>
        </w:rPr>
      </w:pPr>
      <w:r w:rsidRPr="008D7B2A">
        <w:rPr>
          <w:color w:val="000000" w:themeColor="text1"/>
          <w:lang w:val="en-GB"/>
        </w:rPr>
        <w:t>The labour cost index makes it possible to compare labour cost dynamics across European Union Member States. Poland is in the group of countr</w:t>
      </w:r>
      <w:r w:rsidR="00B83704" w:rsidRPr="008D7B2A">
        <w:rPr>
          <w:color w:val="000000" w:themeColor="text1"/>
          <w:lang w:val="en-GB"/>
        </w:rPr>
        <w:t>ies with the highest value of this index, ranking fifth.</w:t>
      </w:r>
      <w:r w:rsidRPr="008D7B2A">
        <w:rPr>
          <w:color w:val="000000" w:themeColor="text1"/>
          <w:lang w:val="en-GB"/>
        </w:rPr>
        <w:t xml:space="preserve"> </w:t>
      </w:r>
      <w:r w:rsidRPr="008D7B2A">
        <w:rPr>
          <w:lang w:val="en-GB" w:eastAsia="pl-PL"/>
        </w:rPr>
        <w:t>In Quarter 4 2025, the labour cost index in Poland stood at 170</w:t>
      </w:r>
      <w:r w:rsidR="008D7B2A" w:rsidRPr="008D7B2A">
        <w:rPr>
          <w:lang w:val="en-GB" w:eastAsia="pl-PL"/>
        </w:rPr>
        <w:t>.6. Among the countries</w:t>
      </w:r>
      <w:r w:rsidRPr="008D7B2A">
        <w:rPr>
          <w:lang w:val="en-GB" w:eastAsia="pl-PL"/>
        </w:rPr>
        <w:t>, the lowest labour cost index was recorded in Italy – 110.7 – and the highest in Bulgaria – 191.1.</w:t>
      </w:r>
    </w:p>
    <w:p w14:paraId="5F4028D1" w14:textId="39A32B6F" w:rsidR="00AC492A" w:rsidRDefault="00E6335C" w:rsidP="00F74AD8">
      <w:pPr>
        <w:spacing w:line="288" w:lineRule="auto"/>
        <w:rPr>
          <w:b/>
          <w:lang w:val="en-GB"/>
        </w:rPr>
      </w:pPr>
      <w:r w:rsidRPr="00E6335C">
        <w:rPr>
          <w:b/>
          <w:noProof/>
          <w:lang w:eastAsia="pl-PL"/>
        </w:rPr>
        <w:lastRenderedPageBreak/>
        <w:drawing>
          <wp:anchor distT="0" distB="0" distL="114300" distR="114300" simplePos="0" relativeHeight="251886592" behindDoc="0" locked="0" layoutInCell="1" allowOverlap="1" wp14:anchorId="12868FD7" wp14:editId="65DFF6DB">
            <wp:simplePos x="0" y="0"/>
            <wp:positionH relativeFrom="margin">
              <wp:align>left</wp:align>
            </wp:positionH>
            <wp:positionV relativeFrom="paragraph">
              <wp:posOffset>182245</wp:posOffset>
            </wp:positionV>
            <wp:extent cx="5041900" cy="4284345"/>
            <wp:effectExtent l="0" t="0" r="6350" b="1905"/>
            <wp:wrapTopAndBottom/>
            <wp:docPr id="11" name="Obraz 11" descr="The choropleth map shows the values of the total labour cost index for the fourth quarter of 2025 in selected European countries. The total labour cost index for Poland stood at 170.6. The values (in descending order) for other countries are as follows: Bulgaria: 191.1, Hungary: 180.0, Lithuania: 176.7, Romania: 172.7, Croatia: 169.7, Latvia: 157.6, Slovenia: 153.5, Estonia: 151.4, Iceland: 149.4, Slovakia: 146.0, Ireland: 138.2, Portugal: 130.2, Czechia: 129.9, Austria: 129.5, Netherlands: 129.5, Greece: 128.1, Cyprus: 126.6, Norway: 126.0, Luxembourg: 121.5, Germany: 121.5, Sweden: 121.1, Malta: 119.2, Spain: 118.6, Finland: 117.6, Denmark: 116.6, France: 115.2, Italy: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bdg01\WOU_SHARE\PUBLIKACJE\PUBLIKACJE_2026\!SYGNALNE\ogolnopolskie\IKZ\grafika\mapa_a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1900" cy="428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2B7" w:rsidRPr="00292589">
        <w:rPr>
          <w:b/>
          <w:lang w:val="en-GB"/>
        </w:rPr>
        <w:t xml:space="preserve">Map </w:t>
      </w:r>
      <w:r w:rsidR="00347391" w:rsidRPr="00F74AD8">
        <w:rPr>
          <w:b/>
        </w:rPr>
        <w:fldChar w:fldCharType="begin"/>
      </w:r>
      <w:r w:rsidR="00AC492A" w:rsidRPr="00292589">
        <w:rPr>
          <w:b/>
          <w:lang w:val="en-GB"/>
        </w:rPr>
        <w:instrText xml:space="preserve"> SEQ Kartogram \* ARABIC </w:instrText>
      </w:r>
      <w:r w:rsidR="00347391" w:rsidRPr="00F74AD8">
        <w:rPr>
          <w:b/>
        </w:rPr>
        <w:fldChar w:fldCharType="separate"/>
      </w:r>
      <w:r w:rsidR="007C1519">
        <w:rPr>
          <w:b/>
          <w:noProof/>
          <w:lang w:val="en-GB"/>
        </w:rPr>
        <w:t>1</w:t>
      </w:r>
      <w:r w:rsidR="00347391" w:rsidRPr="00F74AD8">
        <w:rPr>
          <w:b/>
        </w:rPr>
        <w:fldChar w:fldCharType="end"/>
      </w:r>
      <w:r w:rsidR="00AC492A" w:rsidRPr="00292589">
        <w:rPr>
          <w:b/>
          <w:lang w:val="en-GB"/>
        </w:rPr>
        <w:t xml:space="preserve">. </w:t>
      </w:r>
      <w:r w:rsidR="00476051" w:rsidRPr="00476051">
        <w:rPr>
          <w:b/>
          <w:lang w:val="en-GB"/>
        </w:rPr>
        <w:t>Labour cost index for selected European countries in Q</w:t>
      </w:r>
      <w:r w:rsidR="00476051">
        <w:rPr>
          <w:b/>
          <w:lang w:val="en-GB"/>
        </w:rPr>
        <w:t>uarter 4</w:t>
      </w:r>
      <w:r w:rsidR="00476051" w:rsidRPr="00476051">
        <w:rPr>
          <w:b/>
          <w:lang w:val="en-GB"/>
        </w:rPr>
        <w:t xml:space="preserve"> 202</w:t>
      </w:r>
      <w:r w:rsidR="00476051">
        <w:rPr>
          <w:b/>
          <w:lang w:val="en-GB"/>
        </w:rPr>
        <w:t>5</w:t>
      </w:r>
    </w:p>
    <w:p w14:paraId="0C983D2A" w14:textId="3179B54D" w:rsidR="00C34FF2" w:rsidRPr="00292589" w:rsidRDefault="00DC5D0C" w:rsidP="00DA7DB0">
      <w:pPr>
        <w:pStyle w:val="Przypis"/>
        <w:spacing w:after="120" w:line="240" w:lineRule="exact"/>
        <w:rPr>
          <w:sz w:val="16"/>
          <w:szCs w:val="16"/>
        </w:rPr>
      </w:pPr>
      <w:r w:rsidRPr="00292589">
        <w:rPr>
          <w:sz w:val="16"/>
          <w:szCs w:val="16"/>
        </w:rPr>
        <w:t>Source of data</w:t>
      </w:r>
      <w:r w:rsidR="0052244D" w:rsidRPr="00292589">
        <w:rPr>
          <w:sz w:val="16"/>
          <w:szCs w:val="16"/>
        </w:rPr>
        <w:t xml:space="preserve">: </w:t>
      </w:r>
      <w:hyperlink r:id="rId10" w:history="1">
        <w:r w:rsidR="0052244D" w:rsidRPr="00292589">
          <w:rPr>
            <w:rStyle w:val="Hipercze"/>
            <w:rFonts w:cstheme="minorBidi"/>
            <w:sz w:val="16"/>
            <w:szCs w:val="16"/>
          </w:rPr>
          <w:t>Eurostat</w:t>
        </w:r>
      </w:hyperlink>
      <w:r w:rsidR="004D0D44" w:rsidRPr="00292589">
        <w:rPr>
          <w:sz w:val="16"/>
          <w:szCs w:val="16"/>
        </w:rPr>
        <w:t>.</w:t>
      </w:r>
    </w:p>
    <w:p w14:paraId="0B930EF4" w14:textId="7EC13D8B" w:rsidR="000D3B8B" w:rsidRPr="00476051" w:rsidRDefault="00476051" w:rsidP="009078CF">
      <w:pPr>
        <w:spacing w:before="360" w:line="288" w:lineRule="auto"/>
        <w:rPr>
          <w:lang w:val="en-GB"/>
        </w:rPr>
      </w:pPr>
      <w:r w:rsidRPr="00476051">
        <w:rPr>
          <w:lang w:val="en-GB"/>
        </w:rPr>
        <w:t xml:space="preserve">In Poland, the variation in the </w:t>
      </w:r>
      <w:r w:rsidR="0091657D">
        <w:rPr>
          <w:lang w:val="en-GB"/>
        </w:rPr>
        <w:t>LCI</w:t>
      </w:r>
      <w:r w:rsidRPr="00476051">
        <w:rPr>
          <w:lang w:val="en-GB"/>
        </w:rPr>
        <w:t xml:space="preserve"> by kind of activity is greater than in the European Union. </w:t>
      </w:r>
      <w:r w:rsidRPr="00DC5D0C">
        <w:rPr>
          <w:lang w:val="en-GB"/>
        </w:rPr>
        <w:t>In Quarter 4 2025, the labour cost index for Poland exceeded the average for the</w:t>
      </w:r>
      <w:r w:rsidR="0091657D">
        <w:rPr>
          <w:lang w:val="en-GB"/>
        </w:rPr>
        <w:t xml:space="preserve"> 27 EU Member States across B to S</w:t>
      </w:r>
      <w:r w:rsidR="00BD0670">
        <w:rPr>
          <w:lang w:val="en-GB"/>
        </w:rPr>
        <w:t xml:space="preserve"> </w:t>
      </w:r>
      <w:r w:rsidR="00BD0670" w:rsidRPr="00DC5D0C">
        <w:rPr>
          <w:lang w:val="en-GB"/>
        </w:rPr>
        <w:t>sections</w:t>
      </w:r>
      <w:r w:rsidRPr="00DC5D0C">
        <w:rPr>
          <w:lang w:val="en-GB"/>
        </w:rPr>
        <w:t xml:space="preserve">. </w:t>
      </w:r>
      <w:r w:rsidRPr="00476051">
        <w:rPr>
          <w:lang w:val="en-GB"/>
        </w:rPr>
        <w:t xml:space="preserve">The largest difference was recorded in the </w:t>
      </w:r>
      <w:r>
        <w:rPr>
          <w:lang w:val="en-GB"/>
        </w:rPr>
        <w:t>Human health</w:t>
      </w:r>
      <w:r w:rsidRPr="00476051">
        <w:rPr>
          <w:lang w:val="en-GB"/>
        </w:rPr>
        <w:t xml:space="preserve"> and social work</w:t>
      </w:r>
      <w:r>
        <w:rPr>
          <w:lang w:val="en-GB"/>
        </w:rPr>
        <w:t xml:space="preserve"> activities</w:t>
      </w:r>
      <w:r w:rsidR="00B7272F">
        <w:rPr>
          <w:lang w:val="en-GB"/>
        </w:rPr>
        <w:t xml:space="preserve"> (Q)</w:t>
      </w:r>
      <w:r w:rsidRPr="00476051">
        <w:rPr>
          <w:lang w:val="en-GB"/>
        </w:rPr>
        <w:t xml:space="preserve"> section, where the </w:t>
      </w:r>
      <w:r>
        <w:rPr>
          <w:lang w:val="en-GB"/>
        </w:rPr>
        <w:t>labour</w:t>
      </w:r>
      <w:r w:rsidRPr="00476051">
        <w:rPr>
          <w:lang w:val="en-GB"/>
        </w:rPr>
        <w:t xml:space="preserve"> cost index was 55.7% higher than the EU average. </w:t>
      </w:r>
      <w:r w:rsidR="00DC5D0C" w:rsidRPr="00DC5D0C">
        <w:rPr>
          <w:lang w:val="en-GB"/>
        </w:rPr>
        <w:t>On the other hand, the smallest difference was observed in</w:t>
      </w:r>
      <w:r w:rsidR="00032472">
        <w:rPr>
          <w:lang w:val="en-GB"/>
        </w:rPr>
        <w:t xml:space="preserve"> the Mining and quarrying</w:t>
      </w:r>
      <w:r w:rsidR="00B7272F">
        <w:rPr>
          <w:lang w:val="en-GB"/>
        </w:rPr>
        <w:t xml:space="preserve"> (B)</w:t>
      </w:r>
      <w:r w:rsidR="00032472">
        <w:rPr>
          <w:lang w:val="en-GB"/>
        </w:rPr>
        <w:t xml:space="preserve"> section</w:t>
      </w:r>
      <w:r w:rsidR="00DC5D0C" w:rsidRPr="00DC5D0C">
        <w:rPr>
          <w:lang w:val="en-GB"/>
        </w:rPr>
        <w:t xml:space="preserve"> (12.8%).</w:t>
      </w:r>
    </w:p>
    <w:p w14:paraId="3652F6E4" w14:textId="47F18646" w:rsidR="009078CF" w:rsidRPr="00476051" w:rsidRDefault="009078CF">
      <w:pPr>
        <w:spacing w:before="0" w:after="160" w:line="259" w:lineRule="auto"/>
        <w:rPr>
          <w:b/>
          <w:lang w:val="en-GB"/>
        </w:rPr>
      </w:pPr>
      <w:r w:rsidRPr="00476051">
        <w:rPr>
          <w:b/>
          <w:lang w:val="en-GB"/>
        </w:rPr>
        <w:br w:type="page"/>
      </w:r>
    </w:p>
    <w:p w14:paraId="17A0CCFB" w14:textId="2A465BEF" w:rsidR="007B740D" w:rsidRDefault="00E6335C" w:rsidP="007B740D">
      <w:pPr>
        <w:spacing w:before="360" w:line="240" w:lineRule="auto"/>
        <w:ind w:left="851" w:hanging="851"/>
        <w:rPr>
          <w:b/>
          <w:lang w:val="en-GB"/>
        </w:rPr>
      </w:pPr>
      <w:r w:rsidRPr="00E6335C">
        <w:rPr>
          <w:b/>
          <w:noProof/>
          <w:lang w:eastAsia="pl-PL"/>
        </w:rPr>
        <w:lastRenderedPageBreak/>
        <w:drawing>
          <wp:anchor distT="0" distB="0" distL="114300" distR="114300" simplePos="0" relativeHeight="251887616" behindDoc="0" locked="0" layoutInCell="1" allowOverlap="1" wp14:anchorId="297D4AB9" wp14:editId="442BF843">
            <wp:simplePos x="0" y="0"/>
            <wp:positionH relativeFrom="margin">
              <wp:align>left</wp:align>
            </wp:positionH>
            <wp:positionV relativeFrom="paragraph">
              <wp:posOffset>304589</wp:posOffset>
            </wp:positionV>
            <wp:extent cx="5041265" cy="4267200"/>
            <wp:effectExtent l="0" t="0" r="6985" b="0"/>
            <wp:wrapTopAndBottom/>
            <wp:docPr id="13" name="Obraz 13" descr="The choropleth map shows the values of the total labour cost index for the fourth quarter of 2025 in selected European countries. The total labour cost index for Poland stood at 170.6. The values (in descending order) for other countries are as follows: Bulgaria: 191.1, Hungary: 180.0, Lithuania: 176.7, Romania: 172.7, Croatia: 169.7, Latvia: 157.6, Slovenia: 153.5, Estonia: 151.4, Iceland: 149.4, Slovakia: 146.0, Ireland: 138.2, Portugal: 130.2, Czechia: 129.9, Austria: 129.5, Netherlands: 129.5, Greece: 128.1, Cyprus: 126.6, Norway: 126.0, Luxembourg: 121.5, Germany: 121.5, Sweden: 121.1, Malta: 119.2, Spain: 118.6, Finland: 117.6, Denmark: 116.6, France: 115.2, Italy: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fbdg01\WOU_SHARE\PUBLIKACJE\PUBLIKACJE_2026\!SYGNALNE\ogolnopolskie\IKZ\grafika\wyk3_ang.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41392"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C99" w:rsidRPr="00292589">
        <w:rPr>
          <w:b/>
          <w:lang w:val="en-GB"/>
        </w:rPr>
        <w:t>Chart</w:t>
      </w:r>
      <w:r w:rsidR="007B740D" w:rsidRPr="00292589">
        <w:rPr>
          <w:b/>
          <w:lang w:val="en-GB"/>
        </w:rPr>
        <w:t xml:space="preserve"> </w:t>
      </w:r>
      <w:r w:rsidR="00C55630" w:rsidRPr="00292589">
        <w:rPr>
          <w:b/>
          <w:lang w:val="en-GB"/>
        </w:rPr>
        <w:t>2</w:t>
      </w:r>
      <w:r w:rsidR="007B740D" w:rsidRPr="00292589">
        <w:rPr>
          <w:b/>
          <w:lang w:val="en-GB"/>
        </w:rPr>
        <w:t xml:space="preserve">. </w:t>
      </w:r>
      <w:r w:rsidR="00BC3C99" w:rsidRPr="00BC3C99">
        <w:rPr>
          <w:b/>
          <w:lang w:val="en-GB"/>
        </w:rPr>
        <w:t>Labour cost index by PKD 2007/NACE Rev. 2 section (B-S) in Q</w:t>
      </w:r>
      <w:r w:rsidR="00BC3C99">
        <w:rPr>
          <w:b/>
          <w:lang w:val="en-GB"/>
        </w:rPr>
        <w:t xml:space="preserve">uarter </w:t>
      </w:r>
      <w:r w:rsidR="00BC3C99" w:rsidRPr="00BC3C99">
        <w:rPr>
          <w:b/>
          <w:lang w:val="en-GB"/>
        </w:rPr>
        <w:t>4 202</w:t>
      </w:r>
      <w:r w:rsidR="00BC3C99">
        <w:rPr>
          <w:b/>
          <w:lang w:val="en-GB"/>
        </w:rPr>
        <w:t>5</w:t>
      </w:r>
      <w:r w:rsidR="00BC3C99" w:rsidRPr="00BC3C99">
        <w:rPr>
          <w:b/>
          <w:lang w:val="en-GB"/>
        </w:rPr>
        <w:t xml:space="preserve"> for Poland and the European Union</w:t>
      </w:r>
    </w:p>
    <w:p w14:paraId="41A6964F" w14:textId="774D03DE" w:rsidR="00F74AD8" w:rsidRPr="00292589" w:rsidRDefault="00282637" w:rsidP="00FC5660">
      <w:pPr>
        <w:pStyle w:val="Przypis"/>
        <w:spacing w:after="120" w:line="240" w:lineRule="exact"/>
        <w:rPr>
          <w:sz w:val="16"/>
          <w:szCs w:val="16"/>
        </w:rPr>
      </w:pPr>
      <w:r w:rsidRPr="00292589">
        <w:rPr>
          <w:sz w:val="16"/>
          <w:szCs w:val="16"/>
        </w:rPr>
        <w:t>Source of data</w:t>
      </w:r>
      <w:r w:rsidR="007B0E2F" w:rsidRPr="00292589">
        <w:rPr>
          <w:sz w:val="16"/>
          <w:szCs w:val="16"/>
        </w:rPr>
        <w:t xml:space="preserve">: </w:t>
      </w:r>
      <w:hyperlink r:id="rId12" w:history="1">
        <w:r w:rsidR="007B0E2F" w:rsidRPr="00292589">
          <w:rPr>
            <w:rStyle w:val="Hipercze"/>
            <w:rFonts w:cstheme="minorBidi"/>
            <w:sz w:val="16"/>
            <w:szCs w:val="16"/>
          </w:rPr>
          <w:t>Eurostat</w:t>
        </w:r>
      </w:hyperlink>
      <w:r w:rsidR="004D0D44" w:rsidRPr="00292589">
        <w:rPr>
          <w:sz w:val="16"/>
          <w:szCs w:val="16"/>
        </w:rPr>
        <w:t>.</w:t>
      </w:r>
    </w:p>
    <w:p w14:paraId="5B31011F" w14:textId="044A1BAF" w:rsidR="00567A79" w:rsidRPr="00282637" w:rsidRDefault="00567A79" w:rsidP="009078CF">
      <w:pPr>
        <w:pStyle w:val="Nagwek1"/>
        <w:spacing w:before="360"/>
        <w:rPr>
          <w:lang w:val="en-GB"/>
        </w:rPr>
      </w:pPr>
      <w:r w:rsidRPr="00337FA2">
        <w:rPr>
          <w:noProof/>
          <w:spacing w:val="-2"/>
          <w:szCs w:val="19"/>
        </w:rPr>
        <mc:AlternateContent>
          <mc:Choice Requires="wps">
            <w:drawing>
              <wp:anchor distT="45720" distB="45720" distL="114300" distR="114300" simplePos="0" relativeHeight="251863040" behindDoc="1" locked="0" layoutInCell="1" allowOverlap="1" wp14:anchorId="59424EC7" wp14:editId="225C904D">
                <wp:simplePos x="0" y="0"/>
                <wp:positionH relativeFrom="column">
                  <wp:posOffset>5257800</wp:posOffset>
                </wp:positionH>
                <wp:positionV relativeFrom="paragraph">
                  <wp:posOffset>222250</wp:posOffset>
                </wp:positionV>
                <wp:extent cx="1725295" cy="1162050"/>
                <wp:effectExtent l="0" t="0" r="0" b="0"/>
                <wp:wrapTight wrapText="bothSides">
                  <wp:wrapPolygon edited="0">
                    <wp:start x="715" y="0"/>
                    <wp:lineTo x="715" y="21246"/>
                    <wp:lineTo x="20749" y="21246"/>
                    <wp:lineTo x="20749" y="0"/>
                    <wp:lineTo x="715" y="0"/>
                  </wp:wrapPolygon>
                </wp:wrapTight>
                <wp:docPr id="4" name="Pole tekstowe 4" descr="Labour cost index is one of the Principal European Economic Indicators (PEEIs), which describe the current macroeconomic situation of the European Un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62050"/>
                        </a:xfrm>
                        <a:prstGeom prst="rect">
                          <a:avLst/>
                        </a:prstGeom>
                        <a:noFill/>
                        <a:ln w="9525">
                          <a:noFill/>
                          <a:miter lim="800000"/>
                          <a:headEnd/>
                          <a:tailEnd/>
                        </a:ln>
                      </wps:spPr>
                      <wps:txbx>
                        <w:txbxContent>
                          <w:p w14:paraId="39A52F64" w14:textId="29833C7F" w:rsidR="00567A79" w:rsidRPr="00E775EE" w:rsidRDefault="00E775EE" w:rsidP="00567A79">
                            <w:pPr>
                              <w:pStyle w:val="tekstzboku"/>
                              <w:rPr>
                                <w:lang w:val="en-GB"/>
                              </w:rPr>
                            </w:pPr>
                            <w:r w:rsidRPr="00E775EE">
                              <w:rPr>
                                <w:lang w:val="en-GB"/>
                              </w:rPr>
                              <w:t>Labour cost index is one of the Principal European Economic Indicators (PEEIs), which describe the current macroeconomic situation of 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424EC7" id="_x0000_s1029" type="#_x0000_t202" alt="Labour cost index is one of the Principal European Economic Indicators (PEEIs), which describe the current macroeconomic situation of the European Union" style="position:absolute;margin-left:414pt;margin-top:17.5pt;width:135.85pt;height:91.5pt;z-index:-25145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vrdQIAAKAEAAAOAAAAZHJzL2Uyb0RvYy54bWysVFFv0zAQfkfiP5z8BBIsbWg3Fi2dxtah&#10;SQMqjf2Ai+M01hJfsJ0l49dzdtpSwRsiD5bt831333d3ubgc2waelXWaTC7mJzMBykgqtdnm4vH7&#10;7fuPApxHU2JDRuXiRTlxuXr96mLoMpVSTU2pLDCIcdnQ5aL2vsuSxMlatehOqFOGjRXZFj0f7TYp&#10;LQ6M3jZJOpudJgPZsrMklXN8ezMZxSriV5WS/ltVOeWhyQXn5uNq41qENVldYLa12NVa7tLAf8ii&#10;RW046AHqBj1Cb/VfUK2WlhxV/kRSm1BVaakiB2Yzn/3B5qHGTkUuLI7rDjK5/wcrvz5vLOgyFwsB&#10;Blsu0YYaBV49OU+DAr4ulZMs2T0W1FuQ5DxoU6oRtAMuKlAFvlawsdpI3WED695y4dDAWpIhpgx3&#10;ptQSPVkHbzbr9Z17+w4GlryewHXBERlC9tYq46FFVkntnZ32PXpusH2kA/6j4dtQw6FzGVN56JiM&#10;Hz/RyL0Y6+G6e5JPDgxd12i26spaGmqFJWs4D57JkeuE4wJIMXyhksXA3lMEGivbhgJzyYDRuZde&#10;Dv2jRg8yhDxLl+n5UoBk23x+ms6WscMSzPbunXX+s6IWwiYXlhs0wuPzvfMhHcz2T0I0Q7e6aWKT&#10;NgaGXJwv02V0OLK02vMMNbrNxcdZ+KauDizXpozOHnUz7TlAY3a0A9OJsx8LLid3wYe9mgWVL6yD&#10;pWlkeMR5U5P9KWDgccmF+9GjVQKaO8Nans8XizBf8bBYnqV8sMeW4tiCRjJULryAaXvt40xOlK9Y&#10;80pHNUJxpkx2KfMYRJF2Ixvm7PgcX/3+sax+AQAA//8DAFBLAwQUAAYACAAAACEAvwiZb98AAAAL&#10;AQAADwAAAGRycy9kb3ducmV2LnhtbEyPzU7DMBCE70i8g7VI3KjdQCEJ2VQIxBXU8iNxc5NtEhGv&#10;o9htwtuzPcFpNZrR7DfFena9OtIYOs8Iy4UBRVz5uuMG4f3t+SoFFaLl2vaeCeGHAqzL87PC5rWf&#10;eEPHbWyUlHDILUIb45BrHaqWnA0LPxCLt/ejs1Hk2Oh6tJOUu14nxtxqZzuWD60d6LGl6nt7cAgf&#10;L/uvzxvz2jy51TD52Wh2mUa8vJgf7kFFmuNfGE74gg6lMO38geugeoQ0SWVLRLheyT0FTJbdgdoh&#10;JEuxdFno/xvKXwAAAP//AwBQSwECLQAUAAYACAAAACEAtoM4kv4AAADhAQAAEwAAAAAAAAAAAAAA&#10;AAAAAAAAW0NvbnRlbnRfVHlwZXNdLnhtbFBLAQItABQABgAIAAAAIQA4/SH/1gAAAJQBAAALAAAA&#10;AAAAAAAAAAAAAC8BAABfcmVscy8ucmVsc1BLAQItABQABgAIAAAAIQBAIqvrdQIAAKAEAAAOAAAA&#10;AAAAAAAAAAAAAC4CAABkcnMvZTJvRG9jLnhtbFBLAQItABQABgAIAAAAIQC/CJlv3wAAAAsBAAAP&#10;AAAAAAAAAAAAAAAAAM8EAABkcnMvZG93bnJldi54bWxQSwUGAAAAAAQABADzAAAA2wUAAAAA&#10;" filled="f" stroked="f">
                <v:textbox>
                  <w:txbxContent>
                    <w:p w14:paraId="39A52F64" w14:textId="29833C7F" w:rsidR="00567A79" w:rsidRPr="00E775EE" w:rsidRDefault="00E775EE" w:rsidP="00567A79">
                      <w:pPr>
                        <w:pStyle w:val="tekstzboku"/>
                        <w:rPr>
                          <w:lang w:val="en-GB"/>
                        </w:rPr>
                      </w:pPr>
                      <w:r w:rsidRPr="00E775EE">
                        <w:rPr>
                          <w:lang w:val="en-GB"/>
                        </w:rPr>
                        <w:t>Labour cost index is one of the Principal European Economic Indicators (PEEIs), which describe the current macroeconomic situation of the European Union</w:t>
                      </w:r>
                    </w:p>
                  </w:txbxContent>
                </v:textbox>
                <w10:wrap type="tight"/>
              </v:shape>
            </w:pict>
          </mc:Fallback>
        </mc:AlternateContent>
      </w:r>
      <w:r w:rsidR="00282637" w:rsidRPr="00282637">
        <w:rPr>
          <w:noProof/>
          <w:spacing w:val="-2"/>
          <w:szCs w:val="19"/>
          <w:lang w:val="en-GB"/>
        </w:rPr>
        <w:t>Methodological notes</w:t>
      </w:r>
    </w:p>
    <w:p w14:paraId="0204F3A2" w14:textId="4B4AD103" w:rsidR="00567A79" w:rsidRDefault="0065098D" w:rsidP="00567A79">
      <w:pPr>
        <w:spacing w:line="288" w:lineRule="auto"/>
        <w:rPr>
          <w:rFonts w:cs="Arial"/>
          <w:spacing w:val="-3"/>
          <w:lang w:val="en-GB"/>
        </w:rPr>
      </w:pPr>
      <w:r w:rsidRPr="0065098D">
        <w:rPr>
          <w:rFonts w:cs="Arial"/>
          <w:spacing w:val="-3"/>
          <w:lang w:val="en-GB"/>
        </w:rPr>
        <w:t xml:space="preserve">The labour cost index (LCI) shows how hourly labour costs change compared to the base year. For the data presented, the base year is 2020, and the survey covers PKD 2007/NACE Rev. 2 sections B to S. The index is seasonally and working-day adjusted to limit the impact of calendar effects and seasonality on the results. The </w:t>
      </w:r>
      <w:proofErr w:type="spellStart"/>
      <w:r w:rsidRPr="0065098D">
        <w:rPr>
          <w:rFonts w:cs="Arial"/>
          <w:spacing w:val="-3"/>
          <w:lang w:val="en-GB"/>
        </w:rPr>
        <w:t>Tramo</w:t>
      </w:r>
      <w:proofErr w:type="spellEnd"/>
      <w:r w:rsidRPr="0065098D">
        <w:rPr>
          <w:rFonts w:cs="Arial"/>
          <w:spacing w:val="-3"/>
          <w:lang w:val="en-GB"/>
        </w:rPr>
        <w:t xml:space="preserve">-Seats method in the </w:t>
      </w:r>
      <w:proofErr w:type="spellStart"/>
      <w:r w:rsidRPr="0065098D">
        <w:rPr>
          <w:rFonts w:cs="Arial"/>
          <w:spacing w:val="-3"/>
          <w:lang w:val="en-GB"/>
        </w:rPr>
        <w:t>JDemetra</w:t>
      </w:r>
      <w:proofErr w:type="spellEnd"/>
      <w:r w:rsidRPr="0065098D">
        <w:rPr>
          <w:rFonts w:cs="Arial"/>
          <w:spacing w:val="-3"/>
          <w:lang w:val="en-GB"/>
        </w:rPr>
        <w:t>+ package is used for this purpose. The model for each series is adjusted at the beginning of the year and is used, where possible, in subsequent quarters.</w:t>
      </w:r>
    </w:p>
    <w:p w14:paraId="6698F356" w14:textId="77777777" w:rsidR="009B7D22" w:rsidRPr="009B7D22" w:rsidRDefault="009B7D22" w:rsidP="009B7D22">
      <w:pPr>
        <w:spacing w:line="288" w:lineRule="auto"/>
        <w:rPr>
          <w:rFonts w:cs="Arial"/>
          <w:spacing w:val="-3"/>
          <w:lang w:val="en-GB"/>
        </w:rPr>
      </w:pPr>
      <w:r w:rsidRPr="009B7D22">
        <w:rPr>
          <w:rFonts w:cs="Arial"/>
          <w:spacing w:val="-3"/>
          <w:lang w:val="en-GB"/>
        </w:rPr>
        <w:t>The seasonal adjustment process includes:</w:t>
      </w:r>
    </w:p>
    <w:p w14:paraId="14BC0A87" w14:textId="3227256B" w:rsidR="009B7D22" w:rsidRPr="009B7D22" w:rsidRDefault="00632F8B" w:rsidP="00237F88">
      <w:pPr>
        <w:spacing w:line="288" w:lineRule="auto"/>
        <w:ind w:left="426"/>
        <w:rPr>
          <w:rFonts w:cs="Arial"/>
          <w:spacing w:val="-3"/>
          <w:lang w:val="en-GB"/>
        </w:rPr>
      </w:pPr>
      <w:r>
        <w:rPr>
          <w:rFonts w:cs="Arial"/>
          <w:spacing w:val="-3"/>
          <w:lang w:val="en-GB"/>
        </w:rPr>
        <w:t>• working-day adjustment</w:t>
      </w:r>
      <w:r w:rsidR="00786A88">
        <w:rPr>
          <w:rFonts w:cs="Arial"/>
          <w:spacing w:val="-3"/>
          <w:lang w:val="en-GB"/>
        </w:rPr>
        <w:t xml:space="preserve"> – if the working-day effect</w:t>
      </w:r>
      <w:r w:rsidR="009B7D22" w:rsidRPr="009B7D22">
        <w:rPr>
          <w:rFonts w:cs="Arial"/>
          <w:spacing w:val="-3"/>
          <w:lang w:val="en-GB"/>
        </w:rPr>
        <w:t xml:space="preserve"> is statistically significant,</w:t>
      </w:r>
    </w:p>
    <w:p w14:paraId="0CECA02F" w14:textId="50213701" w:rsidR="009B7D22" w:rsidRPr="009B7D22" w:rsidRDefault="009B7D22" w:rsidP="00237F88">
      <w:pPr>
        <w:spacing w:line="288" w:lineRule="auto"/>
        <w:ind w:left="426"/>
        <w:rPr>
          <w:rFonts w:cs="Arial"/>
          <w:spacing w:val="-3"/>
          <w:lang w:val="en-GB"/>
        </w:rPr>
      </w:pPr>
      <w:r w:rsidRPr="009B7D22">
        <w:rPr>
          <w:rFonts w:cs="Arial"/>
          <w:spacing w:val="-3"/>
          <w:lang w:val="en-GB"/>
        </w:rPr>
        <w:t xml:space="preserve">• </w:t>
      </w:r>
      <w:r w:rsidR="00632F8B">
        <w:rPr>
          <w:rFonts w:cs="Arial"/>
          <w:spacing w:val="-3"/>
          <w:lang w:val="en-GB"/>
        </w:rPr>
        <w:t>Easter-effect adjustment</w:t>
      </w:r>
      <w:r w:rsidRPr="009B7D22">
        <w:rPr>
          <w:rFonts w:cs="Arial"/>
          <w:spacing w:val="-3"/>
          <w:lang w:val="en-GB"/>
        </w:rPr>
        <w:t xml:space="preserve"> – if the effect is statistically significant,</w:t>
      </w:r>
    </w:p>
    <w:p w14:paraId="6CC9D4F5" w14:textId="77777777" w:rsidR="009B7D22" w:rsidRPr="009B7D22" w:rsidRDefault="009B7D22" w:rsidP="00237F88">
      <w:pPr>
        <w:spacing w:line="288" w:lineRule="auto"/>
        <w:ind w:left="426"/>
        <w:rPr>
          <w:rFonts w:cs="Arial"/>
          <w:spacing w:val="-3"/>
          <w:lang w:val="en-GB"/>
        </w:rPr>
      </w:pPr>
      <w:r w:rsidRPr="009B7D22">
        <w:rPr>
          <w:rFonts w:cs="Arial"/>
          <w:spacing w:val="-3"/>
          <w:lang w:val="en-GB"/>
        </w:rPr>
        <w:t>• appropriate seasonal adjustment.</w:t>
      </w:r>
    </w:p>
    <w:p w14:paraId="15FBA973" w14:textId="73D6000C" w:rsidR="009B7D22" w:rsidRPr="009B7D22" w:rsidRDefault="00632F8B" w:rsidP="009B7D22">
      <w:pPr>
        <w:spacing w:line="288" w:lineRule="auto"/>
        <w:rPr>
          <w:rFonts w:cs="Arial"/>
          <w:spacing w:val="-3"/>
          <w:lang w:val="en-GB"/>
        </w:rPr>
      </w:pPr>
      <w:r>
        <w:rPr>
          <w:rFonts w:cs="Arial"/>
          <w:spacing w:val="-3"/>
          <w:lang w:val="en-GB"/>
        </w:rPr>
        <w:t>The working-day adjustment</w:t>
      </w:r>
      <w:r w:rsidR="009B7D22" w:rsidRPr="009B7D22">
        <w:rPr>
          <w:rFonts w:cs="Arial"/>
          <w:spacing w:val="-3"/>
          <w:lang w:val="en-GB"/>
        </w:rPr>
        <w:t xml:space="preserve"> is carried out using a two-regressor model, comprising:</w:t>
      </w:r>
    </w:p>
    <w:p w14:paraId="72A070B9" w14:textId="77777777" w:rsidR="009B7D22" w:rsidRPr="009B7D22" w:rsidRDefault="009B7D22" w:rsidP="00237F88">
      <w:pPr>
        <w:spacing w:line="288" w:lineRule="auto"/>
        <w:ind w:left="426"/>
        <w:rPr>
          <w:rFonts w:cs="Arial"/>
          <w:spacing w:val="-3"/>
          <w:lang w:val="en-GB"/>
        </w:rPr>
      </w:pPr>
      <w:r w:rsidRPr="009B7D22">
        <w:rPr>
          <w:rFonts w:cs="Arial"/>
          <w:spacing w:val="-3"/>
          <w:lang w:val="en-GB"/>
        </w:rPr>
        <w:t>• the variability in the relationship between the number of working days from Monday to Friday and the number of Saturdays, Sundays and public holidays in individual years during the relevant periods,</w:t>
      </w:r>
    </w:p>
    <w:p w14:paraId="1BE912C1" w14:textId="10116225" w:rsidR="009B7D22" w:rsidRPr="00282637" w:rsidRDefault="009B7D22" w:rsidP="00237F88">
      <w:pPr>
        <w:spacing w:line="288" w:lineRule="auto"/>
        <w:ind w:left="426"/>
        <w:rPr>
          <w:rFonts w:cs="Arial"/>
          <w:spacing w:val="-3"/>
          <w:lang w:val="en-GB"/>
        </w:rPr>
      </w:pPr>
      <w:r w:rsidRPr="009B7D22">
        <w:rPr>
          <w:rFonts w:cs="Arial"/>
          <w:spacing w:val="-3"/>
          <w:lang w:val="en-GB"/>
        </w:rPr>
        <w:t>• the variability in the number of days in the relevant periods, which in practice results from the occurrence of a leap year and applies to the first quarter.</w:t>
      </w:r>
    </w:p>
    <w:p w14:paraId="13033A83" w14:textId="2BC71E57" w:rsidR="00567A79" w:rsidRPr="000213F1" w:rsidRDefault="007A1BDE" w:rsidP="00567A79">
      <w:pPr>
        <w:spacing w:line="288" w:lineRule="auto"/>
        <w:rPr>
          <w:rFonts w:cs="Arial"/>
          <w:spacing w:val="-3"/>
          <w:lang w:val="en-GB"/>
        </w:rPr>
      </w:pPr>
      <w:r w:rsidRPr="007A1BDE">
        <w:rPr>
          <w:rFonts w:cs="Arial"/>
          <w:spacing w:val="-3"/>
          <w:lang w:val="en-GB"/>
        </w:rPr>
        <w:t>Seasonal adjustment takes into account the Polish calendar of public holidays. Regressors representing statistically insignificant effects may be removed.</w:t>
      </w:r>
      <w:r>
        <w:rPr>
          <w:rFonts w:cs="Arial"/>
          <w:spacing w:val="-3"/>
          <w:lang w:val="en-GB"/>
        </w:rPr>
        <w:t xml:space="preserve"> </w:t>
      </w:r>
      <w:r w:rsidR="000213F1" w:rsidRPr="000213F1">
        <w:rPr>
          <w:rFonts w:cs="Arial"/>
          <w:spacing w:val="-3"/>
          <w:lang w:val="en-GB"/>
        </w:rPr>
        <w:t>The labour cost index shows the development of labour costs borne by employers. Labour costs consist of wages and salaries and non-wage costs, such as social security contributions and taxes paid by the employer, less subsidies received.</w:t>
      </w:r>
    </w:p>
    <w:p w14:paraId="7DE870F4" w14:textId="6C62B2C4" w:rsidR="00567A79" w:rsidRPr="00AA7E3B" w:rsidRDefault="00E775EE" w:rsidP="00567A79">
      <w:pPr>
        <w:spacing w:line="240" w:lineRule="auto"/>
        <w:rPr>
          <w:rFonts w:eastAsiaTheme="minorEastAsia"/>
          <w:sz w:val="16"/>
          <w:szCs w:val="20"/>
        </w:rPr>
      </w:pPr>
      <m:oMathPara>
        <m:oMath>
          <m:r>
            <w:rPr>
              <w:rFonts w:ascii="Cambria Math" w:hAnsi="Cambria Math"/>
              <w:sz w:val="16"/>
              <w:szCs w:val="20"/>
            </w:rPr>
            <w:lastRenderedPageBreak/>
            <m:t>Labour cost index =</m:t>
          </m:r>
          <m:f>
            <m:fPr>
              <m:ctrlPr>
                <w:rPr>
                  <w:rFonts w:ascii="Cambria Math" w:hAnsi="Cambria Math"/>
                  <w:i/>
                  <w:sz w:val="16"/>
                  <w:szCs w:val="20"/>
                </w:rPr>
              </m:ctrlPr>
            </m:fPr>
            <m:num>
              <m:r>
                <w:rPr>
                  <w:rFonts w:ascii="Cambria Math" w:hAnsi="Cambria Math"/>
                  <w:sz w:val="16"/>
                  <w:szCs w:val="20"/>
                </w:rPr>
                <m:t xml:space="preserve">    </m:t>
              </m:r>
              <m:f>
                <m:fPr>
                  <m:ctrlPr>
                    <w:rPr>
                      <w:rFonts w:ascii="Cambria Math" w:hAnsi="Cambria Math"/>
                      <w:i/>
                      <w:sz w:val="16"/>
                      <w:szCs w:val="20"/>
                    </w:rPr>
                  </m:ctrlPr>
                </m:fPr>
                <m:num>
                  <m:r>
                    <w:rPr>
                      <w:rFonts w:ascii="Cambria Math" w:hAnsi="Cambria Math"/>
                      <w:sz w:val="16"/>
                      <w:szCs w:val="20"/>
                    </w:rPr>
                    <m:t>labour cost in the current period</m:t>
                  </m:r>
                </m:num>
                <m:den>
                  <m:r>
                    <w:rPr>
                      <w:rFonts w:ascii="Cambria Math" w:hAnsi="Cambria Math"/>
                      <w:sz w:val="16"/>
                      <w:szCs w:val="20"/>
                    </w:rPr>
                    <m:t>number of hours worked in the current period</m:t>
                  </m:r>
                </m:den>
              </m:f>
              <m:r>
                <w:rPr>
                  <w:rFonts w:ascii="Cambria Math" w:hAnsi="Cambria Math"/>
                  <w:sz w:val="16"/>
                  <w:szCs w:val="20"/>
                </w:rPr>
                <m:t xml:space="preserve">     </m:t>
              </m:r>
            </m:num>
            <m:den>
              <m:f>
                <m:fPr>
                  <m:ctrlPr>
                    <w:rPr>
                      <w:rFonts w:ascii="Cambria Math" w:hAnsi="Cambria Math"/>
                      <w:i/>
                      <w:sz w:val="16"/>
                      <w:szCs w:val="20"/>
                    </w:rPr>
                  </m:ctrlPr>
                </m:fPr>
                <m:num>
                  <m:r>
                    <w:rPr>
                      <w:rFonts w:ascii="Cambria Math" w:hAnsi="Cambria Math"/>
                      <w:sz w:val="16"/>
                      <w:szCs w:val="20"/>
                    </w:rPr>
                    <m:t>labour cost in the base period</m:t>
                  </m:r>
                </m:num>
                <m:den>
                  <m:r>
                    <w:rPr>
                      <w:rFonts w:ascii="Cambria Math" w:hAnsi="Cambria Math"/>
                      <w:sz w:val="16"/>
                      <w:szCs w:val="20"/>
                    </w:rPr>
                    <m:t>number of hours worked in the base period</m:t>
                  </m:r>
                </m:den>
              </m:f>
            </m:den>
          </m:f>
          <m:r>
            <w:rPr>
              <w:rFonts w:ascii="Cambria Math" w:hAnsi="Cambria Math"/>
              <w:sz w:val="16"/>
              <w:szCs w:val="20"/>
            </w:rPr>
            <m:t xml:space="preserve"> ∙100</m:t>
          </m:r>
        </m:oMath>
      </m:oMathPara>
    </w:p>
    <w:p w14:paraId="419C08BB" w14:textId="77777777" w:rsidR="003453A7" w:rsidRDefault="003453A7" w:rsidP="001810B6">
      <w:pPr>
        <w:spacing w:before="360"/>
        <w:rPr>
          <w:szCs w:val="19"/>
        </w:rPr>
      </w:pPr>
    </w:p>
    <w:p w14:paraId="50AAFDB9" w14:textId="6A8523F5" w:rsidR="003453A7" w:rsidRPr="00BF5B73" w:rsidRDefault="00BF5B73" w:rsidP="001810B6">
      <w:pPr>
        <w:spacing w:before="360"/>
        <w:rPr>
          <w:szCs w:val="19"/>
          <w:lang w:val="en-GB"/>
        </w:rPr>
      </w:pPr>
      <w:r w:rsidRPr="00BF5B73">
        <w:rPr>
          <w:szCs w:val="19"/>
          <w:lang w:val="en-GB"/>
        </w:rPr>
        <w:t xml:space="preserve">In this publication </w:t>
      </w:r>
      <w:r w:rsidR="00D175AE">
        <w:rPr>
          <w:szCs w:val="19"/>
          <w:lang w:val="en-GB"/>
        </w:rPr>
        <w:t>letter symbols</w:t>
      </w:r>
      <w:r w:rsidRPr="00BF5B73">
        <w:rPr>
          <w:szCs w:val="19"/>
          <w:lang w:val="en-GB"/>
        </w:rPr>
        <w:t xml:space="preserve"> and abbreviated names of PKD 2007/NACE Rev. 2 sections were used. Abbreviations are marked with a ‘</w:t>
      </w:r>
      <w:r w:rsidRPr="00BF5B73">
        <w:rPr>
          <w:szCs w:val="19"/>
        </w:rPr>
        <w:t>Δ</w:t>
      </w:r>
      <w:r w:rsidRPr="00BF5B73">
        <w:rPr>
          <w:szCs w:val="19"/>
          <w:lang w:val="en-GB"/>
        </w:rPr>
        <w:t>’ symbol.</w:t>
      </w:r>
    </w:p>
    <w:p w14:paraId="016C0D6E" w14:textId="055E334F" w:rsidR="001810B6" w:rsidRPr="00251B70" w:rsidRDefault="00BF5B73" w:rsidP="00251B70">
      <w:pPr>
        <w:spacing w:before="0" w:after="160" w:line="259" w:lineRule="auto"/>
        <w:rPr>
          <w:szCs w:val="19"/>
          <w:lang w:val="en-GB"/>
        </w:rPr>
      </w:pPr>
      <w:r w:rsidRPr="00BF5B73">
        <w:rPr>
          <w:szCs w:val="19"/>
          <w:lang w:val="en-GB"/>
        </w:rPr>
        <w:t>The full names can be found in the list of PKD 2007/NACE Rev. 2 sections below.</w:t>
      </w:r>
    </w:p>
    <w:p w14:paraId="5D6F0166" w14:textId="1B7CED19" w:rsidR="001810B6" w:rsidRDefault="00D175AE" w:rsidP="003453A7">
      <w:pPr>
        <w:spacing w:before="360" w:line="288" w:lineRule="auto"/>
        <w:rPr>
          <w:b/>
          <w:bCs/>
          <w:szCs w:val="19"/>
          <w:lang w:val="en-GB"/>
        </w:rPr>
      </w:pPr>
      <w:r>
        <w:rPr>
          <w:b/>
          <w:bCs/>
          <w:szCs w:val="19"/>
          <w:lang w:val="en-GB"/>
        </w:rPr>
        <w:t>Symbols</w:t>
      </w:r>
      <w:r w:rsidR="00161412" w:rsidRPr="00161412">
        <w:rPr>
          <w:b/>
          <w:bCs/>
          <w:szCs w:val="19"/>
          <w:lang w:val="en-GB"/>
        </w:rPr>
        <w:t xml:space="preserve"> of PKD 2007/NACE Rev. 2 sections:</w:t>
      </w:r>
    </w:p>
    <w:p w14:paraId="5BA33086" w14:textId="77777777" w:rsidR="00161412" w:rsidRDefault="00161412" w:rsidP="00161412">
      <w:pPr>
        <w:spacing w:line="288" w:lineRule="auto"/>
        <w:rPr>
          <w:szCs w:val="19"/>
          <w:lang w:val="en-GB"/>
        </w:rPr>
      </w:pPr>
      <w:r>
        <w:rPr>
          <w:szCs w:val="19"/>
          <w:lang w:val="en-GB"/>
        </w:rPr>
        <w:t>A – Agriculture, forestry and fishing;</w:t>
      </w:r>
    </w:p>
    <w:p w14:paraId="1E896411" w14:textId="77777777" w:rsidR="00161412" w:rsidRDefault="00161412" w:rsidP="00161412">
      <w:pPr>
        <w:spacing w:line="288" w:lineRule="auto"/>
        <w:rPr>
          <w:szCs w:val="19"/>
          <w:lang w:val="en-GB"/>
        </w:rPr>
      </w:pPr>
      <w:r>
        <w:rPr>
          <w:szCs w:val="19"/>
          <w:lang w:val="en-GB"/>
        </w:rPr>
        <w:t>B – Mining and quarrying;</w:t>
      </w:r>
    </w:p>
    <w:p w14:paraId="17D09C6C" w14:textId="77777777" w:rsidR="00161412" w:rsidRDefault="00161412" w:rsidP="00161412">
      <w:pPr>
        <w:spacing w:line="288" w:lineRule="auto"/>
        <w:rPr>
          <w:szCs w:val="19"/>
          <w:lang w:val="en-GB"/>
        </w:rPr>
      </w:pPr>
      <w:r>
        <w:rPr>
          <w:szCs w:val="19"/>
          <w:lang w:val="en-GB"/>
        </w:rPr>
        <w:t>C – Manufacturing;</w:t>
      </w:r>
    </w:p>
    <w:p w14:paraId="390D9036" w14:textId="77777777" w:rsidR="00161412" w:rsidRDefault="00161412" w:rsidP="00161412">
      <w:pPr>
        <w:spacing w:line="288" w:lineRule="auto"/>
        <w:rPr>
          <w:szCs w:val="19"/>
          <w:lang w:val="en-GB"/>
        </w:rPr>
      </w:pPr>
      <w:r>
        <w:rPr>
          <w:szCs w:val="19"/>
          <w:lang w:val="en-GB"/>
        </w:rPr>
        <w:t>D – Electricity, gas, steam and air conditioning supply;</w:t>
      </w:r>
    </w:p>
    <w:p w14:paraId="58622B34" w14:textId="77777777" w:rsidR="00161412" w:rsidRDefault="00161412" w:rsidP="00161412">
      <w:pPr>
        <w:spacing w:line="288" w:lineRule="auto"/>
        <w:rPr>
          <w:szCs w:val="19"/>
          <w:lang w:val="en-GB"/>
        </w:rPr>
      </w:pPr>
      <w:r>
        <w:rPr>
          <w:szCs w:val="19"/>
          <w:lang w:val="en-GB"/>
        </w:rPr>
        <w:t>E – Water supply; sewerage, waste management and remediation activities;</w:t>
      </w:r>
    </w:p>
    <w:p w14:paraId="49203D96" w14:textId="77777777" w:rsidR="00161412" w:rsidRDefault="00161412" w:rsidP="00161412">
      <w:pPr>
        <w:spacing w:line="288" w:lineRule="auto"/>
        <w:rPr>
          <w:szCs w:val="19"/>
          <w:lang w:val="en-GB"/>
        </w:rPr>
      </w:pPr>
      <w:r>
        <w:rPr>
          <w:szCs w:val="19"/>
          <w:lang w:val="en-GB"/>
        </w:rPr>
        <w:t>F – Construction;</w:t>
      </w:r>
    </w:p>
    <w:p w14:paraId="74E77935" w14:textId="77777777" w:rsidR="00161412" w:rsidRDefault="00161412" w:rsidP="00161412">
      <w:pPr>
        <w:spacing w:line="288" w:lineRule="auto"/>
        <w:rPr>
          <w:szCs w:val="19"/>
          <w:lang w:val="en-GB"/>
        </w:rPr>
      </w:pPr>
      <w:r>
        <w:rPr>
          <w:szCs w:val="19"/>
          <w:lang w:val="en-GB"/>
        </w:rPr>
        <w:t>G – Wholesale and retail trade; repair of motor vehicles and motorcycles;</w:t>
      </w:r>
    </w:p>
    <w:p w14:paraId="6F21DEA9" w14:textId="77777777" w:rsidR="00161412" w:rsidRDefault="00161412" w:rsidP="00161412">
      <w:pPr>
        <w:spacing w:line="288" w:lineRule="auto"/>
        <w:rPr>
          <w:szCs w:val="19"/>
          <w:lang w:val="en-GB"/>
        </w:rPr>
      </w:pPr>
      <w:r>
        <w:rPr>
          <w:szCs w:val="19"/>
          <w:lang w:val="en-GB"/>
        </w:rPr>
        <w:t>H – Transportation and storage;</w:t>
      </w:r>
    </w:p>
    <w:p w14:paraId="0167F5B4" w14:textId="77777777" w:rsidR="00161412" w:rsidRDefault="00161412" w:rsidP="00161412">
      <w:pPr>
        <w:spacing w:line="288" w:lineRule="auto"/>
        <w:rPr>
          <w:szCs w:val="19"/>
          <w:lang w:val="en-GB"/>
        </w:rPr>
      </w:pPr>
      <w:r>
        <w:rPr>
          <w:szCs w:val="19"/>
          <w:lang w:val="en-GB"/>
        </w:rPr>
        <w:t>I – Accommodation and food service activities;</w:t>
      </w:r>
    </w:p>
    <w:p w14:paraId="0C49BB0F" w14:textId="77777777" w:rsidR="00161412" w:rsidRDefault="00161412" w:rsidP="00161412">
      <w:pPr>
        <w:spacing w:line="288" w:lineRule="auto"/>
        <w:rPr>
          <w:szCs w:val="19"/>
          <w:lang w:val="en-GB"/>
        </w:rPr>
      </w:pPr>
      <w:r>
        <w:rPr>
          <w:szCs w:val="19"/>
          <w:lang w:val="en-GB"/>
        </w:rPr>
        <w:t>J – Information and communication;</w:t>
      </w:r>
    </w:p>
    <w:p w14:paraId="0399D890" w14:textId="77777777" w:rsidR="00161412" w:rsidRDefault="00161412" w:rsidP="00161412">
      <w:pPr>
        <w:spacing w:line="288" w:lineRule="auto"/>
        <w:rPr>
          <w:szCs w:val="19"/>
          <w:lang w:val="en-GB"/>
        </w:rPr>
      </w:pPr>
      <w:r>
        <w:rPr>
          <w:szCs w:val="19"/>
          <w:lang w:val="en-GB"/>
        </w:rPr>
        <w:t>K – Financial and insurance activities;</w:t>
      </w:r>
    </w:p>
    <w:p w14:paraId="4015CE70" w14:textId="77777777" w:rsidR="00161412" w:rsidRDefault="00161412" w:rsidP="00161412">
      <w:pPr>
        <w:spacing w:line="288" w:lineRule="auto"/>
        <w:rPr>
          <w:szCs w:val="19"/>
          <w:lang w:val="en-GB"/>
        </w:rPr>
      </w:pPr>
      <w:r>
        <w:rPr>
          <w:szCs w:val="19"/>
          <w:lang w:val="en-GB"/>
        </w:rPr>
        <w:t>L – Real estate activities;</w:t>
      </w:r>
    </w:p>
    <w:p w14:paraId="1F9D70C6" w14:textId="77777777" w:rsidR="00161412" w:rsidRDefault="00161412" w:rsidP="00161412">
      <w:pPr>
        <w:spacing w:line="288" w:lineRule="auto"/>
        <w:rPr>
          <w:szCs w:val="19"/>
          <w:lang w:val="en-GB"/>
        </w:rPr>
      </w:pPr>
      <w:r>
        <w:rPr>
          <w:szCs w:val="19"/>
          <w:lang w:val="en-GB"/>
        </w:rPr>
        <w:t>M – Professional, scientific and technical activities;</w:t>
      </w:r>
    </w:p>
    <w:p w14:paraId="75FC220F" w14:textId="77777777" w:rsidR="00161412" w:rsidRDefault="00161412" w:rsidP="00161412">
      <w:pPr>
        <w:spacing w:line="288" w:lineRule="auto"/>
        <w:rPr>
          <w:szCs w:val="19"/>
          <w:lang w:val="en-GB"/>
        </w:rPr>
      </w:pPr>
      <w:r>
        <w:rPr>
          <w:szCs w:val="19"/>
          <w:lang w:val="en-GB"/>
        </w:rPr>
        <w:t>N – Administrative and support service activities;</w:t>
      </w:r>
    </w:p>
    <w:p w14:paraId="64B39A40" w14:textId="77777777" w:rsidR="00161412" w:rsidRDefault="00161412" w:rsidP="00161412">
      <w:pPr>
        <w:spacing w:line="288" w:lineRule="auto"/>
        <w:rPr>
          <w:szCs w:val="19"/>
          <w:lang w:val="en-GB"/>
        </w:rPr>
      </w:pPr>
      <w:r>
        <w:rPr>
          <w:szCs w:val="19"/>
          <w:lang w:val="en-GB"/>
        </w:rPr>
        <w:t>O – Public administration and defence; compulsory social security;</w:t>
      </w:r>
    </w:p>
    <w:p w14:paraId="59316C61" w14:textId="77777777" w:rsidR="00161412" w:rsidRDefault="00161412" w:rsidP="00161412">
      <w:pPr>
        <w:spacing w:line="288" w:lineRule="auto"/>
        <w:rPr>
          <w:szCs w:val="19"/>
          <w:lang w:val="en-GB"/>
        </w:rPr>
      </w:pPr>
      <w:r>
        <w:rPr>
          <w:szCs w:val="19"/>
          <w:lang w:val="en-GB"/>
        </w:rPr>
        <w:t>P – Education;</w:t>
      </w:r>
    </w:p>
    <w:p w14:paraId="5817AAFD" w14:textId="77777777" w:rsidR="00161412" w:rsidRDefault="00161412" w:rsidP="00161412">
      <w:pPr>
        <w:spacing w:line="288" w:lineRule="auto"/>
        <w:rPr>
          <w:szCs w:val="19"/>
          <w:lang w:val="en-GB"/>
        </w:rPr>
      </w:pPr>
      <w:r>
        <w:rPr>
          <w:szCs w:val="19"/>
          <w:lang w:val="en-GB"/>
        </w:rPr>
        <w:t>Q – Human health and social work activities;</w:t>
      </w:r>
    </w:p>
    <w:p w14:paraId="1F079F61" w14:textId="77777777" w:rsidR="00161412" w:rsidRDefault="00161412" w:rsidP="00161412">
      <w:pPr>
        <w:spacing w:line="288" w:lineRule="auto"/>
        <w:rPr>
          <w:szCs w:val="19"/>
          <w:lang w:val="en-GB"/>
        </w:rPr>
      </w:pPr>
      <w:r>
        <w:rPr>
          <w:szCs w:val="19"/>
          <w:lang w:val="en-GB"/>
        </w:rPr>
        <w:t>R – Arts, entertainment and recreation;</w:t>
      </w:r>
    </w:p>
    <w:p w14:paraId="06D8CFDA" w14:textId="77777777" w:rsidR="00BB12D2" w:rsidRDefault="00161412" w:rsidP="00BB12D2">
      <w:pPr>
        <w:spacing w:line="288" w:lineRule="auto"/>
        <w:rPr>
          <w:szCs w:val="19"/>
          <w:lang w:val="en-GB"/>
        </w:rPr>
      </w:pPr>
      <w:r w:rsidRPr="00292589">
        <w:rPr>
          <w:szCs w:val="19"/>
          <w:lang w:val="en-GB"/>
        </w:rPr>
        <w:t>S – Other service activities.</w:t>
      </w:r>
    </w:p>
    <w:p w14:paraId="15E8C496" w14:textId="77777777" w:rsidR="00BB12D2" w:rsidRDefault="00BB12D2" w:rsidP="00BB12D2">
      <w:pPr>
        <w:spacing w:line="288" w:lineRule="auto"/>
        <w:rPr>
          <w:szCs w:val="19"/>
          <w:lang w:val="en-GB"/>
        </w:rPr>
      </w:pPr>
    </w:p>
    <w:p w14:paraId="1DCA657E" w14:textId="77777777" w:rsidR="00BB12D2" w:rsidRDefault="00BB12D2" w:rsidP="00BB12D2">
      <w:pPr>
        <w:spacing w:line="288" w:lineRule="auto"/>
        <w:rPr>
          <w:szCs w:val="19"/>
          <w:lang w:val="en-GB"/>
        </w:rPr>
      </w:pPr>
    </w:p>
    <w:p w14:paraId="78A452AF" w14:textId="77777777" w:rsidR="00BB12D2" w:rsidRDefault="00BB12D2" w:rsidP="00BB12D2">
      <w:pPr>
        <w:spacing w:line="288" w:lineRule="auto"/>
        <w:rPr>
          <w:szCs w:val="19"/>
          <w:lang w:val="en-GB"/>
        </w:rPr>
      </w:pPr>
    </w:p>
    <w:p w14:paraId="53050174" w14:textId="77777777" w:rsidR="00BB12D2" w:rsidRDefault="00BB12D2" w:rsidP="00BB12D2">
      <w:pPr>
        <w:spacing w:line="288" w:lineRule="auto"/>
        <w:rPr>
          <w:szCs w:val="19"/>
          <w:lang w:val="en-GB"/>
        </w:rPr>
      </w:pPr>
    </w:p>
    <w:p w14:paraId="02159EFA" w14:textId="77777777" w:rsidR="00BB12D2" w:rsidRDefault="00BB12D2" w:rsidP="00BB12D2">
      <w:pPr>
        <w:spacing w:line="288" w:lineRule="auto"/>
        <w:rPr>
          <w:szCs w:val="19"/>
          <w:lang w:val="en-GB"/>
        </w:rPr>
      </w:pPr>
    </w:p>
    <w:p w14:paraId="12809C83" w14:textId="77777777" w:rsidR="00BB12D2" w:rsidRDefault="00BB12D2" w:rsidP="00BB12D2">
      <w:pPr>
        <w:spacing w:line="288" w:lineRule="auto"/>
        <w:rPr>
          <w:szCs w:val="19"/>
          <w:lang w:val="en-GB"/>
        </w:rPr>
      </w:pPr>
    </w:p>
    <w:p w14:paraId="6B011033" w14:textId="77777777" w:rsidR="00BB12D2" w:rsidRDefault="00BB12D2" w:rsidP="00BB12D2">
      <w:pPr>
        <w:spacing w:line="288" w:lineRule="auto"/>
        <w:rPr>
          <w:szCs w:val="19"/>
          <w:lang w:val="en-GB"/>
        </w:rPr>
      </w:pPr>
    </w:p>
    <w:p w14:paraId="580DCE31" w14:textId="46AA7F77" w:rsidR="00AA7E3B" w:rsidRPr="00BB12D2" w:rsidRDefault="0075555F" w:rsidP="00BB12D2">
      <w:pPr>
        <w:spacing w:line="288" w:lineRule="auto"/>
        <w:rPr>
          <w:szCs w:val="19"/>
          <w:lang w:val="en-GB"/>
        </w:rPr>
      </w:pPr>
      <w:r w:rsidRPr="0075555F">
        <w:rPr>
          <w:szCs w:val="19"/>
          <w:lang w:val="en-GB"/>
        </w:rPr>
        <w:t>When quoting Statistics Poland data, please provide the information: ‘Source of data: Statistics Poland’, and when publishing calculations made on data published by Statistics Poland, please include the following disclaimer: ‘Own study based on figures from Statistics Poland’.</w:t>
      </w:r>
      <w:r w:rsidRPr="0075555F">
        <w:rPr>
          <w:sz w:val="18"/>
          <w:lang w:val="en-GB"/>
        </w:rPr>
        <w:t xml:space="preserve">  </w:t>
      </w:r>
    </w:p>
    <w:p w14:paraId="4128E9A9" w14:textId="34DFEFDB" w:rsidR="004E696C" w:rsidRPr="0075555F" w:rsidRDefault="004E696C" w:rsidP="0075555F">
      <w:pPr>
        <w:spacing w:before="4920" w:line="288" w:lineRule="auto"/>
        <w:rPr>
          <w:sz w:val="18"/>
          <w:lang w:val="en-GB"/>
        </w:rPr>
        <w:sectPr w:rsidR="004E696C" w:rsidRPr="0075555F" w:rsidSect="009F1150">
          <w:headerReference w:type="default" r:id="rId13"/>
          <w:footerReference w:type="default" r:id="rId14"/>
          <w:headerReference w:type="first" r:id="rId15"/>
          <w:footerReference w:type="first" r:id="rId16"/>
          <w:pgSz w:w="11906" w:h="16838"/>
          <w:pgMar w:top="720" w:right="3119" w:bottom="720" w:left="720" w:header="284" w:footer="397"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928"/>
      </w:tblGrid>
      <w:tr w:rsidR="004E696C" w:rsidRPr="0023220E" w14:paraId="020A63B6" w14:textId="77777777" w:rsidTr="00D05687">
        <w:trPr>
          <w:trHeight w:val="1029"/>
        </w:trPr>
        <w:tc>
          <w:tcPr>
            <w:tcW w:w="4925" w:type="dxa"/>
            <w:hideMark/>
          </w:tcPr>
          <w:p w14:paraId="261948AF" w14:textId="77777777" w:rsidR="004E696C" w:rsidRDefault="004E696C" w:rsidP="005F4791">
            <w:pPr>
              <w:spacing w:before="0" w:after="0" w:line="276" w:lineRule="auto"/>
              <w:rPr>
                <w:rFonts w:cs="Arial"/>
                <w:sz w:val="20"/>
                <w:lang w:val="en-US"/>
              </w:rPr>
            </w:pPr>
            <w:r>
              <w:rPr>
                <w:rFonts w:cs="Arial"/>
                <w:sz w:val="20"/>
                <w:lang w:val="en-US"/>
              </w:rPr>
              <w:lastRenderedPageBreak/>
              <w:t>Prepared by:</w:t>
            </w:r>
          </w:p>
          <w:p w14:paraId="33063AD1" w14:textId="77777777" w:rsidR="004E696C" w:rsidRDefault="004E696C" w:rsidP="005F4791">
            <w:pPr>
              <w:spacing w:before="0" w:line="276" w:lineRule="auto"/>
              <w:rPr>
                <w:rFonts w:cs="Arial"/>
                <w:b/>
                <w:color w:val="000000" w:themeColor="text1"/>
                <w:sz w:val="20"/>
                <w:lang w:val="en-US"/>
              </w:rPr>
            </w:pPr>
            <w:r>
              <w:rPr>
                <w:rFonts w:cs="Arial"/>
                <w:b/>
                <w:color w:val="000000" w:themeColor="text1"/>
                <w:sz w:val="20"/>
                <w:lang w:val="en-US"/>
              </w:rPr>
              <w:t>Statistical Office in Bydgoszcz</w:t>
            </w:r>
          </w:p>
          <w:p w14:paraId="110B2438" w14:textId="77777777" w:rsidR="004E696C" w:rsidRDefault="004E696C" w:rsidP="005F4791">
            <w:pPr>
              <w:spacing w:before="0" w:after="0" w:line="276" w:lineRule="auto"/>
              <w:rPr>
                <w:b/>
                <w:sz w:val="20"/>
                <w:szCs w:val="20"/>
                <w:lang w:val="fi-FI"/>
              </w:rPr>
            </w:pPr>
            <w:r>
              <w:rPr>
                <w:b/>
                <w:sz w:val="20"/>
                <w:szCs w:val="20"/>
                <w:lang w:val="fi-FI"/>
              </w:rPr>
              <w:t>Acting Director Katarzyna Klamrowska</w:t>
            </w:r>
          </w:p>
          <w:p w14:paraId="737925F9" w14:textId="77777777" w:rsidR="004E696C" w:rsidRDefault="004E696C" w:rsidP="005F479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 (+48 52) 366 93 90</w:t>
            </w:r>
          </w:p>
        </w:tc>
        <w:tc>
          <w:tcPr>
            <w:tcW w:w="4928" w:type="dxa"/>
          </w:tcPr>
          <w:p w14:paraId="09B2B30D" w14:textId="77777777" w:rsidR="004E696C" w:rsidRDefault="004E696C" w:rsidP="005F4791">
            <w:pPr>
              <w:spacing w:before="0" w:line="276" w:lineRule="auto"/>
              <w:rPr>
                <w:rFonts w:cs="Arial"/>
                <w:b/>
                <w:sz w:val="20"/>
                <w:lang w:val="en-US"/>
              </w:rPr>
            </w:pPr>
            <w:r>
              <w:rPr>
                <w:rFonts w:cs="Arial"/>
                <w:sz w:val="20"/>
                <w:lang w:val="en-US"/>
              </w:rPr>
              <w:t>Issued by:</w:t>
            </w:r>
            <w:r>
              <w:rPr>
                <w:rFonts w:cs="Arial"/>
                <w:sz w:val="20"/>
                <w:lang w:val="en-US"/>
              </w:rPr>
              <w:br/>
            </w:r>
            <w:r>
              <w:rPr>
                <w:rFonts w:cs="Arial"/>
                <w:b/>
                <w:sz w:val="20"/>
                <w:lang w:val="en-US"/>
              </w:rPr>
              <w:t>Press Office</w:t>
            </w:r>
          </w:p>
          <w:p w14:paraId="278BBB49" w14:textId="77777777" w:rsidR="004E696C" w:rsidRDefault="004E696C" w:rsidP="005F4791">
            <w:pPr>
              <w:rPr>
                <w:sz w:val="20"/>
                <w:lang w:val="en-GB"/>
              </w:rPr>
            </w:pPr>
            <w:r>
              <w:rPr>
                <w:sz w:val="20"/>
                <w:lang w:val="en-GB"/>
              </w:rPr>
              <w:t>Mobile phone: +48 695 255 032</w:t>
            </w:r>
          </w:p>
          <w:p w14:paraId="369CB6E3" w14:textId="77777777" w:rsidR="004E696C" w:rsidRDefault="004E696C" w:rsidP="005F4791">
            <w:pPr>
              <w:ind w:left="1616" w:hanging="1616"/>
              <w:rPr>
                <w:sz w:val="20"/>
                <w:lang w:val="en-US"/>
              </w:rPr>
            </w:pPr>
            <w:r>
              <w:rPr>
                <w:sz w:val="20"/>
                <w:lang w:val="en-US"/>
              </w:rPr>
              <w:t>Landline phones: +48 22 608 38 04, +48 22 449 41 45, +48 22 608 30 09</w:t>
            </w:r>
          </w:p>
          <w:p w14:paraId="3520F45D" w14:textId="77777777" w:rsidR="004E696C" w:rsidRDefault="004E696C" w:rsidP="005F4791">
            <w:pPr>
              <w:rPr>
                <w:lang w:val="en-US"/>
              </w:rPr>
            </w:pPr>
            <w:r>
              <w:rPr>
                <w:b/>
                <w:sz w:val="20"/>
                <w:lang w:val="en-US"/>
              </w:rPr>
              <w:t>e-mail:</w:t>
            </w:r>
            <w:r>
              <w:rPr>
                <w:sz w:val="20"/>
                <w:lang w:val="en-US"/>
              </w:rPr>
              <w:t xml:space="preserve"> </w:t>
            </w:r>
            <w:hyperlink r:id="rId17" w:history="1">
              <w:r>
                <w:rPr>
                  <w:rStyle w:val="Hipercze"/>
                  <w:rFonts w:eastAsiaTheme="majorEastAsia" w:cs="Arial"/>
                  <w:b/>
                  <w:sz w:val="20"/>
                  <w:szCs w:val="20"/>
                  <w:lang w:val="en-US"/>
                </w:rPr>
                <w:t>obslugaprasowa@stat.gov.pl</w:t>
              </w:r>
            </w:hyperlink>
          </w:p>
          <w:p w14:paraId="4C4B5BB7" w14:textId="77777777" w:rsidR="004E696C" w:rsidRDefault="004E696C" w:rsidP="005F4791">
            <w:pPr>
              <w:rPr>
                <w:sz w:val="18"/>
                <w:lang w:val="en-US"/>
              </w:rPr>
            </w:pPr>
          </w:p>
        </w:tc>
      </w:tr>
      <w:tr w:rsidR="00D05687" w:rsidRPr="0023220E" w14:paraId="16DB3424" w14:textId="77777777" w:rsidTr="00D05687">
        <w:trPr>
          <w:trHeight w:val="264"/>
        </w:trPr>
        <w:tc>
          <w:tcPr>
            <w:tcW w:w="4925" w:type="dxa"/>
            <w:vMerge w:val="restart"/>
          </w:tcPr>
          <w:p w14:paraId="639FE3A1" w14:textId="77777777" w:rsidR="00D05687" w:rsidRDefault="00D05687" w:rsidP="00D05687">
            <w:pPr>
              <w:rPr>
                <w:sz w:val="18"/>
                <w:lang w:val="en-US"/>
              </w:rPr>
            </w:pPr>
          </w:p>
        </w:tc>
        <w:tc>
          <w:tcPr>
            <w:tcW w:w="4928" w:type="dxa"/>
            <w:vAlign w:val="center"/>
            <w:hideMark/>
          </w:tcPr>
          <w:p w14:paraId="07EC7F45" w14:textId="1EC3F520" w:rsidR="00D05687" w:rsidRDefault="00D05687" w:rsidP="00D05687">
            <w:pPr>
              <w:ind w:firstLine="680"/>
              <w:rPr>
                <w:sz w:val="18"/>
                <w:lang w:val="en-US"/>
              </w:rPr>
            </w:pPr>
            <w:r>
              <w:rPr>
                <w:noProof/>
                <w:sz w:val="20"/>
                <w:lang w:eastAsia="pl-PL"/>
              </w:rPr>
              <w:drawing>
                <wp:anchor distT="0" distB="0" distL="114300" distR="114300" simplePos="0" relativeHeight="251891712" behindDoc="0" locked="0" layoutInCell="1" allowOverlap="1" wp14:anchorId="5E9F9BD3" wp14:editId="2C29C745">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F7264C">
                <w:rPr>
                  <w:rStyle w:val="Hipercze"/>
                  <w:rFonts w:cstheme="minorBidi"/>
                  <w:sz w:val="20"/>
                </w:rPr>
                <w:t>stat.gov.pl/en/</w:t>
              </w:r>
              <w:r w:rsidRPr="00F7264C">
                <w:rPr>
                  <w:rStyle w:val="Hipercze"/>
                  <w:rFonts w:cstheme="minorBidi"/>
                  <w:sz w:val="18"/>
                </w:rPr>
                <w:t xml:space="preserve">    </w:t>
              </w:r>
            </w:hyperlink>
            <w:r>
              <w:rPr>
                <w:sz w:val="18"/>
              </w:rPr>
              <w:t xml:space="preserve"> </w:t>
            </w:r>
          </w:p>
        </w:tc>
      </w:tr>
      <w:tr w:rsidR="00D05687" w14:paraId="33D6493C" w14:textId="77777777" w:rsidTr="00D05687">
        <w:trPr>
          <w:trHeight w:val="264"/>
        </w:trPr>
        <w:tc>
          <w:tcPr>
            <w:tcW w:w="0" w:type="auto"/>
            <w:vMerge/>
            <w:vAlign w:val="center"/>
            <w:hideMark/>
          </w:tcPr>
          <w:p w14:paraId="726BF3C9" w14:textId="77777777" w:rsidR="00D05687" w:rsidRDefault="00D05687" w:rsidP="00D05687">
            <w:pPr>
              <w:spacing w:before="0" w:after="0" w:line="240" w:lineRule="auto"/>
              <w:rPr>
                <w:sz w:val="18"/>
                <w:lang w:val="en-US"/>
              </w:rPr>
            </w:pPr>
          </w:p>
        </w:tc>
        <w:tc>
          <w:tcPr>
            <w:tcW w:w="4928" w:type="dxa"/>
            <w:vAlign w:val="center"/>
            <w:hideMark/>
          </w:tcPr>
          <w:p w14:paraId="32745464" w14:textId="5D18F721" w:rsidR="00D05687" w:rsidRDefault="00D05687" w:rsidP="00D05687">
            <w:pPr>
              <w:ind w:firstLine="680"/>
              <w:rPr>
                <w:sz w:val="18"/>
              </w:rPr>
            </w:pPr>
            <w:r>
              <w:rPr>
                <w:noProof/>
                <w:sz w:val="20"/>
                <w:lang w:eastAsia="pl-PL"/>
              </w:rPr>
              <w:drawing>
                <wp:anchor distT="0" distB="0" distL="114300" distR="114300" simplePos="0" relativeHeight="251892736" behindDoc="0" locked="0" layoutInCell="1" allowOverlap="1" wp14:anchorId="21CDA074" wp14:editId="38AAB423">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w:t>
              </w:r>
              <w:proofErr w:type="spellStart"/>
              <w:r w:rsidRPr="00F7264C">
                <w:rPr>
                  <w:rStyle w:val="Hipercze"/>
                  <w:rFonts w:cstheme="minorBidi"/>
                  <w:noProof/>
                  <w:sz w:val="20"/>
                  <w:lang w:eastAsia="pl-PL"/>
                </w:rPr>
                <w:t>StatPoland</w:t>
              </w:r>
              <w:proofErr w:type="spellEnd"/>
            </w:hyperlink>
          </w:p>
        </w:tc>
      </w:tr>
      <w:tr w:rsidR="00D05687" w14:paraId="3BE0C89E" w14:textId="77777777" w:rsidTr="00D05687">
        <w:trPr>
          <w:trHeight w:val="301"/>
        </w:trPr>
        <w:tc>
          <w:tcPr>
            <w:tcW w:w="0" w:type="auto"/>
            <w:vMerge/>
            <w:vAlign w:val="center"/>
            <w:hideMark/>
          </w:tcPr>
          <w:p w14:paraId="3EC45285" w14:textId="77777777" w:rsidR="00D05687" w:rsidRDefault="00D05687" w:rsidP="00D05687">
            <w:pPr>
              <w:spacing w:before="0" w:after="0" w:line="240" w:lineRule="auto"/>
              <w:rPr>
                <w:sz w:val="18"/>
                <w:lang w:val="en-US"/>
              </w:rPr>
            </w:pPr>
          </w:p>
        </w:tc>
        <w:tc>
          <w:tcPr>
            <w:tcW w:w="4928" w:type="dxa"/>
            <w:hideMark/>
          </w:tcPr>
          <w:p w14:paraId="0C9E9C59" w14:textId="0935A317" w:rsidR="00D05687" w:rsidRDefault="00D05687" w:rsidP="00D05687">
            <w:pPr>
              <w:ind w:firstLine="680"/>
              <w:rPr>
                <w:sz w:val="18"/>
              </w:rPr>
            </w:pPr>
            <w:r>
              <w:rPr>
                <w:noProof/>
                <w:sz w:val="20"/>
                <w:lang w:eastAsia="pl-PL"/>
              </w:rPr>
              <w:drawing>
                <wp:anchor distT="0" distB="0" distL="114300" distR="114300" simplePos="0" relativeHeight="251893760" behindDoc="0" locked="0" layoutInCell="1" allowOverlap="1" wp14:anchorId="69BE65F8" wp14:editId="485AD946">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w:t>
              </w:r>
              <w:proofErr w:type="spellStart"/>
              <w:r w:rsidRPr="00F7264C">
                <w:rPr>
                  <w:rStyle w:val="Hipercze"/>
                  <w:rFonts w:cstheme="minorBidi"/>
                  <w:sz w:val="20"/>
                </w:rPr>
                <w:t>GlownyUrzadStatystyczny</w:t>
              </w:r>
              <w:proofErr w:type="spellEnd"/>
            </w:hyperlink>
            <w:r>
              <w:rPr>
                <w:noProof/>
                <w:sz w:val="20"/>
                <w:lang w:eastAsia="pl-PL"/>
              </w:rPr>
              <w:t xml:space="preserve"> </w:t>
            </w:r>
          </w:p>
        </w:tc>
      </w:tr>
      <w:tr w:rsidR="00D05687" w14:paraId="590A2389" w14:textId="77777777" w:rsidTr="00D05687">
        <w:trPr>
          <w:trHeight w:val="301"/>
        </w:trPr>
        <w:tc>
          <w:tcPr>
            <w:tcW w:w="4925" w:type="dxa"/>
          </w:tcPr>
          <w:p w14:paraId="397D1769" w14:textId="77777777" w:rsidR="00D05687" w:rsidRDefault="00D05687" w:rsidP="00D05687">
            <w:pPr>
              <w:rPr>
                <w:b/>
                <w:sz w:val="20"/>
              </w:rPr>
            </w:pPr>
          </w:p>
        </w:tc>
        <w:tc>
          <w:tcPr>
            <w:tcW w:w="4928" w:type="dxa"/>
            <w:hideMark/>
          </w:tcPr>
          <w:p w14:paraId="0EF7F1F6" w14:textId="3158AC80" w:rsidR="00D05687" w:rsidRDefault="00D05687" w:rsidP="00D05687">
            <w:pPr>
              <w:ind w:firstLine="680"/>
              <w:rPr>
                <w:sz w:val="20"/>
              </w:rPr>
            </w:pPr>
            <w:r>
              <w:rPr>
                <w:noProof/>
                <w:sz w:val="20"/>
                <w:lang w:eastAsia="pl-PL"/>
              </w:rPr>
              <w:drawing>
                <wp:anchor distT="0" distB="0" distL="114300" distR="114300" simplePos="0" relativeHeight="251894784" behindDoc="0" locked="0" layoutInCell="1" allowOverlap="1" wp14:anchorId="31DE6E9C" wp14:editId="3D4634C8">
                  <wp:simplePos x="0" y="0"/>
                  <wp:positionH relativeFrom="column">
                    <wp:posOffset>82550</wp:posOffset>
                  </wp:positionH>
                  <wp:positionV relativeFrom="paragraph">
                    <wp:posOffset>12700</wp:posOffset>
                  </wp:positionV>
                  <wp:extent cx="251460" cy="251460"/>
                  <wp:effectExtent l="0" t="0" r="0" b="0"/>
                  <wp:wrapNone/>
                  <wp:docPr id="8" name="Obraz 8"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F7264C">
                <w:rPr>
                  <w:rStyle w:val="Hipercze"/>
                  <w:rFonts w:cstheme="minorBidi"/>
                  <w:sz w:val="20"/>
                </w:rPr>
                <w:t>@</w:t>
              </w:r>
              <w:proofErr w:type="spellStart"/>
              <w:r w:rsidRPr="00F7264C">
                <w:rPr>
                  <w:rStyle w:val="Hipercze"/>
                  <w:rFonts w:cstheme="minorBidi"/>
                  <w:sz w:val="20"/>
                </w:rPr>
                <w:t>gus_stat</w:t>
              </w:r>
              <w:proofErr w:type="spellEnd"/>
            </w:hyperlink>
          </w:p>
        </w:tc>
      </w:tr>
      <w:tr w:rsidR="00D05687" w14:paraId="2E60604E" w14:textId="77777777" w:rsidTr="00D05687">
        <w:trPr>
          <w:trHeight w:val="301"/>
        </w:trPr>
        <w:tc>
          <w:tcPr>
            <w:tcW w:w="4925" w:type="dxa"/>
          </w:tcPr>
          <w:p w14:paraId="75022F4F" w14:textId="77777777" w:rsidR="00D05687" w:rsidRDefault="00D05687" w:rsidP="00D05687">
            <w:pPr>
              <w:rPr>
                <w:b/>
                <w:sz w:val="20"/>
              </w:rPr>
            </w:pPr>
          </w:p>
        </w:tc>
        <w:tc>
          <w:tcPr>
            <w:tcW w:w="4928" w:type="dxa"/>
            <w:hideMark/>
          </w:tcPr>
          <w:p w14:paraId="6FDDE328" w14:textId="122BEE80" w:rsidR="00D05687" w:rsidRDefault="00D05687" w:rsidP="00D05687">
            <w:pPr>
              <w:ind w:firstLine="680"/>
              <w:rPr>
                <w:sz w:val="20"/>
              </w:rPr>
            </w:pPr>
            <w:r>
              <w:rPr>
                <w:noProof/>
                <w:sz w:val="20"/>
                <w:lang w:eastAsia="pl-PL"/>
              </w:rPr>
              <w:drawing>
                <wp:anchor distT="0" distB="0" distL="114300" distR="114300" simplePos="0" relativeHeight="251895808" behindDoc="0" locked="0" layoutInCell="1" allowOverlap="1" wp14:anchorId="3A6961B8" wp14:editId="77D692AD">
                  <wp:simplePos x="0" y="0"/>
                  <wp:positionH relativeFrom="column">
                    <wp:posOffset>82550</wp:posOffset>
                  </wp:positionH>
                  <wp:positionV relativeFrom="paragraph">
                    <wp:posOffset>13970</wp:posOffset>
                  </wp:positionV>
                  <wp:extent cx="251460" cy="251460"/>
                  <wp:effectExtent l="0" t="0" r="0" b="0"/>
                  <wp:wrapNone/>
                  <wp:docPr id="9" name="Obraz 9"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F7264C">
                <w:rPr>
                  <w:rStyle w:val="Hipercze"/>
                  <w:rFonts w:cstheme="minorBidi"/>
                  <w:sz w:val="20"/>
                </w:rPr>
                <w:t>@</w:t>
              </w:r>
              <w:proofErr w:type="spellStart"/>
              <w:r w:rsidRPr="00F7264C">
                <w:rPr>
                  <w:rStyle w:val="Hipercze"/>
                  <w:rFonts w:cstheme="minorBidi"/>
                  <w:sz w:val="20"/>
                </w:rPr>
                <w:t>GłównyUrządStatystycznyGUS</w:t>
              </w:r>
              <w:proofErr w:type="spellEnd"/>
            </w:hyperlink>
          </w:p>
        </w:tc>
      </w:tr>
      <w:tr w:rsidR="00D05687" w14:paraId="3303382C" w14:textId="77777777" w:rsidTr="00D05687">
        <w:trPr>
          <w:trHeight w:val="800"/>
        </w:trPr>
        <w:tc>
          <w:tcPr>
            <w:tcW w:w="4925" w:type="dxa"/>
          </w:tcPr>
          <w:p w14:paraId="425B6408" w14:textId="77777777" w:rsidR="00D05687" w:rsidRDefault="00D05687" w:rsidP="00D05687">
            <w:pPr>
              <w:rPr>
                <w:b/>
                <w:sz w:val="20"/>
              </w:rPr>
            </w:pPr>
          </w:p>
        </w:tc>
        <w:tc>
          <w:tcPr>
            <w:tcW w:w="4928" w:type="dxa"/>
            <w:hideMark/>
          </w:tcPr>
          <w:p w14:paraId="47195CA0" w14:textId="2EC5FDEB" w:rsidR="00D05687" w:rsidRDefault="00BF69AD" w:rsidP="00D05687">
            <w:pPr>
              <w:ind w:firstLine="680"/>
              <w:rPr>
                <w:sz w:val="20"/>
              </w:rPr>
            </w:pPr>
            <w:hyperlink r:id="rId28" w:history="1">
              <w:r w:rsidR="00D05687" w:rsidRPr="00F7264C">
                <w:rPr>
                  <w:rStyle w:val="Hipercze"/>
                  <w:rFonts w:cstheme="minorBidi"/>
                  <w:noProof/>
                  <w:sz w:val="20"/>
                  <w:lang w:eastAsia="pl-PL"/>
                </w:rPr>
                <w:t>@Glówny Urząd Statystyczny</w:t>
              </w:r>
            </w:hyperlink>
            <w:r w:rsidR="00D05687">
              <w:rPr>
                <w:noProof/>
                <w:sz w:val="20"/>
                <w:lang w:eastAsia="pl-PL"/>
              </w:rPr>
              <w:drawing>
                <wp:anchor distT="0" distB="0" distL="114300" distR="114300" simplePos="0" relativeHeight="251896832" behindDoc="0" locked="0" layoutInCell="1" allowOverlap="1" wp14:anchorId="7CAAF5B6" wp14:editId="45A1430C">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14:paraId="542D1B37" w14:textId="77777777" w:rsidR="00FD5ACE" w:rsidRDefault="00FD5ACE" w:rsidP="00FD5ACE">
      <w:pPr>
        <w:rPr>
          <w:color w:val="FF0000"/>
          <w:sz w:val="18"/>
          <w:lang w:val="en-GB"/>
        </w:rPr>
      </w:pPr>
    </w:p>
    <w:p w14:paraId="7CFB9487" w14:textId="77777777" w:rsidR="004E696C" w:rsidRDefault="004E696C" w:rsidP="00FD5ACE">
      <w:pPr>
        <w:rPr>
          <w:color w:val="FF0000"/>
          <w:sz w:val="18"/>
          <w:lang w:val="en-GB"/>
        </w:rPr>
      </w:pPr>
    </w:p>
    <w:p w14:paraId="2BEFE581" w14:textId="77777777" w:rsidR="004E696C" w:rsidRDefault="004E696C" w:rsidP="00FD5ACE">
      <w:pPr>
        <w:rPr>
          <w:color w:val="FF0000"/>
          <w:sz w:val="18"/>
          <w:lang w:val="en-GB"/>
        </w:rPr>
      </w:pPr>
    </w:p>
    <w:p w14:paraId="30580DC0" w14:textId="77777777" w:rsidR="004E696C" w:rsidRDefault="004E696C" w:rsidP="00FD5ACE">
      <w:pPr>
        <w:rPr>
          <w:color w:val="FF0000"/>
          <w:sz w:val="18"/>
          <w:lang w:val="en-GB"/>
        </w:rPr>
      </w:pPr>
    </w:p>
    <w:p w14:paraId="4C9AF870" w14:textId="77777777" w:rsidR="004E696C" w:rsidRPr="0075555F" w:rsidRDefault="004E696C" w:rsidP="00FD5ACE">
      <w:pPr>
        <w:rPr>
          <w:color w:val="FF0000"/>
          <w:sz w:val="18"/>
          <w:lang w:val="en-GB"/>
        </w:rPr>
      </w:pPr>
    </w:p>
    <w:tbl>
      <w:tblPr>
        <w:tblStyle w:val="Tabela-Siatka"/>
        <w:tblW w:w="1019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8"/>
      </w:tblGrid>
      <w:tr w:rsidR="00931943" w:rsidRPr="0023220E" w14:paraId="7BBE6A5E" w14:textId="77777777" w:rsidTr="00DA7720">
        <w:trPr>
          <w:trHeight w:val="2701"/>
        </w:trPr>
        <w:tc>
          <w:tcPr>
            <w:tcW w:w="10198" w:type="dxa"/>
            <w:shd w:val="clear" w:color="auto" w:fill="D9D9D9" w:themeFill="background1" w:themeFillShade="D9"/>
          </w:tcPr>
          <w:p w14:paraId="12BB3076" w14:textId="77777777" w:rsidR="00DA7720" w:rsidRPr="00882160" w:rsidRDefault="00DA7720" w:rsidP="00DA7720">
            <w:pPr>
              <w:shd w:val="clear" w:color="auto" w:fill="D9D9D9" w:themeFill="background1" w:themeFillShade="D9"/>
              <w:spacing w:before="360"/>
              <w:rPr>
                <w:b/>
                <w:color w:val="000000" w:themeColor="text1"/>
                <w:szCs w:val="24"/>
                <w:lang w:val="en-GB"/>
              </w:rPr>
            </w:pPr>
            <w:r w:rsidRPr="00882160">
              <w:rPr>
                <w:b/>
                <w:color w:val="000000" w:themeColor="text1"/>
                <w:szCs w:val="24"/>
                <w:lang w:val="en-GB"/>
              </w:rPr>
              <w:t>Data available in databases</w:t>
            </w:r>
          </w:p>
          <w:p w14:paraId="323EDDCF" w14:textId="77777777" w:rsidR="00DA7720" w:rsidRDefault="00BF69AD" w:rsidP="00DA7720">
            <w:pPr>
              <w:rPr>
                <w:rStyle w:val="Hipercze"/>
                <w:lang w:val="en-GB"/>
              </w:rPr>
            </w:pPr>
            <w:hyperlink r:id="rId30" w:tooltip="Link to Eurostat Database – Labour market" w:history="1">
              <w:r w:rsidR="00DA7720" w:rsidRPr="00882160">
                <w:rPr>
                  <w:rStyle w:val="Hipercze"/>
                  <w:lang w:val="en-GB"/>
                </w:rPr>
                <w:t>Eurostat Database – Labour market</w:t>
              </w:r>
            </w:hyperlink>
          </w:p>
          <w:p w14:paraId="3A2FF53D" w14:textId="602BD99F" w:rsidR="00DA7720" w:rsidRDefault="00BF69AD" w:rsidP="00DA7720">
            <w:pPr>
              <w:rPr>
                <w:rFonts w:cs="Times New Roman"/>
                <w:lang w:val="en-GB"/>
              </w:rPr>
            </w:pPr>
            <w:hyperlink r:id="rId31" w:tooltip="Link to Knowledge Databases" w:history="1">
              <w:r w:rsidR="00DA7720">
                <w:rPr>
                  <w:rStyle w:val="Hipercze"/>
                  <w:lang w:val="en-GB"/>
                </w:rPr>
                <w:t>Knowledge Databases</w:t>
              </w:r>
            </w:hyperlink>
          </w:p>
          <w:p w14:paraId="5CE00657" w14:textId="77777777" w:rsidR="00DA7720" w:rsidRDefault="00DA7720" w:rsidP="00DA7720">
            <w:pPr>
              <w:rPr>
                <w:rFonts w:cs="Times New Roman"/>
                <w:lang w:val="en-GB"/>
              </w:rPr>
            </w:pPr>
          </w:p>
          <w:p w14:paraId="19602800" w14:textId="77777777" w:rsidR="00DA7720" w:rsidRPr="00882160" w:rsidRDefault="00DA7720" w:rsidP="00DA7720">
            <w:pPr>
              <w:rPr>
                <w:rFonts w:cs="Times New Roman"/>
                <w:lang w:val="en-GB"/>
              </w:rPr>
            </w:pPr>
            <w:r w:rsidRPr="00882160">
              <w:rPr>
                <w:b/>
                <w:color w:val="000000" w:themeColor="text1"/>
                <w:szCs w:val="24"/>
                <w:lang w:val="en-GB"/>
              </w:rPr>
              <w:t>Terms used in official statistics</w:t>
            </w:r>
          </w:p>
          <w:p w14:paraId="18EB4D29" w14:textId="77777777" w:rsidR="00DA7720" w:rsidRPr="006F4DD8" w:rsidRDefault="00BF69AD" w:rsidP="00DA7720">
            <w:pPr>
              <w:rPr>
                <w:rStyle w:val="Hipercze"/>
                <w:rFonts w:cstheme="minorBidi"/>
                <w:color w:val="auto"/>
                <w:u w:val="none"/>
                <w:lang w:val="en-GB"/>
              </w:rPr>
            </w:pPr>
            <w:hyperlink r:id="rId32" w:tooltip="Link to term Labour cost index" w:history="1">
              <w:r w:rsidR="00DA7720" w:rsidRPr="006F4DD8">
                <w:rPr>
                  <w:rStyle w:val="Hipercze"/>
                  <w:lang w:val="en-GB"/>
                </w:rPr>
                <w:t>Labour cost index</w:t>
              </w:r>
            </w:hyperlink>
            <w:hyperlink r:id="rId33" w:tooltip="Link do danych w bazie..." w:history="1">
              <w:r w:rsidR="00DA7720" w:rsidRPr="006F4DD8">
                <w:rPr>
                  <w:rStyle w:val="Hipercze"/>
                  <w:lang w:val="en-GB"/>
                </w:rPr>
                <w:t xml:space="preserve"> </w:t>
              </w:r>
            </w:hyperlink>
          </w:p>
          <w:p w14:paraId="15FBEA79" w14:textId="77777777" w:rsidR="00DA7720" w:rsidRPr="00F246DD" w:rsidRDefault="00BF69AD" w:rsidP="00DA7720">
            <w:pPr>
              <w:rPr>
                <w:lang w:val="en-GB"/>
              </w:rPr>
            </w:pPr>
            <w:hyperlink r:id="rId34" w:tooltip="Link to term Time worked" w:history="1">
              <w:r w:rsidR="00DA7720" w:rsidRPr="006F4DD8">
                <w:rPr>
                  <w:rStyle w:val="Hipercze"/>
                  <w:lang w:val="en-GB"/>
                </w:rPr>
                <w:t>Time worked</w:t>
              </w:r>
            </w:hyperlink>
          </w:p>
          <w:p w14:paraId="7641D35F" w14:textId="5656EC2E" w:rsidR="00DA7720" w:rsidRPr="006F4DD8" w:rsidRDefault="00BF69AD" w:rsidP="00DA7720">
            <w:pPr>
              <w:rPr>
                <w:rStyle w:val="Hipercze"/>
                <w:lang w:val="en-GB"/>
              </w:rPr>
            </w:pPr>
            <w:hyperlink r:id="rId35" w:tooltip="Link to term Labour costs" w:history="1">
              <w:r w:rsidR="00DA7720">
                <w:rPr>
                  <w:rStyle w:val="Hipercze"/>
                  <w:lang w:val="en-GB"/>
                </w:rPr>
                <w:t>Labour costs</w:t>
              </w:r>
            </w:hyperlink>
          </w:p>
          <w:p w14:paraId="513F12BB" w14:textId="51071D2D" w:rsidR="00931943" w:rsidRPr="00F246DD" w:rsidRDefault="00931943" w:rsidP="00931943">
            <w:pPr>
              <w:rPr>
                <w:rFonts w:cs="Times New Roman"/>
                <w:color w:val="0000FF"/>
                <w:u w:val="single"/>
                <w:lang w:val="en-GB"/>
              </w:rPr>
            </w:pPr>
          </w:p>
        </w:tc>
      </w:tr>
    </w:tbl>
    <w:p w14:paraId="5303A191" w14:textId="6B1A9B20" w:rsidR="00AA02A4" w:rsidRPr="00F246DD" w:rsidRDefault="00AA02A4" w:rsidP="00292589">
      <w:pPr>
        <w:rPr>
          <w:sz w:val="18"/>
          <w:lang w:val="en-GB"/>
        </w:rPr>
      </w:pPr>
    </w:p>
    <w:sectPr w:rsidR="00AA02A4" w:rsidRPr="00F246DD" w:rsidSect="00AE4F99">
      <w:headerReference w:type="default" r:id="rId36"/>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1FDDE" w14:textId="77777777" w:rsidR="008038A9" w:rsidRDefault="008038A9" w:rsidP="000662E2">
      <w:pPr>
        <w:spacing w:after="0" w:line="240" w:lineRule="auto"/>
      </w:pPr>
      <w:r>
        <w:separator/>
      </w:r>
    </w:p>
  </w:endnote>
  <w:endnote w:type="continuationSeparator" w:id="0">
    <w:p w14:paraId="1B3286F5" w14:textId="77777777" w:rsidR="008038A9" w:rsidRDefault="008038A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50325AE-E170-4D73-B2DE-4797E6A1DE39}"/>
    <w:embedBold r:id="rId2" w:fontKey="{FAC50929-8710-4C37-9F44-834BC83F4C32}"/>
    <w:embedItalic r:id="rId3" w:fontKey="{51B6A762-F6AC-4082-B40D-9DC72678825C}"/>
  </w:font>
  <w:font w:name="Calibri">
    <w:panose1 w:val="020F0502020204030204"/>
    <w:charset w:val="EE"/>
    <w:family w:val="swiss"/>
    <w:pitch w:val="variable"/>
    <w:sig w:usb0="E4002EFF" w:usb1="C200247B" w:usb2="00000009" w:usb3="00000000" w:csb0="000001FF" w:csb1="00000000"/>
    <w:embedRegular r:id="rId4" w:fontKey="{58A4B6B4-7F2D-453B-9F92-48FF88D4ECE2}"/>
  </w:font>
  <w:font w:name="Fira Sans Light">
    <w:panose1 w:val="020B0403050000020004"/>
    <w:charset w:val="EE"/>
    <w:family w:val="swiss"/>
    <w:pitch w:val="variable"/>
    <w:sig w:usb0="600002FF" w:usb1="02000001" w:usb2="00000000" w:usb3="00000000" w:csb0="0000019F" w:csb1="00000000"/>
    <w:embedRegular r:id="rId5" w:fontKey="{A08C95D5-7789-4B41-BC29-F58792F70BCA}"/>
    <w:embedBold r:id="rId6" w:fontKey="{0561D890-9794-4687-96E6-A6C14BE92CD4}"/>
    <w:embedItalic r:id="rId7" w:fontKey="{566967F0-39AD-43F4-88E6-48F07FA05857}"/>
  </w:font>
  <w:font w:name="Fira Sans Medium">
    <w:panose1 w:val="020B0603050000020004"/>
    <w:charset w:val="EE"/>
    <w:family w:val="swiss"/>
    <w:pitch w:val="variable"/>
    <w:sig w:usb0="600002FF" w:usb1="02000001" w:usb2="00000000" w:usb3="00000000" w:csb0="0000019F" w:csb1="00000000"/>
    <w:embedRegular r:id="rId8" w:fontKey="{7EABAD77-43BD-4262-B9F8-E920BA5CA45A}"/>
    <w:embedItalic r:id="rId9" w:fontKey="{0BD3592B-FEC0-4B6B-BC00-D816A0D48360}"/>
  </w:font>
  <w:font w:name="Segoe UI">
    <w:panose1 w:val="020B0502040204020203"/>
    <w:charset w:val="EE"/>
    <w:family w:val="swiss"/>
    <w:pitch w:val="variable"/>
    <w:sig w:usb0="E4002EFF" w:usb1="C000E47F" w:usb2="00000009" w:usb3="00000000" w:csb0="000001FF" w:csb1="00000000"/>
    <w:embedRegular r:id="rId10" w:fontKey="{2AD92EA4-0B3D-4317-8333-31076262D718}"/>
  </w:font>
  <w:font w:name="Fira Sans Extra Condensed SemiB">
    <w:panose1 w:val="020B0603050000020004"/>
    <w:charset w:val="EE"/>
    <w:family w:val="swiss"/>
    <w:pitch w:val="variable"/>
    <w:sig w:usb0="600002FF" w:usb1="00000001" w:usb2="00000000" w:usb3="00000000" w:csb0="0000019F" w:csb1="00000000"/>
    <w:embedRegular r:id="rId11" w:fontKey="{A4E2917C-6185-43A8-96FD-AE20A074027A}"/>
  </w:font>
  <w:font w:name="Fira Sans SemiBold">
    <w:panose1 w:val="020B0603050000020004"/>
    <w:charset w:val="EE"/>
    <w:family w:val="swiss"/>
    <w:pitch w:val="variable"/>
    <w:sig w:usb0="600002FF" w:usb1="02000001" w:usb2="00000000" w:usb3="00000000" w:csb0="0000019F" w:csb1="00000000"/>
    <w:embedRegular r:id="rId12" w:fontKey="{4FCA8D40-FD43-493B-B646-796AC4730485}"/>
  </w:font>
  <w:font w:name="Arial">
    <w:panose1 w:val="020B0604020202020204"/>
    <w:charset w:val="00"/>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embedItalic r:id="rId13" w:fontKey="{6ADFCF26-99DE-4515-BE90-BA777FAB94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416395"/>
      <w:docPartObj>
        <w:docPartGallery w:val="Page Numbers (Bottom of Page)"/>
        <w:docPartUnique/>
      </w:docPartObj>
    </w:sdtPr>
    <w:sdtEndPr/>
    <w:sdtContent>
      <w:p w14:paraId="48F777D2" w14:textId="17C1C40B" w:rsidR="009C47DA" w:rsidRDefault="009C47DA" w:rsidP="00604109">
        <w:pPr>
          <w:pStyle w:val="Stopka"/>
          <w:jc w:val="center"/>
        </w:pPr>
        <w:r>
          <w:fldChar w:fldCharType="begin"/>
        </w:r>
        <w:r>
          <w:instrText>PAGE   \* MERGEFORMAT</w:instrText>
        </w:r>
        <w:r>
          <w:fldChar w:fldCharType="separate"/>
        </w:r>
        <w:r w:rsidR="00BF69AD">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806815"/>
      <w:docPartObj>
        <w:docPartGallery w:val="Page Numbers (Bottom of Page)"/>
        <w:docPartUnique/>
      </w:docPartObj>
    </w:sdtPr>
    <w:sdtEndPr/>
    <w:sdtContent>
      <w:p w14:paraId="182ABE6D" w14:textId="303CA9D8" w:rsidR="009C47DA" w:rsidRDefault="009C47DA" w:rsidP="00B16FD7">
        <w:pPr>
          <w:pStyle w:val="Stopka"/>
          <w:jc w:val="center"/>
        </w:pPr>
        <w:r>
          <w:fldChar w:fldCharType="begin"/>
        </w:r>
        <w:r>
          <w:instrText>PAGE   \* MERGEFORMAT</w:instrText>
        </w:r>
        <w:r>
          <w:fldChar w:fldCharType="separate"/>
        </w:r>
        <w:r w:rsidR="00BF69A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F9654" w14:textId="77777777" w:rsidR="008038A9" w:rsidRDefault="008038A9" w:rsidP="000662E2">
      <w:pPr>
        <w:spacing w:after="0" w:line="240" w:lineRule="auto"/>
      </w:pPr>
      <w:r>
        <w:separator/>
      </w:r>
    </w:p>
  </w:footnote>
  <w:footnote w:type="continuationSeparator" w:id="0">
    <w:p w14:paraId="52CEAA87" w14:textId="77777777" w:rsidR="008038A9" w:rsidRDefault="008038A9" w:rsidP="000662E2">
      <w:pPr>
        <w:spacing w:after="0" w:line="240" w:lineRule="auto"/>
      </w:pPr>
      <w:r>
        <w:continuationSeparator/>
      </w:r>
    </w:p>
  </w:footnote>
  <w:footnote w:id="1">
    <w:p w14:paraId="775E315E" w14:textId="73458F0F" w:rsidR="00A256EB" w:rsidRPr="0072327A" w:rsidRDefault="00A256EB">
      <w:pPr>
        <w:pStyle w:val="Tekstprzypisudolnego"/>
        <w:rPr>
          <w:sz w:val="19"/>
          <w:szCs w:val="19"/>
          <w:lang w:val="en-GB"/>
        </w:rPr>
      </w:pPr>
      <w:r w:rsidRPr="0072327A">
        <w:rPr>
          <w:rStyle w:val="Odwoanieprzypisudolnego"/>
          <w:sz w:val="19"/>
          <w:szCs w:val="19"/>
        </w:rPr>
        <w:footnoteRef/>
      </w:r>
      <w:r w:rsidRPr="0072327A">
        <w:rPr>
          <w:sz w:val="19"/>
          <w:szCs w:val="19"/>
          <w:lang w:val="en-GB"/>
        </w:rPr>
        <w:t xml:space="preserve"> </w:t>
      </w:r>
      <w:r w:rsidR="00237F88" w:rsidRPr="0072327A">
        <w:rPr>
          <w:sz w:val="19"/>
          <w:szCs w:val="19"/>
          <w:lang w:val="en-GB"/>
        </w:rPr>
        <w:t>S</w:t>
      </w:r>
      <w:r w:rsidRPr="0072327A">
        <w:rPr>
          <w:sz w:val="19"/>
          <w:szCs w:val="19"/>
          <w:lang w:val="en-GB"/>
        </w:rPr>
        <w:t>easonally and working-day adjusted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1BC00" w14:textId="77777777" w:rsidR="009C47DA" w:rsidRDefault="009C47DA">
    <w:pPr>
      <w:pStyle w:val="Nagwek"/>
    </w:pPr>
    <w:r>
      <w:rPr>
        <w:noProof/>
        <w:lang w:eastAsia="pl-PL"/>
      </w:rPr>
      <mc:AlternateContent>
        <mc:Choice Requires="wps">
          <w:drawing>
            <wp:anchor distT="0" distB="0" distL="114300" distR="114300" simplePos="0" relativeHeight="251662336" behindDoc="1" locked="0" layoutInCell="1" allowOverlap="1" wp14:anchorId="3073B385" wp14:editId="61BAD17A">
              <wp:simplePos x="0" y="0"/>
              <wp:positionH relativeFrom="column">
                <wp:posOffset>5214620</wp:posOffset>
              </wp:positionH>
              <wp:positionV relativeFrom="paragraph">
                <wp:posOffset>-178435</wp:posOffset>
              </wp:positionV>
              <wp:extent cx="1874520" cy="22680295"/>
              <wp:effectExtent l="0" t="0" r="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rect w14:anchorId="2F2A347B"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76D6496D" w14:textId="77777777" w:rsidR="009C47DA" w:rsidRDefault="009C47D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8BA63" w14:textId="5862DC76" w:rsidR="009C47DA" w:rsidRDefault="009C47DA" w:rsidP="003716BF">
    <w:pPr>
      <w:pStyle w:val="Nagwek"/>
      <w:rPr>
        <w:noProof/>
        <w:lang w:eastAsia="pl-PL"/>
      </w:rPr>
    </w:pPr>
    <w:r>
      <w:rPr>
        <w:noProof/>
        <w:lang w:eastAsia="pl-PL"/>
      </w:rPr>
      <mc:AlternateContent>
        <mc:Choice Requires="wps">
          <w:drawing>
            <wp:anchor distT="0" distB="0" distL="114300" distR="114300" simplePos="0" relativeHeight="251669504" behindDoc="0" locked="0" layoutInCell="1" allowOverlap="1" wp14:anchorId="57031F31" wp14:editId="268383BA">
              <wp:simplePos x="0" y="0"/>
              <wp:positionH relativeFrom="column">
                <wp:posOffset>5036820</wp:posOffset>
              </wp:positionH>
              <wp:positionV relativeFrom="paragraph">
                <wp:posOffset>198755</wp:posOffset>
              </wp:positionV>
              <wp:extent cx="2060575" cy="357505"/>
              <wp:effectExtent l="0" t="0" r="0" b="0"/>
              <wp:wrapNone/>
              <wp:docPr id="31"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20860" w14:textId="08CF0BB2" w:rsidR="009C47DA" w:rsidRPr="003C6C8D" w:rsidRDefault="00593DCB"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031F31" id="Schemat blokowy: opóźnienie 6" o:spid="_x0000_s1030" alt="Tytuł: Name of the publishing series — opis: The writing 'News releases'" style="position:absolute;margin-left:396.6pt;margin-top:15.65pt;width:162.25pt;height:28.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3LggYAAG4sAAAOAAAAZHJzL2Uyb0RvYy54bWzsWt9v2zYQfh+w/4HQS4EBi/XTsow6Rdai&#10;24AgLZYM7R5pmYqFSqJG0rHTf2tvex32f+1ISg6VdKISJUOKOShcyby7j3f36STI38tXu7JAV4Tx&#10;nFYLxztyHUSqlK7y6nLh/Hrx9vuZg7jA1QoXtCIL55pw59Xxt9+83NZz4tM1LVaEIQhS8fm2Xjhr&#10;Ier5ZMLTNSkxP6I1qWAxo6zEAk7Z5WTF8Bail8XEd93pZEvZqmY0JZzDt2/0onOs4mcZScW7LONE&#10;oGLhwN6E+mTqcyk/J8cv8fyS4Xqdp8028AN2UeK8AtB9qDdYYLRh+Z1QZZ4yymkmjlJaTmiW5SlR&#10;OUA2nnsrm/M1ronKBYrD632Z+OOFTc+u3jOUrxZO4DmowiX06FwVX6BlQT/R7fUc0fqvP/7+s8oJ&#10;/ENTB60IT6GGF2uCtiwXUHf04oxsOWKkIJgT/gIqnYsCYp1BREQzJMC23iyLnK+lOScsByZA9bc1&#10;n8Mmzuv3TNaP16c0/cRhYdJZkSe8sdllrERZkdc/AeNU1aGOaKeaer1vKtkJlMKXvjt1ozhyUApr&#10;ARy5kcSd4LmMIzHTDRc/EqqO8dUpF5oUKzhSLV01dUlpVfFckI9ApKwsgCffTZCLtmjq+V7Ycum2&#10;9W9d63W/9Ufowj52AFuP7QCmi4tsAL4BoDduzcB0afZkQwkMlIFpmC7NxmwooYFir5NpPRAAaLPv&#10;hh2ga23bfJcXW+QlQeK7s2YkPSKNvGkQeMEM2myBeDiRmsB2iJFUGpzKSDJ5gR+70wElewROWZpy&#10;IJWVt18JqeQAsTT7OdPJg+0HnhdMw2DIjPJcL/CsdyNz5PgzN47iwA5jOt3vhtfs3w4xklKDUxk7&#10;p7w4DIPIns9IYg3ovTmnhvX+9g3wHuSyd93kyOBumE52iA5H9IVhb0THST/f2R4UTI4MTsV0Gviw&#10;Y3LE+4+IJWeipe8msexNOZDq+ZJqQLNNDg6kbZcfT02nxPUjPxlyA7Rz1Rw3QZRMwyiRl0M/hOlk&#10;h+iMGx3YDtFxuj+dBqcyckbFM/ib2tN5DE7196RLQds8vzOi+oN3zW3BTXoMboTp9P/mlBpR/f14&#10;znSKwmniqYe1/hwOnIJXd4Mvj5Fz6uk5NbTtD59TPrwQ8eWoDWDqJk/yrjP2Z74qVT/EiFmlA9uz&#10;GHv/cwem8hi86i/WyFk1sOsPp5XudxRNvSd47xm4YRKF8iVeEPRCjKGUCmyHGE2pgamMpJSXRLG6&#10;ffQXbCStBnT9QCkra78SSg1o9rOnUwS/BjzJhPJ9N9ETqh9ixITSgeWE6ocYS6ehqYydUDH81Ko4&#10;1Z/OY3CqH2HkiOoPPuIBfWgjDpxqf8P3vZl+h97fkwOlbDPkQKmWUs98QoH65bLVt+B1K3lJd1Wj&#10;eYEjhKWEy1X6mppyqa8xBTAgpmlPQeGiBTXgpfQ0/c5AEtPZu5cz3KVMZ/9eznDrMZ3Vz5hQiWHb&#10;hqvfdA7vhQz3CtO5VSApZL2DpvAMFGtSq1YorZpwEOismINAq7aUgHheYyH71R6irRQ16ccTtF44&#10;+p25alpJr8gFVYbiljoKIG9Wi8q0CvTtQ+237WtrkW6WefoD+dyxD2ZJMgNRGOTXvBaoFdx+V7Dg&#10;BbEbqF5BAndWtT6orWcH44uIbboQOIwjr5XMNIGN/TTF0HXTsEZ2N6uyAx3YNmEdEu7FANUxbw3a&#10;/03DO1UrKCf6ApHNU9KzfRcV9I38jNMiX73Ni0K2jbPL5euCoSssxYuu9yaOmyJ1zAp10VVUumkY&#10;+Y2Sz2nFnNLOieuCyKBF9QvJQPAnlXGKJkpqSfY4OE1JJbSsjq/ximj4yIW/Fl3qA6WHSkUFlJEz&#10;wN/HbgK0ljpIG1vvsrGXrkQpNffOeuj8y8a0895DIdNK7J3LvKLsS5kVkFWDrO3bIunSyCqJ3XIH&#10;JvJwSVfXoIxkVEtGeZ2+zRkXp5iL95iB9g9YAbpX8Q4+soLCZQiXmzpy0Jqyz1/6XtqDdBNWHRBO&#10;YpC78t83mBEHFT9XIOpMvBBkhEiokzCKfThh5srSXKk25WsKzIB5CrtTh9JeFO1hxmj5AeSxJxIV&#10;lnCVAjbMbQETRZ+8FnAOSyCwTcnJiToGYSrQ87Q6r9NWX1lD5he7D5jVSB4uHAHqyjPa6lPxvJVN&#10;Ap1vbGVrKnqyETTLpaZSUVLXtTkBUaviUCPAlapZ81xZ3ciEj/8BAAD//wMAUEsDBBQABgAIAAAA&#10;IQAwTwz13gAAAAoBAAAPAAAAZHJzL2Rvd25yZXYueG1sTI/BbsIwEETvlfoP1lbqrTghEqFpNggh&#10;tSdUqYTeTbxNAvY6ig2Ev685tcfVPM28LVeTNeJCo+8dI6SzBARx43TPLcK+fn9ZgvBBsVbGMSHc&#10;yMOqenwoVaHdlb/osgutiCXsC4XQhTAUUvqmI6v8zA3EMftxo1UhnmMr9aiusdwaOU+ShbSq57jQ&#10;qYE2HTWn3dkiGLMZxjp83D7rZr3dJ/U2fB894vPTtH4DEWgKfzDc9aM6VNHp4M6svTAI+Ws2jyhC&#10;lmYg7kCa5jmIA8IyX4CsSvn/heoXAAD//wMAUEsBAi0AFAAGAAgAAAAhALaDOJL+AAAA4QEAABMA&#10;AAAAAAAAAAAAAAAAAAAAAFtDb250ZW50X1R5cGVzXS54bWxQSwECLQAUAAYACAAAACEAOP0h/9YA&#10;AACUAQAACwAAAAAAAAAAAAAAAAAvAQAAX3JlbHMvLnJlbHNQSwECLQAUAAYACAAAACEAU609y4IG&#10;AABuLAAADgAAAAAAAAAAAAAAAAAuAgAAZHJzL2Uyb0RvYy54bWxQSwECLQAUAAYACAAAACEAME8M&#10;9d4AAAAKAQAADwAAAAAAAAAAAAAAAADcCAAAZHJzL2Rvd25yZXYueG1sUEsFBgAAAAAEAAQA8wAA&#10;AO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EC20860" w14:textId="08CF0BB2" w:rsidR="009C47DA" w:rsidRPr="003C6C8D" w:rsidRDefault="00593DCB" w:rsidP="003716BF">
                    <w:pPr>
                      <w:spacing w:before="0" w:after="0" w:line="240" w:lineRule="auto"/>
                      <w:ind w:left="227"/>
                      <w:jc w:val="center"/>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8480" behindDoc="1" locked="0" layoutInCell="1" allowOverlap="1" wp14:anchorId="34E03DAB" wp14:editId="19AA9AC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92" name="Prostokąt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rect w14:anchorId="1566E557" id="Prostokąt 192" o:spid="_x0000_s1026" style="position:absolute;margin-left:410.95pt;margin-top:40.3pt;width:147.4pt;height:1803.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LvqAIAAKUFAAAOAAAAZHJzL2Uyb0RvYy54bWysVNtu2zAMfR+wfxD0vvqCZk2MOkXQIsOA&#10;oA2WDn1WZDk2KouapMTJ3vdn+7BR8qVZV+xhWAIYonh4eBHJ65tjI8lBGFuDymlyEVMiFIeiVruc&#10;fn1cfphSYh1TBZOgRE5PwtKb+ft3163ORAoVyEIYgiTKZq3OaeWczqLI8ko0zF6AFgqVJZiGORTN&#10;LioMa5G9kVEaxx+jFkyhDXBhLd7edUo6D/xlKbh7KEsrHJE5xdhc+Jrw3fpvNL9m2c4wXdW8D4P9&#10;QxQNqxU6HanumGNkb+o/qJqaG7BQugsOTQRlWXMRcsBskvhVNpuKaRFyweJYPZbJ/j9afn9YG1IX&#10;+HazlBLFGnykNYbo4PnnD0f8Ldao1TZD6Eavjc/S6hXwZ4uK6DeNF2yPOZam8VjMkRxDwU9jwcXR&#10;EY6XyfQqmU3xXTjq0nQWT+LpxPuLWDbYa2PdJwEN8YecGnzSUGl2WFnXQQdICA1kXSxrKYNgdttb&#10;aciB4fMvU//v2e05TCoPVuDNOkZ/E1Lrsgl5uZMUHifVF1FiyTD+NEQSmlWMfhjnQrmkU1WsEJ37&#10;SYy/wbtvb28RMg2EnrlE/yN3TzAgO5KBu4uyx3tTEXp9NI7/FlhnPFoEz6DcaNzUCsxbBBKz6j13&#10;+KFIXWl8lbZQnLChDHSTZjVf1vhuK2bdmhkcLXxsXBfuAT+lhDan0J8oqcB8f+ve47HjUUtJi6Oa&#10;U/ttz4ygRH5WOAuz5PLSz3YQLidXKQrmXLM916h9cwvYDgkuJs3D0eOdHI6lgeYJt8rCe0UVUxx9&#10;55Q7Mwi3rlshuJe4WCwCDOdZM7dSG809ua+q78vH4xMzum9eh41/D8NYs+xVD3dYb6lgsXdQ1qHB&#10;X+ra1xt3QWicfm/5ZXMuB9TLdp3/AgAA//8DAFBLAwQUAAYACAAAACEAaB0mYN8AAAAMAQAADwAA&#10;AGRycy9kb3ducmV2LnhtbEyPTU/DMAyG70j8h8hI3FjaovWLphNCQjtTBtJuWWPaisapmnQr/x7v&#10;BDdbfvT6eavdakdxxtkPjhTEmwgEUuvMQJ2Cw/vrQw7CB01Gj45QwQ962NW3N5UujbvQG56b0AkO&#10;IV9qBX0IUymlb3u02m/chMS3LzdbHXidO2lmfeFwO8okilJp9UD8odcTvvTYfjeLVXDsArnE7gu/&#10;byb3sWy3xfp5VOr+bn1+AhFwDX8wXPVZHWp2OrmFjBejgjyJC0Z5iFIQVyCO0wzEScFjmmcZyLqS&#10;/0vUvwAAAP//AwBQSwECLQAUAAYACAAAACEAtoM4kv4AAADhAQAAEwAAAAAAAAAAAAAAAAAAAAAA&#10;W0NvbnRlbnRfVHlwZXNdLnhtbFBLAQItABQABgAIAAAAIQA4/SH/1gAAAJQBAAALAAAAAAAAAAAA&#10;AAAAAC8BAABfcmVscy8ucmVsc1BLAQItABQABgAIAAAAIQDWuNLvqAIAAKUFAAAOAAAAAAAAAAAA&#10;AAAAAC4CAABkcnMvZTJvRG9jLnhtbFBLAQItABQABgAIAAAAIQBoHSZg3wAAAAwBAAAPAAAAAAAA&#10;AAAAAAAAAAIFAABkcnMvZG93bnJldi54bWxQSwUGAAAAAAQABADzAAAADgYAAAAA&#10;" fillcolor="#f2f2f2" stroked="f" strokeweight="1pt">
              <v:path arrowok="t"/>
              <w10:wrap type="tight"/>
            </v:rect>
          </w:pict>
        </mc:Fallback>
      </mc:AlternateContent>
    </w:r>
    <w:r w:rsidRPr="003D7A38">
      <w:rPr>
        <w:noProof/>
        <w:lang w:eastAsia="pl-PL"/>
      </w:rPr>
      <w:drawing>
        <wp:inline distT="0" distB="0" distL="0" distR="0" wp14:anchorId="41013723" wp14:editId="09077CD4">
          <wp:extent cx="1581150" cy="581025"/>
          <wp:effectExtent l="0" t="0" r="0" b="0"/>
          <wp:docPr id="3" name="Obraz 3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logog-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1150" cy="581025"/>
                  </a:xfrm>
                  <a:prstGeom prst="rect">
                    <a:avLst/>
                  </a:prstGeom>
                  <a:noFill/>
                  <a:ln>
                    <a:noFill/>
                  </a:ln>
                </pic:spPr>
              </pic:pic>
            </a:graphicData>
          </a:graphic>
        </wp:inline>
      </w:drawing>
    </w:r>
  </w:p>
  <w:p w14:paraId="4D9355CF" w14:textId="77777777" w:rsidR="009C47DA" w:rsidRDefault="009C47DA">
    <w:pPr>
      <w:pStyle w:val="Nagwek"/>
      <w:rPr>
        <w:noProof/>
        <w:lang w:eastAsia="pl-PL"/>
      </w:rPr>
    </w:pPr>
    <w:r>
      <w:rPr>
        <w:noProof/>
        <w:lang w:eastAsia="pl-PL"/>
      </w:rPr>
      <mc:AlternateContent>
        <mc:Choice Requires="wps">
          <w:drawing>
            <wp:anchor distT="45720" distB="45720" distL="114300" distR="114300" simplePos="0" relativeHeight="251670528" behindDoc="0" locked="0" layoutInCell="1" allowOverlap="1" wp14:anchorId="1716744E" wp14:editId="1FA2C389">
              <wp:simplePos x="0" y="0"/>
              <wp:positionH relativeFrom="column">
                <wp:posOffset>5288280</wp:posOffset>
              </wp:positionH>
              <wp:positionV relativeFrom="paragraph">
                <wp:posOffset>266065</wp:posOffset>
              </wp:positionV>
              <wp:extent cx="1432560" cy="336550"/>
              <wp:effectExtent l="0" t="0" r="0" b="0"/>
              <wp:wrapNone/>
              <wp:docPr id="193" name="Pole tekstowe 2" descr="Date of publication of the news release 21 April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474D562D" w14:textId="307EE1A8" w:rsidR="009C47DA" w:rsidRPr="00A01B40" w:rsidRDefault="009371C5" w:rsidP="003716BF">
                          <w:pPr>
                            <w:pStyle w:val="Datainformacjisygnalnej"/>
                          </w:pPr>
                          <w:r>
                            <w:t>21</w:t>
                          </w:r>
                          <w:r w:rsidR="00593DCB">
                            <w:t>.</w:t>
                          </w:r>
                          <w:r w:rsidR="009C47DA">
                            <w:t>0</w:t>
                          </w:r>
                          <w:r w:rsidR="00593DCB">
                            <w:t>4.</w:t>
                          </w:r>
                          <w:r w:rsidR="007170CC">
                            <w:t>202</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716744E" id="_x0000_t202" coordsize="21600,21600" o:spt="202" path="m,l,21600r21600,l21600,xe">
              <v:stroke joinstyle="miter"/>
              <v:path gradientshapeok="t" o:connecttype="rect"/>
            </v:shapetype>
            <v:shape id="_x0000_s1031" type="#_x0000_t202" alt="Date of publication of the news release 21 April 2026" style="position:absolute;margin-left:416.4pt;margin-top:20.95pt;width:112.8pt;height:2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oIOQIAAD4EAAAOAAAAZHJzL2Uyb0RvYy54bWysU9tu2zAMfR+wfyD0vjpxLmuNOkXXrsOA&#10;bivQ7QMUmY6FyqImKbW7ry8lp12wvQ3zgyCa4iHPIXl+MfYGHtEHTbYW85OZALSKGm13tfjx/ebd&#10;qYAQpW2kIYu1eMIgLjZv35wPrsKSOjINemAQG6rB1aKL0VVFEVSHvQwn5NCysyXfy8im3xWNlwOj&#10;96YoZ7N1MZBvnCeFIfDf68kpNhm/bVHFb20bMIKpBdcW8+nzuU1nsTmX1c5L12l1KEP+QxW91JaT&#10;vkJdyyhh7/VfUL1WngK18URRX1DbaoWZA7OZz/5gc99Jh5kLixPcq0zh/8Gqr493HnTDvTtbCLCy&#10;5ybdkUGI+BAiDQilgAaDYtGYFQK14PZbo5WM3PNkxg7B4hDAo0EZOGIOl85rA+WsXCeJBxcqznTv&#10;OFccP9DI6bJcwd2Seghg6aqTdoeX3tPQoWyY4jxFFkehE05IINvhCzVcqdxHykBj6/ukPysKjM6t&#10;fnptL44RVEq5XJSrNbsU+xaL9WqV+1/I6iXa+RA/IfWQLrXwPD4ZXT7ehpiqkdXLk5TM0o02Jo+Q&#10;sTDU4mxVrnLAkafXkSfc6L4Wp7P0TTOXSH60TQ6OUpvpzgmMPbBORCfKcdyOU49exNxS88QyeJoG&#10;mheQLx35XwIGHuZahJ976VGA+WxZyrP5cpmmPxvL1fuSDX/s2R57pFUMVYsoYLpexbwxE+VLlrzV&#10;WY3Um6mSQ8k8pFmkw0KlLTi286vfa795BgAA//8DAFBLAwQUAAYACAAAACEAtMlX394AAAAKAQAA&#10;DwAAAGRycy9kb3ducmV2LnhtbEyPwU7DMBBE70j8g7VI3KjdklZJyKZCIK6gtoDEzY23SUS8jmK3&#10;CX+Pe2qPoxnNvCnWk+3EiQbfOkaYzxQI4sqZlmuEz93bQwrCB81Gd44J4Y88rMvbm0Lnxo28odM2&#10;1CKWsM81QhNCn0vpq4as9jPXE0fv4AarQ5RDLc2gx1huO7lQaiWtbjkuNLqnl4aq3+3RIny9H36+&#10;E/VRv9plP7pJSbaZRLy/m56fQASawiUMZ/yIDmVk2rsjGy86hPRxEdEDQjLPQJwDapkmIPYIWZKB&#10;LAt5faH8BwAA//8DAFBLAQItABQABgAIAAAAIQC2gziS/gAAAOEBAAATAAAAAAAAAAAAAAAAAAAA&#10;AABbQ29udGVudF9UeXBlc10ueG1sUEsBAi0AFAAGAAgAAAAhADj9If/WAAAAlAEAAAsAAAAAAAAA&#10;AAAAAAAALwEAAF9yZWxzLy5yZWxzUEsBAi0AFAAGAAgAAAAhAKl4Cgg5AgAAPgQAAA4AAAAAAAAA&#10;AAAAAAAALgIAAGRycy9lMm9Eb2MueG1sUEsBAi0AFAAGAAgAAAAhALTJV9/eAAAACgEAAA8AAAAA&#10;AAAAAAAAAAAAkwQAAGRycy9kb3ducmV2LnhtbFBLBQYAAAAABAAEAPMAAACeBQAAAAA=&#10;" filled="f" stroked="f">
              <v:textbox>
                <w:txbxContent>
                  <w:p w14:paraId="474D562D" w14:textId="307EE1A8" w:rsidR="009C47DA" w:rsidRPr="00A01B40" w:rsidRDefault="009371C5" w:rsidP="003716BF">
                    <w:pPr>
                      <w:pStyle w:val="Datainformacjisygnalnej"/>
                    </w:pPr>
                    <w:r>
                      <w:t>21</w:t>
                    </w:r>
                    <w:r w:rsidR="00593DCB">
                      <w:t>.</w:t>
                    </w:r>
                    <w:r w:rsidR="009C47DA">
                      <w:t>0</w:t>
                    </w:r>
                    <w:r w:rsidR="00593DCB">
                      <w:t>4.</w:t>
                    </w:r>
                    <w:r w:rsidR="007170CC">
                      <w:t>202</w:t>
                    </w:r>
                    <w:r>
                      <w:t>6</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5AAFDF2" wp14:editId="1BDD0170">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2"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rect w14:anchorId="354F6CA6"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jmpgIAAKI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ToliHT7TCAB08//zhSBYKtNe2QNyDXhmfotVL4M8WK5f8pvGC7TGH2nQeiwmSQ6j2cay2ODjC&#10;8TKbXmSXU3wUjro8v0wn6XTiHyRhxWCvjXWfBHTEH0pq8D1DmdluaV2EDpAQGsi2WrRSBsFs1jfS&#10;kB3Dt1/k/t+z21OYVB6swJtFRn8TUovZhLzcUQqPk+qLqLFeGH8eIgmdKkY/jHOhXBZVDatEdD9J&#10;8Td4973tLUKmgdAz1+h/5O4JBmQkGbhjlD3em4rQ6KNx+rfAovFoETyDcqNx1yowbxFIzKr3HPFD&#10;kWJpfJXWUB2xmwzEMbOaL1p8tyWzbsUMzhU+Nu4Kd4+fWsK+pNCfKGnAfH/r3uOx3VFLyR7ntKT2&#10;25YZQYn8rHAQLrPzcz/YQTifXOQomFPN+lSjtt0NYDtkuJU0D0ePd3I41ga6J1wpc+8VVUxx9F1S&#10;7swg3Li4P3ApcTGfBxgOs2ZuqR409+S+qr4vHw9PzOi+eR02/h0MM82KVz0csd5SwXzroG5Dg7/U&#10;ta83LoLQOP3S8pvmVA6ol9U6+wU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6jQo5qYCAACi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78967" w14:textId="77777777" w:rsidR="009C47DA" w:rsidRDefault="009C47DA">
    <w:pPr>
      <w:pStyle w:val="Nagwek"/>
    </w:pPr>
  </w:p>
  <w:p w14:paraId="5DAEF0BC" w14:textId="77777777" w:rsidR="009C47DA" w:rsidRDefault="009C47D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25pt;height:124pt;visibility:visible" o:bullet="t">
        <v:imagedata r:id="rId1" o:title=""/>
      </v:shape>
    </w:pict>
  </w:numPicBullet>
  <w:numPicBullet w:numPicBulletId="1">
    <w:pict>
      <v:shape id="_x0000_i1027" type="#_x0000_t75" style="width:124.25pt;height:124pt;visibility:visible" o:bullet="t">
        <v:imagedata r:id="rId2" o:title=""/>
      </v:shape>
    </w:pict>
  </w:numPicBullet>
  <w:abstractNum w:abstractNumId="0" w15:restartNumberingAfterBreak="0">
    <w:nsid w:val="004F00E6"/>
    <w:multiLevelType w:val="hybridMultilevel"/>
    <w:tmpl w:val="29C0354E"/>
    <w:lvl w:ilvl="0" w:tplc="04150001">
      <w:start w:val="1"/>
      <w:numFmt w:val="bullet"/>
      <w:lvlText w:val=""/>
      <w:lvlJc w:val="left"/>
      <w:pPr>
        <w:ind w:left="2023" w:hanging="360"/>
      </w:pPr>
      <w:rPr>
        <w:rFonts w:ascii="Symbol" w:hAnsi="Symbol" w:hint="default"/>
      </w:rPr>
    </w:lvl>
    <w:lvl w:ilvl="1" w:tplc="04150003" w:tentative="1">
      <w:start w:val="1"/>
      <w:numFmt w:val="bullet"/>
      <w:lvlText w:val="o"/>
      <w:lvlJc w:val="left"/>
      <w:pPr>
        <w:ind w:left="2743" w:hanging="360"/>
      </w:pPr>
      <w:rPr>
        <w:rFonts w:ascii="Courier New" w:hAnsi="Courier New" w:cs="Courier New" w:hint="default"/>
      </w:rPr>
    </w:lvl>
    <w:lvl w:ilvl="2" w:tplc="04150005" w:tentative="1">
      <w:start w:val="1"/>
      <w:numFmt w:val="bullet"/>
      <w:lvlText w:val=""/>
      <w:lvlJc w:val="left"/>
      <w:pPr>
        <w:ind w:left="3463" w:hanging="360"/>
      </w:pPr>
      <w:rPr>
        <w:rFonts w:ascii="Wingdings" w:hAnsi="Wingdings" w:hint="default"/>
      </w:rPr>
    </w:lvl>
    <w:lvl w:ilvl="3" w:tplc="04150001" w:tentative="1">
      <w:start w:val="1"/>
      <w:numFmt w:val="bullet"/>
      <w:lvlText w:val=""/>
      <w:lvlJc w:val="left"/>
      <w:pPr>
        <w:ind w:left="4183" w:hanging="360"/>
      </w:pPr>
      <w:rPr>
        <w:rFonts w:ascii="Symbol" w:hAnsi="Symbol" w:hint="default"/>
      </w:rPr>
    </w:lvl>
    <w:lvl w:ilvl="4" w:tplc="04150003" w:tentative="1">
      <w:start w:val="1"/>
      <w:numFmt w:val="bullet"/>
      <w:lvlText w:val="o"/>
      <w:lvlJc w:val="left"/>
      <w:pPr>
        <w:ind w:left="4903" w:hanging="360"/>
      </w:pPr>
      <w:rPr>
        <w:rFonts w:ascii="Courier New" w:hAnsi="Courier New" w:cs="Courier New" w:hint="default"/>
      </w:rPr>
    </w:lvl>
    <w:lvl w:ilvl="5" w:tplc="04150005" w:tentative="1">
      <w:start w:val="1"/>
      <w:numFmt w:val="bullet"/>
      <w:lvlText w:val=""/>
      <w:lvlJc w:val="left"/>
      <w:pPr>
        <w:ind w:left="5623" w:hanging="360"/>
      </w:pPr>
      <w:rPr>
        <w:rFonts w:ascii="Wingdings" w:hAnsi="Wingdings" w:hint="default"/>
      </w:rPr>
    </w:lvl>
    <w:lvl w:ilvl="6" w:tplc="04150001" w:tentative="1">
      <w:start w:val="1"/>
      <w:numFmt w:val="bullet"/>
      <w:lvlText w:val=""/>
      <w:lvlJc w:val="left"/>
      <w:pPr>
        <w:ind w:left="6343" w:hanging="360"/>
      </w:pPr>
      <w:rPr>
        <w:rFonts w:ascii="Symbol" w:hAnsi="Symbol" w:hint="default"/>
      </w:rPr>
    </w:lvl>
    <w:lvl w:ilvl="7" w:tplc="04150003" w:tentative="1">
      <w:start w:val="1"/>
      <w:numFmt w:val="bullet"/>
      <w:lvlText w:val="o"/>
      <w:lvlJc w:val="left"/>
      <w:pPr>
        <w:ind w:left="7063" w:hanging="360"/>
      </w:pPr>
      <w:rPr>
        <w:rFonts w:ascii="Courier New" w:hAnsi="Courier New" w:cs="Courier New" w:hint="default"/>
      </w:rPr>
    </w:lvl>
    <w:lvl w:ilvl="8" w:tplc="04150005" w:tentative="1">
      <w:start w:val="1"/>
      <w:numFmt w:val="bullet"/>
      <w:lvlText w:val=""/>
      <w:lvlJc w:val="left"/>
      <w:pPr>
        <w:ind w:left="778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0A2614"/>
    <w:multiLevelType w:val="hybridMultilevel"/>
    <w:tmpl w:val="026ADFD4"/>
    <w:lvl w:ilvl="0" w:tplc="0415000B">
      <w:start w:val="1"/>
      <w:numFmt w:val="bullet"/>
      <w:lvlText w:val=""/>
      <w:lvlJc w:val="left"/>
      <w:pPr>
        <w:tabs>
          <w:tab w:val="num" w:pos="1429"/>
        </w:tabs>
        <w:ind w:left="1429" w:hanging="360"/>
      </w:pPr>
      <w:rPr>
        <w:rFonts w:ascii="Wingdings" w:hAnsi="Wingdings" w:cs="Wingdings" w:hint="default"/>
      </w:rPr>
    </w:lvl>
    <w:lvl w:ilvl="1" w:tplc="9446D4B4">
      <w:start w:val="1"/>
      <w:numFmt w:val="bullet"/>
      <w:lvlText w:val=""/>
      <w:lvlJc w:val="left"/>
      <w:pPr>
        <w:tabs>
          <w:tab w:val="num" w:pos="1792"/>
        </w:tabs>
        <w:ind w:left="2149" w:hanging="360"/>
      </w:pPr>
      <w:rPr>
        <w:rFonts w:ascii="Symbol" w:hAnsi="Symbol" w:cs="Symbol" w:hint="default"/>
        <w:color w:val="auto"/>
        <w:sz w:val="20"/>
        <w:szCs w:val="20"/>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3" w15:restartNumberingAfterBreak="0">
    <w:nsid w:val="1B041FDF"/>
    <w:multiLevelType w:val="hybridMultilevel"/>
    <w:tmpl w:val="EF8ECA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7F86D05"/>
    <w:multiLevelType w:val="hybridMultilevel"/>
    <w:tmpl w:val="5EA8D244"/>
    <w:lvl w:ilvl="0" w:tplc="04150001">
      <w:start w:val="1"/>
      <w:numFmt w:val="bullet"/>
      <w:lvlText w:val=""/>
      <w:lvlJc w:val="left"/>
      <w:pPr>
        <w:ind w:left="1663" w:hanging="360"/>
      </w:pPr>
      <w:rPr>
        <w:rFonts w:ascii="Symbol" w:hAnsi="Symbol" w:hint="default"/>
      </w:rPr>
    </w:lvl>
    <w:lvl w:ilvl="1" w:tplc="04150003" w:tentative="1">
      <w:start w:val="1"/>
      <w:numFmt w:val="bullet"/>
      <w:lvlText w:val="o"/>
      <w:lvlJc w:val="left"/>
      <w:pPr>
        <w:ind w:left="2383" w:hanging="360"/>
      </w:pPr>
      <w:rPr>
        <w:rFonts w:ascii="Courier New" w:hAnsi="Courier New" w:cs="Courier New" w:hint="default"/>
      </w:rPr>
    </w:lvl>
    <w:lvl w:ilvl="2" w:tplc="04150005" w:tentative="1">
      <w:start w:val="1"/>
      <w:numFmt w:val="bullet"/>
      <w:lvlText w:val=""/>
      <w:lvlJc w:val="left"/>
      <w:pPr>
        <w:ind w:left="3103" w:hanging="360"/>
      </w:pPr>
      <w:rPr>
        <w:rFonts w:ascii="Wingdings" w:hAnsi="Wingdings" w:hint="default"/>
      </w:rPr>
    </w:lvl>
    <w:lvl w:ilvl="3" w:tplc="04150001" w:tentative="1">
      <w:start w:val="1"/>
      <w:numFmt w:val="bullet"/>
      <w:lvlText w:val=""/>
      <w:lvlJc w:val="left"/>
      <w:pPr>
        <w:ind w:left="3823" w:hanging="360"/>
      </w:pPr>
      <w:rPr>
        <w:rFonts w:ascii="Symbol" w:hAnsi="Symbol" w:hint="default"/>
      </w:rPr>
    </w:lvl>
    <w:lvl w:ilvl="4" w:tplc="04150003" w:tentative="1">
      <w:start w:val="1"/>
      <w:numFmt w:val="bullet"/>
      <w:lvlText w:val="o"/>
      <w:lvlJc w:val="left"/>
      <w:pPr>
        <w:ind w:left="4543" w:hanging="360"/>
      </w:pPr>
      <w:rPr>
        <w:rFonts w:ascii="Courier New" w:hAnsi="Courier New" w:cs="Courier New" w:hint="default"/>
      </w:rPr>
    </w:lvl>
    <w:lvl w:ilvl="5" w:tplc="04150005" w:tentative="1">
      <w:start w:val="1"/>
      <w:numFmt w:val="bullet"/>
      <w:lvlText w:val=""/>
      <w:lvlJc w:val="left"/>
      <w:pPr>
        <w:ind w:left="5263" w:hanging="360"/>
      </w:pPr>
      <w:rPr>
        <w:rFonts w:ascii="Wingdings" w:hAnsi="Wingdings" w:hint="default"/>
      </w:rPr>
    </w:lvl>
    <w:lvl w:ilvl="6" w:tplc="04150001" w:tentative="1">
      <w:start w:val="1"/>
      <w:numFmt w:val="bullet"/>
      <w:lvlText w:val=""/>
      <w:lvlJc w:val="left"/>
      <w:pPr>
        <w:ind w:left="5983" w:hanging="360"/>
      </w:pPr>
      <w:rPr>
        <w:rFonts w:ascii="Symbol" w:hAnsi="Symbol" w:hint="default"/>
      </w:rPr>
    </w:lvl>
    <w:lvl w:ilvl="7" w:tplc="04150003" w:tentative="1">
      <w:start w:val="1"/>
      <w:numFmt w:val="bullet"/>
      <w:lvlText w:val="o"/>
      <w:lvlJc w:val="left"/>
      <w:pPr>
        <w:ind w:left="6703" w:hanging="360"/>
      </w:pPr>
      <w:rPr>
        <w:rFonts w:ascii="Courier New" w:hAnsi="Courier New" w:cs="Courier New" w:hint="default"/>
      </w:rPr>
    </w:lvl>
    <w:lvl w:ilvl="8" w:tplc="04150005" w:tentative="1">
      <w:start w:val="1"/>
      <w:numFmt w:val="bullet"/>
      <w:lvlText w:val=""/>
      <w:lvlJc w:val="left"/>
      <w:pPr>
        <w:ind w:left="7423" w:hanging="360"/>
      </w:pPr>
      <w:rPr>
        <w:rFonts w:ascii="Wingdings" w:hAnsi="Wingdings" w:hint="default"/>
      </w:rPr>
    </w:lvl>
  </w:abstractNum>
  <w:abstractNum w:abstractNumId="7" w15:restartNumberingAfterBreak="0">
    <w:nsid w:val="5BF75064"/>
    <w:multiLevelType w:val="hybridMultilevel"/>
    <w:tmpl w:val="844CFE16"/>
    <w:lvl w:ilvl="0" w:tplc="64D48F7A">
      <w:start w:val="1"/>
      <w:numFmt w:val="bullet"/>
      <w:lvlText w:val="—"/>
      <w:lvlJc w:val="left"/>
      <w:pPr>
        <w:tabs>
          <w:tab w:val="num" w:pos="502"/>
        </w:tabs>
        <w:ind w:left="502" w:hanging="360"/>
      </w:pPr>
      <w:rPr>
        <w:rFonts w:ascii="Calibri" w:hAnsi="Calibri" w:cs="Wingdings" w:hint="default"/>
      </w:rPr>
    </w:lvl>
    <w:lvl w:ilvl="1" w:tplc="44E8C354">
      <w:start w:val="1"/>
      <w:numFmt w:val="bullet"/>
      <w:lvlText w:val=""/>
      <w:lvlJc w:val="left"/>
      <w:pPr>
        <w:tabs>
          <w:tab w:val="num" w:pos="1222"/>
        </w:tabs>
        <w:ind w:left="1222" w:hanging="360"/>
      </w:pPr>
      <w:rPr>
        <w:rFonts w:ascii="Symbol" w:hAnsi="Symbol" w:cs="Symbol" w:hint="default"/>
        <w:color w:val="auto"/>
        <w:sz w:val="20"/>
        <w:szCs w:val="20"/>
      </w:rPr>
    </w:lvl>
    <w:lvl w:ilvl="2" w:tplc="04150005">
      <w:start w:val="1"/>
      <w:numFmt w:val="bullet"/>
      <w:lvlText w:val=""/>
      <w:lvlJc w:val="left"/>
      <w:pPr>
        <w:tabs>
          <w:tab w:val="num" w:pos="1942"/>
        </w:tabs>
        <w:ind w:left="1942" w:hanging="360"/>
      </w:pPr>
      <w:rPr>
        <w:rFonts w:ascii="Wingdings" w:hAnsi="Wingdings" w:cs="Wingdings" w:hint="default"/>
      </w:rPr>
    </w:lvl>
    <w:lvl w:ilvl="3" w:tplc="04150001">
      <w:start w:val="1"/>
      <w:numFmt w:val="bullet"/>
      <w:lvlText w:val=""/>
      <w:lvlJc w:val="left"/>
      <w:pPr>
        <w:tabs>
          <w:tab w:val="num" w:pos="2662"/>
        </w:tabs>
        <w:ind w:left="2662" w:hanging="360"/>
      </w:pPr>
      <w:rPr>
        <w:rFonts w:ascii="Symbol" w:hAnsi="Symbol" w:cs="Symbol" w:hint="default"/>
      </w:rPr>
    </w:lvl>
    <w:lvl w:ilvl="4" w:tplc="04150003">
      <w:start w:val="1"/>
      <w:numFmt w:val="bullet"/>
      <w:lvlText w:val="o"/>
      <w:lvlJc w:val="left"/>
      <w:pPr>
        <w:tabs>
          <w:tab w:val="num" w:pos="3382"/>
        </w:tabs>
        <w:ind w:left="3382" w:hanging="360"/>
      </w:pPr>
      <w:rPr>
        <w:rFonts w:ascii="Courier New" w:hAnsi="Courier New" w:cs="Courier New" w:hint="default"/>
      </w:rPr>
    </w:lvl>
    <w:lvl w:ilvl="5" w:tplc="04150005">
      <w:start w:val="1"/>
      <w:numFmt w:val="bullet"/>
      <w:lvlText w:val=""/>
      <w:lvlJc w:val="left"/>
      <w:pPr>
        <w:tabs>
          <w:tab w:val="num" w:pos="4102"/>
        </w:tabs>
        <w:ind w:left="4102" w:hanging="360"/>
      </w:pPr>
      <w:rPr>
        <w:rFonts w:ascii="Wingdings" w:hAnsi="Wingdings" w:cs="Wingdings" w:hint="default"/>
      </w:rPr>
    </w:lvl>
    <w:lvl w:ilvl="6" w:tplc="04150001">
      <w:start w:val="1"/>
      <w:numFmt w:val="bullet"/>
      <w:lvlText w:val=""/>
      <w:lvlJc w:val="left"/>
      <w:pPr>
        <w:tabs>
          <w:tab w:val="num" w:pos="4822"/>
        </w:tabs>
        <w:ind w:left="4822" w:hanging="360"/>
      </w:pPr>
      <w:rPr>
        <w:rFonts w:ascii="Symbol" w:hAnsi="Symbol" w:cs="Symbol" w:hint="default"/>
      </w:rPr>
    </w:lvl>
    <w:lvl w:ilvl="7" w:tplc="04150003">
      <w:start w:val="1"/>
      <w:numFmt w:val="bullet"/>
      <w:lvlText w:val="o"/>
      <w:lvlJc w:val="left"/>
      <w:pPr>
        <w:tabs>
          <w:tab w:val="num" w:pos="5542"/>
        </w:tabs>
        <w:ind w:left="5542" w:hanging="360"/>
      </w:pPr>
      <w:rPr>
        <w:rFonts w:ascii="Courier New" w:hAnsi="Courier New" w:cs="Courier New" w:hint="default"/>
      </w:rPr>
    </w:lvl>
    <w:lvl w:ilvl="8" w:tplc="04150005">
      <w:start w:val="1"/>
      <w:numFmt w:val="bullet"/>
      <w:lvlText w:val=""/>
      <w:lvlJc w:val="left"/>
      <w:pPr>
        <w:tabs>
          <w:tab w:val="num" w:pos="6262"/>
        </w:tabs>
        <w:ind w:left="6262" w:hanging="360"/>
      </w:pPr>
      <w:rPr>
        <w:rFonts w:ascii="Wingdings" w:hAnsi="Wingdings" w:cs="Wingdings" w:hint="default"/>
      </w:rPr>
    </w:lvl>
  </w:abstractNum>
  <w:abstractNum w:abstractNumId="8" w15:restartNumberingAfterBreak="0">
    <w:nsid w:val="6A9D53F4"/>
    <w:multiLevelType w:val="hybridMultilevel"/>
    <w:tmpl w:val="E69C9202"/>
    <w:lvl w:ilvl="0" w:tplc="0415000B">
      <w:start w:val="1"/>
      <w:numFmt w:val="bullet"/>
      <w:lvlText w:val=""/>
      <w:lvlJc w:val="left"/>
      <w:pPr>
        <w:tabs>
          <w:tab w:val="num" w:pos="1663"/>
        </w:tabs>
        <w:ind w:left="1663" w:hanging="360"/>
      </w:pPr>
      <w:rPr>
        <w:rFonts w:ascii="Wingdings" w:hAnsi="Wingdings" w:cs="Wingdings" w:hint="default"/>
      </w:rPr>
    </w:lvl>
    <w:lvl w:ilvl="1" w:tplc="1A405A7E">
      <w:start w:val="1"/>
      <w:numFmt w:val="bullet"/>
      <w:lvlText w:val=""/>
      <w:lvlJc w:val="left"/>
      <w:pPr>
        <w:tabs>
          <w:tab w:val="num" w:pos="2383"/>
        </w:tabs>
        <w:ind w:left="2383" w:hanging="360"/>
      </w:pPr>
      <w:rPr>
        <w:rFonts w:ascii="Symbol" w:hAnsi="Symbol" w:cs="Symbol" w:hint="default"/>
        <w:color w:val="auto"/>
        <w:sz w:val="20"/>
        <w:szCs w:val="20"/>
      </w:rPr>
    </w:lvl>
    <w:lvl w:ilvl="2" w:tplc="04150005">
      <w:start w:val="1"/>
      <w:numFmt w:val="bullet"/>
      <w:lvlText w:val=""/>
      <w:lvlJc w:val="left"/>
      <w:pPr>
        <w:tabs>
          <w:tab w:val="num" w:pos="3103"/>
        </w:tabs>
        <w:ind w:left="3103" w:hanging="360"/>
      </w:pPr>
      <w:rPr>
        <w:rFonts w:ascii="Wingdings" w:hAnsi="Wingdings" w:cs="Wingdings" w:hint="default"/>
      </w:rPr>
    </w:lvl>
    <w:lvl w:ilvl="3" w:tplc="04150001">
      <w:start w:val="1"/>
      <w:numFmt w:val="bullet"/>
      <w:lvlText w:val=""/>
      <w:lvlJc w:val="left"/>
      <w:pPr>
        <w:tabs>
          <w:tab w:val="num" w:pos="3823"/>
        </w:tabs>
        <w:ind w:left="3823" w:hanging="360"/>
      </w:pPr>
      <w:rPr>
        <w:rFonts w:ascii="Symbol" w:hAnsi="Symbol" w:cs="Symbol" w:hint="default"/>
      </w:rPr>
    </w:lvl>
    <w:lvl w:ilvl="4" w:tplc="04150003">
      <w:start w:val="1"/>
      <w:numFmt w:val="bullet"/>
      <w:lvlText w:val="o"/>
      <w:lvlJc w:val="left"/>
      <w:pPr>
        <w:tabs>
          <w:tab w:val="num" w:pos="4543"/>
        </w:tabs>
        <w:ind w:left="4543" w:hanging="360"/>
      </w:pPr>
      <w:rPr>
        <w:rFonts w:ascii="Courier New" w:hAnsi="Courier New" w:cs="Courier New" w:hint="default"/>
      </w:rPr>
    </w:lvl>
    <w:lvl w:ilvl="5" w:tplc="04150005">
      <w:start w:val="1"/>
      <w:numFmt w:val="bullet"/>
      <w:lvlText w:val=""/>
      <w:lvlJc w:val="left"/>
      <w:pPr>
        <w:tabs>
          <w:tab w:val="num" w:pos="5263"/>
        </w:tabs>
        <w:ind w:left="5263" w:hanging="360"/>
      </w:pPr>
      <w:rPr>
        <w:rFonts w:ascii="Wingdings" w:hAnsi="Wingdings" w:cs="Wingdings" w:hint="default"/>
      </w:rPr>
    </w:lvl>
    <w:lvl w:ilvl="6" w:tplc="04150001">
      <w:start w:val="1"/>
      <w:numFmt w:val="bullet"/>
      <w:lvlText w:val=""/>
      <w:lvlJc w:val="left"/>
      <w:pPr>
        <w:tabs>
          <w:tab w:val="num" w:pos="5983"/>
        </w:tabs>
        <w:ind w:left="5983" w:hanging="360"/>
      </w:pPr>
      <w:rPr>
        <w:rFonts w:ascii="Symbol" w:hAnsi="Symbol" w:cs="Symbol" w:hint="default"/>
      </w:rPr>
    </w:lvl>
    <w:lvl w:ilvl="7" w:tplc="04150003">
      <w:start w:val="1"/>
      <w:numFmt w:val="bullet"/>
      <w:lvlText w:val="o"/>
      <w:lvlJc w:val="left"/>
      <w:pPr>
        <w:tabs>
          <w:tab w:val="num" w:pos="6703"/>
        </w:tabs>
        <w:ind w:left="6703" w:hanging="360"/>
      </w:pPr>
      <w:rPr>
        <w:rFonts w:ascii="Courier New" w:hAnsi="Courier New" w:cs="Courier New" w:hint="default"/>
      </w:rPr>
    </w:lvl>
    <w:lvl w:ilvl="8" w:tplc="04150005">
      <w:start w:val="1"/>
      <w:numFmt w:val="bullet"/>
      <w:lvlText w:val=""/>
      <w:lvlJc w:val="left"/>
      <w:pPr>
        <w:tabs>
          <w:tab w:val="num" w:pos="7423"/>
        </w:tabs>
        <w:ind w:left="7423" w:hanging="360"/>
      </w:pPr>
      <w:rPr>
        <w:rFonts w:ascii="Wingdings" w:hAnsi="Wingdings" w:cs="Wingdings" w:hint="default"/>
      </w:rPr>
    </w:lvl>
  </w:abstractNum>
  <w:abstractNum w:abstractNumId="9" w15:restartNumberingAfterBreak="0">
    <w:nsid w:val="6EEC2327"/>
    <w:multiLevelType w:val="hybridMultilevel"/>
    <w:tmpl w:val="138087A0"/>
    <w:lvl w:ilvl="0" w:tplc="64D48F7A">
      <w:start w:val="1"/>
      <w:numFmt w:val="bullet"/>
      <w:lvlText w:val="—"/>
      <w:lvlJc w:val="left"/>
      <w:pPr>
        <w:ind w:left="1303" w:hanging="360"/>
      </w:pPr>
      <w:rPr>
        <w:rFonts w:ascii="Calibri" w:hAnsi="Calibri" w:cs="Wingdings" w:hint="default"/>
      </w:rPr>
    </w:lvl>
    <w:lvl w:ilvl="1" w:tplc="04150003" w:tentative="1">
      <w:start w:val="1"/>
      <w:numFmt w:val="bullet"/>
      <w:lvlText w:val="o"/>
      <w:lvlJc w:val="left"/>
      <w:pPr>
        <w:ind w:left="2023" w:hanging="360"/>
      </w:pPr>
      <w:rPr>
        <w:rFonts w:ascii="Courier New" w:hAnsi="Courier New" w:cs="Courier New" w:hint="default"/>
      </w:rPr>
    </w:lvl>
    <w:lvl w:ilvl="2" w:tplc="04150005" w:tentative="1">
      <w:start w:val="1"/>
      <w:numFmt w:val="bullet"/>
      <w:lvlText w:val=""/>
      <w:lvlJc w:val="left"/>
      <w:pPr>
        <w:ind w:left="2743" w:hanging="360"/>
      </w:pPr>
      <w:rPr>
        <w:rFonts w:ascii="Wingdings" w:hAnsi="Wingdings" w:hint="default"/>
      </w:rPr>
    </w:lvl>
    <w:lvl w:ilvl="3" w:tplc="04150001" w:tentative="1">
      <w:start w:val="1"/>
      <w:numFmt w:val="bullet"/>
      <w:lvlText w:val=""/>
      <w:lvlJc w:val="left"/>
      <w:pPr>
        <w:ind w:left="3463" w:hanging="360"/>
      </w:pPr>
      <w:rPr>
        <w:rFonts w:ascii="Symbol" w:hAnsi="Symbol" w:hint="default"/>
      </w:rPr>
    </w:lvl>
    <w:lvl w:ilvl="4" w:tplc="04150003" w:tentative="1">
      <w:start w:val="1"/>
      <w:numFmt w:val="bullet"/>
      <w:lvlText w:val="o"/>
      <w:lvlJc w:val="left"/>
      <w:pPr>
        <w:ind w:left="4183" w:hanging="360"/>
      </w:pPr>
      <w:rPr>
        <w:rFonts w:ascii="Courier New" w:hAnsi="Courier New" w:cs="Courier New" w:hint="default"/>
      </w:rPr>
    </w:lvl>
    <w:lvl w:ilvl="5" w:tplc="04150005" w:tentative="1">
      <w:start w:val="1"/>
      <w:numFmt w:val="bullet"/>
      <w:lvlText w:val=""/>
      <w:lvlJc w:val="left"/>
      <w:pPr>
        <w:ind w:left="4903" w:hanging="360"/>
      </w:pPr>
      <w:rPr>
        <w:rFonts w:ascii="Wingdings" w:hAnsi="Wingdings" w:hint="default"/>
      </w:rPr>
    </w:lvl>
    <w:lvl w:ilvl="6" w:tplc="04150001" w:tentative="1">
      <w:start w:val="1"/>
      <w:numFmt w:val="bullet"/>
      <w:lvlText w:val=""/>
      <w:lvlJc w:val="left"/>
      <w:pPr>
        <w:ind w:left="5623" w:hanging="360"/>
      </w:pPr>
      <w:rPr>
        <w:rFonts w:ascii="Symbol" w:hAnsi="Symbol" w:hint="default"/>
      </w:rPr>
    </w:lvl>
    <w:lvl w:ilvl="7" w:tplc="04150003" w:tentative="1">
      <w:start w:val="1"/>
      <w:numFmt w:val="bullet"/>
      <w:lvlText w:val="o"/>
      <w:lvlJc w:val="left"/>
      <w:pPr>
        <w:ind w:left="6343" w:hanging="360"/>
      </w:pPr>
      <w:rPr>
        <w:rFonts w:ascii="Courier New" w:hAnsi="Courier New" w:cs="Courier New" w:hint="default"/>
      </w:rPr>
    </w:lvl>
    <w:lvl w:ilvl="8" w:tplc="04150005" w:tentative="1">
      <w:start w:val="1"/>
      <w:numFmt w:val="bullet"/>
      <w:lvlText w:val=""/>
      <w:lvlJc w:val="left"/>
      <w:pPr>
        <w:ind w:left="7063" w:hanging="360"/>
      </w:pPr>
      <w:rPr>
        <w:rFonts w:ascii="Wingdings" w:hAnsi="Wingdings" w:hint="default"/>
      </w:rPr>
    </w:lvl>
  </w:abstractNum>
  <w:abstractNum w:abstractNumId="10" w15:restartNumberingAfterBreak="0">
    <w:nsid w:val="7BAB18C8"/>
    <w:multiLevelType w:val="hybridMultilevel"/>
    <w:tmpl w:val="ACD61CBE"/>
    <w:lvl w:ilvl="0" w:tplc="04150001">
      <w:start w:val="1"/>
      <w:numFmt w:val="bullet"/>
      <w:lvlText w:val=""/>
      <w:lvlJc w:val="left"/>
      <w:pPr>
        <w:tabs>
          <w:tab w:val="num" w:pos="1097"/>
        </w:tabs>
        <w:ind w:left="1097" w:hanging="360"/>
      </w:pPr>
      <w:rPr>
        <w:rFonts w:ascii="Symbol" w:hAnsi="Symbol" w:cs="Symbol" w:hint="default"/>
      </w:rPr>
    </w:lvl>
    <w:lvl w:ilvl="1" w:tplc="04150003">
      <w:start w:val="1"/>
      <w:numFmt w:val="bullet"/>
      <w:lvlText w:val="o"/>
      <w:lvlJc w:val="left"/>
      <w:pPr>
        <w:tabs>
          <w:tab w:val="num" w:pos="1817"/>
        </w:tabs>
        <w:ind w:left="1817" w:hanging="360"/>
      </w:pPr>
      <w:rPr>
        <w:rFonts w:ascii="Courier New" w:hAnsi="Courier New" w:cs="Courier New" w:hint="default"/>
      </w:rPr>
    </w:lvl>
    <w:lvl w:ilvl="2" w:tplc="04150005">
      <w:start w:val="1"/>
      <w:numFmt w:val="bullet"/>
      <w:lvlText w:val=""/>
      <w:lvlJc w:val="left"/>
      <w:pPr>
        <w:tabs>
          <w:tab w:val="num" w:pos="2537"/>
        </w:tabs>
        <w:ind w:left="2537" w:hanging="360"/>
      </w:pPr>
      <w:rPr>
        <w:rFonts w:ascii="Wingdings" w:hAnsi="Wingdings" w:cs="Wingdings" w:hint="default"/>
      </w:rPr>
    </w:lvl>
    <w:lvl w:ilvl="3" w:tplc="04150001">
      <w:start w:val="1"/>
      <w:numFmt w:val="bullet"/>
      <w:lvlText w:val=""/>
      <w:lvlJc w:val="left"/>
      <w:pPr>
        <w:tabs>
          <w:tab w:val="num" w:pos="3257"/>
        </w:tabs>
        <w:ind w:left="3257" w:hanging="360"/>
      </w:pPr>
      <w:rPr>
        <w:rFonts w:ascii="Symbol" w:hAnsi="Symbol" w:cs="Symbol" w:hint="default"/>
      </w:rPr>
    </w:lvl>
    <w:lvl w:ilvl="4" w:tplc="04150003">
      <w:start w:val="1"/>
      <w:numFmt w:val="bullet"/>
      <w:lvlText w:val="o"/>
      <w:lvlJc w:val="left"/>
      <w:pPr>
        <w:tabs>
          <w:tab w:val="num" w:pos="3977"/>
        </w:tabs>
        <w:ind w:left="3977" w:hanging="360"/>
      </w:pPr>
      <w:rPr>
        <w:rFonts w:ascii="Courier New" w:hAnsi="Courier New" w:cs="Courier New" w:hint="default"/>
      </w:rPr>
    </w:lvl>
    <w:lvl w:ilvl="5" w:tplc="04150005">
      <w:start w:val="1"/>
      <w:numFmt w:val="bullet"/>
      <w:lvlText w:val=""/>
      <w:lvlJc w:val="left"/>
      <w:pPr>
        <w:tabs>
          <w:tab w:val="num" w:pos="4697"/>
        </w:tabs>
        <w:ind w:left="4697" w:hanging="360"/>
      </w:pPr>
      <w:rPr>
        <w:rFonts w:ascii="Wingdings" w:hAnsi="Wingdings" w:cs="Wingdings" w:hint="default"/>
      </w:rPr>
    </w:lvl>
    <w:lvl w:ilvl="6" w:tplc="04150001">
      <w:start w:val="1"/>
      <w:numFmt w:val="bullet"/>
      <w:lvlText w:val=""/>
      <w:lvlJc w:val="left"/>
      <w:pPr>
        <w:tabs>
          <w:tab w:val="num" w:pos="5417"/>
        </w:tabs>
        <w:ind w:left="5417" w:hanging="360"/>
      </w:pPr>
      <w:rPr>
        <w:rFonts w:ascii="Symbol" w:hAnsi="Symbol" w:cs="Symbol" w:hint="default"/>
      </w:rPr>
    </w:lvl>
    <w:lvl w:ilvl="7" w:tplc="04150003">
      <w:start w:val="1"/>
      <w:numFmt w:val="bullet"/>
      <w:lvlText w:val="o"/>
      <w:lvlJc w:val="left"/>
      <w:pPr>
        <w:tabs>
          <w:tab w:val="num" w:pos="6137"/>
        </w:tabs>
        <w:ind w:left="6137" w:hanging="360"/>
      </w:pPr>
      <w:rPr>
        <w:rFonts w:ascii="Courier New" w:hAnsi="Courier New" w:cs="Courier New" w:hint="default"/>
      </w:rPr>
    </w:lvl>
    <w:lvl w:ilvl="8" w:tplc="04150005">
      <w:start w:val="1"/>
      <w:numFmt w:val="bullet"/>
      <w:lvlText w:val=""/>
      <w:lvlJc w:val="left"/>
      <w:pPr>
        <w:tabs>
          <w:tab w:val="num" w:pos="6857"/>
        </w:tabs>
        <w:ind w:left="6857" w:hanging="360"/>
      </w:pPr>
      <w:rPr>
        <w:rFonts w:ascii="Wingdings" w:hAnsi="Wingdings" w:cs="Wingdings" w:hint="default"/>
      </w:rPr>
    </w:lvl>
  </w:abstractNum>
  <w:num w:numId="1">
    <w:abstractNumId w:val="5"/>
  </w:num>
  <w:num w:numId="2">
    <w:abstractNumId w:val="1"/>
  </w:num>
  <w:num w:numId="3">
    <w:abstractNumId w:val="10"/>
  </w:num>
  <w:num w:numId="4">
    <w:abstractNumId w:val="8"/>
  </w:num>
  <w:num w:numId="5">
    <w:abstractNumId w:val="2"/>
  </w:num>
  <w:num w:numId="6">
    <w:abstractNumId w:val="7"/>
  </w:num>
  <w:num w:numId="7">
    <w:abstractNumId w:val="9"/>
  </w:num>
  <w:num w:numId="8">
    <w:abstractNumId w:val="0"/>
  </w:num>
  <w:num w:numId="9">
    <w:abstractNumId w:val="3"/>
  </w:num>
  <w:num w:numId="10">
    <w:abstractNumId w:val="6"/>
  </w:num>
  <w:num w:numId="1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removePersonalInformation/>
  <w:removeDateAndTime/>
  <w:embedTrueTypeFonts/>
  <w:proofState w:spelling="clean"/>
  <w:defaultTabStop w:val="454"/>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39D"/>
    <w:rsid w:val="0000079E"/>
    <w:rsid w:val="000012A1"/>
    <w:rsid w:val="00001C5B"/>
    <w:rsid w:val="00002712"/>
    <w:rsid w:val="00003437"/>
    <w:rsid w:val="00004073"/>
    <w:rsid w:val="0000579F"/>
    <w:rsid w:val="0000595E"/>
    <w:rsid w:val="000059AE"/>
    <w:rsid w:val="00005CC5"/>
    <w:rsid w:val="00005DD0"/>
    <w:rsid w:val="0000709F"/>
    <w:rsid w:val="00010187"/>
    <w:rsid w:val="000108B8"/>
    <w:rsid w:val="00010A6D"/>
    <w:rsid w:val="000152A4"/>
    <w:rsid w:val="000152F5"/>
    <w:rsid w:val="00015A29"/>
    <w:rsid w:val="00015AAA"/>
    <w:rsid w:val="00016877"/>
    <w:rsid w:val="00020629"/>
    <w:rsid w:val="00020A19"/>
    <w:rsid w:val="00020BB4"/>
    <w:rsid w:val="000213F1"/>
    <w:rsid w:val="000222A1"/>
    <w:rsid w:val="00023427"/>
    <w:rsid w:val="0002342A"/>
    <w:rsid w:val="000250A7"/>
    <w:rsid w:val="0002571D"/>
    <w:rsid w:val="0002669F"/>
    <w:rsid w:val="00026BE4"/>
    <w:rsid w:val="00027559"/>
    <w:rsid w:val="000278D9"/>
    <w:rsid w:val="000304CD"/>
    <w:rsid w:val="00030BE5"/>
    <w:rsid w:val="00031A21"/>
    <w:rsid w:val="00031F16"/>
    <w:rsid w:val="00032472"/>
    <w:rsid w:val="00035A89"/>
    <w:rsid w:val="000367FE"/>
    <w:rsid w:val="000375DE"/>
    <w:rsid w:val="00040B2E"/>
    <w:rsid w:val="00040EC9"/>
    <w:rsid w:val="00041156"/>
    <w:rsid w:val="000416D9"/>
    <w:rsid w:val="000418A7"/>
    <w:rsid w:val="000438A8"/>
    <w:rsid w:val="0004582E"/>
    <w:rsid w:val="000459A1"/>
    <w:rsid w:val="000470AA"/>
    <w:rsid w:val="00047E86"/>
    <w:rsid w:val="00052E4B"/>
    <w:rsid w:val="00053FDD"/>
    <w:rsid w:val="00055DAC"/>
    <w:rsid w:val="00056D61"/>
    <w:rsid w:val="00057590"/>
    <w:rsid w:val="000577FF"/>
    <w:rsid w:val="00057CA1"/>
    <w:rsid w:val="00060088"/>
    <w:rsid w:val="00061EED"/>
    <w:rsid w:val="00065BA7"/>
    <w:rsid w:val="000662E2"/>
    <w:rsid w:val="00066883"/>
    <w:rsid w:val="00066AA3"/>
    <w:rsid w:val="00070356"/>
    <w:rsid w:val="0007085B"/>
    <w:rsid w:val="00071688"/>
    <w:rsid w:val="00073090"/>
    <w:rsid w:val="000733C5"/>
    <w:rsid w:val="00074DD8"/>
    <w:rsid w:val="00075158"/>
    <w:rsid w:val="00076929"/>
    <w:rsid w:val="000774A3"/>
    <w:rsid w:val="00077B5F"/>
    <w:rsid w:val="00077B60"/>
    <w:rsid w:val="000806F7"/>
    <w:rsid w:val="0008157E"/>
    <w:rsid w:val="000819BA"/>
    <w:rsid w:val="0008201A"/>
    <w:rsid w:val="00082264"/>
    <w:rsid w:val="00083FD2"/>
    <w:rsid w:val="00084529"/>
    <w:rsid w:val="00084C95"/>
    <w:rsid w:val="0008513B"/>
    <w:rsid w:val="00085EF9"/>
    <w:rsid w:val="00086E07"/>
    <w:rsid w:val="00087320"/>
    <w:rsid w:val="00090188"/>
    <w:rsid w:val="0009117A"/>
    <w:rsid w:val="00091BFC"/>
    <w:rsid w:val="00092FF8"/>
    <w:rsid w:val="0009338B"/>
    <w:rsid w:val="00093A70"/>
    <w:rsid w:val="000946FC"/>
    <w:rsid w:val="00094B3B"/>
    <w:rsid w:val="0009532B"/>
    <w:rsid w:val="00095598"/>
    <w:rsid w:val="00096455"/>
    <w:rsid w:val="0009653F"/>
    <w:rsid w:val="000967FF"/>
    <w:rsid w:val="00096823"/>
    <w:rsid w:val="00096F34"/>
    <w:rsid w:val="00097756"/>
    <w:rsid w:val="000A042B"/>
    <w:rsid w:val="000A13E3"/>
    <w:rsid w:val="000A1792"/>
    <w:rsid w:val="000A2E68"/>
    <w:rsid w:val="000A3409"/>
    <w:rsid w:val="000A3DB8"/>
    <w:rsid w:val="000A47A4"/>
    <w:rsid w:val="000A6A77"/>
    <w:rsid w:val="000B0727"/>
    <w:rsid w:val="000B2839"/>
    <w:rsid w:val="000B339C"/>
    <w:rsid w:val="000B3BC0"/>
    <w:rsid w:val="000B4B1E"/>
    <w:rsid w:val="000B7AFC"/>
    <w:rsid w:val="000C0FA3"/>
    <w:rsid w:val="000C114B"/>
    <w:rsid w:val="000C135D"/>
    <w:rsid w:val="000C1974"/>
    <w:rsid w:val="000C282E"/>
    <w:rsid w:val="000C3BCD"/>
    <w:rsid w:val="000D03A8"/>
    <w:rsid w:val="000D040B"/>
    <w:rsid w:val="000D13A0"/>
    <w:rsid w:val="000D1D43"/>
    <w:rsid w:val="000D225C"/>
    <w:rsid w:val="000D2A5C"/>
    <w:rsid w:val="000D3B8B"/>
    <w:rsid w:val="000D414A"/>
    <w:rsid w:val="000D46CC"/>
    <w:rsid w:val="000D6C5C"/>
    <w:rsid w:val="000D740E"/>
    <w:rsid w:val="000E0918"/>
    <w:rsid w:val="000E0A45"/>
    <w:rsid w:val="000E1C72"/>
    <w:rsid w:val="000E2FD9"/>
    <w:rsid w:val="000E3133"/>
    <w:rsid w:val="000E3795"/>
    <w:rsid w:val="000E3BAF"/>
    <w:rsid w:val="000E4276"/>
    <w:rsid w:val="000E50F9"/>
    <w:rsid w:val="000E6738"/>
    <w:rsid w:val="000E6A64"/>
    <w:rsid w:val="000F1837"/>
    <w:rsid w:val="000F2114"/>
    <w:rsid w:val="000F5CF6"/>
    <w:rsid w:val="000F7D85"/>
    <w:rsid w:val="001011C3"/>
    <w:rsid w:val="00101937"/>
    <w:rsid w:val="00101C16"/>
    <w:rsid w:val="00102E72"/>
    <w:rsid w:val="00102F5D"/>
    <w:rsid w:val="00103BEF"/>
    <w:rsid w:val="00103D90"/>
    <w:rsid w:val="00105055"/>
    <w:rsid w:val="0010561F"/>
    <w:rsid w:val="0010743F"/>
    <w:rsid w:val="00110D87"/>
    <w:rsid w:val="00111AEE"/>
    <w:rsid w:val="00111DF3"/>
    <w:rsid w:val="00112681"/>
    <w:rsid w:val="0011357F"/>
    <w:rsid w:val="00114A46"/>
    <w:rsid w:val="00114DB9"/>
    <w:rsid w:val="00115339"/>
    <w:rsid w:val="00116087"/>
    <w:rsid w:val="0011770D"/>
    <w:rsid w:val="0011774C"/>
    <w:rsid w:val="001179AB"/>
    <w:rsid w:val="00120068"/>
    <w:rsid w:val="00120358"/>
    <w:rsid w:val="00120B2C"/>
    <w:rsid w:val="00121A61"/>
    <w:rsid w:val="00123621"/>
    <w:rsid w:val="001236AF"/>
    <w:rsid w:val="00123868"/>
    <w:rsid w:val="001240E7"/>
    <w:rsid w:val="0012456B"/>
    <w:rsid w:val="0012486A"/>
    <w:rsid w:val="00126745"/>
    <w:rsid w:val="00126CB3"/>
    <w:rsid w:val="00127A8F"/>
    <w:rsid w:val="00127C05"/>
    <w:rsid w:val="00130296"/>
    <w:rsid w:val="00132A95"/>
    <w:rsid w:val="00133316"/>
    <w:rsid w:val="00135599"/>
    <w:rsid w:val="00135BB6"/>
    <w:rsid w:val="00136009"/>
    <w:rsid w:val="001362E2"/>
    <w:rsid w:val="001419FA"/>
    <w:rsid w:val="001423B6"/>
    <w:rsid w:val="00142F59"/>
    <w:rsid w:val="001448A7"/>
    <w:rsid w:val="00144DE8"/>
    <w:rsid w:val="00146621"/>
    <w:rsid w:val="00146EBA"/>
    <w:rsid w:val="00147173"/>
    <w:rsid w:val="0014765C"/>
    <w:rsid w:val="00147F98"/>
    <w:rsid w:val="001511CF"/>
    <w:rsid w:val="00152273"/>
    <w:rsid w:val="00152B4B"/>
    <w:rsid w:val="00152CAF"/>
    <w:rsid w:val="0015465C"/>
    <w:rsid w:val="00154865"/>
    <w:rsid w:val="001548DC"/>
    <w:rsid w:val="00154CBD"/>
    <w:rsid w:val="00155C8A"/>
    <w:rsid w:val="00155DE7"/>
    <w:rsid w:val="00156768"/>
    <w:rsid w:val="001603EA"/>
    <w:rsid w:val="00160924"/>
    <w:rsid w:val="00160DA4"/>
    <w:rsid w:val="00160EB0"/>
    <w:rsid w:val="00161412"/>
    <w:rsid w:val="00162204"/>
    <w:rsid w:val="00162325"/>
    <w:rsid w:val="0016270E"/>
    <w:rsid w:val="00166A85"/>
    <w:rsid w:val="00167093"/>
    <w:rsid w:val="00167B44"/>
    <w:rsid w:val="00170878"/>
    <w:rsid w:val="00170904"/>
    <w:rsid w:val="00170D04"/>
    <w:rsid w:val="00172049"/>
    <w:rsid w:val="00173B46"/>
    <w:rsid w:val="001764D1"/>
    <w:rsid w:val="001810B6"/>
    <w:rsid w:val="00181EBF"/>
    <w:rsid w:val="00183BBC"/>
    <w:rsid w:val="00184F74"/>
    <w:rsid w:val="00185928"/>
    <w:rsid w:val="001871E9"/>
    <w:rsid w:val="00190795"/>
    <w:rsid w:val="0019239F"/>
    <w:rsid w:val="00192F6F"/>
    <w:rsid w:val="001951DA"/>
    <w:rsid w:val="00195A96"/>
    <w:rsid w:val="00196277"/>
    <w:rsid w:val="001972B1"/>
    <w:rsid w:val="001A0093"/>
    <w:rsid w:val="001A0772"/>
    <w:rsid w:val="001A1019"/>
    <w:rsid w:val="001A1534"/>
    <w:rsid w:val="001A25DF"/>
    <w:rsid w:val="001A268B"/>
    <w:rsid w:val="001A445F"/>
    <w:rsid w:val="001A5302"/>
    <w:rsid w:val="001A5363"/>
    <w:rsid w:val="001A56AE"/>
    <w:rsid w:val="001A716D"/>
    <w:rsid w:val="001A72C1"/>
    <w:rsid w:val="001A7D30"/>
    <w:rsid w:val="001B1A3E"/>
    <w:rsid w:val="001B2224"/>
    <w:rsid w:val="001B2D4A"/>
    <w:rsid w:val="001B3A36"/>
    <w:rsid w:val="001B4497"/>
    <w:rsid w:val="001B56A2"/>
    <w:rsid w:val="001B5A69"/>
    <w:rsid w:val="001B6A63"/>
    <w:rsid w:val="001C11B5"/>
    <w:rsid w:val="001C1819"/>
    <w:rsid w:val="001C29CE"/>
    <w:rsid w:val="001C3238"/>
    <w:rsid w:val="001C3269"/>
    <w:rsid w:val="001C34F3"/>
    <w:rsid w:val="001C4320"/>
    <w:rsid w:val="001C5DAF"/>
    <w:rsid w:val="001C6DD2"/>
    <w:rsid w:val="001C6EA2"/>
    <w:rsid w:val="001D1528"/>
    <w:rsid w:val="001D1DB4"/>
    <w:rsid w:val="001D3FDC"/>
    <w:rsid w:val="001D489A"/>
    <w:rsid w:val="001D4C80"/>
    <w:rsid w:val="001D5F41"/>
    <w:rsid w:val="001D61CD"/>
    <w:rsid w:val="001D7142"/>
    <w:rsid w:val="001E000A"/>
    <w:rsid w:val="001E09FA"/>
    <w:rsid w:val="001E0FA7"/>
    <w:rsid w:val="001E26A0"/>
    <w:rsid w:val="001E3261"/>
    <w:rsid w:val="001E39DB"/>
    <w:rsid w:val="001E3BCD"/>
    <w:rsid w:val="001E5C70"/>
    <w:rsid w:val="001F2146"/>
    <w:rsid w:val="001F3034"/>
    <w:rsid w:val="001F3173"/>
    <w:rsid w:val="001F4C95"/>
    <w:rsid w:val="001F534C"/>
    <w:rsid w:val="001F5EF9"/>
    <w:rsid w:val="001F7EEC"/>
    <w:rsid w:val="0020012C"/>
    <w:rsid w:val="00200B49"/>
    <w:rsid w:val="00200ED3"/>
    <w:rsid w:val="002010D3"/>
    <w:rsid w:val="00202C60"/>
    <w:rsid w:val="002044D0"/>
    <w:rsid w:val="00206A2D"/>
    <w:rsid w:val="002075A6"/>
    <w:rsid w:val="0021037C"/>
    <w:rsid w:val="0021091E"/>
    <w:rsid w:val="00210B91"/>
    <w:rsid w:val="00210BDB"/>
    <w:rsid w:val="0021115F"/>
    <w:rsid w:val="00212F9A"/>
    <w:rsid w:val="00212FA4"/>
    <w:rsid w:val="00214AF0"/>
    <w:rsid w:val="00215DFD"/>
    <w:rsid w:val="00215FE1"/>
    <w:rsid w:val="00220288"/>
    <w:rsid w:val="002203BE"/>
    <w:rsid w:val="0022075F"/>
    <w:rsid w:val="00220E4B"/>
    <w:rsid w:val="00222F75"/>
    <w:rsid w:val="00223B3A"/>
    <w:rsid w:val="0022421B"/>
    <w:rsid w:val="00224528"/>
    <w:rsid w:val="00225113"/>
    <w:rsid w:val="0022553E"/>
    <w:rsid w:val="00225758"/>
    <w:rsid w:val="00227BB5"/>
    <w:rsid w:val="00227BC3"/>
    <w:rsid w:val="0023220E"/>
    <w:rsid w:val="00233734"/>
    <w:rsid w:val="00234C9E"/>
    <w:rsid w:val="00236DDE"/>
    <w:rsid w:val="00237F88"/>
    <w:rsid w:val="002401DE"/>
    <w:rsid w:val="0024042C"/>
    <w:rsid w:val="00240E2D"/>
    <w:rsid w:val="002414C9"/>
    <w:rsid w:val="00242D27"/>
    <w:rsid w:val="00242F57"/>
    <w:rsid w:val="002430F6"/>
    <w:rsid w:val="002437DD"/>
    <w:rsid w:val="00244738"/>
    <w:rsid w:val="00251B70"/>
    <w:rsid w:val="002520EA"/>
    <w:rsid w:val="002527E1"/>
    <w:rsid w:val="00252A52"/>
    <w:rsid w:val="0025341F"/>
    <w:rsid w:val="00254D52"/>
    <w:rsid w:val="002574F9"/>
    <w:rsid w:val="00262550"/>
    <w:rsid w:val="00263B6C"/>
    <w:rsid w:val="002648AB"/>
    <w:rsid w:val="00266228"/>
    <w:rsid w:val="0026773F"/>
    <w:rsid w:val="00267828"/>
    <w:rsid w:val="002729CC"/>
    <w:rsid w:val="00276811"/>
    <w:rsid w:val="00276AF9"/>
    <w:rsid w:val="00277194"/>
    <w:rsid w:val="00280343"/>
    <w:rsid w:val="00280568"/>
    <w:rsid w:val="00280A85"/>
    <w:rsid w:val="00280C46"/>
    <w:rsid w:val="0028172E"/>
    <w:rsid w:val="0028193D"/>
    <w:rsid w:val="00282343"/>
    <w:rsid w:val="00282637"/>
    <w:rsid w:val="00282699"/>
    <w:rsid w:val="00282FA3"/>
    <w:rsid w:val="0028316F"/>
    <w:rsid w:val="00283302"/>
    <w:rsid w:val="0028500E"/>
    <w:rsid w:val="0028534C"/>
    <w:rsid w:val="00285889"/>
    <w:rsid w:val="002870C1"/>
    <w:rsid w:val="00287274"/>
    <w:rsid w:val="002879B5"/>
    <w:rsid w:val="00290A93"/>
    <w:rsid w:val="002922AB"/>
    <w:rsid w:val="00292589"/>
    <w:rsid w:val="002926DF"/>
    <w:rsid w:val="0029295A"/>
    <w:rsid w:val="0029340B"/>
    <w:rsid w:val="0029344F"/>
    <w:rsid w:val="002943E9"/>
    <w:rsid w:val="0029446E"/>
    <w:rsid w:val="0029486E"/>
    <w:rsid w:val="0029505A"/>
    <w:rsid w:val="0029514C"/>
    <w:rsid w:val="00295230"/>
    <w:rsid w:val="00295591"/>
    <w:rsid w:val="00296155"/>
    <w:rsid w:val="00296697"/>
    <w:rsid w:val="002966E1"/>
    <w:rsid w:val="00297EC6"/>
    <w:rsid w:val="002A08DA"/>
    <w:rsid w:val="002A0957"/>
    <w:rsid w:val="002A143F"/>
    <w:rsid w:val="002A174C"/>
    <w:rsid w:val="002A1965"/>
    <w:rsid w:val="002A2154"/>
    <w:rsid w:val="002A2F0F"/>
    <w:rsid w:val="002A33D1"/>
    <w:rsid w:val="002A3465"/>
    <w:rsid w:val="002A3587"/>
    <w:rsid w:val="002A48FA"/>
    <w:rsid w:val="002A4BFF"/>
    <w:rsid w:val="002A4EFA"/>
    <w:rsid w:val="002A4FEB"/>
    <w:rsid w:val="002A5025"/>
    <w:rsid w:val="002A754C"/>
    <w:rsid w:val="002B0472"/>
    <w:rsid w:val="002B0ADF"/>
    <w:rsid w:val="002B0FEE"/>
    <w:rsid w:val="002B6B12"/>
    <w:rsid w:val="002B7F5A"/>
    <w:rsid w:val="002C0A02"/>
    <w:rsid w:val="002C2ABD"/>
    <w:rsid w:val="002C336F"/>
    <w:rsid w:val="002C384A"/>
    <w:rsid w:val="002C4208"/>
    <w:rsid w:val="002C5245"/>
    <w:rsid w:val="002C61F8"/>
    <w:rsid w:val="002C731A"/>
    <w:rsid w:val="002C7B0C"/>
    <w:rsid w:val="002D08BF"/>
    <w:rsid w:val="002D1984"/>
    <w:rsid w:val="002D1B28"/>
    <w:rsid w:val="002D2C9C"/>
    <w:rsid w:val="002D3067"/>
    <w:rsid w:val="002D4609"/>
    <w:rsid w:val="002D48C2"/>
    <w:rsid w:val="002D4C94"/>
    <w:rsid w:val="002D5B9B"/>
    <w:rsid w:val="002D5DF3"/>
    <w:rsid w:val="002D65A1"/>
    <w:rsid w:val="002D6B20"/>
    <w:rsid w:val="002D6BA5"/>
    <w:rsid w:val="002D6BAB"/>
    <w:rsid w:val="002D732D"/>
    <w:rsid w:val="002D787D"/>
    <w:rsid w:val="002E15B5"/>
    <w:rsid w:val="002E196C"/>
    <w:rsid w:val="002E2FDB"/>
    <w:rsid w:val="002E444D"/>
    <w:rsid w:val="002E482D"/>
    <w:rsid w:val="002E6140"/>
    <w:rsid w:val="002E64CA"/>
    <w:rsid w:val="002E670B"/>
    <w:rsid w:val="002E6985"/>
    <w:rsid w:val="002E71B6"/>
    <w:rsid w:val="002E7E36"/>
    <w:rsid w:val="002E7F61"/>
    <w:rsid w:val="002F093C"/>
    <w:rsid w:val="002F2CB1"/>
    <w:rsid w:val="002F31A8"/>
    <w:rsid w:val="002F3AD3"/>
    <w:rsid w:val="002F5A7E"/>
    <w:rsid w:val="002F5D2D"/>
    <w:rsid w:val="002F77C8"/>
    <w:rsid w:val="00300D4E"/>
    <w:rsid w:val="0030118B"/>
    <w:rsid w:val="003011E7"/>
    <w:rsid w:val="00302FBC"/>
    <w:rsid w:val="003047CF"/>
    <w:rsid w:val="00304F22"/>
    <w:rsid w:val="003057B6"/>
    <w:rsid w:val="003065E8"/>
    <w:rsid w:val="00306C7C"/>
    <w:rsid w:val="00306C84"/>
    <w:rsid w:val="00306F19"/>
    <w:rsid w:val="0030798C"/>
    <w:rsid w:val="00307EA8"/>
    <w:rsid w:val="00307EC6"/>
    <w:rsid w:val="00310084"/>
    <w:rsid w:val="00310BCC"/>
    <w:rsid w:val="0031215E"/>
    <w:rsid w:val="00312ADE"/>
    <w:rsid w:val="00314CD0"/>
    <w:rsid w:val="00314F21"/>
    <w:rsid w:val="00316350"/>
    <w:rsid w:val="00316596"/>
    <w:rsid w:val="0031728E"/>
    <w:rsid w:val="00317D16"/>
    <w:rsid w:val="00321BB4"/>
    <w:rsid w:val="0032245A"/>
    <w:rsid w:val="00322B43"/>
    <w:rsid w:val="00322C01"/>
    <w:rsid w:val="00322EDD"/>
    <w:rsid w:val="003231FA"/>
    <w:rsid w:val="00323C6C"/>
    <w:rsid w:val="00324507"/>
    <w:rsid w:val="00324734"/>
    <w:rsid w:val="00324779"/>
    <w:rsid w:val="00324A96"/>
    <w:rsid w:val="00324E65"/>
    <w:rsid w:val="00325D04"/>
    <w:rsid w:val="003269E0"/>
    <w:rsid w:val="003273F8"/>
    <w:rsid w:val="00330B0B"/>
    <w:rsid w:val="00332320"/>
    <w:rsid w:val="0033286C"/>
    <w:rsid w:val="00332C4E"/>
    <w:rsid w:val="00333839"/>
    <w:rsid w:val="00337FA2"/>
    <w:rsid w:val="00340353"/>
    <w:rsid w:val="00340E5B"/>
    <w:rsid w:val="00340EFA"/>
    <w:rsid w:val="00341A68"/>
    <w:rsid w:val="00341A7E"/>
    <w:rsid w:val="00341F0B"/>
    <w:rsid w:val="0034360E"/>
    <w:rsid w:val="003453A7"/>
    <w:rsid w:val="0034626F"/>
    <w:rsid w:val="00346689"/>
    <w:rsid w:val="0034681E"/>
    <w:rsid w:val="00346B6B"/>
    <w:rsid w:val="00347391"/>
    <w:rsid w:val="00347D72"/>
    <w:rsid w:val="00347FA9"/>
    <w:rsid w:val="00351749"/>
    <w:rsid w:val="00352123"/>
    <w:rsid w:val="00352C4D"/>
    <w:rsid w:val="00352D37"/>
    <w:rsid w:val="00352D6A"/>
    <w:rsid w:val="00353C98"/>
    <w:rsid w:val="00355951"/>
    <w:rsid w:val="00356445"/>
    <w:rsid w:val="00356EA5"/>
    <w:rsid w:val="0035714F"/>
    <w:rsid w:val="0035723B"/>
    <w:rsid w:val="0035756C"/>
    <w:rsid w:val="00357611"/>
    <w:rsid w:val="00357626"/>
    <w:rsid w:val="00357B65"/>
    <w:rsid w:val="003613B7"/>
    <w:rsid w:val="00361889"/>
    <w:rsid w:val="00363119"/>
    <w:rsid w:val="0036333D"/>
    <w:rsid w:val="0036382E"/>
    <w:rsid w:val="00365333"/>
    <w:rsid w:val="003664B9"/>
    <w:rsid w:val="0036680C"/>
    <w:rsid w:val="00366D51"/>
    <w:rsid w:val="00367237"/>
    <w:rsid w:val="0037077F"/>
    <w:rsid w:val="003716BF"/>
    <w:rsid w:val="00371C98"/>
    <w:rsid w:val="00372349"/>
    <w:rsid w:val="00373882"/>
    <w:rsid w:val="00374287"/>
    <w:rsid w:val="003742DF"/>
    <w:rsid w:val="0037467A"/>
    <w:rsid w:val="0037471A"/>
    <w:rsid w:val="0037503E"/>
    <w:rsid w:val="0037530F"/>
    <w:rsid w:val="00375C71"/>
    <w:rsid w:val="00377292"/>
    <w:rsid w:val="00381302"/>
    <w:rsid w:val="00381AEE"/>
    <w:rsid w:val="00381C9F"/>
    <w:rsid w:val="003843DB"/>
    <w:rsid w:val="00385038"/>
    <w:rsid w:val="00385AD8"/>
    <w:rsid w:val="0038686F"/>
    <w:rsid w:val="00386AD4"/>
    <w:rsid w:val="0038708E"/>
    <w:rsid w:val="003870A6"/>
    <w:rsid w:val="003901B7"/>
    <w:rsid w:val="003907CC"/>
    <w:rsid w:val="00390C6D"/>
    <w:rsid w:val="00390F9F"/>
    <w:rsid w:val="00391006"/>
    <w:rsid w:val="00391E2B"/>
    <w:rsid w:val="00393761"/>
    <w:rsid w:val="00393940"/>
    <w:rsid w:val="00393E58"/>
    <w:rsid w:val="00395254"/>
    <w:rsid w:val="0039546F"/>
    <w:rsid w:val="00397439"/>
    <w:rsid w:val="00397D18"/>
    <w:rsid w:val="00397DC7"/>
    <w:rsid w:val="003A11D5"/>
    <w:rsid w:val="003A1B36"/>
    <w:rsid w:val="003A290A"/>
    <w:rsid w:val="003A319A"/>
    <w:rsid w:val="003A329B"/>
    <w:rsid w:val="003A385C"/>
    <w:rsid w:val="003A51DB"/>
    <w:rsid w:val="003A66E0"/>
    <w:rsid w:val="003A6890"/>
    <w:rsid w:val="003A68B8"/>
    <w:rsid w:val="003A6980"/>
    <w:rsid w:val="003A6F37"/>
    <w:rsid w:val="003A731A"/>
    <w:rsid w:val="003A764F"/>
    <w:rsid w:val="003A7C1D"/>
    <w:rsid w:val="003B0463"/>
    <w:rsid w:val="003B0681"/>
    <w:rsid w:val="003B1454"/>
    <w:rsid w:val="003B3226"/>
    <w:rsid w:val="003B4C14"/>
    <w:rsid w:val="003B4E58"/>
    <w:rsid w:val="003B5022"/>
    <w:rsid w:val="003B54D2"/>
    <w:rsid w:val="003B7340"/>
    <w:rsid w:val="003B76C4"/>
    <w:rsid w:val="003B7F1E"/>
    <w:rsid w:val="003C02E7"/>
    <w:rsid w:val="003C0BAA"/>
    <w:rsid w:val="003C1BB4"/>
    <w:rsid w:val="003C262D"/>
    <w:rsid w:val="003C26C2"/>
    <w:rsid w:val="003C3B09"/>
    <w:rsid w:val="003C595B"/>
    <w:rsid w:val="003C59E0"/>
    <w:rsid w:val="003C683B"/>
    <w:rsid w:val="003C6C8D"/>
    <w:rsid w:val="003C70C2"/>
    <w:rsid w:val="003C7229"/>
    <w:rsid w:val="003C73EC"/>
    <w:rsid w:val="003D024C"/>
    <w:rsid w:val="003D1553"/>
    <w:rsid w:val="003D2CB9"/>
    <w:rsid w:val="003D2FED"/>
    <w:rsid w:val="003D4767"/>
    <w:rsid w:val="003D4F95"/>
    <w:rsid w:val="003D58D4"/>
    <w:rsid w:val="003D5A87"/>
    <w:rsid w:val="003D5E5D"/>
    <w:rsid w:val="003D5EEF"/>
    <w:rsid w:val="003D5F42"/>
    <w:rsid w:val="003D60A9"/>
    <w:rsid w:val="003D6657"/>
    <w:rsid w:val="003D7617"/>
    <w:rsid w:val="003D7966"/>
    <w:rsid w:val="003D7FFC"/>
    <w:rsid w:val="003E00F3"/>
    <w:rsid w:val="003E0631"/>
    <w:rsid w:val="003E118D"/>
    <w:rsid w:val="003E1513"/>
    <w:rsid w:val="003E27D6"/>
    <w:rsid w:val="003E2834"/>
    <w:rsid w:val="003E3C66"/>
    <w:rsid w:val="003E3E9F"/>
    <w:rsid w:val="003E47BB"/>
    <w:rsid w:val="003E5A0A"/>
    <w:rsid w:val="003E6EAA"/>
    <w:rsid w:val="003E7072"/>
    <w:rsid w:val="003E72AF"/>
    <w:rsid w:val="003E77D0"/>
    <w:rsid w:val="003F17C3"/>
    <w:rsid w:val="003F37A3"/>
    <w:rsid w:val="003F38EF"/>
    <w:rsid w:val="003F3C99"/>
    <w:rsid w:val="003F4C97"/>
    <w:rsid w:val="003F587F"/>
    <w:rsid w:val="003F59C1"/>
    <w:rsid w:val="003F7216"/>
    <w:rsid w:val="003F757B"/>
    <w:rsid w:val="003F764A"/>
    <w:rsid w:val="003F76B9"/>
    <w:rsid w:val="003F7FE6"/>
    <w:rsid w:val="00400193"/>
    <w:rsid w:val="00401026"/>
    <w:rsid w:val="004015CD"/>
    <w:rsid w:val="00401911"/>
    <w:rsid w:val="00401DF9"/>
    <w:rsid w:val="00402D94"/>
    <w:rsid w:val="00404671"/>
    <w:rsid w:val="004048F7"/>
    <w:rsid w:val="00404EE9"/>
    <w:rsid w:val="00405553"/>
    <w:rsid w:val="00405A10"/>
    <w:rsid w:val="00405A7A"/>
    <w:rsid w:val="0041005F"/>
    <w:rsid w:val="00410732"/>
    <w:rsid w:val="0041365E"/>
    <w:rsid w:val="0041494E"/>
    <w:rsid w:val="00414B19"/>
    <w:rsid w:val="00415154"/>
    <w:rsid w:val="00415267"/>
    <w:rsid w:val="0041593B"/>
    <w:rsid w:val="00416E4F"/>
    <w:rsid w:val="00417359"/>
    <w:rsid w:val="0041768A"/>
    <w:rsid w:val="00420A14"/>
    <w:rsid w:val="00420F3F"/>
    <w:rsid w:val="00420F4B"/>
    <w:rsid w:val="004212E7"/>
    <w:rsid w:val="00421385"/>
    <w:rsid w:val="004216CA"/>
    <w:rsid w:val="004225CB"/>
    <w:rsid w:val="00423354"/>
    <w:rsid w:val="004235B8"/>
    <w:rsid w:val="004236AB"/>
    <w:rsid w:val="00423D00"/>
    <w:rsid w:val="0042446D"/>
    <w:rsid w:val="00424B10"/>
    <w:rsid w:val="00425996"/>
    <w:rsid w:val="00427805"/>
    <w:rsid w:val="00427BF8"/>
    <w:rsid w:val="0043117F"/>
    <w:rsid w:val="00431809"/>
    <w:rsid w:val="00431C02"/>
    <w:rsid w:val="00431D8B"/>
    <w:rsid w:val="00434126"/>
    <w:rsid w:val="004348C3"/>
    <w:rsid w:val="00434E25"/>
    <w:rsid w:val="00436603"/>
    <w:rsid w:val="00437395"/>
    <w:rsid w:val="00440132"/>
    <w:rsid w:val="00440F02"/>
    <w:rsid w:val="00441FFD"/>
    <w:rsid w:val="00442136"/>
    <w:rsid w:val="004429D2"/>
    <w:rsid w:val="00443500"/>
    <w:rsid w:val="00445047"/>
    <w:rsid w:val="00445337"/>
    <w:rsid w:val="0044538E"/>
    <w:rsid w:val="00446591"/>
    <w:rsid w:val="004466EE"/>
    <w:rsid w:val="00450597"/>
    <w:rsid w:val="0045096B"/>
    <w:rsid w:val="00450EDA"/>
    <w:rsid w:val="0045255F"/>
    <w:rsid w:val="00453702"/>
    <w:rsid w:val="0045495C"/>
    <w:rsid w:val="00454D29"/>
    <w:rsid w:val="0045505A"/>
    <w:rsid w:val="00455B05"/>
    <w:rsid w:val="0045659F"/>
    <w:rsid w:val="004574DF"/>
    <w:rsid w:val="00461C1B"/>
    <w:rsid w:val="00462180"/>
    <w:rsid w:val="00462AC4"/>
    <w:rsid w:val="00463E39"/>
    <w:rsid w:val="00464D44"/>
    <w:rsid w:val="004657FC"/>
    <w:rsid w:val="00466940"/>
    <w:rsid w:val="00470CB5"/>
    <w:rsid w:val="00471D74"/>
    <w:rsid w:val="00472D8B"/>
    <w:rsid w:val="004731E9"/>
    <w:rsid w:val="004733F6"/>
    <w:rsid w:val="00473BD0"/>
    <w:rsid w:val="004744ED"/>
    <w:rsid w:val="00474E69"/>
    <w:rsid w:val="00476051"/>
    <w:rsid w:val="004761B3"/>
    <w:rsid w:val="004765F0"/>
    <w:rsid w:val="00476888"/>
    <w:rsid w:val="004772D4"/>
    <w:rsid w:val="004772E5"/>
    <w:rsid w:val="00477CA1"/>
    <w:rsid w:val="00481031"/>
    <w:rsid w:val="00482546"/>
    <w:rsid w:val="0048289F"/>
    <w:rsid w:val="00484193"/>
    <w:rsid w:val="004842B4"/>
    <w:rsid w:val="00484CBA"/>
    <w:rsid w:val="00485776"/>
    <w:rsid w:val="004858E8"/>
    <w:rsid w:val="00487816"/>
    <w:rsid w:val="0048784B"/>
    <w:rsid w:val="00487F3E"/>
    <w:rsid w:val="004904A0"/>
    <w:rsid w:val="00490852"/>
    <w:rsid w:val="00490B34"/>
    <w:rsid w:val="00490B7C"/>
    <w:rsid w:val="004924CB"/>
    <w:rsid w:val="00492F53"/>
    <w:rsid w:val="00493937"/>
    <w:rsid w:val="00494622"/>
    <w:rsid w:val="004953A3"/>
    <w:rsid w:val="0049621B"/>
    <w:rsid w:val="00496AE7"/>
    <w:rsid w:val="0049759A"/>
    <w:rsid w:val="004975A2"/>
    <w:rsid w:val="00497A35"/>
    <w:rsid w:val="004A0A95"/>
    <w:rsid w:val="004A0D0C"/>
    <w:rsid w:val="004A264C"/>
    <w:rsid w:val="004A43CB"/>
    <w:rsid w:val="004A6CEF"/>
    <w:rsid w:val="004A7107"/>
    <w:rsid w:val="004B1416"/>
    <w:rsid w:val="004B2860"/>
    <w:rsid w:val="004B2ED6"/>
    <w:rsid w:val="004B38F9"/>
    <w:rsid w:val="004B3C04"/>
    <w:rsid w:val="004B44E5"/>
    <w:rsid w:val="004B519C"/>
    <w:rsid w:val="004B592F"/>
    <w:rsid w:val="004B61C7"/>
    <w:rsid w:val="004B72F1"/>
    <w:rsid w:val="004C0025"/>
    <w:rsid w:val="004C1895"/>
    <w:rsid w:val="004C195E"/>
    <w:rsid w:val="004C2A72"/>
    <w:rsid w:val="004C3092"/>
    <w:rsid w:val="004C6D40"/>
    <w:rsid w:val="004D0D44"/>
    <w:rsid w:val="004D2670"/>
    <w:rsid w:val="004D3154"/>
    <w:rsid w:val="004D443A"/>
    <w:rsid w:val="004D4A62"/>
    <w:rsid w:val="004D4ABC"/>
    <w:rsid w:val="004D79B1"/>
    <w:rsid w:val="004E08DE"/>
    <w:rsid w:val="004E1BE6"/>
    <w:rsid w:val="004E2986"/>
    <w:rsid w:val="004E4586"/>
    <w:rsid w:val="004E47AC"/>
    <w:rsid w:val="004E696C"/>
    <w:rsid w:val="004F04E5"/>
    <w:rsid w:val="004F0C3C"/>
    <w:rsid w:val="004F1EF5"/>
    <w:rsid w:val="004F28CF"/>
    <w:rsid w:val="004F2C39"/>
    <w:rsid w:val="004F2CD1"/>
    <w:rsid w:val="004F3ADD"/>
    <w:rsid w:val="004F4B9D"/>
    <w:rsid w:val="004F5448"/>
    <w:rsid w:val="004F55C0"/>
    <w:rsid w:val="004F56A9"/>
    <w:rsid w:val="004F63FC"/>
    <w:rsid w:val="00500434"/>
    <w:rsid w:val="005020E2"/>
    <w:rsid w:val="00502111"/>
    <w:rsid w:val="00502462"/>
    <w:rsid w:val="0050291A"/>
    <w:rsid w:val="00503A1B"/>
    <w:rsid w:val="00504D39"/>
    <w:rsid w:val="00505A92"/>
    <w:rsid w:val="00510A94"/>
    <w:rsid w:val="00510B46"/>
    <w:rsid w:val="00510B55"/>
    <w:rsid w:val="00511B6B"/>
    <w:rsid w:val="005123BD"/>
    <w:rsid w:val="0051519F"/>
    <w:rsid w:val="00516FCD"/>
    <w:rsid w:val="005203F1"/>
    <w:rsid w:val="00521BC3"/>
    <w:rsid w:val="0052244D"/>
    <w:rsid w:val="00523F39"/>
    <w:rsid w:val="0052459F"/>
    <w:rsid w:val="00524A84"/>
    <w:rsid w:val="0052751D"/>
    <w:rsid w:val="00527AA9"/>
    <w:rsid w:val="00527E48"/>
    <w:rsid w:val="005302D5"/>
    <w:rsid w:val="00530443"/>
    <w:rsid w:val="00530867"/>
    <w:rsid w:val="0053137C"/>
    <w:rsid w:val="005315F7"/>
    <w:rsid w:val="00531A65"/>
    <w:rsid w:val="00532E3C"/>
    <w:rsid w:val="00532E85"/>
    <w:rsid w:val="00533632"/>
    <w:rsid w:val="00533B07"/>
    <w:rsid w:val="00533C8E"/>
    <w:rsid w:val="00533DA9"/>
    <w:rsid w:val="005346CE"/>
    <w:rsid w:val="00534B0C"/>
    <w:rsid w:val="00535729"/>
    <w:rsid w:val="00536FDA"/>
    <w:rsid w:val="00540035"/>
    <w:rsid w:val="00540BAB"/>
    <w:rsid w:val="0054251F"/>
    <w:rsid w:val="00544545"/>
    <w:rsid w:val="0054563D"/>
    <w:rsid w:val="005463EF"/>
    <w:rsid w:val="00546F9B"/>
    <w:rsid w:val="00547837"/>
    <w:rsid w:val="00547C40"/>
    <w:rsid w:val="00550618"/>
    <w:rsid w:val="00550A60"/>
    <w:rsid w:val="00551623"/>
    <w:rsid w:val="005520D8"/>
    <w:rsid w:val="00553C26"/>
    <w:rsid w:val="00553D76"/>
    <w:rsid w:val="00556CF1"/>
    <w:rsid w:val="00557D85"/>
    <w:rsid w:val="005601E0"/>
    <w:rsid w:val="00560293"/>
    <w:rsid w:val="00561253"/>
    <w:rsid w:val="005620BF"/>
    <w:rsid w:val="005627EC"/>
    <w:rsid w:val="00564CAB"/>
    <w:rsid w:val="0056527B"/>
    <w:rsid w:val="00566EB5"/>
    <w:rsid w:val="00567A79"/>
    <w:rsid w:val="00567DFE"/>
    <w:rsid w:val="00567F36"/>
    <w:rsid w:val="00570685"/>
    <w:rsid w:val="005707D0"/>
    <w:rsid w:val="00571717"/>
    <w:rsid w:val="005718ED"/>
    <w:rsid w:val="00571BDB"/>
    <w:rsid w:val="005721A6"/>
    <w:rsid w:val="005730ED"/>
    <w:rsid w:val="00573442"/>
    <w:rsid w:val="005736AE"/>
    <w:rsid w:val="00573ACE"/>
    <w:rsid w:val="005741D3"/>
    <w:rsid w:val="00574AB4"/>
    <w:rsid w:val="00575F58"/>
    <w:rsid w:val="005762A7"/>
    <w:rsid w:val="005774EB"/>
    <w:rsid w:val="00580A6C"/>
    <w:rsid w:val="00581BDE"/>
    <w:rsid w:val="00581C3A"/>
    <w:rsid w:val="0058233D"/>
    <w:rsid w:val="00583824"/>
    <w:rsid w:val="00583E2C"/>
    <w:rsid w:val="00585988"/>
    <w:rsid w:val="00590E65"/>
    <w:rsid w:val="005916D7"/>
    <w:rsid w:val="005931F4"/>
    <w:rsid w:val="00593505"/>
    <w:rsid w:val="00593DCB"/>
    <w:rsid w:val="005948BB"/>
    <w:rsid w:val="005948F0"/>
    <w:rsid w:val="00594CC4"/>
    <w:rsid w:val="005961A2"/>
    <w:rsid w:val="005964BA"/>
    <w:rsid w:val="00596605"/>
    <w:rsid w:val="00596715"/>
    <w:rsid w:val="00596901"/>
    <w:rsid w:val="005A0C7F"/>
    <w:rsid w:val="005A14A7"/>
    <w:rsid w:val="005A15D5"/>
    <w:rsid w:val="005A1AF6"/>
    <w:rsid w:val="005A2149"/>
    <w:rsid w:val="005A2610"/>
    <w:rsid w:val="005A42BA"/>
    <w:rsid w:val="005A4A84"/>
    <w:rsid w:val="005A59C5"/>
    <w:rsid w:val="005A698C"/>
    <w:rsid w:val="005A7534"/>
    <w:rsid w:val="005A75EE"/>
    <w:rsid w:val="005A7992"/>
    <w:rsid w:val="005A7B7C"/>
    <w:rsid w:val="005B11BF"/>
    <w:rsid w:val="005B22E8"/>
    <w:rsid w:val="005B25FA"/>
    <w:rsid w:val="005B3FC8"/>
    <w:rsid w:val="005B4C26"/>
    <w:rsid w:val="005B4E32"/>
    <w:rsid w:val="005B628C"/>
    <w:rsid w:val="005B7BAF"/>
    <w:rsid w:val="005B7CCB"/>
    <w:rsid w:val="005C06CA"/>
    <w:rsid w:val="005C0DDF"/>
    <w:rsid w:val="005C17D2"/>
    <w:rsid w:val="005C1D3C"/>
    <w:rsid w:val="005C1E41"/>
    <w:rsid w:val="005C3051"/>
    <w:rsid w:val="005C3F41"/>
    <w:rsid w:val="005C4508"/>
    <w:rsid w:val="005C489A"/>
    <w:rsid w:val="005C61B7"/>
    <w:rsid w:val="005D60E5"/>
    <w:rsid w:val="005D6714"/>
    <w:rsid w:val="005D7B7D"/>
    <w:rsid w:val="005E064D"/>
    <w:rsid w:val="005E0799"/>
    <w:rsid w:val="005E07BE"/>
    <w:rsid w:val="005E0AFA"/>
    <w:rsid w:val="005E1CD6"/>
    <w:rsid w:val="005E258C"/>
    <w:rsid w:val="005E2BC9"/>
    <w:rsid w:val="005E35A4"/>
    <w:rsid w:val="005E38F2"/>
    <w:rsid w:val="005E39B1"/>
    <w:rsid w:val="005E523C"/>
    <w:rsid w:val="005E690C"/>
    <w:rsid w:val="005E7F19"/>
    <w:rsid w:val="005F07CB"/>
    <w:rsid w:val="005F1253"/>
    <w:rsid w:val="005F13B9"/>
    <w:rsid w:val="005F1F50"/>
    <w:rsid w:val="005F2588"/>
    <w:rsid w:val="005F2B01"/>
    <w:rsid w:val="005F3AC6"/>
    <w:rsid w:val="005F402A"/>
    <w:rsid w:val="005F4293"/>
    <w:rsid w:val="005F45DB"/>
    <w:rsid w:val="005F5A80"/>
    <w:rsid w:val="005F6500"/>
    <w:rsid w:val="00600478"/>
    <w:rsid w:val="006004B7"/>
    <w:rsid w:val="00600A2E"/>
    <w:rsid w:val="00600EEA"/>
    <w:rsid w:val="00600F91"/>
    <w:rsid w:val="00601188"/>
    <w:rsid w:val="00601A7D"/>
    <w:rsid w:val="00602244"/>
    <w:rsid w:val="00602617"/>
    <w:rsid w:val="006034CB"/>
    <w:rsid w:val="00603560"/>
    <w:rsid w:val="00604109"/>
    <w:rsid w:val="006044FF"/>
    <w:rsid w:val="00607032"/>
    <w:rsid w:val="00607037"/>
    <w:rsid w:val="00607572"/>
    <w:rsid w:val="00607CC5"/>
    <w:rsid w:val="00611464"/>
    <w:rsid w:val="00613209"/>
    <w:rsid w:val="00614678"/>
    <w:rsid w:val="00615160"/>
    <w:rsid w:val="0061612A"/>
    <w:rsid w:val="00616507"/>
    <w:rsid w:val="00616872"/>
    <w:rsid w:val="0062015C"/>
    <w:rsid w:val="006202DE"/>
    <w:rsid w:val="00621A64"/>
    <w:rsid w:val="00621CE1"/>
    <w:rsid w:val="00622AA4"/>
    <w:rsid w:val="006239EA"/>
    <w:rsid w:val="00624C31"/>
    <w:rsid w:val="00624EE4"/>
    <w:rsid w:val="00626BB5"/>
    <w:rsid w:val="00631F3F"/>
    <w:rsid w:val="00632F8B"/>
    <w:rsid w:val="00633014"/>
    <w:rsid w:val="00633075"/>
    <w:rsid w:val="0063437B"/>
    <w:rsid w:val="006346DD"/>
    <w:rsid w:val="00634B27"/>
    <w:rsid w:val="00635864"/>
    <w:rsid w:val="00637EB0"/>
    <w:rsid w:val="00640901"/>
    <w:rsid w:val="006423C1"/>
    <w:rsid w:val="006425E3"/>
    <w:rsid w:val="00643AC3"/>
    <w:rsid w:val="00643E4C"/>
    <w:rsid w:val="006455C5"/>
    <w:rsid w:val="0064586C"/>
    <w:rsid w:val="00645E24"/>
    <w:rsid w:val="006474B4"/>
    <w:rsid w:val="006478A0"/>
    <w:rsid w:val="00650837"/>
    <w:rsid w:val="0065098D"/>
    <w:rsid w:val="006509E0"/>
    <w:rsid w:val="00650EC1"/>
    <w:rsid w:val="006516A4"/>
    <w:rsid w:val="006519FE"/>
    <w:rsid w:val="00653F95"/>
    <w:rsid w:val="0065428F"/>
    <w:rsid w:val="00654BD4"/>
    <w:rsid w:val="00655B9B"/>
    <w:rsid w:val="00660D17"/>
    <w:rsid w:val="00661AB9"/>
    <w:rsid w:val="00663ED1"/>
    <w:rsid w:val="006643A8"/>
    <w:rsid w:val="00664CF5"/>
    <w:rsid w:val="00665678"/>
    <w:rsid w:val="00665CA0"/>
    <w:rsid w:val="00665DB2"/>
    <w:rsid w:val="006673CA"/>
    <w:rsid w:val="0067123E"/>
    <w:rsid w:val="00671BB9"/>
    <w:rsid w:val="00671E0B"/>
    <w:rsid w:val="00672C8A"/>
    <w:rsid w:val="00673C26"/>
    <w:rsid w:val="00673CE2"/>
    <w:rsid w:val="006750FF"/>
    <w:rsid w:val="006751EA"/>
    <w:rsid w:val="00676D5D"/>
    <w:rsid w:val="006809B8"/>
    <w:rsid w:val="006812AF"/>
    <w:rsid w:val="006825A9"/>
    <w:rsid w:val="006825DC"/>
    <w:rsid w:val="0068327D"/>
    <w:rsid w:val="00684FFD"/>
    <w:rsid w:val="006877C0"/>
    <w:rsid w:val="00690694"/>
    <w:rsid w:val="00691080"/>
    <w:rsid w:val="00691CA1"/>
    <w:rsid w:val="00691E6E"/>
    <w:rsid w:val="006940DA"/>
    <w:rsid w:val="00694AF0"/>
    <w:rsid w:val="00694D1F"/>
    <w:rsid w:val="00695489"/>
    <w:rsid w:val="00697055"/>
    <w:rsid w:val="00697394"/>
    <w:rsid w:val="006973AF"/>
    <w:rsid w:val="00697D1E"/>
    <w:rsid w:val="00697DD5"/>
    <w:rsid w:val="00697DE9"/>
    <w:rsid w:val="006A18F8"/>
    <w:rsid w:val="006A2113"/>
    <w:rsid w:val="006A2F2E"/>
    <w:rsid w:val="006A3560"/>
    <w:rsid w:val="006A4DE3"/>
    <w:rsid w:val="006A5324"/>
    <w:rsid w:val="006A5919"/>
    <w:rsid w:val="006A59BD"/>
    <w:rsid w:val="006A5A89"/>
    <w:rsid w:val="006A5DAF"/>
    <w:rsid w:val="006A5F25"/>
    <w:rsid w:val="006A6144"/>
    <w:rsid w:val="006B0874"/>
    <w:rsid w:val="006B0E9E"/>
    <w:rsid w:val="006B2C89"/>
    <w:rsid w:val="006B3044"/>
    <w:rsid w:val="006B3AFB"/>
    <w:rsid w:val="006B3B1B"/>
    <w:rsid w:val="006B3F43"/>
    <w:rsid w:val="006B404B"/>
    <w:rsid w:val="006B47A2"/>
    <w:rsid w:val="006B4FAA"/>
    <w:rsid w:val="006B51C1"/>
    <w:rsid w:val="006B5AE4"/>
    <w:rsid w:val="006B7324"/>
    <w:rsid w:val="006C12EE"/>
    <w:rsid w:val="006C244E"/>
    <w:rsid w:val="006C2B8A"/>
    <w:rsid w:val="006C2FAA"/>
    <w:rsid w:val="006C4A80"/>
    <w:rsid w:val="006C4BDF"/>
    <w:rsid w:val="006C6724"/>
    <w:rsid w:val="006C7748"/>
    <w:rsid w:val="006D0602"/>
    <w:rsid w:val="006D147E"/>
    <w:rsid w:val="006D2005"/>
    <w:rsid w:val="006D2BA5"/>
    <w:rsid w:val="006D4054"/>
    <w:rsid w:val="006D4152"/>
    <w:rsid w:val="006D447B"/>
    <w:rsid w:val="006D4E69"/>
    <w:rsid w:val="006D570E"/>
    <w:rsid w:val="006D5A50"/>
    <w:rsid w:val="006D6481"/>
    <w:rsid w:val="006D6C67"/>
    <w:rsid w:val="006D6CF9"/>
    <w:rsid w:val="006D7E42"/>
    <w:rsid w:val="006E02EC"/>
    <w:rsid w:val="006E05BF"/>
    <w:rsid w:val="006E397E"/>
    <w:rsid w:val="006E568F"/>
    <w:rsid w:val="006E5A9B"/>
    <w:rsid w:val="006E6A6C"/>
    <w:rsid w:val="006F1409"/>
    <w:rsid w:val="006F2A69"/>
    <w:rsid w:val="006F68A8"/>
    <w:rsid w:val="006F74BC"/>
    <w:rsid w:val="00701780"/>
    <w:rsid w:val="0070216A"/>
    <w:rsid w:val="00703082"/>
    <w:rsid w:val="007035B9"/>
    <w:rsid w:val="00704F54"/>
    <w:rsid w:val="007076E8"/>
    <w:rsid w:val="00714FCE"/>
    <w:rsid w:val="007153A2"/>
    <w:rsid w:val="0071560C"/>
    <w:rsid w:val="007160E2"/>
    <w:rsid w:val="007170CC"/>
    <w:rsid w:val="00720711"/>
    <w:rsid w:val="007211B1"/>
    <w:rsid w:val="0072163D"/>
    <w:rsid w:val="0072175A"/>
    <w:rsid w:val="0072327A"/>
    <w:rsid w:val="007241EC"/>
    <w:rsid w:val="0072464C"/>
    <w:rsid w:val="00724E88"/>
    <w:rsid w:val="00724FC1"/>
    <w:rsid w:val="0072526C"/>
    <w:rsid w:val="00725799"/>
    <w:rsid w:val="007269E2"/>
    <w:rsid w:val="00726AC9"/>
    <w:rsid w:val="00726BAD"/>
    <w:rsid w:val="00726C9B"/>
    <w:rsid w:val="00727C6F"/>
    <w:rsid w:val="007303FC"/>
    <w:rsid w:val="007304DC"/>
    <w:rsid w:val="007308F4"/>
    <w:rsid w:val="007309BC"/>
    <w:rsid w:val="00731EBC"/>
    <w:rsid w:val="00732972"/>
    <w:rsid w:val="00733DCF"/>
    <w:rsid w:val="00734660"/>
    <w:rsid w:val="00734ED9"/>
    <w:rsid w:val="00735A31"/>
    <w:rsid w:val="00740752"/>
    <w:rsid w:val="007410C7"/>
    <w:rsid w:val="007418C2"/>
    <w:rsid w:val="00742ABD"/>
    <w:rsid w:val="007430EF"/>
    <w:rsid w:val="00743560"/>
    <w:rsid w:val="007435B2"/>
    <w:rsid w:val="00743743"/>
    <w:rsid w:val="00743F87"/>
    <w:rsid w:val="0074456F"/>
    <w:rsid w:val="00745802"/>
    <w:rsid w:val="00746187"/>
    <w:rsid w:val="0074689D"/>
    <w:rsid w:val="00747588"/>
    <w:rsid w:val="00747758"/>
    <w:rsid w:val="00751311"/>
    <w:rsid w:val="0075555F"/>
    <w:rsid w:val="007561E8"/>
    <w:rsid w:val="00756232"/>
    <w:rsid w:val="00757C29"/>
    <w:rsid w:val="007604E9"/>
    <w:rsid w:val="00761FBB"/>
    <w:rsid w:val="0076207E"/>
    <w:rsid w:val="007620FD"/>
    <w:rsid w:val="0076214D"/>
    <w:rsid w:val="0076254F"/>
    <w:rsid w:val="00762EEE"/>
    <w:rsid w:val="00763F60"/>
    <w:rsid w:val="00765EB7"/>
    <w:rsid w:val="0076668C"/>
    <w:rsid w:val="00767599"/>
    <w:rsid w:val="00770049"/>
    <w:rsid w:val="007704A5"/>
    <w:rsid w:val="00771752"/>
    <w:rsid w:val="00772BF0"/>
    <w:rsid w:val="00773229"/>
    <w:rsid w:val="00774BFD"/>
    <w:rsid w:val="00775378"/>
    <w:rsid w:val="00777015"/>
    <w:rsid w:val="00777AD5"/>
    <w:rsid w:val="00777EB5"/>
    <w:rsid w:val="0078018E"/>
    <w:rsid w:val="007801F5"/>
    <w:rsid w:val="007806AB"/>
    <w:rsid w:val="00780A9B"/>
    <w:rsid w:val="00781699"/>
    <w:rsid w:val="00781970"/>
    <w:rsid w:val="00781D6E"/>
    <w:rsid w:val="00781E97"/>
    <w:rsid w:val="007824B2"/>
    <w:rsid w:val="00782B18"/>
    <w:rsid w:val="00782BCB"/>
    <w:rsid w:val="00783CA4"/>
    <w:rsid w:val="007842FB"/>
    <w:rsid w:val="0078607D"/>
    <w:rsid w:val="00786124"/>
    <w:rsid w:val="00786A88"/>
    <w:rsid w:val="00786AA3"/>
    <w:rsid w:val="00786FBC"/>
    <w:rsid w:val="00787312"/>
    <w:rsid w:val="007874E7"/>
    <w:rsid w:val="007879FE"/>
    <w:rsid w:val="00787C29"/>
    <w:rsid w:val="007911E2"/>
    <w:rsid w:val="00791FB1"/>
    <w:rsid w:val="007921A8"/>
    <w:rsid w:val="007928A8"/>
    <w:rsid w:val="007930BD"/>
    <w:rsid w:val="0079354B"/>
    <w:rsid w:val="00793E7E"/>
    <w:rsid w:val="0079446D"/>
    <w:rsid w:val="00794ECD"/>
    <w:rsid w:val="0079514B"/>
    <w:rsid w:val="00795759"/>
    <w:rsid w:val="00796C66"/>
    <w:rsid w:val="00797C25"/>
    <w:rsid w:val="00797DCD"/>
    <w:rsid w:val="007A1A4E"/>
    <w:rsid w:val="007A1BDE"/>
    <w:rsid w:val="007A2C9E"/>
    <w:rsid w:val="007A2DC1"/>
    <w:rsid w:val="007A2FC4"/>
    <w:rsid w:val="007A2FCD"/>
    <w:rsid w:val="007A5042"/>
    <w:rsid w:val="007A5E4D"/>
    <w:rsid w:val="007A5F22"/>
    <w:rsid w:val="007A6F92"/>
    <w:rsid w:val="007A780B"/>
    <w:rsid w:val="007A796B"/>
    <w:rsid w:val="007B0957"/>
    <w:rsid w:val="007B0E2F"/>
    <w:rsid w:val="007B20E7"/>
    <w:rsid w:val="007B26DC"/>
    <w:rsid w:val="007B2722"/>
    <w:rsid w:val="007B2D3F"/>
    <w:rsid w:val="007B4CCD"/>
    <w:rsid w:val="007B59F8"/>
    <w:rsid w:val="007B6B64"/>
    <w:rsid w:val="007B73AB"/>
    <w:rsid w:val="007B740D"/>
    <w:rsid w:val="007B7AD8"/>
    <w:rsid w:val="007B7BAB"/>
    <w:rsid w:val="007C0241"/>
    <w:rsid w:val="007C1519"/>
    <w:rsid w:val="007C20B6"/>
    <w:rsid w:val="007C21E6"/>
    <w:rsid w:val="007C2650"/>
    <w:rsid w:val="007C273C"/>
    <w:rsid w:val="007C2A66"/>
    <w:rsid w:val="007C3EE6"/>
    <w:rsid w:val="007C4552"/>
    <w:rsid w:val="007C5186"/>
    <w:rsid w:val="007C57F2"/>
    <w:rsid w:val="007C64BA"/>
    <w:rsid w:val="007C7F03"/>
    <w:rsid w:val="007D04AE"/>
    <w:rsid w:val="007D3319"/>
    <w:rsid w:val="007D335D"/>
    <w:rsid w:val="007D457F"/>
    <w:rsid w:val="007D477C"/>
    <w:rsid w:val="007D4C39"/>
    <w:rsid w:val="007D62F3"/>
    <w:rsid w:val="007D70E8"/>
    <w:rsid w:val="007D77D5"/>
    <w:rsid w:val="007E05CC"/>
    <w:rsid w:val="007E07BB"/>
    <w:rsid w:val="007E0E8F"/>
    <w:rsid w:val="007E229E"/>
    <w:rsid w:val="007E3314"/>
    <w:rsid w:val="007E4B03"/>
    <w:rsid w:val="007E5852"/>
    <w:rsid w:val="007F0B80"/>
    <w:rsid w:val="007F0FAD"/>
    <w:rsid w:val="007F10F2"/>
    <w:rsid w:val="007F324B"/>
    <w:rsid w:val="007F4500"/>
    <w:rsid w:val="007F4CE4"/>
    <w:rsid w:val="007F52B5"/>
    <w:rsid w:val="007F5BFE"/>
    <w:rsid w:val="007F5C28"/>
    <w:rsid w:val="007F5C8B"/>
    <w:rsid w:val="007F6BB9"/>
    <w:rsid w:val="007F7671"/>
    <w:rsid w:val="007F7C9E"/>
    <w:rsid w:val="008003D6"/>
    <w:rsid w:val="008006DC"/>
    <w:rsid w:val="00800B0A"/>
    <w:rsid w:val="008038A9"/>
    <w:rsid w:val="00803BAB"/>
    <w:rsid w:val="00803BB8"/>
    <w:rsid w:val="00805535"/>
    <w:rsid w:val="0080553C"/>
    <w:rsid w:val="00805B46"/>
    <w:rsid w:val="00805FC6"/>
    <w:rsid w:val="008060AC"/>
    <w:rsid w:val="00806566"/>
    <w:rsid w:val="00806FD2"/>
    <w:rsid w:val="008115A2"/>
    <w:rsid w:val="00811AE4"/>
    <w:rsid w:val="00812105"/>
    <w:rsid w:val="00813A14"/>
    <w:rsid w:val="0081501F"/>
    <w:rsid w:val="00815520"/>
    <w:rsid w:val="00815967"/>
    <w:rsid w:val="00817052"/>
    <w:rsid w:val="00817420"/>
    <w:rsid w:val="00820144"/>
    <w:rsid w:val="0082126A"/>
    <w:rsid w:val="00821E99"/>
    <w:rsid w:val="00821EA7"/>
    <w:rsid w:val="00823767"/>
    <w:rsid w:val="00823B2D"/>
    <w:rsid w:val="0082414F"/>
    <w:rsid w:val="0082512F"/>
    <w:rsid w:val="00825422"/>
    <w:rsid w:val="00825DC2"/>
    <w:rsid w:val="00826856"/>
    <w:rsid w:val="00826E51"/>
    <w:rsid w:val="00827301"/>
    <w:rsid w:val="008275AB"/>
    <w:rsid w:val="008277A5"/>
    <w:rsid w:val="0083076F"/>
    <w:rsid w:val="0083172F"/>
    <w:rsid w:val="00832E69"/>
    <w:rsid w:val="00832EA5"/>
    <w:rsid w:val="008333B1"/>
    <w:rsid w:val="00833AD6"/>
    <w:rsid w:val="00834AD3"/>
    <w:rsid w:val="0083548B"/>
    <w:rsid w:val="00835E8A"/>
    <w:rsid w:val="00837B70"/>
    <w:rsid w:val="008402C6"/>
    <w:rsid w:val="00840946"/>
    <w:rsid w:val="008412AB"/>
    <w:rsid w:val="008419F9"/>
    <w:rsid w:val="00841E53"/>
    <w:rsid w:val="00841E5D"/>
    <w:rsid w:val="008420E8"/>
    <w:rsid w:val="00842527"/>
    <w:rsid w:val="00843795"/>
    <w:rsid w:val="008447FB"/>
    <w:rsid w:val="00845F09"/>
    <w:rsid w:val="00845F82"/>
    <w:rsid w:val="00846D46"/>
    <w:rsid w:val="008471D9"/>
    <w:rsid w:val="0084798B"/>
    <w:rsid w:val="00847F0F"/>
    <w:rsid w:val="008506F1"/>
    <w:rsid w:val="00850DA0"/>
    <w:rsid w:val="00850E88"/>
    <w:rsid w:val="00851924"/>
    <w:rsid w:val="00851F42"/>
    <w:rsid w:val="00852448"/>
    <w:rsid w:val="0085340F"/>
    <w:rsid w:val="0085372B"/>
    <w:rsid w:val="00853816"/>
    <w:rsid w:val="008540E7"/>
    <w:rsid w:val="00854784"/>
    <w:rsid w:val="008555B4"/>
    <w:rsid w:val="008564D9"/>
    <w:rsid w:val="00856D23"/>
    <w:rsid w:val="008570A1"/>
    <w:rsid w:val="0086167E"/>
    <w:rsid w:val="00861773"/>
    <w:rsid w:val="00862B1A"/>
    <w:rsid w:val="00863468"/>
    <w:rsid w:val="008658F1"/>
    <w:rsid w:val="00865A4E"/>
    <w:rsid w:val="0086767F"/>
    <w:rsid w:val="00870565"/>
    <w:rsid w:val="00871E1F"/>
    <w:rsid w:val="00872857"/>
    <w:rsid w:val="00873465"/>
    <w:rsid w:val="00874263"/>
    <w:rsid w:val="008762AA"/>
    <w:rsid w:val="00876DDE"/>
    <w:rsid w:val="00877768"/>
    <w:rsid w:val="00877D63"/>
    <w:rsid w:val="00880984"/>
    <w:rsid w:val="00880FB2"/>
    <w:rsid w:val="0088258A"/>
    <w:rsid w:val="00882736"/>
    <w:rsid w:val="00883245"/>
    <w:rsid w:val="00884028"/>
    <w:rsid w:val="00885806"/>
    <w:rsid w:val="00885BB4"/>
    <w:rsid w:val="00886332"/>
    <w:rsid w:val="00886984"/>
    <w:rsid w:val="008871EA"/>
    <w:rsid w:val="00887B03"/>
    <w:rsid w:val="00890A77"/>
    <w:rsid w:val="00893745"/>
    <w:rsid w:val="00894606"/>
    <w:rsid w:val="00894BAD"/>
    <w:rsid w:val="00895378"/>
    <w:rsid w:val="00896044"/>
    <w:rsid w:val="00896486"/>
    <w:rsid w:val="008967C6"/>
    <w:rsid w:val="008971E7"/>
    <w:rsid w:val="00897491"/>
    <w:rsid w:val="008A1168"/>
    <w:rsid w:val="008A1DDB"/>
    <w:rsid w:val="008A221A"/>
    <w:rsid w:val="008A26A0"/>
    <w:rsid w:val="008A26D9"/>
    <w:rsid w:val="008A2A4D"/>
    <w:rsid w:val="008A4AEB"/>
    <w:rsid w:val="008A56F6"/>
    <w:rsid w:val="008A59DF"/>
    <w:rsid w:val="008A631D"/>
    <w:rsid w:val="008A6F46"/>
    <w:rsid w:val="008A7334"/>
    <w:rsid w:val="008A7926"/>
    <w:rsid w:val="008A7A09"/>
    <w:rsid w:val="008A7F37"/>
    <w:rsid w:val="008B2A08"/>
    <w:rsid w:val="008B2CB8"/>
    <w:rsid w:val="008B47F4"/>
    <w:rsid w:val="008B569F"/>
    <w:rsid w:val="008B6134"/>
    <w:rsid w:val="008B7E9C"/>
    <w:rsid w:val="008C004C"/>
    <w:rsid w:val="008C05E8"/>
    <w:rsid w:val="008C0C29"/>
    <w:rsid w:val="008C24A7"/>
    <w:rsid w:val="008C3746"/>
    <w:rsid w:val="008C3A52"/>
    <w:rsid w:val="008C50CC"/>
    <w:rsid w:val="008C5AD8"/>
    <w:rsid w:val="008C5DB3"/>
    <w:rsid w:val="008C6BF3"/>
    <w:rsid w:val="008C6D8D"/>
    <w:rsid w:val="008D04E1"/>
    <w:rsid w:val="008D1F04"/>
    <w:rsid w:val="008D203C"/>
    <w:rsid w:val="008D3718"/>
    <w:rsid w:val="008D411A"/>
    <w:rsid w:val="008D49B2"/>
    <w:rsid w:val="008D4ABA"/>
    <w:rsid w:val="008D5067"/>
    <w:rsid w:val="008D69C6"/>
    <w:rsid w:val="008D6D03"/>
    <w:rsid w:val="008D77EC"/>
    <w:rsid w:val="008D7B2A"/>
    <w:rsid w:val="008E289B"/>
    <w:rsid w:val="008E4ED5"/>
    <w:rsid w:val="008E7AEA"/>
    <w:rsid w:val="008F1D25"/>
    <w:rsid w:val="008F1D5A"/>
    <w:rsid w:val="008F3638"/>
    <w:rsid w:val="008F3C0F"/>
    <w:rsid w:val="008F480E"/>
    <w:rsid w:val="008F5F37"/>
    <w:rsid w:val="008F6327"/>
    <w:rsid w:val="008F6F31"/>
    <w:rsid w:val="008F74DF"/>
    <w:rsid w:val="00900954"/>
    <w:rsid w:val="00900EAA"/>
    <w:rsid w:val="009013F1"/>
    <w:rsid w:val="00901405"/>
    <w:rsid w:val="00902145"/>
    <w:rsid w:val="00903031"/>
    <w:rsid w:val="009034FA"/>
    <w:rsid w:val="00903E49"/>
    <w:rsid w:val="0090403E"/>
    <w:rsid w:val="00904173"/>
    <w:rsid w:val="009048F4"/>
    <w:rsid w:val="00904DB1"/>
    <w:rsid w:val="00904FE0"/>
    <w:rsid w:val="009078CF"/>
    <w:rsid w:val="00907B40"/>
    <w:rsid w:val="0091076A"/>
    <w:rsid w:val="009107B5"/>
    <w:rsid w:val="00910F71"/>
    <w:rsid w:val="00911DF3"/>
    <w:rsid w:val="00912159"/>
    <w:rsid w:val="0091234E"/>
    <w:rsid w:val="009127BA"/>
    <w:rsid w:val="00912A9A"/>
    <w:rsid w:val="00912EFD"/>
    <w:rsid w:val="009141F6"/>
    <w:rsid w:val="009151F7"/>
    <w:rsid w:val="00915ECB"/>
    <w:rsid w:val="0091657D"/>
    <w:rsid w:val="0091671E"/>
    <w:rsid w:val="00917D43"/>
    <w:rsid w:val="009206A4"/>
    <w:rsid w:val="009212D6"/>
    <w:rsid w:val="009227A6"/>
    <w:rsid w:val="009244F0"/>
    <w:rsid w:val="00924F00"/>
    <w:rsid w:val="00927604"/>
    <w:rsid w:val="0092760C"/>
    <w:rsid w:val="00931943"/>
    <w:rsid w:val="00931BD3"/>
    <w:rsid w:val="00931E6D"/>
    <w:rsid w:val="009326B5"/>
    <w:rsid w:val="00933725"/>
    <w:rsid w:val="00933EC1"/>
    <w:rsid w:val="0093521B"/>
    <w:rsid w:val="00935B0C"/>
    <w:rsid w:val="00935BEC"/>
    <w:rsid w:val="00936E36"/>
    <w:rsid w:val="009371C5"/>
    <w:rsid w:val="00937B98"/>
    <w:rsid w:val="00940322"/>
    <w:rsid w:val="009435A9"/>
    <w:rsid w:val="00944DB2"/>
    <w:rsid w:val="009456B8"/>
    <w:rsid w:val="00946DFD"/>
    <w:rsid w:val="0094773C"/>
    <w:rsid w:val="00950E45"/>
    <w:rsid w:val="009526FF"/>
    <w:rsid w:val="00952CA6"/>
    <w:rsid w:val="009530DB"/>
    <w:rsid w:val="00953676"/>
    <w:rsid w:val="00955ECA"/>
    <w:rsid w:val="0095637B"/>
    <w:rsid w:val="00956735"/>
    <w:rsid w:val="00957483"/>
    <w:rsid w:val="00961CB9"/>
    <w:rsid w:val="00961DA3"/>
    <w:rsid w:val="00962A09"/>
    <w:rsid w:val="00963F60"/>
    <w:rsid w:val="00965ED1"/>
    <w:rsid w:val="009668E9"/>
    <w:rsid w:val="00966D78"/>
    <w:rsid w:val="00967351"/>
    <w:rsid w:val="00967863"/>
    <w:rsid w:val="00967864"/>
    <w:rsid w:val="00967ADF"/>
    <w:rsid w:val="00967DCC"/>
    <w:rsid w:val="00970228"/>
    <w:rsid w:val="009705EE"/>
    <w:rsid w:val="00971603"/>
    <w:rsid w:val="00972A6B"/>
    <w:rsid w:val="00973264"/>
    <w:rsid w:val="00973FD6"/>
    <w:rsid w:val="00974116"/>
    <w:rsid w:val="00974648"/>
    <w:rsid w:val="00974956"/>
    <w:rsid w:val="00974F8C"/>
    <w:rsid w:val="00975CD2"/>
    <w:rsid w:val="00977834"/>
    <w:rsid w:val="00977927"/>
    <w:rsid w:val="0098135C"/>
    <w:rsid w:val="009814DA"/>
    <w:rsid w:val="0098156A"/>
    <w:rsid w:val="00982870"/>
    <w:rsid w:val="009835AF"/>
    <w:rsid w:val="00984E54"/>
    <w:rsid w:val="009855A7"/>
    <w:rsid w:val="00986652"/>
    <w:rsid w:val="00987F68"/>
    <w:rsid w:val="00990501"/>
    <w:rsid w:val="00990775"/>
    <w:rsid w:val="00990D89"/>
    <w:rsid w:val="00991BAC"/>
    <w:rsid w:val="00991BF4"/>
    <w:rsid w:val="009922AA"/>
    <w:rsid w:val="00992CC2"/>
    <w:rsid w:val="00993C28"/>
    <w:rsid w:val="009950CF"/>
    <w:rsid w:val="0099570A"/>
    <w:rsid w:val="00996264"/>
    <w:rsid w:val="009964FA"/>
    <w:rsid w:val="00997452"/>
    <w:rsid w:val="00997C2A"/>
    <w:rsid w:val="009A000E"/>
    <w:rsid w:val="009A0122"/>
    <w:rsid w:val="009A0155"/>
    <w:rsid w:val="009A0363"/>
    <w:rsid w:val="009A042E"/>
    <w:rsid w:val="009A1AB2"/>
    <w:rsid w:val="009A3157"/>
    <w:rsid w:val="009A361B"/>
    <w:rsid w:val="009A3CE0"/>
    <w:rsid w:val="009A3F31"/>
    <w:rsid w:val="009A445F"/>
    <w:rsid w:val="009A44C2"/>
    <w:rsid w:val="009A5FCC"/>
    <w:rsid w:val="009A6EA0"/>
    <w:rsid w:val="009B10AA"/>
    <w:rsid w:val="009B3D63"/>
    <w:rsid w:val="009B40C4"/>
    <w:rsid w:val="009B4A6C"/>
    <w:rsid w:val="009B59F0"/>
    <w:rsid w:val="009B7D22"/>
    <w:rsid w:val="009C0901"/>
    <w:rsid w:val="009C0B07"/>
    <w:rsid w:val="009C1271"/>
    <w:rsid w:val="009C1335"/>
    <w:rsid w:val="009C1612"/>
    <w:rsid w:val="009C1AB2"/>
    <w:rsid w:val="009C202A"/>
    <w:rsid w:val="009C22E5"/>
    <w:rsid w:val="009C2C55"/>
    <w:rsid w:val="009C35DF"/>
    <w:rsid w:val="009C47DA"/>
    <w:rsid w:val="009C4F86"/>
    <w:rsid w:val="009C6E98"/>
    <w:rsid w:val="009C7251"/>
    <w:rsid w:val="009D080B"/>
    <w:rsid w:val="009D087B"/>
    <w:rsid w:val="009D0903"/>
    <w:rsid w:val="009D0917"/>
    <w:rsid w:val="009D191D"/>
    <w:rsid w:val="009D1E8A"/>
    <w:rsid w:val="009D24FA"/>
    <w:rsid w:val="009D2601"/>
    <w:rsid w:val="009D350C"/>
    <w:rsid w:val="009D36E8"/>
    <w:rsid w:val="009D389F"/>
    <w:rsid w:val="009D54B2"/>
    <w:rsid w:val="009D5D5E"/>
    <w:rsid w:val="009D7322"/>
    <w:rsid w:val="009D7A0E"/>
    <w:rsid w:val="009E163E"/>
    <w:rsid w:val="009E1905"/>
    <w:rsid w:val="009E2E91"/>
    <w:rsid w:val="009E3509"/>
    <w:rsid w:val="009E4BB0"/>
    <w:rsid w:val="009E7028"/>
    <w:rsid w:val="009F1150"/>
    <w:rsid w:val="009F174B"/>
    <w:rsid w:val="009F6E5B"/>
    <w:rsid w:val="009F74B3"/>
    <w:rsid w:val="00A00B88"/>
    <w:rsid w:val="00A01263"/>
    <w:rsid w:val="00A01F00"/>
    <w:rsid w:val="00A02204"/>
    <w:rsid w:val="00A02A22"/>
    <w:rsid w:val="00A04266"/>
    <w:rsid w:val="00A05126"/>
    <w:rsid w:val="00A05C95"/>
    <w:rsid w:val="00A06C76"/>
    <w:rsid w:val="00A07110"/>
    <w:rsid w:val="00A1035E"/>
    <w:rsid w:val="00A10CE2"/>
    <w:rsid w:val="00A110B5"/>
    <w:rsid w:val="00A1170B"/>
    <w:rsid w:val="00A11725"/>
    <w:rsid w:val="00A11DF3"/>
    <w:rsid w:val="00A12182"/>
    <w:rsid w:val="00A13248"/>
    <w:rsid w:val="00A139F5"/>
    <w:rsid w:val="00A141EF"/>
    <w:rsid w:val="00A14254"/>
    <w:rsid w:val="00A14BDC"/>
    <w:rsid w:val="00A14BF3"/>
    <w:rsid w:val="00A176DA"/>
    <w:rsid w:val="00A179CF"/>
    <w:rsid w:val="00A17B8E"/>
    <w:rsid w:val="00A20D73"/>
    <w:rsid w:val="00A2168D"/>
    <w:rsid w:val="00A228A5"/>
    <w:rsid w:val="00A232A4"/>
    <w:rsid w:val="00A256EB"/>
    <w:rsid w:val="00A267B4"/>
    <w:rsid w:val="00A27739"/>
    <w:rsid w:val="00A27FE2"/>
    <w:rsid w:val="00A27FE7"/>
    <w:rsid w:val="00A30CC6"/>
    <w:rsid w:val="00A3123D"/>
    <w:rsid w:val="00A316F2"/>
    <w:rsid w:val="00A31827"/>
    <w:rsid w:val="00A31BC5"/>
    <w:rsid w:val="00A32754"/>
    <w:rsid w:val="00A337F4"/>
    <w:rsid w:val="00A33F49"/>
    <w:rsid w:val="00A365F4"/>
    <w:rsid w:val="00A378D7"/>
    <w:rsid w:val="00A408A1"/>
    <w:rsid w:val="00A40FC8"/>
    <w:rsid w:val="00A438E2"/>
    <w:rsid w:val="00A466C5"/>
    <w:rsid w:val="00A47D80"/>
    <w:rsid w:val="00A50960"/>
    <w:rsid w:val="00A514DB"/>
    <w:rsid w:val="00A53132"/>
    <w:rsid w:val="00A53451"/>
    <w:rsid w:val="00A53590"/>
    <w:rsid w:val="00A535A4"/>
    <w:rsid w:val="00A53820"/>
    <w:rsid w:val="00A53A63"/>
    <w:rsid w:val="00A54487"/>
    <w:rsid w:val="00A5450B"/>
    <w:rsid w:val="00A5513F"/>
    <w:rsid w:val="00A563F2"/>
    <w:rsid w:val="00A566E8"/>
    <w:rsid w:val="00A56AA8"/>
    <w:rsid w:val="00A571C1"/>
    <w:rsid w:val="00A6135D"/>
    <w:rsid w:val="00A6201D"/>
    <w:rsid w:val="00A64636"/>
    <w:rsid w:val="00A64837"/>
    <w:rsid w:val="00A65BC3"/>
    <w:rsid w:val="00A6749A"/>
    <w:rsid w:val="00A70238"/>
    <w:rsid w:val="00A70BAF"/>
    <w:rsid w:val="00A71B57"/>
    <w:rsid w:val="00A7333B"/>
    <w:rsid w:val="00A740E5"/>
    <w:rsid w:val="00A74652"/>
    <w:rsid w:val="00A74BAD"/>
    <w:rsid w:val="00A75373"/>
    <w:rsid w:val="00A754D5"/>
    <w:rsid w:val="00A75957"/>
    <w:rsid w:val="00A75CB3"/>
    <w:rsid w:val="00A76FA0"/>
    <w:rsid w:val="00A7760B"/>
    <w:rsid w:val="00A80AF2"/>
    <w:rsid w:val="00A810F9"/>
    <w:rsid w:val="00A81C8A"/>
    <w:rsid w:val="00A831B1"/>
    <w:rsid w:val="00A8340F"/>
    <w:rsid w:val="00A855CD"/>
    <w:rsid w:val="00A868D6"/>
    <w:rsid w:val="00A86E95"/>
    <w:rsid w:val="00A86ECC"/>
    <w:rsid w:val="00A86FCC"/>
    <w:rsid w:val="00A87395"/>
    <w:rsid w:val="00A87B84"/>
    <w:rsid w:val="00A87DBC"/>
    <w:rsid w:val="00A906E4"/>
    <w:rsid w:val="00A91596"/>
    <w:rsid w:val="00A915F0"/>
    <w:rsid w:val="00A9178C"/>
    <w:rsid w:val="00A91E48"/>
    <w:rsid w:val="00A92703"/>
    <w:rsid w:val="00A92A93"/>
    <w:rsid w:val="00A9301D"/>
    <w:rsid w:val="00A93631"/>
    <w:rsid w:val="00A93F98"/>
    <w:rsid w:val="00A9412D"/>
    <w:rsid w:val="00A94F6D"/>
    <w:rsid w:val="00A97015"/>
    <w:rsid w:val="00A97054"/>
    <w:rsid w:val="00AA02A4"/>
    <w:rsid w:val="00AA0591"/>
    <w:rsid w:val="00AA09E7"/>
    <w:rsid w:val="00AA25CE"/>
    <w:rsid w:val="00AA26C3"/>
    <w:rsid w:val="00AA2AE3"/>
    <w:rsid w:val="00AA33B7"/>
    <w:rsid w:val="00AA35ED"/>
    <w:rsid w:val="00AA48DC"/>
    <w:rsid w:val="00AA58E3"/>
    <w:rsid w:val="00AA5A18"/>
    <w:rsid w:val="00AA6C9D"/>
    <w:rsid w:val="00AA6CCC"/>
    <w:rsid w:val="00AA6F6A"/>
    <w:rsid w:val="00AA710D"/>
    <w:rsid w:val="00AA7E3B"/>
    <w:rsid w:val="00AB0E3E"/>
    <w:rsid w:val="00AB0EAF"/>
    <w:rsid w:val="00AB0F77"/>
    <w:rsid w:val="00AB1E64"/>
    <w:rsid w:val="00AB2AE5"/>
    <w:rsid w:val="00AB4FDA"/>
    <w:rsid w:val="00AB5174"/>
    <w:rsid w:val="00AB6522"/>
    <w:rsid w:val="00AB68DC"/>
    <w:rsid w:val="00AB6C31"/>
    <w:rsid w:val="00AB6D25"/>
    <w:rsid w:val="00AB7780"/>
    <w:rsid w:val="00AC0C33"/>
    <w:rsid w:val="00AC0F43"/>
    <w:rsid w:val="00AC1D60"/>
    <w:rsid w:val="00AC3F3A"/>
    <w:rsid w:val="00AC41D9"/>
    <w:rsid w:val="00AC492A"/>
    <w:rsid w:val="00AC6ACE"/>
    <w:rsid w:val="00AD2717"/>
    <w:rsid w:val="00AD2B8F"/>
    <w:rsid w:val="00AD3392"/>
    <w:rsid w:val="00AD3EA6"/>
    <w:rsid w:val="00AD453B"/>
    <w:rsid w:val="00AD4636"/>
    <w:rsid w:val="00AD5DC4"/>
    <w:rsid w:val="00AD7788"/>
    <w:rsid w:val="00AE0482"/>
    <w:rsid w:val="00AE1AEA"/>
    <w:rsid w:val="00AE2D4B"/>
    <w:rsid w:val="00AE30FD"/>
    <w:rsid w:val="00AE36D5"/>
    <w:rsid w:val="00AE4F99"/>
    <w:rsid w:val="00AE4FA0"/>
    <w:rsid w:val="00AE5356"/>
    <w:rsid w:val="00AE607A"/>
    <w:rsid w:val="00AE6A3C"/>
    <w:rsid w:val="00AE765A"/>
    <w:rsid w:val="00AE7736"/>
    <w:rsid w:val="00AE79C9"/>
    <w:rsid w:val="00AE7FE9"/>
    <w:rsid w:val="00AF3F0F"/>
    <w:rsid w:val="00AF5D1F"/>
    <w:rsid w:val="00AF654B"/>
    <w:rsid w:val="00AF7327"/>
    <w:rsid w:val="00AF7AEE"/>
    <w:rsid w:val="00B009AA"/>
    <w:rsid w:val="00B009DC"/>
    <w:rsid w:val="00B011F2"/>
    <w:rsid w:val="00B014D5"/>
    <w:rsid w:val="00B024FA"/>
    <w:rsid w:val="00B035F7"/>
    <w:rsid w:val="00B0401A"/>
    <w:rsid w:val="00B056F3"/>
    <w:rsid w:val="00B06255"/>
    <w:rsid w:val="00B104E3"/>
    <w:rsid w:val="00B107E4"/>
    <w:rsid w:val="00B10CA5"/>
    <w:rsid w:val="00B115DA"/>
    <w:rsid w:val="00B11700"/>
    <w:rsid w:val="00B12A03"/>
    <w:rsid w:val="00B14952"/>
    <w:rsid w:val="00B15357"/>
    <w:rsid w:val="00B15866"/>
    <w:rsid w:val="00B162C1"/>
    <w:rsid w:val="00B16FD7"/>
    <w:rsid w:val="00B1732B"/>
    <w:rsid w:val="00B176F1"/>
    <w:rsid w:val="00B17FF2"/>
    <w:rsid w:val="00B20266"/>
    <w:rsid w:val="00B207D2"/>
    <w:rsid w:val="00B20BB1"/>
    <w:rsid w:val="00B21032"/>
    <w:rsid w:val="00B215B7"/>
    <w:rsid w:val="00B2224A"/>
    <w:rsid w:val="00B229AB"/>
    <w:rsid w:val="00B23EBF"/>
    <w:rsid w:val="00B24778"/>
    <w:rsid w:val="00B248FB"/>
    <w:rsid w:val="00B24949"/>
    <w:rsid w:val="00B24AB6"/>
    <w:rsid w:val="00B24EAB"/>
    <w:rsid w:val="00B25AC8"/>
    <w:rsid w:val="00B26E05"/>
    <w:rsid w:val="00B27B0C"/>
    <w:rsid w:val="00B30494"/>
    <w:rsid w:val="00B3070F"/>
    <w:rsid w:val="00B30940"/>
    <w:rsid w:val="00B30CD9"/>
    <w:rsid w:val="00B31E5A"/>
    <w:rsid w:val="00B34209"/>
    <w:rsid w:val="00B348E5"/>
    <w:rsid w:val="00B348EE"/>
    <w:rsid w:val="00B34C1B"/>
    <w:rsid w:val="00B35558"/>
    <w:rsid w:val="00B35F84"/>
    <w:rsid w:val="00B35FFB"/>
    <w:rsid w:val="00B368CD"/>
    <w:rsid w:val="00B37FB5"/>
    <w:rsid w:val="00B40DB1"/>
    <w:rsid w:val="00B415AB"/>
    <w:rsid w:val="00B43665"/>
    <w:rsid w:val="00B43B29"/>
    <w:rsid w:val="00B44A50"/>
    <w:rsid w:val="00B45303"/>
    <w:rsid w:val="00B458BD"/>
    <w:rsid w:val="00B45C74"/>
    <w:rsid w:val="00B45ECA"/>
    <w:rsid w:val="00B478C2"/>
    <w:rsid w:val="00B50D56"/>
    <w:rsid w:val="00B52311"/>
    <w:rsid w:val="00B52E6B"/>
    <w:rsid w:val="00B53B80"/>
    <w:rsid w:val="00B5412B"/>
    <w:rsid w:val="00B543E1"/>
    <w:rsid w:val="00B54CDF"/>
    <w:rsid w:val="00B557B2"/>
    <w:rsid w:val="00B57F37"/>
    <w:rsid w:val="00B606FD"/>
    <w:rsid w:val="00B608AA"/>
    <w:rsid w:val="00B6129D"/>
    <w:rsid w:val="00B616AF"/>
    <w:rsid w:val="00B61732"/>
    <w:rsid w:val="00B6333F"/>
    <w:rsid w:val="00B64756"/>
    <w:rsid w:val="00B64B03"/>
    <w:rsid w:val="00B653AB"/>
    <w:rsid w:val="00B65A33"/>
    <w:rsid w:val="00B65F9E"/>
    <w:rsid w:val="00B66B19"/>
    <w:rsid w:val="00B673B3"/>
    <w:rsid w:val="00B679E3"/>
    <w:rsid w:val="00B717BA"/>
    <w:rsid w:val="00B7272F"/>
    <w:rsid w:val="00B72ED7"/>
    <w:rsid w:val="00B73445"/>
    <w:rsid w:val="00B74006"/>
    <w:rsid w:val="00B750F4"/>
    <w:rsid w:val="00B75823"/>
    <w:rsid w:val="00B75F37"/>
    <w:rsid w:val="00B77312"/>
    <w:rsid w:val="00B80054"/>
    <w:rsid w:val="00B80525"/>
    <w:rsid w:val="00B8069B"/>
    <w:rsid w:val="00B806B3"/>
    <w:rsid w:val="00B80764"/>
    <w:rsid w:val="00B812B4"/>
    <w:rsid w:val="00B83704"/>
    <w:rsid w:val="00B84B72"/>
    <w:rsid w:val="00B858AF"/>
    <w:rsid w:val="00B9025D"/>
    <w:rsid w:val="00B914E9"/>
    <w:rsid w:val="00B91B54"/>
    <w:rsid w:val="00B91B68"/>
    <w:rsid w:val="00B91CE5"/>
    <w:rsid w:val="00B921E9"/>
    <w:rsid w:val="00B928E6"/>
    <w:rsid w:val="00B92A68"/>
    <w:rsid w:val="00B93188"/>
    <w:rsid w:val="00B94640"/>
    <w:rsid w:val="00B94F0D"/>
    <w:rsid w:val="00B952E8"/>
    <w:rsid w:val="00B956EE"/>
    <w:rsid w:val="00B96DFA"/>
    <w:rsid w:val="00BA04D3"/>
    <w:rsid w:val="00BA064F"/>
    <w:rsid w:val="00BA1BBB"/>
    <w:rsid w:val="00BA2332"/>
    <w:rsid w:val="00BA25C8"/>
    <w:rsid w:val="00BA2BA1"/>
    <w:rsid w:val="00BA2D67"/>
    <w:rsid w:val="00BA2D9E"/>
    <w:rsid w:val="00BA3438"/>
    <w:rsid w:val="00BA355D"/>
    <w:rsid w:val="00BA45F1"/>
    <w:rsid w:val="00BA4645"/>
    <w:rsid w:val="00BA54AF"/>
    <w:rsid w:val="00BA55FC"/>
    <w:rsid w:val="00BA5CD3"/>
    <w:rsid w:val="00BA78E2"/>
    <w:rsid w:val="00BB035B"/>
    <w:rsid w:val="00BB12D2"/>
    <w:rsid w:val="00BB1959"/>
    <w:rsid w:val="00BB1F7C"/>
    <w:rsid w:val="00BB215D"/>
    <w:rsid w:val="00BB3D7F"/>
    <w:rsid w:val="00BB4D3E"/>
    <w:rsid w:val="00BB4E2A"/>
    <w:rsid w:val="00BB4F09"/>
    <w:rsid w:val="00BC06CC"/>
    <w:rsid w:val="00BC0EAA"/>
    <w:rsid w:val="00BC2085"/>
    <w:rsid w:val="00BC3107"/>
    <w:rsid w:val="00BC3369"/>
    <w:rsid w:val="00BC3466"/>
    <w:rsid w:val="00BC39F5"/>
    <w:rsid w:val="00BC3C99"/>
    <w:rsid w:val="00BC5E52"/>
    <w:rsid w:val="00BC763F"/>
    <w:rsid w:val="00BC7964"/>
    <w:rsid w:val="00BD0670"/>
    <w:rsid w:val="00BD0892"/>
    <w:rsid w:val="00BD1DCC"/>
    <w:rsid w:val="00BD4E33"/>
    <w:rsid w:val="00BD513A"/>
    <w:rsid w:val="00BD6A19"/>
    <w:rsid w:val="00BD6FBC"/>
    <w:rsid w:val="00BD72E1"/>
    <w:rsid w:val="00BD7838"/>
    <w:rsid w:val="00BE040E"/>
    <w:rsid w:val="00BE32EA"/>
    <w:rsid w:val="00BE4514"/>
    <w:rsid w:val="00BE5287"/>
    <w:rsid w:val="00BE6802"/>
    <w:rsid w:val="00BE6B42"/>
    <w:rsid w:val="00BE7167"/>
    <w:rsid w:val="00BE7970"/>
    <w:rsid w:val="00BE7E57"/>
    <w:rsid w:val="00BF13B3"/>
    <w:rsid w:val="00BF3ED9"/>
    <w:rsid w:val="00BF46C3"/>
    <w:rsid w:val="00BF49CE"/>
    <w:rsid w:val="00BF4A92"/>
    <w:rsid w:val="00BF4EB9"/>
    <w:rsid w:val="00BF5B73"/>
    <w:rsid w:val="00BF6572"/>
    <w:rsid w:val="00BF69AD"/>
    <w:rsid w:val="00BF7674"/>
    <w:rsid w:val="00BF7DBB"/>
    <w:rsid w:val="00C00144"/>
    <w:rsid w:val="00C02847"/>
    <w:rsid w:val="00C030DE"/>
    <w:rsid w:val="00C03194"/>
    <w:rsid w:val="00C054B0"/>
    <w:rsid w:val="00C05B8C"/>
    <w:rsid w:val="00C05F79"/>
    <w:rsid w:val="00C10F51"/>
    <w:rsid w:val="00C123A1"/>
    <w:rsid w:val="00C13661"/>
    <w:rsid w:val="00C14131"/>
    <w:rsid w:val="00C14542"/>
    <w:rsid w:val="00C14A0D"/>
    <w:rsid w:val="00C15597"/>
    <w:rsid w:val="00C16142"/>
    <w:rsid w:val="00C16682"/>
    <w:rsid w:val="00C20749"/>
    <w:rsid w:val="00C20B5B"/>
    <w:rsid w:val="00C21864"/>
    <w:rsid w:val="00C22105"/>
    <w:rsid w:val="00C2237E"/>
    <w:rsid w:val="00C244B6"/>
    <w:rsid w:val="00C26603"/>
    <w:rsid w:val="00C2705A"/>
    <w:rsid w:val="00C2730C"/>
    <w:rsid w:val="00C27DAC"/>
    <w:rsid w:val="00C27E03"/>
    <w:rsid w:val="00C30239"/>
    <w:rsid w:val="00C30A63"/>
    <w:rsid w:val="00C30C6E"/>
    <w:rsid w:val="00C310A5"/>
    <w:rsid w:val="00C320D4"/>
    <w:rsid w:val="00C3227B"/>
    <w:rsid w:val="00C333FD"/>
    <w:rsid w:val="00C339B2"/>
    <w:rsid w:val="00C33EF2"/>
    <w:rsid w:val="00C34FF2"/>
    <w:rsid w:val="00C36307"/>
    <w:rsid w:val="00C36582"/>
    <w:rsid w:val="00C36AD4"/>
    <w:rsid w:val="00C36ECE"/>
    <w:rsid w:val="00C3702F"/>
    <w:rsid w:val="00C3757E"/>
    <w:rsid w:val="00C37BDD"/>
    <w:rsid w:val="00C4238B"/>
    <w:rsid w:val="00C438A2"/>
    <w:rsid w:val="00C43FB6"/>
    <w:rsid w:val="00C44196"/>
    <w:rsid w:val="00C44CC4"/>
    <w:rsid w:val="00C45424"/>
    <w:rsid w:val="00C45D3A"/>
    <w:rsid w:val="00C46121"/>
    <w:rsid w:val="00C507AD"/>
    <w:rsid w:val="00C53199"/>
    <w:rsid w:val="00C53661"/>
    <w:rsid w:val="00C53746"/>
    <w:rsid w:val="00C53CDB"/>
    <w:rsid w:val="00C55630"/>
    <w:rsid w:val="00C56302"/>
    <w:rsid w:val="00C5687F"/>
    <w:rsid w:val="00C574CA"/>
    <w:rsid w:val="00C574D4"/>
    <w:rsid w:val="00C6060A"/>
    <w:rsid w:val="00C60D9F"/>
    <w:rsid w:val="00C60DB6"/>
    <w:rsid w:val="00C62393"/>
    <w:rsid w:val="00C63AE1"/>
    <w:rsid w:val="00C64A2C"/>
    <w:rsid w:val="00C64A37"/>
    <w:rsid w:val="00C64DA3"/>
    <w:rsid w:val="00C6514D"/>
    <w:rsid w:val="00C661C5"/>
    <w:rsid w:val="00C662DA"/>
    <w:rsid w:val="00C6698A"/>
    <w:rsid w:val="00C674EF"/>
    <w:rsid w:val="00C70BB1"/>
    <w:rsid w:val="00C7158E"/>
    <w:rsid w:val="00C72001"/>
    <w:rsid w:val="00C72189"/>
    <w:rsid w:val="00C7250B"/>
    <w:rsid w:val="00C72833"/>
    <w:rsid w:val="00C7346B"/>
    <w:rsid w:val="00C73D7A"/>
    <w:rsid w:val="00C74493"/>
    <w:rsid w:val="00C77604"/>
    <w:rsid w:val="00C77C0E"/>
    <w:rsid w:val="00C81DEE"/>
    <w:rsid w:val="00C834D8"/>
    <w:rsid w:val="00C83B62"/>
    <w:rsid w:val="00C8474D"/>
    <w:rsid w:val="00C8530D"/>
    <w:rsid w:val="00C85617"/>
    <w:rsid w:val="00C85B43"/>
    <w:rsid w:val="00C85EAB"/>
    <w:rsid w:val="00C85EB4"/>
    <w:rsid w:val="00C86452"/>
    <w:rsid w:val="00C86AE4"/>
    <w:rsid w:val="00C87DFE"/>
    <w:rsid w:val="00C90426"/>
    <w:rsid w:val="00C904DA"/>
    <w:rsid w:val="00C9158F"/>
    <w:rsid w:val="00C91687"/>
    <w:rsid w:val="00C924A8"/>
    <w:rsid w:val="00C92A69"/>
    <w:rsid w:val="00C93873"/>
    <w:rsid w:val="00C93DA2"/>
    <w:rsid w:val="00C945FE"/>
    <w:rsid w:val="00C96680"/>
    <w:rsid w:val="00C96F9E"/>
    <w:rsid w:val="00C96FAA"/>
    <w:rsid w:val="00C97A04"/>
    <w:rsid w:val="00CA06B9"/>
    <w:rsid w:val="00CA0F1E"/>
    <w:rsid w:val="00CA1027"/>
    <w:rsid w:val="00CA107B"/>
    <w:rsid w:val="00CA1734"/>
    <w:rsid w:val="00CA17A0"/>
    <w:rsid w:val="00CA484D"/>
    <w:rsid w:val="00CA4BBD"/>
    <w:rsid w:val="00CA7331"/>
    <w:rsid w:val="00CA7BFC"/>
    <w:rsid w:val="00CA7DAC"/>
    <w:rsid w:val="00CB17FE"/>
    <w:rsid w:val="00CB1B40"/>
    <w:rsid w:val="00CB3320"/>
    <w:rsid w:val="00CB3360"/>
    <w:rsid w:val="00CB3ECB"/>
    <w:rsid w:val="00CB48D5"/>
    <w:rsid w:val="00CB49CE"/>
    <w:rsid w:val="00CB4F71"/>
    <w:rsid w:val="00CB61A1"/>
    <w:rsid w:val="00CB7352"/>
    <w:rsid w:val="00CB7BE3"/>
    <w:rsid w:val="00CB7C8F"/>
    <w:rsid w:val="00CC18DC"/>
    <w:rsid w:val="00CC1974"/>
    <w:rsid w:val="00CC1F8B"/>
    <w:rsid w:val="00CC30D1"/>
    <w:rsid w:val="00CC5034"/>
    <w:rsid w:val="00CC5530"/>
    <w:rsid w:val="00CC739E"/>
    <w:rsid w:val="00CC7C1D"/>
    <w:rsid w:val="00CC7EBB"/>
    <w:rsid w:val="00CD02EE"/>
    <w:rsid w:val="00CD06C2"/>
    <w:rsid w:val="00CD1066"/>
    <w:rsid w:val="00CD1400"/>
    <w:rsid w:val="00CD252A"/>
    <w:rsid w:val="00CD29A9"/>
    <w:rsid w:val="00CD34B4"/>
    <w:rsid w:val="00CD34FC"/>
    <w:rsid w:val="00CD3614"/>
    <w:rsid w:val="00CD58B7"/>
    <w:rsid w:val="00CD5A0E"/>
    <w:rsid w:val="00CD676A"/>
    <w:rsid w:val="00CD6E70"/>
    <w:rsid w:val="00CD6EC2"/>
    <w:rsid w:val="00CD74B9"/>
    <w:rsid w:val="00CD7735"/>
    <w:rsid w:val="00CE1E7E"/>
    <w:rsid w:val="00CE588D"/>
    <w:rsid w:val="00CE76F3"/>
    <w:rsid w:val="00CE7848"/>
    <w:rsid w:val="00CF07CF"/>
    <w:rsid w:val="00CF0F56"/>
    <w:rsid w:val="00CF127B"/>
    <w:rsid w:val="00CF1C2E"/>
    <w:rsid w:val="00CF1CAB"/>
    <w:rsid w:val="00CF1E7B"/>
    <w:rsid w:val="00CF2325"/>
    <w:rsid w:val="00CF240C"/>
    <w:rsid w:val="00CF2E8B"/>
    <w:rsid w:val="00CF35AC"/>
    <w:rsid w:val="00CF3A11"/>
    <w:rsid w:val="00CF3C8B"/>
    <w:rsid w:val="00CF4099"/>
    <w:rsid w:val="00D0027D"/>
    <w:rsid w:val="00D00796"/>
    <w:rsid w:val="00D00E24"/>
    <w:rsid w:val="00D01A9E"/>
    <w:rsid w:val="00D02088"/>
    <w:rsid w:val="00D04270"/>
    <w:rsid w:val="00D04CA7"/>
    <w:rsid w:val="00D05687"/>
    <w:rsid w:val="00D057FE"/>
    <w:rsid w:val="00D064BA"/>
    <w:rsid w:val="00D06AB4"/>
    <w:rsid w:val="00D06B5C"/>
    <w:rsid w:val="00D06C6A"/>
    <w:rsid w:val="00D0762F"/>
    <w:rsid w:val="00D07EC3"/>
    <w:rsid w:val="00D10302"/>
    <w:rsid w:val="00D106B6"/>
    <w:rsid w:val="00D13D1B"/>
    <w:rsid w:val="00D149CD"/>
    <w:rsid w:val="00D15F1F"/>
    <w:rsid w:val="00D170A0"/>
    <w:rsid w:val="00D175AE"/>
    <w:rsid w:val="00D17A05"/>
    <w:rsid w:val="00D17A4B"/>
    <w:rsid w:val="00D23B03"/>
    <w:rsid w:val="00D249A0"/>
    <w:rsid w:val="00D25250"/>
    <w:rsid w:val="00D2543B"/>
    <w:rsid w:val="00D261A2"/>
    <w:rsid w:val="00D26963"/>
    <w:rsid w:val="00D26995"/>
    <w:rsid w:val="00D300F6"/>
    <w:rsid w:val="00D3015D"/>
    <w:rsid w:val="00D31696"/>
    <w:rsid w:val="00D31FF3"/>
    <w:rsid w:val="00D32E16"/>
    <w:rsid w:val="00D33B7F"/>
    <w:rsid w:val="00D34310"/>
    <w:rsid w:val="00D34451"/>
    <w:rsid w:val="00D34C3E"/>
    <w:rsid w:val="00D35CD0"/>
    <w:rsid w:val="00D35EB0"/>
    <w:rsid w:val="00D36313"/>
    <w:rsid w:val="00D370E5"/>
    <w:rsid w:val="00D402C5"/>
    <w:rsid w:val="00D4046F"/>
    <w:rsid w:val="00D40D0D"/>
    <w:rsid w:val="00D415BD"/>
    <w:rsid w:val="00D432A4"/>
    <w:rsid w:val="00D43BB7"/>
    <w:rsid w:val="00D43F81"/>
    <w:rsid w:val="00D4431B"/>
    <w:rsid w:val="00D451E4"/>
    <w:rsid w:val="00D45D0F"/>
    <w:rsid w:val="00D47581"/>
    <w:rsid w:val="00D5254F"/>
    <w:rsid w:val="00D530C9"/>
    <w:rsid w:val="00D53734"/>
    <w:rsid w:val="00D5399A"/>
    <w:rsid w:val="00D54C9F"/>
    <w:rsid w:val="00D55EAE"/>
    <w:rsid w:val="00D56646"/>
    <w:rsid w:val="00D6115D"/>
    <w:rsid w:val="00D6156E"/>
    <w:rsid w:val="00D616D2"/>
    <w:rsid w:val="00D61B7A"/>
    <w:rsid w:val="00D633E6"/>
    <w:rsid w:val="00D6398E"/>
    <w:rsid w:val="00D63B5F"/>
    <w:rsid w:val="00D63F1A"/>
    <w:rsid w:val="00D6405C"/>
    <w:rsid w:val="00D645C4"/>
    <w:rsid w:val="00D66065"/>
    <w:rsid w:val="00D67321"/>
    <w:rsid w:val="00D6756A"/>
    <w:rsid w:val="00D70EF7"/>
    <w:rsid w:val="00D7281E"/>
    <w:rsid w:val="00D730B5"/>
    <w:rsid w:val="00D731EC"/>
    <w:rsid w:val="00D736EA"/>
    <w:rsid w:val="00D73C94"/>
    <w:rsid w:val="00D73D4E"/>
    <w:rsid w:val="00D73F05"/>
    <w:rsid w:val="00D74974"/>
    <w:rsid w:val="00D749A2"/>
    <w:rsid w:val="00D80874"/>
    <w:rsid w:val="00D83372"/>
    <w:rsid w:val="00D83708"/>
    <w:rsid w:val="00D8397C"/>
    <w:rsid w:val="00D83C6C"/>
    <w:rsid w:val="00D83DAD"/>
    <w:rsid w:val="00D85443"/>
    <w:rsid w:val="00D87108"/>
    <w:rsid w:val="00D87C30"/>
    <w:rsid w:val="00D87EA5"/>
    <w:rsid w:val="00D906C0"/>
    <w:rsid w:val="00D91B36"/>
    <w:rsid w:val="00D924FA"/>
    <w:rsid w:val="00D92567"/>
    <w:rsid w:val="00D94EED"/>
    <w:rsid w:val="00D96026"/>
    <w:rsid w:val="00D960AF"/>
    <w:rsid w:val="00D96353"/>
    <w:rsid w:val="00D9652A"/>
    <w:rsid w:val="00DA1CEE"/>
    <w:rsid w:val="00DA2CCE"/>
    <w:rsid w:val="00DA3D38"/>
    <w:rsid w:val="00DA6229"/>
    <w:rsid w:val="00DA6298"/>
    <w:rsid w:val="00DA70E8"/>
    <w:rsid w:val="00DA7720"/>
    <w:rsid w:val="00DA7985"/>
    <w:rsid w:val="00DA7C1C"/>
    <w:rsid w:val="00DA7DB0"/>
    <w:rsid w:val="00DB08DC"/>
    <w:rsid w:val="00DB0AA6"/>
    <w:rsid w:val="00DB0D0D"/>
    <w:rsid w:val="00DB0D85"/>
    <w:rsid w:val="00DB0E73"/>
    <w:rsid w:val="00DB147A"/>
    <w:rsid w:val="00DB1B7A"/>
    <w:rsid w:val="00DB1E6B"/>
    <w:rsid w:val="00DB209A"/>
    <w:rsid w:val="00DB2672"/>
    <w:rsid w:val="00DB3DDE"/>
    <w:rsid w:val="00DB6058"/>
    <w:rsid w:val="00DB73A1"/>
    <w:rsid w:val="00DC05C9"/>
    <w:rsid w:val="00DC0D7D"/>
    <w:rsid w:val="00DC2024"/>
    <w:rsid w:val="00DC219D"/>
    <w:rsid w:val="00DC2907"/>
    <w:rsid w:val="00DC362E"/>
    <w:rsid w:val="00DC3A55"/>
    <w:rsid w:val="00DC42E5"/>
    <w:rsid w:val="00DC448D"/>
    <w:rsid w:val="00DC519F"/>
    <w:rsid w:val="00DC51D9"/>
    <w:rsid w:val="00DC55D7"/>
    <w:rsid w:val="00DC5D0C"/>
    <w:rsid w:val="00DC6708"/>
    <w:rsid w:val="00DC7F64"/>
    <w:rsid w:val="00DD130A"/>
    <w:rsid w:val="00DD1635"/>
    <w:rsid w:val="00DD1885"/>
    <w:rsid w:val="00DD2F15"/>
    <w:rsid w:val="00DD3790"/>
    <w:rsid w:val="00DD4839"/>
    <w:rsid w:val="00DD4BAC"/>
    <w:rsid w:val="00DD5188"/>
    <w:rsid w:val="00DD5A80"/>
    <w:rsid w:val="00DD7271"/>
    <w:rsid w:val="00DE02E1"/>
    <w:rsid w:val="00DE0BFD"/>
    <w:rsid w:val="00DE0CDF"/>
    <w:rsid w:val="00DE12B7"/>
    <w:rsid w:val="00DE12C8"/>
    <w:rsid w:val="00DE206C"/>
    <w:rsid w:val="00DE381A"/>
    <w:rsid w:val="00DE616F"/>
    <w:rsid w:val="00DE7D1A"/>
    <w:rsid w:val="00DF0A85"/>
    <w:rsid w:val="00DF1E6D"/>
    <w:rsid w:val="00DF22BD"/>
    <w:rsid w:val="00DF22D5"/>
    <w:rsid w:val="00DF2714"/>
    <w:rsid w:val="00DF2BCD"/>
    <w:rsid w:val="00DF58BE"/>
    <w:rsid w:val="00DF5DAB"/>
    <w:rsid w:val="00DF6D97"/>
    <w:rsid w:val="00DF7620"/>
    <w:rsid w:val="00DF7BE7"/>
    <w:rsid w:val="00E013E9"/>
    <w:rsid w:val="00E01436"/>
    <w:rsid w:val="00E01EC0"/>
    <w:rsid w:val="00E02874"/>
    <w:rsid w:val="00E029DB"/>
    <w:rsid w:val="00E03D9B"/>
    <w:rsid w:val="00E045BD"/>
    <w:rsid w:val="00E049B7"/>
    <w:rsid w:val="00E04FF2"/>
    <w:rsid w:val="00E05A36"/>
    <w:rsid w:val="00E07236"/>
    <w:rsid w:val="00E078E4"/>
    <w:rsid w:val="00E11459"/>
    <w:rsid w:val="00E11741"/>
    <w:rsid w:val="00E12D48"/>
    <w:rsid w:val="00E1317E"/>
    <w:rsid w:val="00E13389"/>
    <w:rsid w:val="00E134D7"/>
    <w:rsid w:val="00E13707"/>
    <w:rsid w:val="00E141F1"/>
    <w:rsid w:val="00E1724A"/>
    <w:rsid w:val="00E17B77"/>
    <w:rsid w:val="00E20851"/>
    <w:rsid w:val="00E20C26"/>
    <w:rsid w:val="00E210D1"/>
    <w:rsid w:val="00E216CD"/>
    <w:rsid w:val="00E21A58"/>
    <w:rsid w:val="00E22E15"/>
    <w:rsid w:val="00E23337"/>
    <w:rsid w:val="00E233A5"/>
    <w:rsid w:val="00E24FDA"/>
    <w:rsid w:val="00E25818"/>
    <w:rsid w:val="00E259EA"/>
    <w:rsid w:val="00E25E71"/>
    <w:rsid w:val="00E27892"/>
    <w:rsid w:val="00E32061"/>
    <w:rsid w:val="00E33B8B"/>
    <w:rsid w:val="00E35C25"/>
    <w:rsid w:val="00E3757F"/>
    <w:rsid w:val="00E416B5"/>
    <w:rsid w:val="00E4237A"/>
    <w:rsid w:val="00E42FF9"/>
    <w:rsid w:val="00E44386"/>
    <w:rsid w:val="00E44746"/>
    <w:rsid w:val="00E45747"/>
    <w:rsid w:val="00E45C7A"/>
    <w:rsid w:val="00E460D5"/>
    <w:rsid w:val="00E4714C"/>
    <w:rsid w:val="00E474B4"/>
    <w:rsid w:val="00E4788F"/>
    <w:rsid w:val="00E47E50"/>
    <w:rsid w:val="00E512EB"/>
    <w:rsid w:val="00E51AEB"/>
    <w:rsid w:val="00E522A7"/>
    <w:rsid w:val="00E526CF"/>
    <w:rsid w:val="00E537D4"/>
    <w:rsid w:val="00E53E26"/>
    <w:rsid w:val="00E54452"/>
    <w:rsid w:val="00E54F5F"/>
    <w:rsid w:val="00E6335C"/>
    <w:rsid w:val="00E6342B"/>
    <w:rsid w:val="00E634A3"/>
    <w:rsid w:val="00E63E25"/>
    <w:rsid w:val="00E6490E"/>
    <w:rsid w:val="00E6501A"/>
    <w:rsid w:val="00E65E03"/>
    <w:rsid w:val="00E65EC7"/>
    <w:rsid w:val="00E664C5"/>
    <w:rsid w:val="00E671A2"/>
    <w:rsid w:val="00E736D3"/>
    <w:rsid w:val="00E73727"/>
    <w:rsid w:val="00E758A4"/>
    <w:rsid w:val="00E76C0F"/>
    <w:rsid w:val="00E76D26"/>
    <w:rsid w:val="00E775EE"/>
    <w:rsid w:val="00E77821"/>
    <w:rsid w:val="00E77D52"/>
    <w:rsid w:val="00E804B3"/>
    <w:rsid w:val="00E82440"/>
    <w:rsid w:val="00E82474"/>
    <w:rsid w:val="00E84402"/>
    <w:rsid w:val="00E84584"/>
    <w:rsid w:val="00E845B0"/>
    <w:rsid w:val="00E84AB0"/>
    <w:rsid w:val="00E85989"/>
    <w:rsid w:val="00E863CC"/>
    <w:rsid w:val="00E87098"/>
    <w:rsid w:val="00E87640"/>
    <w:rsid w:val="00E91266"/>
    <w:rsid w:val="00E93DF5"/>
    <w:rsid w:val="00E945E2"/>
    <w:rsid w:val="00E94D01"/>
    <w:rsid w:val="00E950B7"/>
    <w:rsid w:val="00E96337"/>
    <w:rsid w:val="00E9657B"/>
    <w:rsid w:val="00E96A9B"/>
    <w:rsid w:val="00E96AC8"/>
    <w:rsid w:val="00E96FA4"/>
    <w:rsid w:val="00EA0A58"/>
    <w:rsid w:val="00EA0D29"/>
    <w:rsid w:val="00EA2360"/>
    <w:rsid w:val="00EA253D"/>
    <w:rsid w:val="00EA3712"/>
    <w:rsid w:val="00EA7113"/>
    <w:rsid w:val="00EA7600"/>
    <w:rsid w:val="00EA769B"/>
    <w:rsid w:val="00EA7739"/>
    <w:rsid w:val="00EA7859"/>
    <w:rsid w:val="00EB07BB"/>
    <w:rsid w:val="00EB1390"/>
    <w:rsid w:val="00EB24BF"/>
    <w:rsid w:val="00EB260F"/>
    <w:rsid w:val="00EB2ADF"/>
    <w:rsid w:val="00EB2BCE"/>
    <w:rsid w:val="00EB2C71"/>
    <w:rsid w:val="00EB3243"/>
    <w:rsid w:val="00EB4340"/>
    <w:rsid w:val="00EB532C"/>
    <w:rsid w:val="00EB556D"/>
    <w:rsid w:val="00EB5A7D"/>
    <w:rsid w:val="00EB5D51"/>
    <w:rsid w:val="00EB5DD1"/>
    <w:rsid w:val="00EB70ED"/>
    <w:rsid w:val="00EC0D71"/>
    <w:rsid w:val="00EC174A"/>
    <w:rsid w:val="00EC2452"/>
    <w:rsid w:val="00EC3089"/>
    <w:rsid w:val="00EC30F6"/>
    <w:rsid w:val="00EC4099"/>
    <w:rsid w:val="00EC5EEF"/>
    <w:rsid w:val="00EC602C"/>
    <w:rsid w:val="00ED0414"/>
    <w:rsid w:val="00ED0667"/>
    <w:rsid w:val="00ED0BB5"/>
    <w:rsid w:val="00ED21E5"/>
    <w:rsid w:val="00ED2630"/>
    <w:rsid w:val="00ED28C6"/>
    <w:rsid w:val="00ED2E7C"/>
    <w:rsid w:val="00ED410B"/>
    <w:rsid w:val="00ED55C0"/>
    <w:rsid w:val="00ED5FF9"/>
    <w:rsid w:val="00ED682B"/>
    <w:rsid w:val="00ED6FD8"/>
    <w:rsid w:val="00ED73A1"/>
    <w:rsid w:val="00EE130A"/>
    <w:rsid w:val="00EE26A4"/>
    <w:rsid w:val="00EE2731"/>
    <w:rsid w:val="00EE3527"/>
    <w:rsid w:val="00EE37D7"/>
    <w:rsid w:val="00EE41D5"/>
    <w:rsid w:val="00EE4B05"/>
    <w:rsid w:val="00EE596D"/>
    <w:rsid w:val="00EE6A63"/>
    <w:rsid w:val="00EE6B9A"/>
    <w:rsid w:val="00EE759F"/>
    <w:rsid w:val="00EE79E9"/>
    <w:rsid w:val="00EE7C46"/>
    <w:rsid w:val="00EF0347"/>
    <w:rsid w:val="00EF0572"/>
    <w:rsid w:val="00EF0CE8"/>
    <w:rsid w:val="00EF191E"/>
    <w:rsid w:val="00EF25B0"/>
    <w:rsid w:val="00EF3360"/>
    <w:rsid w:val="00EF452E"/>
    <w:rsid w:val="00EF5344"/>
    <w:rsid w:val="00EF6582"/>
    <w:rsid w:val="00EF78E0"/>
    <w:rsid w:val="00F00262"/>
    <w:rsid w:val="00F003CC"/>
    <w:rsid w:val="00F00DCA"/>
    <w:rsid w:val="00F011B8"/>
    <w:rsid w:val="00F024AB"/>
    <w:rsid w:val="00F037A4"/>
    <w:rsid w:val="00F04373"/>
    <w:rsid w:val="00F0547F"/>
    <w:rsid w:val="00F06D7B"/>
    <w:rsid w:val="00F072D4"/>
    <w:rsid w:val="00F108E9"/>
    <w:rsid w:val="00F110DC"/>
    <w:rsid w:val="00F11248"/>
    <w:rsid w:val="00F11FB2"/>
    <w:rsid w:val="00F13C40"/>
    <w:rsid w:val="00F147B5"/>
    <w:rsid w:val="00F168CF"/>
    <w:rsid w:val="00F17038"/>
    <w:rsid w:val="00F207F4"/>
    <w:rsid w:val="00F23A43"/>
    <w:rsid w:val="00F246DD"/>
    <w:rsid w:val="00F25D16"/>
    <w:rsid w:val="00F263DA"/>
    <w:rsid w:val="00F26681"/>
    <w:rsid w:val="00F27C8F"/>
    <w:rsid w:val="00F30007"/>
    <w:rsid w:val="00F30C6D"/>
    <w:rsid w:val="00F324E5"/>
    <w:rsid w:val="00F32749"/>
    <w:rsid w:val="00F33BF5"/>
    <w:rsid w:val="00F33ED7"/>
    <w:rsid w:val="00F34409"/>
    <w:rsid w:val="00F34977"/>
    <w:rsid w:val="00F35098"/>
    <w:rsid w:val="00F356EA"/>
    <w:rsid w:val="00F35787"/>
    <w:rsid w:val="00F36BA2"/>
    <w:rsid w:val="00F37172"/>
    <w:rsid w:val="00F373AF"/>
    <w:rsid w:val="00F4053C"/>
    <w:rsid w:val="00F40A1C"/>
    <w:rsid w:val="00F41BB8"/>
    <w:rsid w:val="00F4206F"/>
    <w:rsid w:val="00F4477E"/>
    <w:rsid w:val="00F44888"/>
    <w:rsid w:val="00F4504A"/>
    <w:rsid w:val="00F450C0"/>
    <w:rsid w:val="00F4517D"/>
    <w:rsid w:val="00F4571F"/>
    <w:rsid w:val="00F45CB7"/>
    <w:rsid w:val="00F46BDE"/>
    <w:rsid w:val="00F47D68"/>
    <w:rsid w:val="00F47EDC"/>
    <w:rsid w:val="00F50ABD"/>
    <w:rsid w:val="00F51059"/>
    <w:rsid w:val="00F51590"/>
    <w:rsid w:val="00F51E27"/>
    <w:rsid w:val="00F54765"/>
    <w:rsid w:val="00F552F0"/>
    <w:rsid w:val="00F56733"/>
    <w:rsid w:val="00F56C40"/>
    <w:rsid w:val="00F57595"/>
    <w:rsid w:val="00F6127B"/>
    <w:rsid w:val="00F63D16"/>
    <w:rsid w:val="00F64210"/>
    <w:rsid w:val="00F64400"/>
    <w:rsid w:val="00F64608"/>
    <w:rsid w:val="00F64B07"/>
    <w:rsid w:val="00F670CD"/>
    <w:rsid w:val="00F674D0"/>
    <w:rsid w:val="00F67570"/>
    <w:rsid w:val="00F67D8F"/>
    <w:rsid w:val="00F70926"/>
    <w:rsid w:val="00F70E23"/>
    <w:rsid w:val="00F7267C"/>
    <w:rsid w:val="00F73085"/>
    <w:rsid w:val="00F743A5"/>
    <w:rsid w:val="00F74AD8"/>
    <w:rsid w:val="00F752EF"/>
    <w:rsid w:val="00F7798D"/>
    <w:rsid w:val="00F77C2C"/>
    <w:rsid w:val="00F802BE"/>
    <w:rsid w:val="00F819B9"/>
    <w:rsid w:val="00F827AB"/>
    <w:rsid w:val="00F83164"/>
    <w:rsid w:val="00F83DD3"/>
    <w:rsid w:val="00F84459"/>
    <w:rsid w:val="00F85640"/>
    <w:rsid w:val="00F85895"/>
    <w:rsid w:val="00F86024"/>
    <w:rsid w:val="00F8611A"/>
    <w:rsid w:val="00F8622F"/>
    <w:rsid w:val="00F87246"/>
    <w:rsid w:val="00F92B4E"/>
    <w:rsid w:val="00F95E0F"/>
    <w:rsid w:val="00F97417"/>
    <w:rsid w:val="00FA0AFD"/>
    <w:rsid w:val="00FA206D"/>
    <w:rsid w:val="00FA43B1"/>
    <w:rsid w:val="00FA5128"/>
    <w:rsid w:val="00FA5A41"/>
    <w:rsid w:val="00FA5AF8"/>
    <w:rsid w:val="00FB0C2D"/>
    <w:rsid w:val="00FB0DDD"/>
    <w:rsid w:val="00FB2BFC"/>
    <w:rsid w:val="00FB41C5"/>
    <w:rsid w:val="00FB42D4"/>
    <w:rsid w:val="00FB4979"/>
    <w:rsid w:val="00FB4FED"/>
    <w:rsid w:val="00FB5906"/>
    <w:rsid w:val="00FB5960"/>
    <w:rsid w:val="00FB7496"/>
    <w:rsid w:val="00FB762F"/>
    <w:rsid w:val="00FC02B7"/>
    <w:rsid w:val="00FC15F1"/>
    <w:rsid w:val="00FC1668"/>
    <w:rsid w:val="00FC1A10"/>
    <w:rsid w:val="00FC2037"/>
    <w:rsid w:val="00FC2AED"/>
    <w:rsid w:val="00FC4DD1"/>
    <w:rsid w:val="00FC5660"/>
    <w:rsid w:val="00FC5A04"/>
    <w:rsid w:val="00FC6A7E"/>
    <w:rsid w:val="00FD02F4"/>
    <w:rsid w:val="00FD357F"/>
    <w:rsid w:val="00FD58EA"/>
    <w:rsid w:val="00FD5ACE"/>
    <w:rsid w:val="00FD5EA7"/>
    <w:rsid w:val="00FD66BC"/>
    <w:rsid w:val="00FD6D59"/>
    <w:rsid w:val="00FD7867"/>
    <w:rsid w:val="00FE0872"/>
    <w:rsid w:val="00FE0B1E"/>
    <w:rsid w:val="00FE2248"/>
    <w:rsid w:val="00FE2B37"/>
    <w:rsid w:val="00FE3016"/>
    <w:rsid w:val="00FE46A2"/>
    <w:rsid w:val="00FE4C28"/>
    <w:rsid w:val="00FE5D75"/>
    <w:rsid w:val="00FE5EA3"/>
    <w:rsid w:val="00FE5F6D"/>
    <w:rsid w:val="00FE622E"/>
    <w:rsid w:val="00FE7215"/>
    <w:rsid w:val="00FE7837"/>
    <w:rsid w:val="00FE7C24"/>
    <w:rsid w:val="00FE7F3C"/>
    <w:rsid w:val="00FF06E6"/>
    <w:rsid w:val="00FF10E4"/>
    <w:rsid w:val="00FF1354"/>
    <w:rsid w:val="00FF27EA"/>
    <w:rsid w:val="00FF2A56"/>
    <w:rsid w:val="00FF4E5A"/>
    <w:rsid w:val="00FF5857"/>
    <w:rsid w:val="00FF5B32"/>
    <w:rsid w:val="00FF6C2D"/>
    <w:rsid w:val="00FF72BB"/>
    <w:rsid w:val="00FF73F6"/>
    <w:rsid w:val="00FF76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2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D6481"/>
    <w:pPr>
      <w:keepNext/>
      <w:spacing w:before="240" w:line="240" w:lineRule="auto"/>
      <w:outlineLvl w:val="0"/>
    </w:pPr>
    <w:rPr>
      <w:rFonts w:eastAsia="Times New Roman" w:cs="Times New Roman"/>
      <w:b/>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D6481"/>
    <w:rPr>
      <w:rFonts w:ascii="Fira Sans" w:eastAsia="Times New Roman" w:hAnsi="Fira Sans" w:cs="Times New Roman"/>
      <w:b/>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B20BB1"/>
    <w:pPr>
      <w:spacing w:before="36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styleId="Tekstprzypisukocowego">
    <w:name w:val="endnote text"/>
    <w:basedOn w:val="Normalny"/>
    <w:link w:val="TekstprzypisukocowegoZnak"/>
    <w:uiPriority w:val="99"/>
    <w:semiHidden/>
    <w:unhideWhenUsed/>
    <w:rsid w:val="00C85EA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5EAB"/>
    <w:rPr>
      <w:rFonts w:ascii="Fira Sans" w:hAnsi="Fira Sans"/>
      <w:sz w:val="20"/>
      <w:szCs w:val="20"/>
    </w:rPr>
  </w:style>
  <w:style w:type="character" w:styleId="Odwoanieprzypisukocowego">
    <w:name w:val="endnote reference"/>
    <w:basedOn w:val="Domylnaczcionkaakapitu"/>
    <w:uiPriority w:val="99"/>
    <w:semiHidden/>
    <w:unhideWhenUsed/>
    <w:rsid w:val="00C85EAB"/>
    <w:rPr>
      <w:vertAlign w:val="superscript"/>
    </w:rPr>
  </w:style>
  <w:style w:type="paragraph" w:customStyle="1" w:styleId="Default">
    <w:name w:val="Default"/>
    <w:rsid w:val="0035714F"/>
    <w:pPr>
      <w:autoSpaceDE w:val="0"/>
      <w:autoSpaceDN w:val="0"/>
      <w:adjustRightInd w:val="0"/>
      <w:spacing w:after="0" w:line="240" w:lineRule="auto"/>
    </w:pPr>
    <w:rPr>
      <w:rFonts w:ascii="Fira Sans" w:hAnsi="Fira Sans" w:cs="Fira Sans"/>
      <w:color w:val="000000"/>
      <w:sz w:val="24"/>
      <w:szCs w:val="24"/>
    </w:rPr>
  </w:style>
  <w:style w:type="character" w:styleId="UyteHipercze">
    <w:name w:val="FollowedHyperlink"/>
    <w:basedOn w:val="Domylnaczcionkaakapitu"/>
    <w:uiPriority w:val="99"/>
    <w:semiHidden/>
    <w:unhideWhenUsed/>
    <w:rsid w:val="00FB7496"/>
    <w:rPr>
      <w:color w:val="954F72" w:themeColor="followedHyperlink"/>
      <w:u w:val="single"/>
    </w:rPr>
  </w:style>
  <w:style w:type="character" w:styleId="Odwoaniedokomentarza">
    <w:name w:val="annotation reference"/>
    <w:basedOn w:val="Domylnaczcionkaakapitu"/>
    <w:uiPriority w:val="99"/>
    <w:semiHidden/>
    <w:unhideWhenUsed/>
    <w:rsid w:val="00EA7859"/>
    <w:rPr>
      <w:sz w:val="16"/>
      <w:szCs w:val="16"/>
    </w:rPr>
  </w:style>
  <w:style w:type="paragraph" w:styleId="Tekstkomentarza">
    <w:name w:val="annotation text"/>
    <w:basedOn w:val="Normalny"/>
    <w:link w:val="TekstkomentarzaZnak"/>
    <w:uiPriority w:val="99"/>
    <w:semiHidden/>
    <w:unhideWhenUsed/>
    <w:rsid w:val="00EA78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7859"/>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A7859"/>
    <w:rPr>
      <w:b/>
      <w:bCs/>
    </w:rPr>
  </w:style>
  <w:style w:type="character" w:customStyle="1" w:styleId="TematkomentarzaZnak">
    <w:name w:val="Temat komentarza Znak"/>
    <w:basedOn w:val="TekstkomentarzaZnak"/>
    <w:link w:val="Tematkomentarza"/>
    <w:uiPriority w:val="99"/>
    <w:semiHidden/>
    <w:rsid w:val="00EA7859"/>
    <w:rPr>
      <w:rFonts w:ascii="Fira Sans" w:hAnsi="Fira Sans"/>
      <w:b/>
      <w:bCs/>
      <w:sz w:val="20"/>
      <w:szCs w:val="20"/>
    </w:rPr>
  </w:style>
  <w:style w:type="paragraph" w:styleId="NormalnyWeb">
    <w:name w:val="Normal (Web)"/>
    <w:basedOn w:val="Normalny"/>
    <w:uiPriority w:val="99"/>
    <w:unhideWhenUsed/>
    <w:rsid w:val="001603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konawskanika">
    <w:name w:val="Ikona wskaźnika"/>
    <w:basedOn w:val="Normalny"/>
    <w:link w:val="IkonawskanikaZnak"/>
    <w:qFormat/>
    <w:rsid w:val="002401DE"/>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2401DE"/>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2401DE"/>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2401DE"/>
    <w:rPr>
      <w:color w:val="FFFFFF" w:themeColor="background1"/>
    </w:rPr>
  </w:style>
  <w:style w:type="character" w:customStyle="1" w:styleId="WartowskanikaZnak">
    <w:name w:val="Wartość wskaźnika Znak"/>
    <w:basedOn w:val="Domylnaczcionkaakapitu"/>
    <w:link w:val="Wartowskanika"/>
    <w:rsid w:val="002401DE"/>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2401DE"/>
    <w:rPr>
      <w:rFonts w:ascii="Fira Sans" w:hAnsi="Fira Sans"/>
      <w:color w:val="FFFFFF" w:themeColor="background1"/>
      <w:sz w:val="20"/>
    </w:rPr>
  </w:style>
  <w:style w:type="paragraph" w:customStyle="1" w:styleId="Tytuinfomacjisygnalnej">
    <w:name w:val="Tytuł infomacji sygnalnej"/>
    <w:basedOn w:val="tytuinformacji"/>
    <w:link w:val="TytuinfomacjisygnalnejZnak"/>
    <w:qFormat/>
    <w:rsid w:val="002401DE"/>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2401DE"/>
    <w:rPr>
      <w:rFonts w:ascii="Fira Sans Extra Condensed SemiB" w:hAnsi="Fira Sans Extra Condensed SemiB"/>
      <w:color w:val="000000" w:themeColor="text1"/>
      <w:sz w:val="40"/>
      <w:szCs w:val="26"/>
    </w:rPr>
  </w:style>
  <w:style w:type="paragraph" w:customStyle="1" w:styleId="Lead">
    <w:name w:val="Lead"/>
    <w:basedOn w:val="LID"/>
    <w:link w:val="LeadZnak"/>
    <w:qFormat/>
    <w:rsid w:val="002401DE"/>
    <w:pPr>
      <w:spacing w:before="360"/>
    </w:pPr>
  </w:style>
  <w:style w:type="character" w:customStyle="1" w:styleId="LeadZnak">
    <w:name w:val="Lead Znak"/>
    <w:basedOn w:val="Domylnaczcionkaakapitu"/>
    <w:link w:val="Lead"/>
    <w:rsid w:val="002401DE"/>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915EC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915ECB"/>
    <w:rPr>
      <w:rFonts w:ascii="Fira Sans SemiBold" w:hAnsi="Fira Sans SemiBold"/>
      <w:color w:val="001D77"/>
      <w:sz w:val="20"/>
      <w:szCs w:val="20"/>
    </w:rPr>
  </w:style>
  <w:style w:type="paragraph" w:customStyle="1" w:styleId="Przypis">
    <w:name w:val="Przypis"/>
    <w:basedOn w:val="Tekstprzypisudolnego"/>
    <w:link w:val="PrzypisZnak"/>
    <w:qFormat/>
    <w:rsid w:val="00D54C9F"/>
    <w:pPr>
      <w:spacing w:before="240" w:after="240"/>
    </w:pPr>
    <w:rPr>
      <w:sz w:val="18"/>
      <w:szCs w:val="19"/>
      <w:shd w:val="clear" w:color="auto" w:fill="FFFFFF"/>
      <w:lang w:val="en-GB"/>
    </w:rPr>
  </w:style>
  <w:style w:type="character" w:customStyle="1" w:styleId="PrzypisZnak">
    <w:name w:val="Przypis Znak"/>
    <w:basedOn w:val="TekstprzypisudolnegoZnak"/>
    <w:link w:val="Przypis"/>
    <w:rsid w:val="00D54C9F"/>
    <w:rPr>
      <w:rFonts w:ascii="Fira Sans" w:hAnsi="Fira Sans"/>
      <w:sz w:val="18"/>
      <w:szCs w:val="19"/>
      <w:lang w:val="en-GB"/>
    </w:rPr>
  </w:style>
  <w:style w:type="paragraph" w:customStyle="1" w:styleId="Tytutablicy">
    <w:name w:val="Tytuł tablicy"/>
    <w:basedOn w:val="Nagwek1"/>
    <w:link w:val="TytutablicyZnak"/>
    <w:qFormat/>
    <w:rsid w:val="00404671"/>
    <w:pPr>
      <w:spacing w:before="360"/>
    </w:pPr>
    <w:rPr>
      <w:color w:val="000000" w:themeColor="text1"/>
      <w:szCs w:val="19"/>
    </w:rPr>
  </w:style>
  <w:style w:type="character" w:customStyle="1" w:styleId="TytutablicyZnak">
    <w:name w:val="Tytuł tablicy Znak"/>
    <w:basedOn w:val="Nagwek1Znak"/>
    <w:link w:val="Tytutablicy"/>
    <w:rsid w:val="00404671"/>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546F9B"/>
    <w:rPr>
      <w:rFonts w:eastAsia="Times New Roman" w:cs="Calibri"/>
      <w:szCs w:val="19"/>
      <w:lang w:eastAsia="pl-PL"/>
    </w:rPr>
  </w:style>
  <w:style w:type="paragraph" w:customStyle="1" w:styleId="Tablicagwkarodek">
    <w:name w:val="Tablica główka środek"/>
    <w:basedOn w:val="Normalny"/>
    <w:link w:val="TablicagwkarodekZnak"/>
    <w:qFormat/>
    <w:rsid w:val="00546F9B"/>
    <w:pPr>
      <w:jc w:val="center"/>
    </w:pPr>
    <w:rPr>
      <w:rFonts w:eastAsia="Times New Roman" w:cs="Calibri"/>
      <w:szCs w:val="19"/>
      <w:lang w:eastAsia="pl-PL"/>
    </w:rPr>
  </w:style>
  <w:style w:type="character" w:customStyle="1" w:styleId="TablicagwkaZnak">
    <w:name w:val="Tablica główka Znak"/>
    <w:basedOn w:val="Domylnaczcionkaakapitu"/>
    <w:link w:val="Tablicagwka"/>
    <w:rsid w:val="00546F9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546F9B"/>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546F9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546F9B"/>
    <w:rPr>
      <w:rFonts w:eastAsia="Times New Roman" w:cs="Calibri"/>
      <w:szCs w:val="19"/>
      <w:lang w:eastAsia="pl-PL"/>
    </w:rPr>
  </w:style>
  <w:style w:type="character" w:customStyle="1" w:styleId="TablicadanerodekZnak">
    <w:name w:val="Tablica dane środek Znak"/>
    <w:basedOn w:val="Domylnaczcionkaakapitu"/>
    <w:link w:val="Tablicadanerodek"/>
    <w:rsid w:val="00546F9B"/>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546F9B"/>
    <w:pPr>
      <w:ind w:firstLine="176"/>
    </w:pPr>
    <w:rPr>
      <w:szCs w:val="19"/>
    </w:rPr>
  </w:style>
  <w:style w:type="character" w:customStyle="1" w:styleId="TablicaboczekZnak">
    <w:name w:val="Tablica boczek Znak"/>
    <w:basedOn w:val="Domylnaczcionkaakapitu"/>
    <w:link w:val="Tablicaboczek"/>
    <w:rsid w:val="00546F9B"/>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546F9B"/>
    <w:pPr>
      <w:ind w:left="318"/>
    </w:pPr>
    <w:rPr>
      <w:szCs w:val="19"/>
    </w:rPr>
  </w:style>
  <w:style w:type="character" w:customStyle="1" w:styleId="Tablicaboczekwcicie1Znak">
    <w:name w:val="Tablica boczek wcięcie 1 Znak"/>
    <w:basedOn w:val="Domylnaczcionkaakapitu"/>
    <w:link w:val="Tablicaboczekwcicie1"/>
    <w:rsid w:val="00546F9B"/>
    <w:rPr>
      <w:rFonts w:ascii="Fira Sans" w:hAnsi="Fira Sans"/>
      <w:sz w:val="19"/>
      <w:szCs w:val="19"/>
    </w:rPr>
  </w:style>
  <w:style w:type="paragraph" w:customStyle="1" w:styleId="Tablicanotka">
    <w:name w:val="Tablica notka"/>
    <w:basedOn w:val="Normalny"/>
    <w:link w:val="TablicanotkaZnak"/>
    <w:qFormat/>
    <w:rsid w:val="00546F9B"/>
    <w:rPr>
      <w:noProof/>
      <w:spacing w:val="-2"/>
      <w:sz w:val="16"/>
      <w:szCs w:val="16"/>
    </w:rPr>
  </w:style>
  <w:style w:type="character" w:customStyle="1" w:styleId="Tablicaboczekwcicie2Znak">
    <w:name w:val="Tablica boczek wcięcie 2 Znak"/>
    <w:basedOn w:val="Domylnaczcionkaakapitu"/>
    <w:link w:val="Tablicaboczekwcicie2"/>
    <w:rsid w:val="00546F9B"/>
    <w:rPr>
      <w:rFonts w:ascii="Fira Sans" w:hAnsi="Fira Sans"/>
      <w:sz w:val="19"/>
      <w:szCs w:val="19"/>
    </w:rPr>
  </w:style>
  <w:style w:type="character" w:customStyle="1" w:styleId="TablicanotkaZnak">
    <w:name w:val="Tablica notka Znak"/>
    <w:basedOn w:val="Domylnaczcionkaakapitu"/>
    <w:link w:val="Tablicanotka"/>
    <w:rsid w:val="00546F9B"/>
    <w:rPr>
      <w:rFonts w:ascii="Fira Sans" w:hAnsi="Fira Sans"/>
      <w:noProof/>
      <w:spacing w:val="-2"/>
      <w:sz w:val="16"/>
      <w:szCs w:val="16"/>
    </w:rPr>
  </w:style>
  <w:style w:type="paragraph" w:customStyle="1" w:styleId="Tekstwypunktowania">
    <w:name w:val="Tekst wypunktowania"/>
    <w:basedOn w:val="Normalny"/>
    <w:link w:val="TekstwypunktowaniaZnak"/>
    <w:qFormat/>
    <w:rsid w:val="00546F9B"/>
    <w:pPr>
      <w:numPr>
        <w:ilvl w:val="1"/>
        <w:numId w:val="11"/>
      </w:numPr>
      <w:spacing w:after="0" w:line="276" w:lineRule="auto"/>
      <w:ind w:left="425" w:hanging="425"/>
    </w:pPr>
    <w:rPr>
      <w:shd w:val="clear" w:color="auto" w:fill="FFFFFF"/>
      <w:lang w:val="en-GB"/>
    </w:rPr>
  </w:style>
  <w:style w:type="paragraph" w:customStyle="1" w:styleId="Tytuwykresu0">
    <w:name w:val="Tytuł wykresu"/>
    <w:basedOn w:val="Nagwek1"/>
    <w:link w:val="TytuwykresuZnak"/>
    <w:qFormat/>
    <w:rsid w:val="00853816"/>
    <w:pPr>
      <w:spacing w:before="360"/>
    </w:pPr>
    <w:rPr>
      <w:noProof/>
      <w:color w:val="auto"/>
    </w:rPr>
  </w:style>
  <w:style w:type="character" w:customStyle="1" w:styleId="TekstwypunktowaniaZnak">
    <w:name w:val="Tekst wypunktowania Znak"/>
    <w:basedOn w:val="Domylnaczcionkaakapitu"/>
    <w:link w:val="Tekstwypunktowania"/>
    <w:rsid w:val="00546F9B"/>
    <w:rPr>
      <w:rFonts w:ascii="Fira Sans" w:hAnsi="Fira Sans"/>
      <w:sz w:val="19"/>
      <w:lang w:val="en-GB"/>
    </w:rPr>
  </w:style>
  <w:style w:type="character" w:customStyle="1" w:styleId="TytuwykresuZnak">
    <w:name w:val="Tytuł wykresu Znak"/>
    <w:basedOn w:val="Nagwek1Znak"/>
    <w:link w:val="Tytuwykresu0"/>
    <w:rsid w:val="00853816"/>
    <w:rPr>
      <w:rFonts w:ascii="Fira Sans" w:eastAsia="Times New Roman" w:hAnsi="Fira Sans" w:cs="Times New Roman"/>
      <w:b/>
      <w:bCs/>
      <w:noProof/>
      <w:color w:val="001D77"/>
      <w:sz w:val="19"/>
      <w:szCs w:val="24"/>
      <w:lang w:eastAsia="pl-PL"/>
    </w:rPr>
  </w:style>
  <w:style w:type="paragraph" w:styleId="Legenda">
    <w:name w:val="caption"/>
    <w:basedOn w:val="Normalny"/>
    <w:next w:val="Normalny"/>
    <w:uiPriority w:val="35"/>
    <w:unhideWhenUsed/>
    <w:qFormat/>
    <w:rsid w:val="005730ED"/>
    <w:pPr>
      <w:spacing w:before="0" w:after="200" w:line="240" w:lineRule="auto"/>
    </w:pPr>
    <w:rPr>
      <w:i/>
      <w:iCs/>
      <w:color w:val="44546A" w:themeColor="text2"/>
      <w:sz w:val="18"/>
      <w:szCs w:val="18"/>
    </w:rPr>
  </w:style>
  <w:style w:type="paragraph" w:styleId="Poprawka">
    <w:name w:val="Revision"/>
    <w:hidden/>
    <w:uiPriority w:val="99"/>
    <w:semiHidden/>
    <w:rsid w:val="00B72ED7"/>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9246">
      <w:bodyDiv w:val="1"/>
      <w:marLeft w:val="0"/>
      <w:marRight w:val="0"/>
      <w:marTop w:val="0"/>
      <w:marBottom w:val="0"/>
      <w:divBdr>
        <w:top w:val="none" w:sz="0" w:space="0" w:color="auto"/>
        <w:left w:val="none" w:sz="0" w:space="0" w:color="auto"/>
        <w:bottom w:val="none" w:sz="0" w:space="0" w:color="auto"/>
        <w:right w:val="none" w:sz="0" w:space="0" w:color="auto"/>
      </w:divBdr>
    </w:div>
    <w:div w:id="228733901">
      <w:bodyDiv w:val="1"/>
      <w:marLeft w:val="0"/>
      <w:marRight w:val="0"/>
      <w:marTop w:val="0"/>
      <w:marBottom w:val="0"/>
      <w:divBdr>
        <w:top w:val="none" w:sz="0" w:space="0" w:color="auto"/>
        <w:left w:val="none" w:sz="0" w:space="0" w:color="auto"/>
        <w:bottom w:val="none" w:sz="0" w:space="0" w:color="auto"/>
        <w:right w:val="none" w:sz="0" w:space="0" w:color="auto"/>
      </w:divBdr>
    </w:div>
    <w:div w:id="35457615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17235472">
      <w:bodyDiv w:val="1"/>
      <w:marLeft w:val="0"/>
      <w:marRight w:val="0"/>
      <w:marTop w:val="0"/>
      <w:marBottom w:val="0"/>
      <w:divBdr>
        <w:top w:val="none" w:sz="0" w:space="0" w:color="auto"/>
        <w:left w:val="none" w:sz="0" w:space="0" w:color="auto"/>
        <w:bottom w:val="none" w:sz="0" w:space="0" w:color="auto"/>
        <w:right w:val="none" w:sz="0" w:space="0" w:color="auto"/>
      </w:divBdr>
    </w:div>
    <w:div w:id="5310002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7056514">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yperlink" Target="https://x.com/StatPoland" TargetMode="External"/><Relationship Id="rId34" Type="http://schemas.openxmlformats.org/officeDocument/2006/relationships/hyperlink" Target="https://stat.gov.pl/en/metainformation/glossary/terms-used-in-official-statistics/44,term.html" TargetMode="External"/><Relationship Id="rId7" Type="http://schemas.openxmlformats.org/officeDocument/2006/relationships/endnotes" Target="endnotes.xml"/><Relationship Id="rId12" Type="http://schemas.openxmlformats.org/officeDocument/2006/relationships/hyperlink" Target="https://ec.europa.eu/eurostat/databrowser/view/ei_lmlc_q/default/table?lang=en&amp;category=euroind.ei_lm" TargetMode="External"/><Relationship Id="rId17" Type="http://schemas.openxmlformats.org/officeDocument/2006/relationships/hyperlink" Target="mailto:obslugaprasowa@stat.gov.pl" TargetMode="External"/><Relationship Id="rId25" Type="http://schemas.openxmlformats.org/officeDocument/2006/relationships/hyperlink" Target="https://www.instagram.com/gus_stat/?next" TargetMode="External"/><Relationship Id="rId33" Type="http://schemas.openxmlformats.org/officeDocument/2006/relationships/hyperlink" Target="https://bdm.stat.gov.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0.png"/><Relationship Id="rId32" Type="http://schemas.openxmlformats.org/officeDocument/2006/relationships/hyperlink" Target="https://stat.gov.pl/en/metainformation/glossary/terms-used-in-official-statistics/1495,term.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facebook.com/GlownyUrzadStatystyczny" TargetMode="External"/><Relationship Id="rId28" Type="http://schemas.openxmlformats.org/officeDocument/2006/relationships/hyperlink" Target="https://www.linkedin.com/company/glownyurzadstatystyczny/" TargetMode="External"/><Relationship Id="rId36" Type="http://schemas.openxmlformats.org/officeDocument/2006/relationships/header" Target="header3.xml"/><Relationship Id="rId10" Type="http://schemas.openxmlformats.org/officeDocument/2006/relationships/hyperlink" Target="https://ec.europa.eu/eurostat/databrowser/view/ei_lmlc_q/default/table?lang=en&amp;category=euroind.ei_lm" TargetMode="External"/><Relationship Id="rId19" Type="http://schemas.openxmlformats.org/officeDocument/2006/relationships/hyperlink" Target="https://new.stat.gov.pl/en" TargetMode="External"/><Relationship Id="rId31" Type="http://schemas.openxmlformats.org/officeDocument/2006/relationships/hyperlink" Target="https://dbw.stat.gov.pl/en/dashboard/21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youtube.com/@glownyurzadstatystycznygus?si=IgHa1awoYniiJyQI" TargetMode="External"/><Relationship Id="rId30" Type="http://schemas.openxmlformats.org/officeDocument/2006/relationships/hyperlink" Target="https://ec.europa.eu/eurostat/databrowser/view/lc_lci_r2_q/default/table?lang=en" TargetMode="External"/><Relationship Id="rId35" Type="http://schemas.openxmlformats.org/officeDocument/2006/relationships/hyperlink" Target="https://stat.gov.pl/en/metainformation/glossary/terms-used-in-official-statistics/156,term.html" TargetMode="Externa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CFAF3-3752-4B15-95F0-0B7D0E11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1125</Words>
  <Characters>6753</Characters>
  <DocSecurity>0</DocSecurity>
  <Lines>56</Lines>
  <Paragraphs>15</Paragraphs>
  <ScaleCrop>false</ScaleCrop>
  <HeadingPairs>
    <vt:vector size="2" baseType="variant">
      <vt:variant>
        <vt:lpstr>Tytuł</vt:lpstr>
      </vt:variant>
      <vt:variant>
        <vt:i4>1</vt:i4>
      </vt:variant>
    </vt:vector>
  </HeadingPairs>
  <TitlesOfParts>
    <vt:vector size="1" baseType="lpstr">
      <vt:lpstr>Labour cost index</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cost index</dc:title>
  <dc:subject/>
  <dc:creator>Statistics Poland</dc:creator>
  <cp:keywords/>
  <dc:description/>
  <cp:lastModifiedBy/>
  <dcterms:created xsi:type="dcterms:W3CDTF">2026-04-08T05:41:00Z</dcterms:created>
  <dcterms:modified xsi:type="dcterms:W3CDTF">2026-04-17T11:48:00Z</dcterms:modified>
</cp:coreProperties>
</file>