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4F638C0D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208F8186" w14:textId="5A88FE4F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of sold production of industry in </w:t>
      </w:r>
      <w:r w:rsidR="0076369F">
        <w:rPr>
          <w:shd w:val="clear" w:color="auto" w:fill="FFFFFF"/>
          <w:lang w:val="en-GB"/>
        </w:rPr>
        <w:t>August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BE0E63">
        <w:rPr>
          <w:shd w:val="clear" w:color="auto" w:fill="FFFFFF"/>
          <w:lang w:val="en-GB"/>
        </w:rPr>
        <w:t>5</w:t>
      </w:r>
      <w:r w:rsidR="003556E3">
        <w:rPr>
          <w:shd w:val="clear" w:color="auto" w:fill="FFFFFF"/>
          <w:vertAlign w:val="superscript"/>
          <w:lang w:val="en-GB"/>
        </w:rPr>
        <w:t>1</w:t>
      </w:r>
      <w:r>
        <w:rPr>
          <w:sz w:val="32"/>
          <w:lang w:val="en-GB"/>
        </w:rPr>
        <w:tab/>
      </w:r>
    </w:p>
    <w:p w14:paraId="13B5EE17" w14:textId="593AE520" w:rsidR="00BE0E63" w:rsidRDefault="007C353C" w:rsidP="002B0CDD">
      <w:pPr>
        <w:pStyle w:val="LID"/>
        <w:spacing w:before="360"/>
        <w:rPr>
          <w:lang w:val="en-GB"/>
        </w:rPr>
      </w:pPr>
      <w:r w:rsidRPr="00BE0E6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2043264" behindDoc="1" locked="0" layoutInCell="1" allowOverlap="1" wp14:anchorId="7AB46CFB" wp14:editId="036E1E02">
                <wp:simplePos x="0" y="0"/>
                <wp:positionH relativeFrom="column">
                  <wp:posOffset>5233670</wp:posOffset>
                </wp:positionH>
                <wp:positionV relativeFrom="paragraph">
                  <wp:posOffset>67945</wp:posOffset>
                </wp:positionV>
                <wp:extent cx="1704340" cy="1084580"/>
                <wp:effectExtent l="0" t="0" r="0" b="1270"/>
                <wp:wrapTight wrapText="bothSides">
                  <wp:wrapPolygon edited="0">
                    <wp:start x="724" y="0"/>
                    <wp:lineTo x="724" y="21246"/>
                    <wp:lineTo x="20763" y="21246"/>
                    <wp:lineTo x="20763" y="0"/>
                    <wp:lineTo x="724" y="0"/>
                  </wp:wrapPolygon>
                </wp:wrapTight>
                <wp:docPr id="8" name="Pole tekstowe 2" descr="A slight y/y increase in sold production and a decrease compared to July 2025 was caused by, among others, differences in the number of working day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1084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EDE05" w14:textId="13AA0BB4" w:rsidR="0076369F" w:rsidRPr="00603077" w:rsidRDefault="003117DA" w:rsidP="0076369F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A slight</w:t>
                            </w:r>
                            <w:r w:rsidR="0076369F" w:rsidRPr="0060307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76369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y/y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increase</w:t>
                            </w:r>
                            <w:r w:rsidR="0076369F" w:rsidRPr="0060307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in sold production </w:t>
                            </w:r>
                            <w:r w:rsidR="00803F4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and a decrease compared to July 2025</w:t>
                            </w:r>
                            <w:r w:rsidR="0076369F" w:rsidRPr="0060307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was caused </w:t>
                            </w:r>
                            <w:r w:rsidR="002A635F" w:rsidRPr="0060307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by</w:t>
                            </w:r>
                            <w:r w:rsidR="002A635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, among others, </w:t>
                            </w:r>
                            <w:r w:rsidR="002A635F" w:rsidRPr="002A635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differences in the number of working days</w:t>
                            </w:r>
                          </w:p>
                          <w:p w14:paraId="076F3F60" w14:textId="77777777" w:rsidR="00FB2C94" w:rsidRPr="009D604E" w:rsidRDefault="00FB2C94" w:rsidP="00FB2C9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46CF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A slight y/y increase in sold production and a decrease compared to July 2025 was caused by, among others, differences in the number of working days" style="position:absolute;margin-left:412.1pt;margin-top:5.35pt;width:134.2pt;height:85.4pt;z-index:-251273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" filled="f" stroked="f">
                <v:textbox>
                  <w:txbxContent>
                    <w:p w14:paraId="0ABEDE05" w14:textId="13AA0BB4" w:rsidR="0076369F" w:rsidRPr="00603077" w:rsidRDefault="003117DA" w:rsidP="0076369F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A slight</w:t>
                      </w:r>
                      <w:r w:rsidR="0076369F" w:rsidRPr="0060307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76369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y/y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increase</w:t>
                      </w:r>
                      <w:r w:rsidR="0076369F" w:rsidRPr="0060307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in sold production </w:t>
                      </w:r>
                      <w:r w:rsidR="00803F4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and a decrease compared to July 2025</w:t>
                      </w:r>
                      <w:r w:rsidR="0076369F" w:rsidRPr="0060307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was caused </w:t>
                      </w:r>
                      <w:r w:rsidR="002A635F" w:rsidRPr="0060307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by</w:t>
                      </w:r>
                      <w:r w:rsidR="002A635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, among others, </w:t>
                      </w:r>
                      <w:r w:rsidR="002A635F" w:rsidRPr="002A635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differences in the number of working days</w:t>
                      </w:r>
                    </w:p>
                    <w:p w14:paraId="076F3F60" w14:textId="77777777" w:rsidR="00FB2C94" w:rsidRPr="009D604E" w:rsidRDefault="00FB2C94" w:rsidP="00FB2C94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66F2C"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3B30D83D">
                <wp:simplePos x="0" y="0"/>
                <wp:positionH relativeFrom="margin">
                  <wp:posOffset>31750</wp:posOffset>
                </wp:positionH>
                <wp:positionV relativeFrom="paragraph">
                  <wp:posOffset>220345</wp:posOffset>
                </wp:positionV>
                <wp:extent cx="2202815" cy="1339850"/>
                <wp:effectExtent l="0" t="0" r="6985" b="0"/>
                <wp:wrapSquare wrapText="bothSides"/>
                <wp:docPr id="2" name="Pole tekstowe 2" descr="0.7%&#10;Increase in sold production of industry as compared to August 2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0CB5DF94" w:rsidR="00E66F2C" w:rsidRPr="00DC4A61" w:rsidRDefault="00E42BB2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F63DCD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283425" w:rsidRPr="00283425">
                              <w:rPr>
                                <w:rStyle w:val="Ikona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 w:rsidR="0076369F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0.7</w:t>
                            </w:r>
                            <w:r w:rsidR="00E66F2C" w:rsidRPr="00DC4A6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C20F358" w14:textId="7B503518" w:rsidR="00E66F2C" w:rsidRPr="00A84C79" w:rsidRDefault="00E42BB2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In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         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76369F">
                              <w:rPr>
                                <w:sz w:val="20"/>
                                <w:lang w:val="en-US"/>
                              </w:rPr>
                              <w:t>August</w:t>
                            </w:r>
                            <w:r w:rsidR="00BE0E63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>202</w:t>
                            </w:r>
                            <w:r w:rsidR="00913F94">
                              <w:rPr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  <w:p w14:paraId="632BCC0C" w14:textId="77777777" w:rsidR="00E66F2C" w:rsidRPr="00524711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_x0000_s1027" alt="0.7%&#10;Increase in sold production of industry as compared to August 2024" style="position:absolute;margin-left:2.5pt;margin-top:17.35pt;width:173.4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" fillcolor="#001d77" stroked="f">
                <v:stroke joinstyle="miter"/>
                <v:textbox>
                  <w:txbxContent>
                    <w:p w14:paraId="56629F65" w14:textId="0CB5DF94" w:rsidR="00E66F2C" w:rsidRPr="00DC4A61" w:rsidRDefault="00E42BB2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F63DCD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283425" w:rsidRPr="00283425">
                        <w:rPr>
                          <w:rStyle w:val="IkonawskanikaZnak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 w:rsidR="0076369F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0.7</w:t>
                      </w:r>
                      <w:r w:rsidR="00E66F2C" w:rsidRPr="00DC4A6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C20F358" w14:textId="7B503518" w:rsidR="00E66F2C" w:rsidRPr="00A84C79" w:rsidRDefault="00E42BB2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GB"/>
                        </w:rPr>
                        <w:t>In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         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76369F">
                        <w:rPr>
                          <w:sz w:val="20"/>
                          <w:lang w:val="en-US"/>
                        </w:rPr>
                        <w:t>August</w:t>
                      </w:r>
                      <w:r w:rsidR="00BE0E63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>
                        <w:rPr>
                          <w:sz w:val="20"/>
                          <w:lang w:val="en-US"/>
                        </w:rPr>
                        <w:t>202</w:t>
                      </w:r>
                      <w:r w:rsidR="00913F94">
                        <w:rPr>
                          <w:sz w:val="20"/>
                          <w:lang w:val="en-US"/>
                        </w:rPr>
                        <w:t>4</w:t>
                      </w:r>
                    </w:p>
                    <w:p w14:paraId="632BCC0C" w14:textId="77777777" w:rsidR="00E66F2C" w:rsidRPr="00524711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0" w:name="_Hlk117062638"/>
      <w:r w:rsidR="00B6381E">
        <w:rPr>
          <w:lang w:val="en-GB"/>
        </w:rPr>
        <w:t xml:space="preserve">In </w:t>
      </w:r>
      <w:r w:rsidR="0076369F">
        <w:rPr>
          <w:lang w:val="en-GB"/>
        </w:rPr>
        <w:t>August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BE0E63">
        <w:rPr>
          <w:lang w:val="en-GB"/>
        </w:rPr>
        <w:t>5</w:t>
      </w:r>
      <w:r w:rsidR="00BB33B9" w:rsidRPr="00C52703">
        <w:rPr>
          <w:lang w:val="en-GB"/>
        </w:rPr>
        <w:t xml:space="preserve">, sold production of industry was by </w:t>
      </w:r>
      <w:r w:rsidR="0076369F">
        <w:rPr>
          <w:lang w:val="en-GB"/>
        </w:rPr>
        <w:t>0.7</w:t>
      </w:r>
      <w:r w:rsidR="00023F9C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E42BB2">
        <w:rPr>
          <w:lang w:val="en-GB"/>
        </w:rPr>
        <w:t>higher</w:t>
      </w:r>
      <w:r w:rsidR="006A6D1B">
        <w:rPr>
          <w:lang w:val="en-GB"/>
        </w:rPr>
        <w:t xml:space="preserve"> </w:t>
      </w:r>
      <w:r w:rsidR="00BE0AC3">
        <w:rPr>
          <w:lang w:val="en-GB"/>
        </w:rPr>
        <w:t>than in</w:t>
      </w:r>
      <w:r w:rsidR="00BE0E63">
        <w:rPr>
          <w:lang w:val="en-GB"/>
        </w:rPr>
        <w:t xml:space="preserve"> </w:t>
      </w:r>
      <w:r w:rsidR="0076369F">
        <w:rPr>
          <w:lang w:val="en-GB"/>
        </w:rPr>
        <w:t>August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BE0E63">
        <w:rPr>
          <w:lang w:val="en-GB"/>
        </w:rPr>
        <w:t>4</w:t>
      </w:r>
      <w:r w:rsidR="00E42BB2">
        <w:rPr>
          <w:lang w:val="en-GB"/>
        </w:rPr>
        <w:t xml:space="preserve"> (</w:t>
      </w:r>
      <w:r w:rsidR="00E42BB2">
        <w:rPr>
          <w:spacing w:val="-2"/>
          <w:lang w:val="en-GB"/>
        </w:rPr>
        <w:t>when a</w:t>
      </w:r>
      <w:r w:rsidR="0076369F">
        <w:rPr>
          <w:spacing w:val="-2"/>
          <w:lang w:val="en-GB"/>
        </w:rPr>
        <w:t xml:space="preserve"> de</w:t>
      </w:r>
      <w:r w:rsidR="00E42BB2">
        <w:rPr>
          <w:spacing w:val="-2"/>
          <w:lang w:val="en-GB"/>
        </w:rPr>
        <w:t xml:space="preserve">crease was recorded by </w:t>
      </w:r>
      <w:r w:rsidR="0076369F">
        <w:rPr>
          <w:spacing w:val="-2"/>
          <w:lang w:val="en-GB"/>
        </w:rPr>
        <w:t>1</w:t>
      </w:r>
      <w:r w:rsidR="00E42BB2">
        <w:rPr>
          <w:spacing w:val="-2"/>
          <w:lang w:val="en-GB"/>
        </w:rPr>
        <w:t>.2%)</w:t>
      </w:r>
      <w:r w:rsidR="00524711">
        <w:rPr>
          <w:lang w:val="en-GB"/>
        </w:rPr>
        <w:t>,</w:t>
      </w:r>
      <w:r w:rsidR="00524711" w:rsidRPr="00E337D4">
        <w:rPr>
          <w:spacing w:val="-2"/>
          <w:lang w:val="en-GB"/>
        </w:rPr>
        <w:t xml:space="preserve"> </w:t>
      </w:r>
      <w:r w:rsidR="00BE0AC3" w:rsidRPr="00E337D4">
        <w:rPr>
          <w:spacing w:val="-2"/>
          <w:lang w:val="en-GB"/>
        </w:rPr>
        <w:t xml:space="preserve">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E42BB2">
        <w:rPr>
          <w:spacing w:val="-2"/>
          <w:lang w:val="en-GB"/>
        </w:rPr>
        <w:t>J</w:t>
      </w:r>
      <w:r w:rsidR="0076369F">
        <w:rPr>
          <w:spacing w:val="-2"/>
          <w:lang w:val="en-GB"/>
        </w:rPr>
        <w:t>uly</w:t>
      </w:r>
      <w:r w:rsidR="00BE0AC3">
        <w:rPr>
          <w:spacing w:val="-2"/>
          <w:lang w:val="en-GB"/>
        </w:rPr>
        <w:t xml:space="preserve"> 202</w:t>
      </w:r>
      <w:r w:rsidR="005643BB">
        <w:rPr>
          <w:spacing w:val="-2"/>
          <w:lang w:val="en-GB"/>
        </w:rPr>
        <w:t>5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it</w:t>
      </w:r>
      <w:r w:rsidR="00A34495">
        <w:rPr>
          <w:spacing w:val="-2"/>
          <w:lang w:val="en-GB"/>
        </w:rPr>
        <w:t> </w:t>
      </w:r>
      <w:r w:rsidR="0076369F">
        <w:rPr>
          <w:spacing w:val="-2"/>
          <w:lang w:val="en-GB"/>
        </w:rPr>
        <w:t>de</w:t>
      </w:r>
      <w:r w:rsidR="00BE0AC3" w:rsidRPr="00E80B7A">
        <w:rPr>
          <w:spacing w:val="-2"/>
          <w:lang w:val="en-GB"/>
        </w:rPr>
        <w:t>creased</w:t>
      </w:r>
      <w:r w:rsidR="00502A44">
        <w:rPr>
          <w:spacing w:val="-2"/>
          <w:lang w:val="en-GB"/>
        </w:rPr>
        <w:t xml:space="preserve"> </w:t>
      </w:r>
      <w:r w:rsidR="00BE0AC3" w:rsidRPr="000640BF">
        <w:rPr>
          <w:spacing w:val="-2"/>
          <w:lang w:val="en-GB"/>
        </w:rPr>
        <w:t>by</w:t>
      </w:r>
      <w:r w:rsidR="0076369F">
        <w:rPr>
          <w:spacing w:val="-2"/>
          <w:lang w:val="en-GB"/>
        </w:rPr>
        <w:t xml:space="preserve"> 7.1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0"/>
      <w:r w:rsidR="005643BB">
        <w:rPr>
          <w:lang w:val="en-GB"/>
        </w:rPr>
        <w:t>In</w:t>
      </w:r>
      <w:r w:rsidR="00F900C6">
        <w:rPr>
          <w:lang w:val="en-GB"/>
        </w:rPr>
        <w:t> </w:t>
      </w:r>
      <w:r w:rsidR="005643BB">
        <w:rPr>
          <w:lang w:val="en-GB"/>
        </w:rPr>
        <w:t>the period January-</w:t>
      </w:r>
      <w:r w:rsidR="0076369F">
        <w:rPr>
          <w:lang w:val="en-GB"/>
        </w:rPr>
        <w:t>August</w:t>
      </w:r>
      <w:r w:rsidR="005643BB">
        <w:rPr>
          <w:lang w:val="en-GB"/>
        </w:rPr>
        <w:t xml:space="preserve"> of 2025</w:t>
      </w:r>
      <w:r w:rsidR="005643BB" w:rsidRPr="00C52703">
        <w:rPr>
          <w:lang w:val="en-GB"/>
        </w:rPr>
        <w:t xml:space="preserve">, sold production of industry was </w:t>
      </w:r>
      <w:r w:rsidR="005643BB">
        <w:rPr>
          <w:lang w:val="en-GB"/>
        </w:rPr>
        <w:t xml:space="preserve">by </w:t>
      </w:r>
      <w:r w:rsidR="00E42BB2">
        <w:rPr>
          <w:lang w:val="en-GB"/>
        </w:rPr>
        <w:t>2.</w:t>
      </w:r>
      <w:r w:rsidR="0076369F">
        <w:rPr>
          <w:lang w:val="en-GB"/>
        </w:rPr>
        <w:t>0</w:t>
      </w:r>
      <w:r w:rsidR="005643BB" w:rsidRPr="00C52703">
        <w:rPr>
          <w:lang w:val="en-GB"/>
        </w:rPr>
        <w:t xml:space="preserve">% </w:t>
      </w:r>
      <w:r w:rsidR="00E26DD0">
        <w:rPr>
          <w:lang w:val="en-GB"/>
        </w:rPr>
        <w:t>higher</w:t>
      </w:r>
      <w:r w:rsidR="005643BB" w:rsidRPr="00C52703">
        <w:rPr>
          <w:lang w:val="en-GB"/>
        </w:rPr>
        <w:t xml:space="preserve"> than in </w:t>
      </w:r>
      <w:r w:rsidR="005643BB">
        <w:rPr>
          <w:lang w:val="en-GB"/>
        </w:rPr>
        <w:t>the corresponding period of 2024</w:t>
      </w:r>
      <w:r w:rsidR="005643BB" w:rsidRPr="00B3364F">
        <w:rPr>
          <w:lang w:val="en-GB"/>
        </w:rPr>
        <w:t xml:space="preserve"> </w:t>
      </w:r>
      <w:r w:rsidR="00505C52">
        <w:rPr>
          <w:lang w:val="en-GB"/>
        </w:rPr>
        <w:t>(</w:t>
      </w:r>
      <w:r w:rsidR="005643BB" w:rsidRPr="00C52703">
        <w:rPr>
          <w:lang w:val="en-GB"/>
        </w:rPr>
        <w:t xml:space="preserve">which saw </w:t>
      </w:r>
      <w:r w:rsidR="00204D3C">
        <w:rPr>
          <w:lang w:val="en-GB"/>
        </w:rPr>
        <w:t>an</w:t>
      </w:r>
      <w:r w:rsidR="009146AB">
        <w:rPr>
          <w:lang w:val="en-GB"/>
        </w:rPr>
        <w:t> </w:t>
      </w:r>
      <w:r w:rsidR="00204D3C">
        <w:rPr>
          <w:lang w:val="en-GB"/>
        </w:rPr>
        <w:t>in</w:t>
      </w:r>
      <w:r w:rsidR="005643BB">
        <w:rPr>
          <w:lang w:val="en-GB"/>
        </w:rPr>
        <w:t>crease</w:t>
      </w:r>
      <w:r w:rsidR="00AC6BCE">
        <w:rPr>
          <w:lang w:val="en-GB"/>
        </w:rPr>
        <w:t xml:space="preserve"> </w:t>
      </w:r>
      <w:r w:rsidR="005643BB">
        <w:rPr>
          <w:lang w:val="en-GB"/>
        </w:rPr>
        <w:t xml:space="preserve">by </w:t>
      </w:r>
      <w:r w:rsidR="00E26DD0">
        <w:rPr>
          <w:lang w:val="en-GB"/>
        </w:rPr>
        <w:t>0.</w:t>
      </w:r>
      <w:r w:rsidR="0076369F">
        <w:rPr>
          <w:lang w:val="en-GB"/>
        </w:rPr>
        <w:t>4</w:t>
      </w:r>
      <w:r w:rsidR="005643BB" w:rsidRPr="00C52703">
        <w:rPr>
          <w:lang w:val="en-GB"/>
        </w:rPr>
        <w:t>%</w:t>
      </w:r>
      <w:r w:rsidR="00505C52">
        <w:rPr>
          <w:lang w:val="en-GB"/>
        </w:rPr>
        <w:t>)</w:t>
      </w:r>
      <w:r w:rsidR="005B1300">
        <w:rPr>
          <w:lang w:val="en-GB"/>
        </w:rPr>
        <w:t>.</w:t>
      </w:r>
      <w:bookmarkStart w:id="1" w:name="_GoBack"/>
      <w:bookmarkEnd w:id="1"/>
    </w:p>
    <w:p w14:paraId="35B0C28A" w14:textId="31222112" w:rsidR="00BE0E63" w:rsidRDefault="00BE0E63" w:rsidP="002B0CDD">
      <w:pPr>
        <w:pStyle w:val="LID"/>
        <w:spacing w:before="360"/>
        <w:rPr>
          <w:lang w:val="en-GB"/>
        </w:rPr>
      </w:pPr>
    </w:p>
    <w:p w14:paraId="303DE366" w14:textId="014BF4E9" w:rsidR="003627E7" w:rsidRPr="00BE0E63" w:rsidRDefault="00BB33B9" w:rsidP="00BE0E63">
      <w:pPr>
        <w:pStyle w:val="LID"/>
        <w:jc w:val="both"/>
        <w:rPr>
          <w:spacing w:val="-2"/>
          <w:lang w:val="en-GB"/>
        </w:rPr>
      </w:pPr>
      <w:r w:rsidRPr="00BE0E63">
        <w:rPr>
          <w:b w:val="0"/>
          <w:spacing w:val="-2"/>
          <w:lang w:val="en-GB"/>
        </w:rPr>
        <w:t>After eliminating the seasonal factors, in</w:t>
      </w:r>
      <w:r w:rsidR="003648E0">
        <w:rPr>
          <w:b w:val="0"/>
          <w:spacing w:val="-2"/>
          <w:lang w:val="en-GB"/>
        </w:rPr>
        <w:t xml:space="preserve"> </w:t>
      </w:r>
      <w:r w:rsidR="0076369F">
        <w:rPr>
          <w:b w:val="0"/>
          <w:spacing w:val="-2"/>
          <w:lang w:val="en-GB"/>
        </w:rPr>
        <w:t>August</w:t>
      </w:r>
      <w:r w:rsidR="00607D7C" w:rsidRPr="00BE0E63">
        <w:rPr>
          <w:b w:val="0"/>
          <w:spacing w:val="-2"/>
          <w:lang w:val="en-GB"/>
        </w:rPr>
        <w:t xml:space="preserve"> </w:t>
      </w:r>
      <w:r w:rsidR="002C5475" w:rsidRPr="00BE0E63">
        <w:rPr>
          <w:b w:val="0"/>
          <w:spacing w:val="-2"/>
          <w:lang w:val="en-GB"/>
        </w:rPr>
        <w:t>202</w:t>
      </w:r>
      <w:r w:rsidR="00283425">
        <w:rPr>
          <w:b w:val="0"/>
          <w:spacing w:val="-2"/>
          <w:lang w:val="en-GB"/>
        </w:rPr>
        <w:t>5</w:t>
      </w:r>
      <w:r w:rsidRPr="00BE0E63">
        <w:rPr>
          <w:b w:val="0"/>
          <w:spacing w:val="-2"/>
          <w:lang w:val="en-GB"/>
        </w:rPr>
        <w:t xml:space="preserve"> sold production of industry reached the level </w:t>
      </w:r>
      <w:r w:rsidR="00570E6F">
        <w:rPr>
          <w:b w:val="0"/>
          <w:spacing w:val="-2"/>
          <w:lang w:val="en-GB"/>
        </w:rPr>
        <w:t>high</w:t>
      </w:r>
      <w:r w:rsidR="003648E0">
        <w:rPr>
          <w:b w:val="0"/>
          <w:spacing w:val="-2"/>
          <w:lang w:val="en-GB"/>
        </w:rPr>
        <w:t>er</w:t>
      </w:r>
      <w:r w:rsidR="0019680B" w:rsidRPr="00BE0E63">
        <w:rPr>
          <w:b w:val="0"/>
          <w:spacing w:val="-2"/>
          <w:lang w:val="en-GB"/>
        </w:rPr>
        <w:t xml:space="preserve"> </w:t>
      </w:r>
      <w:r w:rsidR="00287A47" w:rsidRPr="00BE0E63">
        <w:rPr>
          <w:b w:val="0"/>
          <w:spacing w:val="-2"/>
          <w:lang w:val="en-GB"/>
        </w:rPr>
        <w:t xml:space="preserve">by </w:t>
      </w:r>
      <w:r w:rsidR="00E42BB2">
        <w:rPr>
          <w:b w:val="0"/>
          <w:spacing w:val="-2"/>
          <w:lang w:val="en-GB"/>
        </w:rPr>
        <w:t>1</w:t>
      </w:r>
      <w:r w:rsidR="00D37C52">
        <w:rPr>
          <w:b w:val="0"/>
          <w:spacing w:val="-2"/>
          <w:lang w:val="en-GB"/>
        </w:rPr>
        <w:t>.</w:t>
      </w:r>
      <w:r w:rsidR="0076369F">
        <w:rPr>
          <w:b w:val="0"/>
          <w:spacing w:val="-2"/>
          <w:lang w:val="en-GB"/>
        </w:rPr>
        <w:t>5</w:t>
      </w:r>
      <w:r w:rsidRPr="00BE0E63">
        <w:rPr>
          <w:b w:val="0"/>
          <w:spacing w:val="-2"/>
          <w:lang w:val="en-GB"/>
        </w:rPr>
        <w:t>% than in the corresp</w:t>
      </w:r>
      <w:r w:rsidR="002C5475" w:rsidRPr="00BE0E63">
        <w:rPr>
          <w:b w:val="0"/>
          <w:spacing w:val="-2"/>
          <w:lang w:val="en-GB"/>
        </w:rPr>
        <w:t>onding month of 202</w:t>
      </w:r>
      <w:r w:rsidR="00283425">
        <w:rPr>
          <w:b w:val="0"/>
          <w:spacing w:val="-2"/>
          <w:lang w:val="en-GB"/>
        </w:rPr>
        <w:t>4</w:t>
      </w:r>
      <w:r w:rsidR="0019680B" w:rsidRPr="00BE0E63">
        <w:rPr>
          <w:b w:val="0"/>
          <w:spacing w:val="-2"/>
          <w:lang w:val="en-GB"/>
        </w:rPr>
        <w:t xml:space="preserve"> and by </w:t>
      </w:r>
      <w:r w:rsidR="00790D2D">
        <w:rPr>
          <w:b w:val="0"/>
          <w:spacing w:val="-2"/>
          <w:lang w:val="en-GB"/>
        </w:rPr>
        <w:t>0.</w:t>
      </w:r>
      <w:r w:rsidR="0076369F">
        <w:rPr>
          <w:b w:val="0"/>
          <w:spacing w:val="-2"/>
          <w:lang w:val="en-GB"/>
        </w:rPr>
        <w:t>1</w:t>
      </w:r>
      <w:r w:rsidRPr="00BE0E63">
        <w:rPr>
          <w:b w:val="0"/>
          <w:spacing w:val="-2"/>
          <w:lang w:val="en-GB"/>
        </w:rPr>
        <w:t>%</w:t>
      </w:r>
      <w:r w:rsidR="00BC360F" w:rsidRPr="00BE0E63">
        <w:rPr>
          <w:b w:val="0"/>
          <w:spacing w:val="-2"/>
          <w:lang w:val="en-GB"/>
        </w:rPr>
        <w:t xml:space="preserve"> </w:t>
      </w:r>
      <w:r w:rsidR="0076369F">
        <w:rPr>
          <w:b w:val="0"/>
          <w:spacing w:val="-2"/>
          <w:lang w:val="en-GB"/>
        </w:rPr>
        <w:t>lower</w:t>
      </w:r>
      <w:r w:rsidRPr="00BE0E63">
        <w:rPr>
          <w:b w:val="0"/>
          <w:spacing w:val="-2"/>
          <w:lang w:val="en-GB"/>
        </w:rPr>
        <w:t xml:space="preserve"> </w:t>
      </w:r>
      <w:r w:rsidR="000402E7">
        <w:rPr>
          <w:b w:val="0"/>
          <w:spacing w:val="-2"/>
          <w:lang w:val="en-GB"/>
        </w:rPr>
        <w:t>than in</w:t>
      </w:r>
      <w:r w:rsidR="00790D2D">
        <w:rPr>
          <w:b w:val="0"/>
          <w:spacing w:val="-2"/>
          <w:lang w:val="en-GB"/>
        </w:rPr>
        <w:t xml:space="preserve"> </w:t>
      </w:r>
      <w:r w:rsidR="00E42BB2">
        <w:rPr>
          <w:b w:val="0"/>
          <w:spacing w:val="-2"/>
          <w:lang w:val="en-GB"/>
        </w:rPr>
        <w:t>Ju</w:t>
      </w:r>
      <w:r w:rsidR="0076369F">
        <w:rPr>
          <w:b w:val="0"/>
          <w:spacing w:val="-2"/>
          <w:lang w:val="en-GB"/>
        </w:rPr>
        <w:t>ly</w:t>
      </w:r>
      <w:r w:rsidR="00D12C32" w:rsidRPr="00BE0E63">
        <w:rPr>
          <w:b w:val="0"/>
          <w:spacing w:val="-2"/>
          <w:lang w:val="en-GB"/>
        </w:rPr>
        <w:t xml:space="preserve"> </w:t>
      </w:r>
      <w:r w:rsidR="002C5475" w:rsidRPr="00BE0E63">
        <w:rPr>
          <w:b w:val="0"/>
          <w:spacing w:val="-2"/>
          <w:lang w:val="en-GB"/>
        </w:rPr>
        <w:t>202</w:t>
      </w:r>
      <w:r w:rsidR="005643BB">
        <w:rPr>
          <w:b w:val="0"/>
          <w:spacing w:val="-2"/>
          <w:lang w:val="en-GB"/>
        </w:rPr>
        <w:t>5</w:t>
      </w:r>
      <w:r w:rsidRPr="00BE0E63">
        <w:rPr>
          <w:b w:val="0"/>
          <w:spacing w:val="-2"/>
          <w:lang w:val="en-GB"/>
        </w:rPr>
        <w:t>.</w:t>
      </w:r>
    </w:p>
    <w:p w14:paraId="2B3CDC90" w14:textId="5142A3FB" w:rsidR="00EF2171" w:rsidRPr="00B54CD9" w:rsidRDefault="0076369F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2047360" behindDoc="0" locked="0" layoutInCell="1" allowOverlap="1" wp14:anchorId="4A982227" wp14:editId="50D7DCED">
            <wp:simplePos x="0" y="0"/>
            <wp:positionH relativeFrom="column">
              <wp:posOffset>-82550</wp:posOffset>
            </wp:positionH>
            <wp:positionV relativeFrom="paragraph">
              <wp:posOffset>366395</wp:posOffset>
            </wp:positionV>
            <wp:extent cx="5238750" cy="3023870"/>
            <wp:effectExtent l="0" t="0" r="0" b="5080"/>
            <wp:wrapSquare wrapText="bothSides"/>
            <wp:docPr id="4" name="Obraz 4" descr="Sold production of industry (monthly average of 2021=100) in years 2021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B33B9" w:rsidRPr="00BB33B9">
        <w:rPr>
          <w:b/>
          <w:szCs w:val="18"/>
          <w:lang w:val="en-GB"/>
        </w:rPr>
        <w:t xml:space="preserve">Chart 1. Sold production of industry (monthly </w:t>
      </w:r>
      <w:r w:rsidR="00B32983" w:rsidRPr="00BB33B9">
        <w:rPr>
          <w:b/>
          <w:szCs w:val="18"/>
          <w:lang w:val="en-GB"/>
        </w:rPr>
        <w:t xml:space="preserve">average </w:t>
      </w:r>
      <w:r w:rsidR="00B32983">
        <w:rPr>
          <w:b/>
          <w:szCs w:val="18"/>
          <w:lang w:val="en-GB"/>
        </w:rPr>
        <w:t>of</w:t>
      </w:r>
      <w:r w:rsidR="00BB33B9" w:rsidRPr="00BB33B9">
        <w:rPr>
          <w:b/>
          <w:szCs w:val="18"/>
          <w:lang w:val="en-GB"/>
        </w:rPr>
        <w:t xml:space="preserve"> 20</w:t>
      </w:r>
      <w:r w:rsidR="00A82FEA">
        <w:rPr>
          <w:b/>
          <w:szCs w:val="18"/>
          <w:lang w:val="en-GB"/>
        </w:rPr>
        <w:t>21</w:t>
      </w:r>
      <w:r w:rsidR="00BB33B9" w:rsidRPr="00BB33B9">
        <w:rPr>
          <w:b/>
          <w:szCs w:val="18"/>
          <w:lang w:val="en-GB"/>
        </w:rPr>
        <w:t>=100)</w:t>
      </w:r>
    </w:p>
    <w:p w14:paraId="75B171A1" w14:textId="65E65B1F" w:rsidR="00B54CD9" w:rsidRDefault="002A5795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  <w:r w:rsidRPr="008F6A11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2037120" behindDoc="0" locked="0" layoutInCell="1" allowOverlap="1" wp14:anchorId="18C9B83F" wp14:editId="5F327002">
                <wp:simplePos x="0" y="0"/>
                <wp:positionH relativeFrom="page">
                  <wp:posOffset>5642610</wp:posOffset>
                </wp:positionH>
                <wp:positionV relativeFrom="paragraph">
                  <wp:posOffset>3077845</wp:posOffset>
                </wp:positionV>
                <wp:extent cx="1849120" cy="1079500"/>
                <wp:effectExtent l="0" t="0" r="0" b="6350"/>
                <wp:wrapSquare wrapText="bothSides"/>
                <wp:docPr id="12" name="Pole tekstowe 2" descr="The highest y/y increase was recorded in the production of capital goods, while a decrease was observed, among others, in the production of energ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372A5" w14:textId="02B5CBAE" w:rsidR="006238B3" w:rsidRPr="006238B3" w:rsidRDefault="002A5795" w:rsidP="006238B3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The highest y/y </w:t>
                            </w:r>
                            <w:r w:rsidR="0067064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increase</w:t>
                            </w:r>
                            <w:r w:rsidRPr="0060307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was </w:t>
                            </w:r>
                            <w:r w:rsidR="00B40D8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recorded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in the production of </w:t>
                            </w:r>
                            <w:r w:rsidR="00670642" w:rsidRP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capital goods</w:t>
                            </w:r>
                            <w:r w:rsid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,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6238B3" w:rsidRP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while 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a</w:t>
                            </w:r>
                            <w:r w:rsidR="0067064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de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crease was observed, </w:t>
                            </w:r>
                            <w:r w:rsidR="00585275" w:rsidRP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among others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, in</w:t>
                            </w:r>
                            <w:r w:rsidR="00585275" w:rsidRP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the production of </w:t>
                            </w:r>
                            <w:r w:rsidR="0067064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energy</w:t>
                            </w:r>
                          </w:p>
                          <w:p w14:paraId="52EB9489" w14:textId="14FA4E1D" w:rsidR="002A5795" w:rsidRPr="004B5E62" w:rsidRDefault="002A5795" w:rsidP="002A5795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9B83F" id="_x0000_s1028" type="#_x0000_t202" alt="The highest y/y increase was recorded in the production of capital goods, while a decrease was observed, among others, in the production of energy" style="position:absolute;margin-left:444.3pt;margin-top:242.35pt;width:145.6pt;height:85pt;z-index:252037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" filled="f" stroked="f">
                <v:textbox>
                  <w:txbxContent>
                    <w:p w14:paraId="619372A5" w14:textId="02B5CBAE" w:rsidR="006238B3" w:rsidRPr="006238B3" w:rsidRDefault="002A5795" w:rsidP="006238B3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The highest y/y </w:t>
                      </w:r>
                      <w:r w:rsidR="0067064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increase</w:t>
                      </w:r>
                      <w:r w:rsidRPr="0060307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was </w:t>
                      </w:r>
                      <w:r w:rsidR="00B40D8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recorded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in the production of </w:t>
                      </w:r>
                      <w:r w:rsidR="00670642" w:rsidRP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capital goods</w:t>
                      </w:r>
                      <w:r w:rsid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,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6238B3" w:rsidRP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while 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a</w:t>
                      </w:r>
                      <w:r w:rsidR="0067064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de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crease was observed, </w:t>
                      </w:r>
                      <w:r w:rsidR="00585275" w:rsidRP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among others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, in</w:t>
                      </w:r>
                      <w:r w:rsidR="00585275" w:rsidRP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the production of </w:t>
                      </w:r>
                      <w:r w:rsidR="0067064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energy</w:t>
                      </w:r>
                    </w:p>
                    <w:p w14:paraId="52EB9489" w14:textId="14FA4E1D" w:rsidR="002A5795" w:rsidRPr="004B5E62" w:rsidRDefault="002A5795" w:rsidP="002A5795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1171261" w14:textId="11E34BBF" w:rsidR="004177E5" w:rsidRDefault="003648E0" w:rsidP="003648E0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76369F">
        <w:rPr>
          <w:b w:val="0"/>
          <w:sz w:val="19"/>
          <w:szCs w:val="19"/>
          <w:shd w:val="clear" w:color="auto" w:fill="FFFFFF"/>
          <w:lang w:val="en-GB"/>
        </w:rPr>
        <w:t>August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</w:t>
      </w:r>
      <w:r w:rsidR="00B5647E">
        <w:rPr>
          <w:b w:val="0"/>
          <w:sz w:val="19"/>
          <w:szCs w:val="19"/>
          <w:shd w:val="clear" w:color="auto" w:fill="FFFFFF"/>
          <w:lang w:val="en-GB"/>
        </w:rPr>
        <w:t>5</w:t>
      </w:r>
      <w:r>
        <w:rPr>
          <w:b w:val="0"/>
          <w:sz w:val="19"/>
          <w:szCs w:val="19"/>
          <w:shd w:val="clear" w:color="auto" w:fill="FFFFFF"/>
          <w:lang w:val="en-GB"/>
        </w:rPr>
        <w:t>, a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>
        <w:rPr>
          <w:b w:val="0"/>
          <w:sz w:val="19"/>
          <w:szCs w:val="19"/>
          <w:shd w:val="clear" w:color="auto" w:fill="FFFFFF"/>
          <w:lang w:val="en-GB"/>
        </w:rPr>
        <w:t>t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>here was a</w:t>
      </w:r>
      <w:r w:rsidR="004177E5">
        <w:rPr>
          <w:b w:val="0"/>
          <w:sz w:val="19"/>
          <w:szCs w:val="19"/>
          <w:shd w:val="clear" w:color="auto" w:fill="FFFFFF"/>
          <w:lang w:val="en-GB"/>
        </w:rPr>
        <w:t>n in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per year </w:t>
      </w:r>
      <w:bookmarkStart w:id="2" w:name="_Hlk169588359"/>
      <w:r>
        <w:rPr>
          <w:b w:val="0"/>
          <w:sz w:val="19"/>
          <w:szCs w:val="19"/>
          <w:shd w:val="clear" w:color="auto" w:fill="FFFFFF"/>
          <w:lang w:val="en-GB"/>
        </w:rPr>
        <w:t>in t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>
        <w:rPr>
          <w:b w:val="0"/>
          <w:sz w:val="19"/>
          <w:szCs w:val="19"/>
          <w:shd w:val="clear" w:color="auto" w:fill="FFFFFF"/>
          <w:lang w:val="en-GB"/>
        </w:rPr>
        <w:t>production of</w:t>
      </w:r>
      <w:bookmarkEnd w:id="2"/>
      <w:r w:rsidR="00670642" w:rsidRPr="0067064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70642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670642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670642" w:rsidRPr="005B587B">
        <w:rPr>
          <w:b w:val="0"/>
          <w:sz w:val="19"/>
          <w:szCs w:val="19"/>
          <w:shd w:val="clear" w:color="auto" w:fill="FFFFFF"/>
          <w:lang w:val="en-GB"/>
        </w:rPr>
        <w:t>by</w:t>
      </w:r>
      <w:r w:rsidR="00670642">
        <w:rPr>
          <w:b w:val="0"/>
          <w:sz w:val="19"/>
          <w:szCs w:val="19"/>
          <w:shd w:val="clear" w:color="auto" w:fill="FFFFFF"/>
          <w:lang w:val="en-GB"/>
        </w:rPr>
        <w:t> </w:t>
      </w:r>
      <w:r w:rsidR="0076369F">
        <w:rPr>
          <w:b w:val="0"/>
          <w:sz w:val="19"/>
          <w:szCs w:val="19"/>
          <w:shd w:val="clear" w:color="auto" w:fill="FFFFFF"/>
          <w:lang w:val="en-GB"/>
        </w:rPr>
        <w:t>7.2</w:t>
      </w:r>
      <w:r w:rsidR="00670642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670642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670642" w:rsidRPr="005B587B">
        <w:rPr>
          <w:b w:val="0"/>
          <w:sz w:val="19"/>
          <w:szCs w:val="19"/>
          <w:shd w:val="clear" w:color="auto" w:fill="FFFFFF"/>
          <w:lang w:val="en-GB"/>
        </w:rPr>
        <w:t>non</w:t>
      </w:r>
      <w:r w:rsidR="00670642">
        <w:rPr>
          <w:b w:val="0"/>
          <w:sz w:val="19"/>
          <w:szCs w:val="19"/>
          <w:shd w:val="clear" w:color="auto" w:fill="FFFFFF"/>
          <w:lang w:val="en-GB"/>
        </w:rPr>
        <w:t>-</w:t>
      </w:r>
      <w:r w:rsidR="00670642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670642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670642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67064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76369F">
        <w:rPr>
          <w:b w:val="0"/>
          <w:sz w:val="19"/>
          <w:szCs w:val="19"/>
          <w:shd w:val="clear" w:color="auto" w:fill="FFFFFF"/>
          <w:lang w:val="en-GB"/>
        </w:rPr>
        <w:t>1.6</w:t>
      </w:r>
      <w:r w:rsidR="00670642">
        <w:rPr>
          <w:b w:val="0"/>
          <w:sz w:val="19"/>
          <w:szCs w:val="19"/>
          <w:shd w:val="clear" w:color="auto" w:fill="FFFFFF"/>
          <w:lang w:val="en-GB"/>
        </w:rPr>
        <w:t>% and</w:t>
      </w:r>
      <w:r w:rsidR="00670642" w:rsidRPr="0067064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76369F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76369F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</w:t>
      </w:r>
      <w:r w:rsidR="0076369F">
        <w:rPr>
          <w:b w:val="0"/>
          <w:sz w:val="19"/>
          <w:szCs w:val="19"/>
          <w:shd w:val="clear" w:color="auto" w:fill="FFFFFF"/>
          <w:lang w:val="en-GB"/>
        </w:rPr>
        <w:t xml:space="preserve"> 0.2%.</w:t>
      </w:r>
      <w:r w:rsidR="00670642" w:rsidRPr="0067064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70642">
        <w:rPr>
          <w:b w:val="0"/>
          <w:sz w:val="19"/>
          <w:szCs w:val="19"/>
          <w:shd w:val="clear" w:color="auto" w:fill="FFFFFF"/>
          <w:lang w:val="en-GB"/>
        </w:rPr>
        <w:t>A de</w:t>
      </w:r>
      <w:r w:rsidR="00670642" w:rsidRPr="007B5C49">
        <w:rPr>
          <w:b w:val="0"/>
          <w:sz w:val="19"/>
          <w:szCs w:val="19"/>
          <w:lang w:val="en-GB"/>
        </w:rPr>
        <w:t xml:space="preserve">crease </w:t>
      </w:r>
      <w:r w:rsidR="00670642" w:rsidRPr="00E2764C">
        <w:rPr>
          <w:b w:val="0"/>
          <w:sz w:val="19"/>
          <w:szCs w:val="19"/>
          <w:lang w:val="en-GB"/>
        </w:rPr>
        <w:t xml:space="preserve">was </w:t>
      </w:r>
      <w:r w:rsidR="00670642" w:rsidRPr="004D23D2">
        <w:rPr>
          <w:b w:val="0"/>
          <w:sz w:val="19"/>
          <w:szCs w:val="19"/>
          <w:lang w:val="en-GB"/>
        </w:rPr>
        <w:t>observed in</w:t>
      </w:r>
      <w:r w:rsidR="00670642">
        <w:rPr>
          <w:b w:val="0"/>
          <w:sz w:val="19"/>
          <w:szCs w:val="19"/>
          <w:lang w:val="en-GB"/>
        </w:rPr>
        <w:t xml:space="preserve"> the</w:t>
      </w:r>
      <w:r w:rsidR="00670642" w:rsidRPr="004D23D2">
        <w:rPr>
          <w:sz w:val="19"/>
          <w:szCs w:val="19"/>
          <w:lang w:val="en-GB"/>
        </w:rPr>
        <w:t xml:space="preserve"> </w:t>
      </w:r>
      <w:r w:rsidR="00670642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67064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70642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670642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76369F">
        <w:rPr>
          <w:b w:val="0"/>
          <w:sz w:val="19"/>
          <w:szCs w:val="19"/>
          <w:shd w:val="clear" w:color="auto" w:fill="FFFFFF"/>
          <w:lang w:val="en-GB"/>
        </w:rPr>
        <w:t>10.3</w:t>
      </w:r>
      <w:r w:rsidR="00670642">
        <w:rPr>
          <w:b w:val="0"/>
          <w:sz w:val="19"/>
          <w:szCs w:val="19"/>
          <w:shd w:val="clear" w:color="auto" w:fill="FFFFFF"/>
          <w:lang w:val="en-GB"/>
        </w:rPr>
        <w:t>%</w:t>
      </w:r>
      <w:r w:rsidR="00670642" w:rsidRPr="0067064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70642">
        <w:rPr>
          <w:b w:val="0"/>
          <w:sz w:val="19"/>
          <w:szCs w:val="19"/>
          <w:shd w:val="clear" w:color="auto" w:fill="FFFFFF"/>
          <w:lang w:val="en-GB"/>
        </w:rPr>
        <w:t>and</w:t>
      </w:r>
      <w:r w:rsidR="00670642" w:rsidRPr="00D37C5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76369F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76369F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76369F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76369F">
        <w:rPr>
          <w:b w:val="0"/>
          <w:sz w:val="19"/>
          <w:szCs w:val="19"/>
          <w:shd w:val="clear" w:color="auto" w:fill="FFFFFF"/>
          <w:lang w:val="en-GB"/>
        </w:rPr>
        <w:t>0.7%.</w:t>
      </w:r>
    </w:p>
    <w:p w14:paraId="0700FE0E" w14:textId="15B6195D" w:rsidR="00524711" w:rsidRDefault="00D37C52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D37C5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04CDDFF5" w14:textId="77777777" w:rsidR="005643BB" w:rsidRDefault="005643B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EBBBFBB" w14:textId="68449A3D" w:rsidR="00AC1E5F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2ADDF399" w14:textId="293DA069" w:rsidR="00790D2D" w:rsidRDefault="00790D2D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11CB341A" w14:textId="77777777" w:rsidR="00670642" w:rsidRPr="000C2AC9" w:rsidRDefault="00670642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4C17401B" w14:textId="3B9A9520" w:rsidR="00A71581" w:rsidRDefault="003556E3" w:rsidP="004B1040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1 </w:t>
      </w:r>
      <w:r w:rsidR="005643BB" w:rsidRPr="001245D8">
        <w:rPr>
          <w:sz w:val="16"/>
          <w:szCs w:val="16"/>
          <w:lang w:val="en-GB"/>
        </w:rPr>
        <w:t>Preliminary</w:t>
      </w:r>
      <w:r w:rsidR="00BB33B9" w:rsidRPr="00C52703">
        <w:rPr>
          <w:sz w:val="16"/>
          <w:szCs w:val="16"/>
          <w:lang w:val="en-GB"/>
        </w:rPr>
        <w:t xml:space="preserve"> data; comprise enterprises </w:t>
      </w:r>
      <w:r w:rsidR="00BB33B9">
        <w:rPr>
          <w:sz w:val="16"/>
          <w:szCs w:val="16"/>
          <w:lang w:val="en-GB"/>
        </w:rPr>
        <w:t>with</w:t>
      </w:r>
      <w:r w:rsidR="00BB33B9" w:rsidRPr="00C52703">
        <w:rPr>
          <w:sz w:val="16"/>
          <w:szCs w:val="16"/>
          <w:lang w:val="en-GB"/>
        </w:rPr>
        <w:t xml:space="preserve"> </w:t>
      </w:r>
      <w:r w:rsidR="00BB33B9">
        <w:rPr>
          <w:sz w:val="16"/>
          <w:szCs w:val="16"/>
          <w:lang w:val="en-GB"/>
        </w:rPr>
        <w:t>10 or more persons</w:t>
      </w:r>
      <w:r w:rsidR="00BB33B9" w:rsidRPr="00E337D4">
        <w:rPr>
          <w:sz w:val="16"/>
          <w:szCs w:val="16"/>
          <w:lang w:val="en-GB"/>
        </w:rPr>
        <w:t xml:space="preserve"> </w:t>
      </w:r>
      <w:r w:rsidR="00BB33B9" w:rsidRPr="00C52703">
        <w:rPr>
          <w:sz w:val="16"/>
          <w:szCs w:val="16"/>
          <w:lang w:val="en-GB"/>
        </w:rPr>
        <w:t>employ</w:t>
      </w:r>
      <w:r w:rsidR="00BB33B9">
        <w:rPr>
          <w:sz w:val="16"/>
          <w:szCs w:val="16"/>
          <w:lang w:val="en-GB"/>
        </w:rPr>
        <w:t>ed.</w:t>
      </w:r>
    </w:p>
    <w:p w14:paraId="3457B1A3" w14:textId="77777777" w:rsidR="00670642" w:rsidRPr="004B1040" w:rsidRDefault="00670642" w:rsidP="004B1040">
      <w:pPr>
        <w:spacing w:before="0" w:after="0"/>
        <w:rPr>
          <w:sz w:val="16"/>
          <w:szCs w:val="16"/>
          <w:lang w:val="en-GB"/>
        </w:rPr>
      </w:pPr>
    </w:p>
    <w:p w14:paraId="780AD126" w14:textId="676E7914" w:rsidR="00BD5BE7" w:rsidRDefault="00BB33B9" w:rsidP="00BB33B9">
      <w:pPr>
        <w:pStyle w:val="LID"/>
        <w:spacing w:before="0" w:after="0"/>
        <w:rPr>
          <w:shd w:val="clear" w:color="auto" w:fill="FFFFFF"/>
          <w:lang w:val="en-GB"/>
        </w:rPr>
      </w:pPr>
      <w:r w:rsidRPr="00DC4A61">
        <w:rPr>
          <w:shd w:val="clear" w:color="auto" w:fill="FFFFFF"/>
          <w:lang w:val="en-GB"/>
        </w:rPr>
        <w:t xml:space="preserve">Table 1. Index of </w:t>
      </w:r>
      <w:r w:rsidRPr="00DC4A61">
        <w:rPr>
          <w:lang w:val="en-GB"/>
        </w:rPr>
        <w:t>sold production of industry</w:t>
      </w:r>
      <w:r w:rsidR="0067558B" w:rsidRPr="00DC4A61">
        <w:rPr>
          <w:vertAlign w:val="superscript"/>
          <w:lang w:val="en-GB"/>
        </w:rPr>
        <w:t xml:space="preserve"> </w:t>
      </w:r>
      <w:r w:rsidR="0067558B" w:rsidRPr="003556E3">
        <w:rPr>
          <w:b w:val="0"/>
          <w:vertAlign w:val="superscript"/>
          <w:lang w:val="en-GB"/>
        </w:rPr>
        <w:t>a</w:t>
      </w:r>
      <w:r w:rsidRPr="00DC4A61">
        <w:rPr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of sold production of industry (constant prices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5643BB" w:rsidRPr="00A15DA4" w14:paraId="78FECC32" w14:textId="77777777" w:rsidTr="00C76496">
        <w:trPr>
          <w:trHeight w:val="170"/>
        </w:trPr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024761BF" w14:textId="77777777" w:rsidR="005643BB" w:rsidRPr="00A15DA4" w:rsidRDefault="005643BB" w:rsidP="0028178E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A15D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7D9D0E" w14:textId="07B6B189" w:rsidR="005643BB" w:rsidRPr="00A15DA4" w:rsidRDefault="005643BB" w:rsidP="0028178E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202</w:t>
            </w:r>
            <w:r w:rsidR="00066152">
              <w:rPr>
                <w:noProof/>
                <w:sz w:val="16"/>
                <w:szCs w:val="16"/>
                <w:lang w:eastAsia="pl-PL"/>
              </w:rPr>
              <w:t>5</w:t>
            </w:r>
          </w:p>
        </w:tc>
      </w:tr>
      <w:tr w:rsidR="0076369F" w:rsidRPr="00A15DA4" w14:paraId="368CB4D9" w14:textId="77777777" w:rsidTr="0028178E">
        <w:trPr>
          <w:trHeight w:val="474"/>
        </w:trPr>
        <w:tc>
          <w:tcPr>
            <w:tcW w:w="2324" w:type="dxa"/>
            <w:vMerge/>
            <w:vAlign w:val="center"/>
          </w:tcPr>
          <w:p w14:paraId="61EC8E24" w14:textId="77777777" w:rsidR="0076369F" w:rsidRPr="00A15DA4" w:rsidRDefault="0076369F" w:rsidP="0076369F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B15F30A" w14:textId="3303A6E9" w:rsidR="0076369F" w:rsidRPr="00A15DA4" w:rsidRDefault="0076369F" w:rsidP="0076369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419990E" w14:textId="277684D7" w:rsidR="0076369F" w:rsidRPr="00A15DA4" w:rsidRDefault="0076369F" w:rsidP="0076369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5118070" w14:textId="1E73364F" w:rsidR="0076369F" w:rsidRPr="00A15DA4" w:rsidRDefault="0076369F" w:rsidP="0076369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B78EDB5" w14:textId="5C67CE81" w:rsidR="0076369F" w:rsidRPr="00A15DA4" w:rsidRDefault="0076369F" w:rsidP="0076369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794" w:type="dxa"/>
          </w:tcPr>
          <w:p w14:paraId="3943E1E4" w14:textId="222BBD92" w:rsidR="0076369F" w:rsidRPr="00A15DA4" w:rsidRDefault="0076369F" w:rsidP="0076369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01-0</w:t>
            </w:r>
            <w:r>
              <w:rPr>
                <w:noProof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C3DB6F3" w14:textId="3B7D17A2" w:rsidR="0076369F" w:rsidRPr="00A15DA4" w:rsidRDefault="0076369F" w:rsidP="0076369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6A08149" w14:textId="31C4476B" w:rsidR="0076369F" w:rsidRPr="00A15DA4" w:rsidRDefault="0076369F" w:rsidP="0076369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>
              <w:rPr>
                <w:sz w:val="16"/>
                <w:szCs w:val="18"/>
                <w:shd w:val="clear" w:color="auto" w:fill="FFFFFF"/>
              </w:rPr>
              <w:t>8</w:t>
            </w:r>
          </w:p>
        </w:tc>
      </w:tr>
      <w:tr w:rsidR="005643BB" w:rsidRPr="00A15DA4" w14:paraId="14ED3C09" w14:textId="77777777" w:rsidTr="00686BD9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4F02AED1" w14:textId="77777777" w:rsidR="005643BB" w:rsidRPr="00A15DA4" w:rsidRDefault="005643BB" w:rsidP="005643BB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34F9546E" w14:textId="77777777" w:rsidR="005643BB" w:rsidRPr="00A15DA4" w:rsidRDefault="005643BB" w:rsidP="005643B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previous month 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  <w:vAlign w:val="center"/>
          </w:tcPr>
          <w:p w14:paraId="5C28C4E5" w14:textId="7596FC77" w:rsidR="005643BB" w:rsidRPr="0076369F" w:rsidRDefault="00686BD9" w:rsidP="00686BD9">
            <w:pPr>
              <w:spacing w:before="0" w:after="0" w:line="240" w:lineRule="auto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686BD9">
              <w:rPr>
                <w:sz w:val="16"/>
                <w:szCs w:val="16"/>
                <w:lang w:val="en-GB"/>
              </w:rPr>
              <w:t>corresponding period of previous year = 100</w:t>
            </w:r>
          </w:p>
        </w:tc>
        <w:tc>
          <w:tcPr>
            <w:tcW w:w="1588" w:type="dxa"/>
            <w:gridSpan w:val="2"/>
            <w:vAlign w:val="center"/>
          </w:tcPr>
          <w:p w14:paraId="2316633A" w14:textId="77777777" w:rsidR="005643BB" w:rsidRPr="00A15DA4" w:rsidRDefault="005643BB" w:rsidP="005643B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2CE98056" w14:textId="77777777" w:rsidR="005643BB" w:rsidRPr="00A15DA4" w:rsidRDefault="005643BB" w:rsidP="005643B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of 20</w:t>
            </w:r>
            <w:r>
              <w:rPr>
                <w:noProof/>
                <w:sz w:val="16"/>
                <w:szCs w:val="16"/>
                <w:lang w:val="en-GB" w:eastAsia="pl-PL"/>
              </w:rPr>
              <w:t>21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</w:tr>
      <w:tr w:rsidR="0076369F" w:rsidRPr="00A15DA4" w14:paraId="673C81A1" w14:textId="77777777" w:rsidTr="0028178E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6C24E21C" w14:textId="77777777" w:rsidR="0076369F" w:rsidRPr="00A15DA4" w:rsidRDefault="0076369F" w:rsidP="0076369F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A15DA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E0338E4" w14:textId="73361ED4" w:rsidR="0076369F" w:rsidRPr="00A15DA4" w:rsidRDefault="0076369F" w:rsidP="0076369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100.4*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CAA723F" w14:textId="18C67929" w:rsidR="0076369F" w:rsidRPr="00A15DA4" w:rsidRDefault="0076369F" w:rsidP="0076369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92.9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1EDB88B" w14:textId="6287077E" w:rsidR="0076369F" w:rsidRPr="00A15DA4" w:rsidRDefault="0076369F" w:rsidP="0076369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103.0*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7CDAEA5" w14:textId="33B0A198" w:rsidR="0076369F" w:rsidRPr="00A15DA4" w:rsidRDefault="0076369F" w:rsidP="0076369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100.7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8B1DD6A" w14:textId="3B1D942E" w:rsidR="0076369F" w:rsidRPr="00A15DA4" w:rsidRDefault="0076369F" w:rsidP="0076369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102.0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1A87ED73" w14:textId="2448F968" w:rsidR="0076369F" w:rsidRPr="0051266A" w:rsidRDefault="0076369F" w:rsidP="0076369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109.1*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6BAD0242" w14:textId="4E5923DC" w:rsidR="0076369F" w:rsidRPr="0051266A" w:rsidRDefault="0076369F" w:rsidP="0076369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101.3</w:t>
            </w:r>
          </w:p>
        </w:tc>
      </w:tr>
      <w:tr w:rsidR="0076369F" w:rsidRPr="00A15DA4" w14:paraId="4A640866" w14:textId="77777777" w:rsidTr="0028178E">
        <w:trPr>
          <w:trHeight w:val="57"/>
        </w:trPr>
        <w:tc>
          <w:tcPr>
            <w:tcW w:w="2324" w:type="dxa"/>
            <w:vAlign w:val="center"/>
          </w:tcPr>
          <w:p w14:paraId="1745EDCF" w14:textId="77777777" w:rsidR="0076369F" w:rsidRPr="00A15DA4" w:rsidRDefault="0076369F" w:rsidP="0076369F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70C0DC63" w14:textId="67F8BA98" w:rsidR="0076369F" w:rsidRPr="00A15DA4" w:rsidRDefault="0076369F" w:rsidP="0076369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103.0*</w:t>
            </w:r>
          </w:p>
        </w:tc>
        <w:tc>
          <w:tcPr>
            <w:tcW w:w="794" w:type="dxa"/>
          </w:tcPr>
          <w:p w14:paraId="31D3B907" w14:textId="017DAC8C" w:rsidR="0076369F" w:rsidRPr="00A15DA4" w:rsidRDefault="0076369F" w:rsidP="0076369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96.3</w:t>
            </w:r>
          </w:p>
        </w:tc>
        <w:tc>
          <w:tcPr>
            <w:tcW w:w="794" w:type="dxa"/>
          </w:tcPr>
          <w:p w14:paraId="226E0D26" w14:textId="74EF8061" w:rsidR="0076369F" w:rsidRPr="00A15DA4" w:rsidRDefault="0076369F" w:rsidP="0076369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94.1*</w:t>
            </w:r>
          </w:p>
        </w:tc>
        <w:tc>
          <w:tcPr>
            <w:tcW w:w="794" w:type="dxa"/>
          </w:tcPr>
          <w:p w14:paraId="72FB28D8" w14:textId="58BA81ED" w:rsidR="0076369F" w:rsidRPr="00A15DA4" w:rsidRDefault="0076369F" w:rsidP="0076369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97.9</w:t>
            </w:r>
          </w:p>
        </w:tc>
        <w:tc>
          <w:tcPr>
            <w:tcW w:w="794" w:type="dxa"/>
          </w:tcPr>
          <w:p w14:paraId="285ACF98" w14:textId="09AC27AB" w:rsidR="0076369F" w:rsidRPr="00A15DA4" w:rsidRDefault="0076369F" w:rsidP="0076369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95.3</w:t>
            </w:r>
          </w:p>
        </w:tc>
        <w:tc>
          <w:tcPr>
            <w:tcW w:w="794" w:type="dxa"/>
            <w:vAlign w:val="center"/>
          </w:tcPr>
          <w:p w14:paraId="3EDACE10" w14:textId="501964AF" w:rsidR="0076369F" w:rsidRPr="0051266A" w:rsidRDefault="0076369F" w:rsidP="0076369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101.3*</w:t>
            </w:r>
          </w:p>
        </w:tc>
        <w:tc>
          <w:tcPr>
            <w:tcW w:w="794" w:type="dxa"/>
            <w:vAlign w:val="center"/>
          </w:tcPr>
          <w:p w14:paraId="6B201F77" w14:textId="35FF05A7" w:rsidR="0076369F" w:rsidRPr="0051266A" w:rsidRDefault="0076369F" w:rsidP="0076369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97.6</w:t>
            </w:r>
          </w:p>
        </w:tc>
      </w:tr>
      <w:tr w:rsidR="0076369F" w:rsidRPr="00A15DA4" w14:paraId="1DC111F6" w14:textId="77777777" w:rsidTr="0028178E">
        <w:trPr>
          <w:trHeight w:val="57"/>
        </w:trPr>
        <w:tc>
          <w:tcPr>
            <w:tcW w:w="2324" w:type="dxa"/>
            <w:vAlign w:val="center"/>
          </w:tcPr>
          <w:p w14:paraId="7AA307BE" w14:textId="77777777" w:rsidR="0076369F" w:rsidRPr="00A15DA4" w:rsidRDefault="0076369F" w:rsidP="0076369F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5B6D0A4B" w14:textId="4C5FC2A7" w:rsidR="0076369F" w:rsidRPr="00A15DA4" w:rsidRDefault="0076369F" w:rsidP="0076369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100.0*</w:t>
            </w:r>
          </w:p>
        </w:tc>
        <w:tc>
          <w:tcPr>
            <w:tcW w:w="794" w:type="dxa"/>
          </w:tcPr>
          <w:p w14:paraId="0130CC45" w14:textId="3D03003A" w:rsidR="0076369F" w:rsidRPr="00A15DA4" w:rsidRDefault="0076369F" w:rsidP="0076369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92.5</w:t>
            </w:r>
          </w:p>
        </w:tc>
        <w:tc>
          <w:tcPr>
            <w:tcW w:w="794" w:type="dxa"/>
          </w:tcPr>
          <w:p w14:paraId="4819318E" w14:textId="28AD2C14" w:rsidR="0076369F" w:rsidRPr="00A15DA4" w:rsidRDefault="0076369F" w:rsidP="0076369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103.6*</w:t>
            </w:r>
          </w:p>
        </w:tc>
        <w:tc>
          <w:tcPr>
            <w:tcW w:w="794" w:type="dxa"/>
          </w:tcPr>
          <w:p w14:paraId="098F0129" w14:textId="475ED6C7" w:rsidR="0076369F" w:rsidRPr="00A15DA4" w:rsidRDefault="0076369F" w:rsidP="0076369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101.1</w:t>
            </w:r>
          </w:p>
        </w:tc>
        <w:tc>
          <w:tcPr>
            <w:tcW w:w="794" w:type="dxa"/>
          </w:tcPr>
          <w:p w14:paraId="4E2C4867" w14:textId="73A4F640" w:rsidR="0076369F" w:rsidRPr="00A15DA4" w:rsidRDefault="0076369F" w:rsidP="0076369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102.4</w:t>
            </w:r>
          </w:p>
        </w:tc>
        <w:tc>
          <w:tcPr>
            <w:tcW w:w="794" w:type="dxa"/>
            <w:vAlign w:val="center"/>
          </w:tcPr>
          <w:p w14:paraId="13E26E56" w14:textId="05CFA912" w:rsidR="0076369F" w:rsidRPr="0051266A" w:rsidRDefault="0076369F" w:rsidP="0076369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111.2*</w:t>
            </w:r>
          </w:p>
        </w:tc>
        <w:tc>
          <w:tcPr>
            <w:tcW w:w="794" w:type="dxa"/>
            <w:vAlign w:val="center"/>
          </w:tcPr>
          <w:p w14:paraId="70AFA7B1" w14:textId="7D67E165" w:rsidR="0076369F" w:rsidRPr="0051266A" w:rsidRDefault="0076369F" w:rsidP="0076369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102.6</w:t>
            </w:r>
          </w:p>
        </w:tc>
      </w:tr>
      <w:tr w:rsidR="0076369F" w:rsidRPr="0021736E" w14:paraId="41BC112D" w14:textId="77777777" w:rsidTr="0076369F">
        <w:trPr>
          <w:trHeight w:val="57"/>
        </w:trPr>
        <w:tc>
          <w:tcPr>
            <w:tcW w:w="2324" w:type="dxa"/>
            <w:vAlign w:val="center"/>
          </w:tcPr>
          <w:p w14:paraId="12DACA22" w14:textId="77777777" w:rsidR="0076369F" w:rsidRPr="00A15DA4" w:rsidRDefault="0076369F" w:rsidP="0076369F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 conditioning supply</w:t>
            </w:r>
          </w:p>
        </w:tc>
        <w:tc>
          <w:tcPr>
            <w:tcW w:w="794" w:type="dxa"/>
          </w:tcPr>
          <w:p w14:paraId="13D063D2" w14:textId="77777777" w:rsidR="0076369F" w:rsidRPr="00E86A52" w:rsidRDefault="0076369F" w:rsidP="007636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22FFE98A" w14:textId="7F71F48C" w:rsidR="0076369F" w:rsidRPr="00B8449E" w:rsidRDefault="0076369F" w:rsidP="007636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105.1*</w:t>
            </w:r>
          </w:p>
        </w:tc>
        <w:tc>
          <w:tcPr>
            <w:tcW w:w="794" w:type="dxa"/>
          </w:tcPr>
          <w:p w14:paraId="04BDDF68" w14:textId="77777777" w:rsidR="0076369F" w:rsidRDefault="0076369F" w:rsidP="007636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D580C6E" w14:textId="42F97CE5" w:rsidR="0076369F" w:rsidRPr="00B8449E" w:rsidRDefault="0076369F" w:rsidP="007636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96.7</w:t>
            </w:r>
          </w:p>
        </w:tc>
        <w:tc>
          <w:tcPr>
            <w:tcW w:w="794" w:type="dxa"/>
          </w:tcPr>
          <w:p w14:paraId="4FD76EDA" w14:textId="77777777" w:rsidR="0076369F" w:rsidRDefault="0076369F" w:rsidP="007636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B3E7BDF" w14:textId="674B60AD" w:rsidR="0076369F" w:rsidRPr="00B8449E" w:rsidRDefault="0076369F" w:rsidP="007636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96.9*</w:t>
            </w:r>
          </w:p>
        </w:tc>
        <w:tc>
          <w:tcPr>
            <w:tcW w:w="794" w:type="dxa"/>
          </w:tcPr>
          <w:p w14:paraId="5F321418" w14:textId="77777777" w:rsidR="0076369F" w:rsidRDefault="0076369F" w:rsidP="007636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CBE304" w14:textId="06A84ADD" w:rsidR="0076369F" w:rsidRPr="00B8449E" w:rsidRDefault="0076369F" w:rsidP="007636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93.3</w:t>
            </w:r>
          </w:p>
        </w:tc>
        <w:tc>
          <w:tcPr>
            <w:tcW w:w="794" w:type="dxa"/>
          </w:tcPr>
          <w:p w14:paraId="658C89E4" w14:textId="77777777" w:rsidR="0076369F" w:rsidRDefault="0076369F" w:rsidP="007636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2C3E25C" w14:textId="6A28942F" w:rsidR="0076369F" w:rsidRPr="00B8449E" w:rsidRDefault="0076369F" w:rsidP="007636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97.8</w:t>
            </w:r>
          </w:p>
        </w:tc>
        <w:tc>
          <w:tcPr>
            <w:tcW w:w="794" w:type="dxa"/>
            <w:vAlign w:val="bottom"/>
          </w:tcPr>
          <w:p w14:paraId="116E3010" w14:textId="2D6C8337" w:rsidR="0076369F" w:rsidRPr="00B8449E" w:rsidRDefault="0076369F" w:rsidP="007636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81.0*</w:t>
            </w:r>
          </w:p>
        </w:tc>
        <w:tc>
          <w:tcPr>
            <w:tcW w:w="794" w:type="dxa"/>
            <w:vAlign w:val="bottom"/>
          </w:tcPr>
          <w:p w14:paraId="099C06C3" w14:textId="29621775" w:rsidR="0076369F" w:rsidRPr="00B8449E" w:rsidRDefault="0076369F" w:rsidP="007636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81.5</w:t>
            </w:r>
          </w:p>
        </w:tc>
      </w:tr>
      <w:tr w:rsidR="0076369F" w:rsidRPr="0021736E" w14:paraId="750EE758" w14:textId="77777777" w:rsidTr="00C76496">
        <w:trPr>
          <w:trHeight w:val="624"/>
        </w:trPr>
        <w:tc>
          <w:tcPr>
            <w:tcW w:w="2324" w:type="dxa"/>
            <w:tcBorders>
              <w:bottom w:val="nil"/>
            </w:tcBorders>
            <w:vAlign w:val="center"/>
          </w:tcPr>
          <w:p w14:paraId="66EBB6E0" w14:textId="77777777" w:rsidR="0076369F" w:rsidRPr="00A15DA4" w:rsidRDefault="0076369F" w:rsidP="0076369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Water supply; sewerage waste management and remediation activities </w:t>
            </w:r>
          </w:p>
        </w:tc>
        <w:tc>
          <w:tcPr>
            <w:tcW w:w="794" w:type="dxa"/>
            <w:tcBorders>
              <w:bottom w:val="nil"/>
            </w:tcBorders>
          </w:tcPr>
          <w:p w14:paraId="3078C3E5" w14:textId="77777777" w:rsidR="0076369F" w:rsidRPr="00E86A52" w:rsidRDefault="0076369F" w:rsidP="007636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7DCDCE71" w14:textId="05DD89C4" w:rsidR="0076369F" w:rsidRPr="00B8449E" w:rsidRDefault="0076369F" w:rsidP="007636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102.1*</w:t>
            </w:r>
          </w:p>
        </w:tc>
        <w:tc>
          <w:tcPr>
            <w:tcW w:w="794" w:type="dxa"/>
            <w:tcBorders>
              <w:bottom w:val="nil"/>
            </w:tcBorders>
          </w:tcPr>
          <w:p w14:paraId="00A5EEF0" w14:textId="77777777" w:rsidR="0076369F" w:rsidRDefault="0076369F" w:rsidP="007636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F2BAB39" w14:textId="44E46C62" w:rsidR="0076369F" w:rsidRPr="00B8449E" w:rsidRDefault="0076369F" w:rsidP="007636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96.8</w:t>
            </w:r>
          </w:p>
        </w:tc>
        <w:tc>
          <w:tcPr>
            <w:tcW w:w="794" w:type="dxa"/>
            <w:tcBorders>
              <w:bottom w:val="nil"/>
            </w:tcBorders>
          </w:tcPr>
          <w:p w14:paraId="79F6D3CF" w14:textId="77777777" w:rsidR="0076369F" w:rsidRDefault="0076369F" w:rsidP="007636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B63F6BB" w14:textId="1E5E29AF" w:rsidR="0076369F" w:rsidRPr="00B8449E" w:rsidRDefault="0076369F" w:rsidP="007636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103.1</w:t>
            </w:r>
          </w:p>
        </w:tc>
        <w:tc>
          <w:tcPr>
            <w:tcW w:w="794" w:type="dxa"/>
            <w:tcBorders>
              <w:bottom w:val="nil"/>
            </w:tcBorders>
          </w:tcPr>
          <w:p w14:paraId="420C0019" w14:textId="77777777" w:rsidR="0076369F" w:rsidRDefault="0076369F" w:rsidP="007636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E803168" w14:textId="76B8B016" w:rsidR="0076369F" w:rsidRPr="00B8449E" w:rsidRDefault="0076369F" w:rsidP="007636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101.5</w:t>
            </w:r>
          </w:p>
        </w:tc>
        <w:tc>
          <w:tcPr>
            <w:tcW w:w="794" w:type="dxa"/>
            <w:tcBorders>
              <w:bottom w:val="nil"/>
            </w:tcBorders>
          </w:tcPr>
          <w:p w14:paraId="07628AFF" w14:textId="77777777" w:rsidR="0076369F" w:rsidRDefault="0076369F" w:rsidP="007636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5E86D5B" w14:textId="21563FB0" w:rsidR="0076369F" w:rsidRPr="00B8449E" w:rsidRDefault="0076369F" w:rsidP="007636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102.8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10B7F049" w14:textId="162C8B58" w:rsidR="0076369F" w:rsidRPr="00B8449E" w:rsidRDefault="0076369F" w:rsidP="007636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120.2*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7B89EB25" w14:textId="04BB03AD" w:rsidR="0076369F" w:rsidRPr="00B8449E" w:rsidRDefault="0076369F" w:rsidP="007636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116.3</w:t>
            </w:r>
          </w:p>
        </w:tc>
      </w:tr>
    </w:tbl>
    <w:p w14:paraId="37A1CCE3" w14:textId="7EE1EEE9" w:rsidR="00201DA0" w:rsidRDefault="00201DA0" w:rsidP="007C353C">
      <w:pPr>
        <w:spacing w:before="0" w:after="0"/>
        <w:rPr>
          <w:sz w:val="16"/>
          <w:szCs w:val="16"/>
          <w:lang w:val="en-GB"/>
        </w:rPr>
      </w:pPr>
      <w:r w:rsidRPr="003556E3">
        <w:rPr>
          <w:sz w:val="16"/>
          <w:szCs w:val="16"/>
          <w:lang w:val="en-GB"/>
        </w:rPr>
        <w:t>a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D33542">
        <w:rPr>
          <w:sz w:val="16"/>
          <w:szCs w:val="16"/>
          <w:lang w:val="en-GB"/>
        </w:rPr>
        <w:t xml:space="preserve"> </w:t>
      </w:r>
      <w:r w:rsidR="00670642">
        <w:rPr>
          <w:sz w:val="16"/>
          <w:szCs w:val="16"/>
          <w:lang w:val="en-GB"/>
        </w:rPr>
        <w:t>Ju</w:t>
      </w:r>
      <w:r w:rsidR="0076369F">
        <w:rPr>
          <w:sz w:val="16"/>
          <w:szCs w:val="16"/>
          <w:lang w:val="en-GB"/>
        </w:rPr>
        <w:t>ly</w:t>
      </w:r>
      <w:r w:rsidR="00D33542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 xml:space="preserve">and </w:t>
      </w:r>
      <w:bookmarkStart w:id="3" w:name="_Hlk193124920"/>
      <w:r w:rsidR="00F66589" w:rsidRPr="001245D8">
        <w:rPr>
          <w:sz w:val="16"/>
          <w:szCs w:val="16"/>
          <w:lang w:val="en-GB"/>
        </w:rPr>
        <w:t>preliminary</w:t>
      </w:r>
      <w:bookmarkEnd w:id="3"/>
      <w:r>
        <w:rPr>
          <w:sz w:val="16"/>
          <w:szCs w:val="16"/>
          <w:lang w:val="en-GB"/>
        </w:rPr>
        <w:t xml:space="preserve">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75604">
        <w:rPr>
          <w:sz w:val="16"/>
          <w:szCs w:val="16"/>
          <w:lang w:val="en-GB"/>
        </w:rPr>
        <w:t xml:space="preserve"> </w:t>
      </w:r>
      <w:r w:rsidR="0076369F">
        <w:rPr>
          <w:sz w:val="16"/>
          <w:szCs w:val="16"/>
          <w:lang w:val="en-GB"/>
        </w:rPr>
        <w:t>August</w:t>
      </w:r>
      <w:r>
        <w:rPr>
          <w:sz w:val="16"/>
          <w:szCs w:val="16"/>
          <w:lang w:val="en-GB"/>
        </w:rPr>
        <w:t>.</w:t>
      </w:r>
    </w:p>
    <w:p w14:paraId="52E735D6" w14:textId="65688217" w:rsidR="003627E7" w:rsidRPr="00DD4DC4" w:rsidRDefault="00A04924" w:rsidP="00D701BD">
      <w:pPr>
        <w:spacing w:before="0" w:after="0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6B9284CF">
                <wp:simplePos x="0" y="0"/>
                <wp:positionH relativeFrom="rightMargin">
                  <wp:posOffset>89535</wp:posOffset>
                </wp:positionH>
                <wp:positionV relativeFrom="paragraph">
                  <wp:posOffset>170815</wp:posOffset>
                </wp:positionV>
                <wp:extent cx="1732915" cy="868680"/>
                <wp:effectExtent l="0" t="0" r="0" b="0"/>
                <wp:wrapTight wrapText="bothSides">
                  <wp:wrapPolygon edited="0">
                    <wp:start x="712" y="0"/>
                    <wp:lineTo x="712" y="20842"/>
                    <wp:lineTo x="20658" y="20842"/>
                    <wp:lineTo x="20658" y="0"/>
                    <wp:lineTo x="712" y="0"/>
                  </wp:wrapPolygon>
                </wp:wrapTight>
                <wp:docPr id="25" name="Pole tekstowe 25" descr="The share in total industry of sold production of divisions, which recorded an increase per year, amounted to 53.1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68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8237B" w14:textId="4AA52F2F" w:rsidR="00637ED3" w:rsidRPr="007B4306" w:rsidRDefault="00AE2435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</w:t>
                            </w:r>
                            <w:r w:rsidR="003C584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hare 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total industry 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of sold production of divisions, which </w:t>
                            </w:r>
                            <w:r w:rsidR="003835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recorded 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BD6E1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 in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E60B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per year</w:t>
                            </w:r>
                            <w:r w:rsidR="003648E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amounted to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7105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53.1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9" type="#_x0000_t202" alt="The share in total industry of sold production of divisions, which recorded an increase per year, amounted to 53.1%" style="position:absolute;margin-left:7.05pt;margin-top:13.45pt;width:136.45pt;height:68.4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" filled="f" stroked="f">
                <v:textbox>
                  <w:txbxContent>
                    <w:p w14:paraId="1CC8237B" w14:textId="4AA52F2F" w:rsidR="00637ED3" w:rsidRPr="007B4306" w:rsidRDefault="00AE2435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</w:t>
                      </w:r>
                      <w:r w:rsidR="003C584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hare 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total industry 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of sold production of divisions, which </w:t>
                      </w:r>
                      <w:r w:rsidR="003835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recorded 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BD6E1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 in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E60B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per year</w:t>
                      </w:r>
                      <w:r w:rsidR="003648E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amounted to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7105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53.1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F45C5">
        <w:rPr>
          <w:sz w:val="16"/>
          <w:szCs w:val="16"/>
          <w:lang w:val="en-GB"/>
        </w:rPr>
        <w:t>*</w:t>
      </w:r>
      <w:r w:rsidR="00AF45C5" w:rsidRPr="00DD4DC4">
        <w:rPr>
          <w:sz w:val="16"/>
          <w:szCs w:val="16"/>
          <w:lang w:val="en-GB"/>
        </w:rPr>
        <w:t xml:space="preserve"> D</w:t>
      </w:r>
      <w:r w:rsidR="00AF45C5" w:rsidRPr="00DD4DC4">
        <w:rPr>
          <w:rFonts w:hint="eastAsia"/>
          <w:sz w:val="16"/>
          <w:szCs w:val="16"/>
          <w:lang w:val="en-GB"/>
        </w:rPr>
        <w:t>ata revised</w:t>
      </w:r>
      <w:r w:rsidR="00AF45C5" w:rsidRPr="00DD4DC4">
        <w:rPr>
          <w:sz w:val="16"/>
          <w:szCs w:val="16"/>
          <w:lang w:val="en-GB"/>
        </w:rPr>
        <w:t>.</w:t>
      </w:r>
    </w:p>
    <w:p w14:paraId="7E717AD0" w14:textId="2B47E80E" w:rsidR="00EC3C88" w:rsidRDefault="00BB33B9" w:rsidP="00D73C1C">
      <w:pPr>
        <w:spacing w:after="0"/>
        <w:rPr>
          <w:noProof/>
          <w:spacing w:val="-2"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>in</w:t>
      </w:r>
      <w:r w:rsidR="00051F0C">
        <w:rPr>
          <w:noProof/>
          <w:spacing w:val="-2"/>
          <w:szCs w:val="19"/>
          <w:lang w:val="en-GB"/>
        </w:rPr>
        <w:t xml:space="preserve"> </w:t>
      </w:r>
      <w:r w:rsidR="0076369F">
        <w:rPr>
          <w:noProof/>
          <w:spacing w:val="-2"/>
          <w:szCs w:val="19"/>
          <w:lang w:val="en-GB"/>
        </w:rPr>
        <w:t>August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283425">
        <w:rPr>
          <w:noProof/>
          <w:spacing w:val="-2"/>
          <w:szCs w:val="19"/>
          <w:lang w:val="en-GB"/>
        </w:rPr>
        <w:t>5</w:t>
      </w:r>
      <w:r w:rsidR="0048628E">
        <w:rPr>
          <w:noProof/>
          <w:spacing w:val="-2"/>
          <w:szCs w:val="19"/>
          <w:lang w:val="en-GB"/>
        </w:rPr>
        <w:t xml:space="preserve"> </w:t>
      </w:r>
      <w:r w:rsidR="0048628E" w:rsidRPr="00C52703">
        <w:rPr>
          <w:noProof/>
          <w:spacing w:val="-2"/>
          <w:szCs w:val="19"/>
          <w:lang w:val="en-GB"/>
        </w:rPr>
        <w:t>a</w:t>
      </w:r>
      <w:r w:rsidR="00670642">
        <w:rPr>
          <w:noProof/>
          <w:spacing w:val="-2"/>
          <w:szCs w:val="19"/>
          <w:lang w:val="en-GB"/>
        </w:rPr>
        <w:t>n in</w:t>
      </w:r>
      <w:r w:rsidR="0048628E" w:rsidRPr="00C52703">
        <w:rPr>
          <w:noProof/>
          <w:spacing w:val="-2"/>
          <w:szCs w:val="19"/>
          <w:lang w:val="en-GB"/>
        </w:rPr>
        <w:t>crease in</w:t>
      </w:r>
      <w:r w:rsidR="0048628E">
        <w:rPr>
          <w:noProof/>
          <w:spacing w:val="-2"/>
          <w:szCs w:val="19"/>
          <w:lang w:val="en-GB"/>
        </w:rPr>
        <w:t> </w:t>
      </w:r>
      <w:r w:rsidR="0048628E" w:rsidRPr="00C52703">
        <w:rPr>
          <w:noProof/>
          <w:spacing w:val="-2"/>
          <w:szCs w:val="19"/>
          <w:lang w:val="en-GB"/>
        </w:rPr>
        <w:t>so</w:t>
      </w:r>
      <w:r w:rsidR="0048628E">
        <w:rPr>
          <w:noProof/>
          <w:spacing w:val="-2"/>
          <w:szCs w:val="19"/>
          <w:lang w:val="en-GB"/>
        </w:rPr>
        <w:t>ld production (</w:t>
      </w:r>
      <w:r w:rsidR="0048628E" w:rsidRPr="00C52703">
        <w:rPr>
          <w:noProof/>
          <w:spacing w:val="-2"/>
          <w:szCs w:val="19"/>
          <w:lang w:val="en-GB"/>
        </w:rPr>
        <w:t>in constant prices</w:t>
      </w:r>
      <w:r w:rsidR="0048628E">
        <w:rPr>
          <w:noProof/>
          <w:spacing w:val="-2"/>
          <w:szCs w:val="19"/>
          <w:lang w:val="en-GB"/>
        </w:rPr>
        <w:t xml:space="preserve">),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7105D9">
        <w:rPr>
          <w:noProof/>
          <w:spacing w:val="-2"/>
          <w:szCs w:val="19"/>
          <w:lang w:val="en-GB"/>
        </w:rPr>
        <w:t>August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283425">
        <w:rPr>
          <w:noProof/>
          <w:spacing w:val="-2"/>
          <w:szCs w:val="19"/>
          <w:lang w:val="en-GB"/>
        </w:rPr>
        <w:t>4</w:t>
      </w:r>
      <w:r w:rsidR="009F5F9B">
        <w:rPr>
          <w:noProof/>
          <w:spacing w:val="-2"/>
          <w:szCs w:val="19"/>
          <w:lang w:val="en-GB"/>
        </w:rPr>
        <w:t>,</w:t>
      </w:r>
      <w:r>
        <w:rPr>
          <w:noProof/>
          <w:spacing w:val="-2"/>
          <w:szCs w:val="19"/>
          <w:lang w:val="en-GB"/>
        </w:rPr>
        <w:t xml:space="preserve"> was reported </w:t>
      </w:r>
      <w:bookmarkStart w:id="4" w:name="_Hlk135220015"/>
      <w:r>
        <w:rPr>
          <w:noProof/>
          <w:spacing w:val="-2"/>
          <w:szCs w:val="19"/>
          <w:lang w:val="en-GB"/>
        </w:rPr>
        <w:t xml:space="preserve">in </w:t>
      </w:r>
      <w:r w:rsidR="00051F0C">
        <w:rPr>
          <w:noProof/>
          <w:spacing w:val="-2"/>
          <w:szCs w:val="19"/>
          <w:lang w:val="en-GB"/>
        </w:rPr>
        <w:t>1</w:t>
      </w:r>
      <w:r w:rsidR="00670642">
        <w:rPr>
          <w:noProof/>
          <w:spacing w:val="-2"/>
          <w:szCs w:val="19"/>
          <w:lang w:val="en-GB"/>
        </w:rPr>
        <w:t>7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</w:t>
      </w:r>
      <w:bookmarkEnd w:id="4"/>
      <w:r w:rsidR="00256334">
        <w:rPr>
          <w:noProof/>
          <w:spacing w:val="-2"/>
          <w:szCs w:val="19"/>
          <w:lang w:val="en-GB"/>
        </w:rPr>
        <w:t xml:space="preserve"> among others</w:t>
      </w:r>
      <w:r w:rsidR="00AA6DFC" w:rsidRPr="00DD4DC4">
        <w:rPr>
          <w:lang w:val="en-GB"/>
        </w:rPr>
        <w:t xml:space="preserve"> </w:t>
      </w:r>
      <w:bookmarkStart w:id="5" w:name="_Hlk195607966"/>
      <w:r w:rsidR="00670642">
        <w:rPr>
          <w:noProof/>
          <w:spacing w:val="-2"/>
          <w:szCs w:val="19"/>
          <w:lang w:val="en-GB"/>
        </w:rPr>
        <w:t>in r</w:t>
      </w:r>
      <w:r w:rsidR="00670642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670642">
        <w:rPr>
          <w:noProof/>
          <w:spacing w:val="-2"/>
          <w:szCs w:val="19"/>
          <w:lang w:val="en-GB"/>
        </w:rPr>
        <w:t xml:space="preserve"> – by </w:t>
      </w:r>
      <w:r w:rsidR="007105D9">
        <w:rPr>
          <w:noProof/>
          <w:spacing w:val="-2"/>
          <w:szCs w:val="19"/>
          <w:lang w:val="en-GB"/>
        </w:rPr>
        <w:t>37.9</w:t>
      </w:r>
      <w:r w:rsidR="00670642">
        <w:rPr>
          <w:noProof/>
          <w:spacing w:val="-2"/>
          <w:szCs w:val="19"/>
          <w:lang w:val="en-GB"/>
        </w:rPr>
        <w:t>%,</w:t>
      </w:r>
      <w:r w:rsidR="00670642" w:rsidRPr="00670642">
        <w:rPr>
          <w:noProof/>
          <w:spacing w:val="-2"/>
          <w:szCs w:val="19"/>
          <w:lang w:val="en-GB"/>
        </w:rPr>
        <w:t xml:space="preserve"> </w:t>
      </w:r>
      <w:r w:rsidR="00670642">
        <w:rPr>
          <w:noProof/>
          <w:spacing w:val="-2"/>
          <w:szCs w:val="19"/>
          <w:lang w:val="en-GB"/>
        </w:rPr>
        <w:t>in </w:t>
      </w:r>
      <w:r w:rsidR="00EC3C88">
        <w:rPr>
          <w:noProof/>
          <w:spacing w:val="-2"/>
          <w:szCs w:val="19"/>
          <w:lang w:val="en-GB"/>
        </w:rPr>
        <w:t>m</w:t>
      </w:r>
      <w:r w:rsidR="00EC3C88" w:rsidRPr="00780942">
        <w:rPr>
          <w:noProof/>
          <w:spacing w:val="-2"/>
          <w:szCs w:val="19"/>
          <w:lang w:val="en-GB"/>
        </w:rPr>
        <w:t>anufacture of other transport equipment</w:t>
      </w:r>
      <w:r w:rsidR="00EC3C88">
        <w:rPr>
          <w:noProof/>
          <w:spacing w:val="-2"/>
          <w:szCs w:val="19"/>
          <w:lang w:val="en-GB"/>
        </w:rPr>
        <w:t xml:space="preserve"> – by 34.4%, </w:t>
      </w:r>
      <w:r w:rsidR="00EC3C88">
        <w:rPr>
          <w:noProof/>
          <w:szCs w:val="19"/>
          <w:lang w:val="en-GB"/>
        </w:rPr>
        <w:t>m</w:t>
      </w:r>
      <w:r w:rsidR="00EC3C88" w:rsidRPr="004A1F6D">
        <w:rPr>
          <w:noProof/>
          <w:szCs w:val="19"/>
          <w:lang w:val="en-GB"/>
        </w:rPr>
        <w:t xml:space="preserve">anufacture of </w:t>
      </w:r>
      <w:r w:rsidR="00EC3C88" w:rsidRPr="005B3DCE">
        <w:rPr>
          <w:noProof/>
          <w:spacing w:val="-2"/>
          <w:szCs w:val="19"/>
          <w:lang w:val="en-GB"/>
        </w:rPr>
        <w:t>machinery and equipment</w:t>
      </w:r>
      <w:r w:rsidR="00EC3C88">
        <w:rPr>
          <w:noProof/>
          <w:spacing w:val="-2"/>
          <w:szCs w:val="19"/>
          <w:lang w:val="en-GB"/>
        </w:rPr>
        <w:t xml:space="preserve"> – by 9.7%,</w:t>
      </w:r>
      <w:r w:rsidR="00EC3C88" w:rsidRPr="00EC3C88">
        <w:rPr>
          <w:noProof/>
          <w:spacing w:val="-2"/>
          <w:szCs w:val="19"/>
          <w:lang w:val="en-GB"/>
        </w:rPr>
        <w:t xml:space="preserve"> </w:t>
      </w:r>
      <w:r w:rsidR="00EC3C88">
        <w:rPr>
          <w:noProof/>
          <w:spacing w:val="-2"/>
          <w:szCs w:val="19"/>
          <w:lang w:val="en-GB"/>
        </w:rPr>
        <w:t>in</w:t>
      </w:r>
      <w:r w:rsidR="003D4B87">
        <w:rPr>
          <w:noProof/>
          <w:spacing w:val="-2"/>
          <w:szCs w:val="19"/>
          <w:lang w:val="en-GB"/>
        </w:rPr>
        <w:t xml:space="preserve"> </w:t>
      </w:r>
      <w:r w:rsidR="00EC3C88">
        <w:rPr>
          <w:noProof/>
          <w:spacing w:val="-2"/>
          <w:szCs w:val="19"/>
          <w:lang w:val="en-GB"/>
        </w:rPr>
        <w:t>w</w:t>
      </w:r>
      <w:r w:rsidR="00EC3C88" w:rsidRPr="003957CC">
        <w:rPr>
          <w:noProof/>
          <w:spacing w:val="-2"/>
          <w:szCs w:val="19"/>
          <w:lang w:val="en-GB"/>
        </w:rPr>
        <w:t>aste collection, treatment and disposal activities; materials recovery</w:t>
      </w:r>
      <w:r w:rsidR="00EC3C88">
        <w:rPr>
          <w:noProof/>
          <w:spacing w:val="-2"/>
          <w:szCs w:val="19"/>
          <w:lang w:val="en-GB"/>
        </w:rPr>
        <w:t xml:space="preserve"> – by 7.9%,</w:t>
      </w:r>
      <w:r w:rsidR="00EC3C88" w:rsidRPr="00EC3C88">
        <w:rPr>
          <w:lang w:val="en-US"/>
        </w:rPr>
        <w:t xml:space="preserve"> </w:t>
      </w:r>
      <w:r w:rsidR="00EC3C88">
        <w:rPr>
          <w:noProof/>
          <w:spacing w:val="-2"/>
          <w:szCs w:val="19"/>
          <w:lang w:val="en-GB"/>
        </w:rPr>
        <w:t>m</w:t>
      </w:r>
      <w:r w:rsidR="00EC3C88" w:rsidRPr="00EC3C88">
        <w:rPr>
          <w:noProof/>
          <w:spacing w:val="-2"/>
          <w:szCs w:val="19"/>
          <w:lang w:val="en-GB"/>
        </w:rPr>
        <w:t>anufacture of products of wood, cork, straw and wicker</w:t>
      </w:r>
      <w:r w:rsidR="00EC3C88">
        <w:rPr>
          <w:noProof/>
          <w:spacing w:val="-2"/>
          <w:szCs w:val="19"/>
          <w:lang w:val="en-GB"/>
        </w:rPr>
        <w:t xml:space="preserve"> </w:t>
      </w:r>
      <w:r w:rsidR="00EC3C88">
        <w:rPr>
          <w:noProof/>
          <w:szCs w:val="19"/>
          <w:lang w:val="en-GB"/>
        </w:rPr>
        <w:t>– by 5.6%,</w:t>
      </w:r>
      <w:r w:rsidR="00EC3C88" w:rsidRPr="00EC3C88">
        <w:rPr>
          <w:noProof/>
          <w:spacing w:val="-2"/>
          <w:szCs w:val="19"/>
          <w:lang w:val="en-GB"/>
        </w:rPr>
        <w:t xml:space="preserve"> </w:t>
      </w:r>
      <w:r w:rsidR="00EC3C88">
        <w:rPr>
          <w:noProof/>
          <w:spacing w:val="-2"/>
          <w:szCs w:val="19"/>
          <w:lang w:val="en-GB"/>
        </w:rPr>
        <w:t>m</w:t>
      </w:r>
      <w:r w:rsidR="00EC3C88" w:rsidRPr="00687BD9">
        <w:rPr>
          <w:noProof/>
          <w:spacing w:val="-2"/>
          <w:szCs w:val="19"/>
          <w:lang w:val="en-GB"/>
        </w:rPr>
        <w:t>anufacture of food products</w:t>
      </w:r>
      <w:r w:rsidR="00EC3C88">
        <w:rPr>
          <w:noProof/>
          <w:spacing w:val="-2"/>
          <w:szCs w:val="19"/>
          <w:lang w:val="en-GB"/>
        </w:rPr>
        <w:t xml:space="preserve"> – by 4.6%,</w:t>
      </w:r>
      <w:r w:rsidR="00EC3C88" w:rsidRPr="00EC3C88">
        <w:rPr>
          <w:noProof/>
          <w:spacing w:val="-2"/>
          <w:szCs w:val="19"/>
          <w:lang w:val="en-GB"/>
        </w:rPr>
        <w:t xml:space="preserve"> </w:t>
      </w:r>
      <w:r w:rsidR="00EC3C88">
        <w:rPr>
          <w:noProof/>
          <w:spacing w:val="-2"/>
          <w:szCs w:val="19"/>
          <w:lang w:val="en-GB"/>
        </w:rPr>
        <w:t>m</w:t>
      </w:r>
      <w:r w:rsidR="00EC3C88" w:rsidRPr="00204CAD">
        <w:rPr>
          <w:noProof/>
          <w:spacing w:val="-2"/>
          <w:szCs w:val="19"/>
          <w:lang w:val="en-GB"/>
        </w:rPr>
        <w:t>anufacture of basic metals</w:t>
      </w:r>
      <w:r w:rsidR="00EC3C88">
        <w:rPr>
          <w:noProof/>
          <w:spacing w:val="-2"/>
          <w:szCs w:val="19"/>
          <w:lang w:val="en-GB"/>
        </w:rPr>
        <w:t xml:space="preserve"> – by 2.8%,</w:t>
      </w:r>
      <w:r w:rsidR="00EC3C88" w:rsidRPr="00EC3C88">
        <w:rPr>
          <w:noProof/>
          <w:spacing w:val="-2"/>
          <w:szCs w:val="19"/>
          <w:lang w:val="en-GB"/>
        </w:rPr>
        <w:t xml:space="preserve"> </w:t>
      </w:r>
      <w:r w:rsidR="00EC3C88">
        <w:rPr>
          <w:noProof/>
          <w:spacing w:val="-2"/>
          <w:szCs w:val="19"/>
          <w:lang w:val="en-GB"/>
        </w:rPr>
        <w:t>m</w:t>
      </w:r>
      <w:r w:rsidR="00EC3C88" w:rsidRPr="00A04924">
        <w:rPr>
          <w:noProof/>
          <w:spacing w:val="-2"/>
          <w:szCs w:val="19"/>
          <w:lang w:val="en-GB"/>
        </w:rPr>
        <w:t>anufacture of metal products</w:t>
      </w:r>
      <w:r w:rsidR="00EC3C88">
        <w:rPr>
          <w:noProof/>
          <w:spacing w:val="-2"/>
          <w:szCs w:val="19"/>
          <w:lang w:val="en-GB"/>
        </w:rPr>
        <w:t xml:space="preserve"> – by 2.7%.</w:t>
      </w:r>
    </w:p>
    <w:bookmarkEnd w:id="5"/>
    <w:p w14:paraId="5B7D3835" w14:textId="61480D1F" w:rsidR="00EC3C88" w:rsidRDefault="00E74A2F" w:rsidP="00EC3C88">
      <w:pPr>
        <w:spacing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D73C1C">
        <w:rPr>
          <w:noProof/>
          <w:szCs w:val="19"/>
          <w:lang w:val="en-GB"/>
        </w:rPr>
        <w:t xml:space="preserve"> de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EC3C88">
        <w:rPr>
          <w:noProof/>
          <w:szCs w:val="19"/>
          <w:lang w:val="en-GB"/>
        </w:rPr>
        <w:t>August</w:t>
      </w:r>
      <w:r w:rsidR="002B0CDD">
        <w:rPr>
          <w:noProof/>
          <w:szCs w:val="19"/>
          <w:lang w:val="en-GB"/>
        </w:rPr>
        <w:t xml:space="preserve"> </w:t>
      </w:r>
      <w:r>
        <w:rPr>
          <w:noProof/>
          <w:szCs w:val="19"/>
          <w:lang w:val="en-GB"/>
        </w:rPr>
        <w:t>202</w:t>
      </w:r>
      <w:r w:rsidR="00D96B63">
        <w:rPr>
          <w:noProof/>
          <w:szCs w:val="19"/>
          <w:lang w:val="en-GB"/>
        </w:rPr>
        <w:t>4</w:t>
      </w:r>
      <w:r>
        <w:rPr>
          <w:noProof/>
          <w:szCs w:val="19"/>
          <w:lang w:val="en-GB"/>
        </w:rPr>
        <w:t>, was recorded in </w:t>
      </w:r>
      <w:r w:rsidR="00051F0C">
        <w:rPr>
          <w:noProof/>
          <w:szCs w:val="19"/>
          <w:lang w:val="en-GB"/>
        </w:rPr>
        <w:t>1</w:t>
      </w:r>
      <w:r w:rsidR="00D73C1C">
        <w:rPr>
          <w:noProof/>
          <w:szCs w:val="19"/>
          <w:lang w:val="en-GB"/>
        </w:rPr>
        <w:t>7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>,</w:t>
      </w:r>
      <w:r w:rsidR="00BB6A55">
        <w:rPr>
          <w:noProof/>
          <w:szCs w:val="19"/>
          <w:lang w:val="en-GB"/>
        </w:rPr>
        <w:t xml:space="preserve"> </w:t>
      </w:r>
      <w:r w:rsidR="003C4F74">
        <w:rPr>
          <w:noProof/>
          <w:spacing w:val="-2"/>
          <w:szCs w:val="19"/>
          <w:lang w:val="en-GB"/>
        </w:rPr>
        <w:t>among others</w:t>
      </w:r>
      <w:r w:rsidR="003C4F74" w:rsidRPr="00DD4DC4">
        <w:rPr>
          <w:lang w:val="en-GB"/>
        </w:rPr>
        <w:t xml:space="preserve"> </w:t>
      </w:r>
      <w:r w:rsidR="00D73C1C">
        <w:rPr>
          <w:lang w:val="en-GB"/>
        </w:rPr>
        <w:t xml:space="preserve">in </w:t>
      </w:r>
      <w:r w:rsidR="00D73C1C">
        <w:rPr>
          <w:noProof/>
          <w:szCs w:val="19"/>
          <w:lang w:val="en-GB"/>
        </w:rPr>
        <w:t>m</w:t>
      </w:r>
      <w:r w:rsidR="00D73C1C" w:rsidRPr="004A1F6D">
        <w:rPr>
          <w:noProof/>
          <w:szCs w:val="19"/>
          <w:lang w:val="en-GB"/>
        </w:rPr>
        <w:t>anufacture of beverages</w:t>
      </w:r>
      <w:r w:rsidR="00D73C1C">
        <w:rPr>
          <w:noProof/>
          <w:szCs w:val="19"/>
          <w:lang w:val="en-GB"/>
        </w:rPr>
        <w:t xml:space="preserve"> – by </w:t>
      </w:r>
      <w:r w:rsidR="00EC3C88">
        <w:rPr>
          <w:noProof/>
          <w:szCs w:val="19"/>
          <w:lang w:val="en-GB"/>
        </w:rPr>
        <w:t>11.0</w:t>
      </w:r>
      <w:r w:rsidR="00D73C1C">
        <w:rPr>
          <w:noProof/>
          <w:szCs w:val="19"/>
          <w:lang w:val="en-GB"/>
        </w:rPr>
        <w:t>%,</w:t>
      </w:r>
      <w:r w:rsidR="00D73C1C" w:rsidRPr="00D73C1C">
        <w:rPr>
          <w:noProof/>
          <w:spacing w:val="-2"/>
          <w:szCs w:val="19"/>
          <w:lang w:val="en-GB"/>
        </w:rPr>
        <w:t xml:space="preserve"> </w:t>
      </w:r>
      <w:r w:rsidR="00EC3C88">
        <w:rPr>
          <w:noProof/>
          <w:spacing w:val="-2"/>
          <w:szCs w:val="19"/>
          <w:lang w:val="en-GB"/>
        </w:rPr>
        <w:t>in e</w:t>
      </w:r>
      <w:r w:rsidR="00EC3C88" w:rsidRPr="0096388D">
        <w:rPr>
          <w:noProof/>
          <w:spacing w:val="-2"/>
          <w:szCs w:val="19"/>
          <w:lang w:val="en-GB"/>
        </w:rPr>
        <w:t>lectricity, gas, steam and air conditioning supply</w:t>
      </w:r>
      <w:r w:rsidR="00EC3C88">
        <w:rPr>
          <w:noProof/>
          <w:spacing w:val="-2"/>
          <w:szCs w:val="19"/>
          <w:lang w:val="en-GB"/>
        </w:rPr>
        <w:t xml:space="preserve"> – by 6.7%, in m</w:t>
      </w:r>
      <w:r w:rsidR="00EC3C88" w:rsidRPr="00BD0775">
        <w:rPr>
          <w:noProof/>
          <w:spacing w:val="-2"/>
          <w:szCs w:val="19"/>
          <w:lang w:val="en-GB"/>
        </w:rPr>
        <w:t>anufacture of chemicals and chemical products</w:t>
      </w:r>
      <w:r w:rsidR="00EC3C88">
        <w:rPr>
          <w:noProof/>
          <w:spacing w:val="-2"/>
          <w:szCs w:val="19"/>
          <w:lang w:val="en-GB"/>
        </w:rPr>
        <w:t xml:space="preserve"> – by </w:t>
      </w:r>
      <w:r w:rsidR="00E61BD0">
        <w:rPr>
          <w:noProof/>
          <w:spacing w:val="-2"/>
          <w:szCs w:val="19"/>
          <w:lang w:val="en-GB"/>
        </w:rPr>
        <w:t>6,1</w:t>
      </w:r>
      <w:r w:rsidR="00EC3C88">
        <w:rPr>
          <w:noProof/>
          <w:spacing w:val="-2"/>
          <w:szCs w:val="19"/>
          <w:lang w:val="en-GB"/>
        </w:rPr>
        <w:t>%,</w:t>
      </w:r>
      <w:r w:rsidR="00EC3C88" w:rsidRPr="00EC3C88">
        <w:rPr>
          <w:noProof/>
          <w:spacing w:val="-2"/>
          <w:szCs w:val="19"/>
          <w:lang w:val="en-GB"/>
        </w:rPr>
        <w:t xml:space="preserve"> </w:t>
      </w:r>
      <w:r w:rsidR="00EC3C88">
        <w:rPr>
          <w:noProof/>
          <w:spacing w:val="-2"/>
          <w:szCs w:val="19"/>
          <w:lang w:val="en-GB"/>
        </w:rPr>
        <w:t>m</w:t>
      </w:r>
      <w:r w:rsidR="00EC3C88" w:rsidRPr="00051F0C">
        <w:rPr>
          <w:noProof/>
          <w:spacing w:val="-2"/>
          <w:szCs w:val="19"/>
          <w:lang w:val="en-GB"/>
        </w:rPr>
        <w:t>anufacture of motor vehicles, trailers and semi-trailers</w:t>
      </w:r>
      <w:r w:rsidR="00EC3C88">
        <w:rPr>
          <w:noProof/>
          <w:spacing w:val="-2"/>
          <w:szCs w:val="19"/>
          <w:lang w:val="en-GB"/>
        </w:rPr>
        <w:t xml:space="preserve"> </w:t>
      </w:r>
      <w:r w:rsidR="00EC3C88">
        <w:rPr>
          <w:noProof/>
          <w:szCs w:val="19"/>
          <w:lang w:val="en-GB"/>
        </w:rPr>
        <w:t>– by 4.2%,</w:t>
      </w:r>
      <w:r w:rsidR="00EC3C88" w:rsidRPr="00EC3C88">
        <w:rPr>
          <w:noProof/>
          <w:spacing w:val="-2"/>
          <w:szCs w:val="19"/>
          <w:lang w:val="en-GB"/>
        </w:rPr>
        <w:t xml:space="preserve"> </w:t>
      </w:r>
      <w:r w:rsidR="00EC3C88">
        <w:rPr>
          <w:noProof/>
          <w:spacing w:val="-2"/>
          <w:szCs w:val="19"/>
          <w:lang w:val="en-GB"/>
        </w:rPr>
        <w:t>m</w:t>
      </w:r>
      <w:r w:rsidR="00EC3C88" w:rsidRPr="007A4341">
        <w:rPr>
          <w:noProof/>
          <w:spacing w:val="-2"/>
          <w:szCs w:val="19"/>
          <w:lang w:val="en-GB"/>
        </w:rPr>
        <w:t>anufacture of electrical equipment</w:t>
      </w:r>
      <w:r w:rsidR="00EC3C88">
        <w:rPr>
          <w:noProof/>
          <w:spacing w:val="-2"/>
          <w:szCs w:val="19"/>
          <w:lang w:val="en-GB"/>
        </w:rPr>
        <w:t xml:space="preserve"> – by 3.1%,</w:t>
      </w:r>
      <w:r w:rsidR="00EC3C88" w:rsidRPr="00EC3C88">
        <w:rPr>
          <w:lang w:val="en-US"/>
        </w:rPr>
        <w:t xml:space="preserve"> </w:t>
      </w:r>
      <w:r w:rsidR="00EC3C88">
        <w:rPr>
          <w:noProof/>
          <w:spacing w:val="-2"/>
          <w:szCs w:val="19"/>
          <w:lang w:val="en-GB"/>
        </w:rPr>
        <w:t>m</w:t>
      </w:r>
      <w:r w:rsidR="00EC3C88" w:rsidRPr="00EC3C88">
        <w:rPr>
          <w:noProof/>
          <w:spacing w:val="-2"/>
          <w:szCs w:val="19"/>
          <w:lang w:val="en-GB"/>
        </w:rPr>
        <w:t>anufacture of paper and paper products</w:t>
      </w:r>
      <w:r w:rsidR="00EC3C88">
        <w:rPr>
          <w:noProof/>
          <w:spacing w:val="-2"/>
          <w:szCs w:val="19"/>
          <w:lang w:val="en-GB"/>
        </w:rPr>
        <w:t xml:space="preserve"> – by 2.7%.</w:t>
      </w:r>
    </w:p>
    <w:p w14:paraId="5175D03E" w14:textId="3EB7839F" w:rsidR="00680622" w:rsidRPr="000A5D02" w:rsidRDefault="00680622" w:rsidP="000E5184">
      <w:pPr>
        <w:spacing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 xml:space="preserve">Chart 2. </w:t>
      </w:r>
      <w:r w:rsidRPr="000A5D02">
        <w:rPr>
          <w:b/>
          <w:spacing w:val="-2"/>
          <w:szCs w:val="19"/>
          <w:shd w:val="clear" w:color="auto" w:fill="FFFFFF"/>
          <w:lang w:val="en-GB"/>
        </w:rPr>
        <w:t xml:space="preserve">Index </w:t>
      </w:r>
      <w:r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66C6249B" w14:textId="6D8D0E49" w:rsidR="00E86A52" w:rsidRPr="00C82E44" w:rsidRDefault="00E86A52" w:rsidP="007A4341">
      <w:pPr>
        <w:spacing w:before="0" w:after="0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2049408" behindDoc="0" locked="0" layoutInCell="1" allowOverlap="1" wp14:anchorId="6D795EE8" wp14:editId="3A2C0BA8">
            <wp:simplePos x="0" y="0"/>
            <wp:positionH relativeFrom="column">
              <wp:posOffset>-127000</wp:posOffset>
            </wp:positionH>
            <wp:positionV relativeFrom="paragraph">
              <wp:posOffset>201930</wp:posOffset>
            </wp:positionV>
            <wp:extent cx="5248910" cy="3608705"/>
            <wp:effectExtent l="0" t="0" r="8890" b="0"/>
            <wp:wrapSquare wrapText="bothSides"/>
            <wp:docPr id="9" name="Obraz 9" descr="Index of sold production of industry by selected NACE divisions (constant prices; previous year =100) - August 2024, August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3608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r w:rsidR="000A5D02">
        <w:rPr>
          <w:b/>
          <w:spacing w:val="-2"/>
          <w:sz w:val="18"/>
          <w:szCs w:val="18"/>
          <w:lang w:val="en-GB"/>
        </w:rPr>
        <w:t xml:space="preserve">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686BD9" w:rsidRPr="00686BD9">
        <w:rPr>
          <w:b/>
          <w:spacing w:val="-2"/>
          <w:szCs w:val="19"/>
          <w:lang w:val="en-GB"/>
        </w:rPr>
        <w:t>corresponding period of previous year = 100</w:t>
      </w:r>
      <w:r w:rsidR="00680622" w:rsidRPr="000A5D02">
        <w:rPr>
          <w:b/>
          <w:spacing w:val="-2"/>
          <w:szCs w:val="19"/>
          <w:lang w:val="en-GB"/>
        </w:rPr>
        <w:t>)</w:t>
      </w:r>
    </w:p>
    <w:p w14:paraId="4F934424" w14:textId="5ECE63E3" w:rsidR="00CC072F" w:rsidRDefault="00267096" w:rsidP="00CC072F">
      <w:pPr>
        <w:spacing w:before="0" w:after="0"/>
        <w:rPr>
          <w:noProof/>
          <w:szCs w:val="19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2035072" behindDoc="1" locked="0" layoutInCell="1" allowOverlap="1" wp14:anchorId="1C658EFD" wp14:editId="3B76B72A">
                <wp:simplePos x="0" y="0"/>
                <wp:positionH relativeFrom="rightMargin">
                  <wp:posOffset>89535</wp:posOffset>
                </wp:positionH>
                <wp:positionV relativeFrom="paragraph">
                  <wp:posOffset>0</wp:posOffset>
                </wp:positionV>
                <wp:extent cx="1732915" cy="914400"/>
                <wp:effectExtent l="0" t="0" r="0" b="0"/>
                <wp:wrapSquare wrapText="bothSides"/>
                <wp:docPr id="6" name="Pole tekstowe 6" descr="The share in total industry of sold production of divisions, which recorded a decrease compared to July 2025, amounted to 91.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C4873" w14:textId="70CAD6BF" w:rsidR="003C5848" w:rsidRPr="007B4306" w:rsidRDefault="003C5848" w:rsidP="003C5848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s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hare in total industry of sold production of divisions, which </w:t>
                            </w:r>
                            <w:r w:rsidR="000E48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recorded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CC072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compared to </w:t>
                            </w:r>
                            <w:r w:rsidR="005D02A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</w:t>
                            </w:r>
                            <w:r w:rsidR="00CC072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ly</w:t>
                            </w:r>
                            <w:r w:rsidR="005921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B40D8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2025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amounted to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C072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91.5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4215184E" w14:textId="09293ED6" w:rsidR="00267096" w:rsidRPr="007B4306" w:rsidRDefault="00267096" w:rsidP="00267096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8EFD" id="Pole tekstowe 6" o:spid="_x0000_s1030" type="#_x0000_t202" alt="The share in total industry of sold production of divisions, which recorded a decrease compared to July 2025, amounted to 91.5%" style="position:absolute;margin-left:7.05pt;margin-top:0;width:136.45pt;height:1in;z-index:-2512814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" filled="f" stroked="f">
                <v:textbox>
                  <w:txbxContent>
                    <w:p w14:paraId="0E5C4873" w14:textId="70CAD6BF" w:rsidR="003C5848" w:rsidRPr="007B4306" w:rsidRDefault="003C5848" w:rsidP="003C5848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s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hare in total industry of sold production of divisions, which </w:t>
                      </w:r>
                      <w:r w:rsidR="000E48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recorded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CC072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compared to </w:t>
                      </w:r>
                      <w:r w:rsidR="005D02A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</w:t>
                      </w:r>
                      <w:r w:rsidR="00CC072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ly</w:t>
                      </w:r>
                      <w:r w:rsidR="005921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B40D8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2025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amounted to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C072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91.5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4215184E" w14:textId="09293ED6" w:rsidR="00267096" w:rsidRPr="007B4306" w:rsidRDefault="00267096" w:rsidP="00267096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3D6B">
        <w:rPr>
          <w:szCs w:val="19"/>
          <w:lang w:val="en-GB"/>
        </w:rPr>
        <w:t xml:space="preserve">In </w:t>
      </w:r>
      <w:r w:rsidR="00EC3C88">
        <w:rPr>
          <w:szCs w:val="19"/>
          <w:lang w:val="en-GB"/>
        </w:rPr>
        <w:t>August</w:t>
      </w:r>
      <w:r w:rsidR="00AE3D6B">
        <w:rPr>
          <w:szCs w:val="19"/>
          <w:lang w:val="en-GB"/>
        </w:rPr>
        <w:t xml:space="preserve"> 2025,</w:t>
      </w:r>
      <w:r w:rsidR="00AE3D6B" w:rsidRPr="00946446">
        <w:rPr>
          <w:szCs w:val="19"/>
          <w:lang w:val="en-GB"/>
        </w:rPr>
        <w:t xml:space="preserve"> </w:t>
      </w:r>
      <w:r w:rsidR="005659E8">
        <w:rPr>
          <w:szCs w:val="19"/>
          <w:lang w:val="en-GB"/>
        </w:rPr>
        <w:t>a</w:t>
      </w:r>
      <w:r w:rsidR="00EC3C88">
        <w:rPr>
          <w:szCs w:val="19"/>
          <w:lang w:val="en-GB"/>
        </w:rPr>
        <w:t xml:space="preserve"> de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>(in constant prices)</w:t>
      </w:r>
      <w:r w:rsidR="00AE3D6B">
        <w:rPr>
          <w:szCs w:val="19"/>
          <w:lang w:val="en-GB"/>
        </w:rPr>
        <w:t xml:space="preserve">, as compared to </w:t>
      </w:r>
      <w:r w:rsidR="00BD6E19">
        <w:rPr>
          <w:szCs w:val="19"/>
          <w:lang w:val="en-GB"/>
        </w:rPr>
        <w:t>Ju</w:t>
      </w:r>
      <w:r w:rsidR="00EC3C88">
        <w:rPr>
          <w:szCs w:val="19"/>
          <w:lang w:val="en-GB"/>
        </w:rPr>
        <w:t>ly</w:t>
      </w:r>
      <w:r w:rsidR="00AE3D6B">
        <w:rPr>
          <w:szCs w:val="19"/>
          <w:lang w:val="en-GB"/>
        </w:rPr>
        <w:t xml:space="preserve"> 2025, </w:t>
      </w:r>
      <w:r w:rsidR="00946446" w:rsidRPr="00946446">
        <w:rPr>
          <w:szCs w:val="19"/>
          <w:lang w:val="en-GB"/>
        </w:rPr>
        <w:t xml:space="preserve">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bookmarkStart w:id="6" w:name="_Hlk77319205"/>
      <w:r w:rsidR="00135F43">
        <w:rPr>
          <w:noProof/>
          <w:spacing w:val="-2"/>
          <w:szCs w:val="19"/>
          <w:lang w:val="en-GB"/>
        </w:rPr>
        <w:t>in</w:t>
      </w:r>
      <w:r w:rsidR="00312467">
        <w:rPr>
          <w:noProof/>
          <w:spacing w:val="-2"/>
          <w:szCs w:val="19"/>
          <w:lang w:val="en-GB"/>
        </w:rPr>
        <w:t xml:space="preserve"> </w:t>
      </w:r>
      <w:r w:rsidR="00EC3C88">
        <w:rPr>
          <w:noProof/>
          <w:spacing w:val="-2"/>
          <w:szCs w:val="19"/>
          <w:lang w:val="en-GB"/>
        </w:rPr>
        <w:t>29</w:t>
      </w:r>
      <w:r w:rsidR="00135F43">
        <w:rPr>
          <w:noProof/>
          <w:spacing w:val="-2"/>
          <w:szCs w:val="19"/>
          <w:lang w:val="en-GB"/>
        </w:rPr>
        <w:t xml:space="preserve"> </w:t>
      </w:r>
      <w:r w:rsidR="00135F43" w:rsidRPr="00D22ECE">
        <w:rPr>
          <w:noProof/>
          <w:spacing w:val="-2"/>
          <w:szCs w:val="19"/>
          <w:lang w:val="en-GB"/>
        </w:rPr>
        <w:t>(out of 34) i</w:t>
      </w:r>
      <w:r w:rsidR="00135F43">
        <w:rPr>
          <w:noProof/>
          <w:spacing w:val="-2"/>
          <w:szCs w:val="19"/>
          <w:lang w:val="en-GB"/>
        </w:rPr>
        <w:t xml:space="preserve">ndustry divisions, </w:t>
      </w:r>
      <w:r w:rsidR="00946446" w:rsidRPr="00D22ECE">
        <w:rPr>
          <w:noProof/>
          <w:spacing w:val="-2"/>
          <w:szCs w:val="19"/>
          <w:lang w:val="en-GB"/>
        </w:rPr>
        <w:t>among others</w:t>
      </w:r>
      <w:r w:rsidR="00687BD9" w:rsidRPr="00687BD9">
        <w:rPr>
          <w:noProof/>
          <w:spacing w:val="-2"/>
          <w:szCs w:val="19"/>
          <w:lang w:val="en-GB"/>
        </w:rPr>
        <w:t xml:space="preserve"> </w:t>
      </w:r>
      <w:r w:rsidR="00EC3C88">
        <w:rPr>
          <w:noProof/>
          <w:spacing w:val="-2"/>
          <w:szCs w:val="19"/>
          <w:lang w:val="en-GB"/>
        </w:rPr>
        <w:t>in m</w:t>
      </w:r>
      <w:r w:rsidR="00EC3C88" w:rsidRPr="00051F0C">
        <w:rPr>
          <w:noProof/>
          <w:spacing w:val="-2"/>
          <w:szCs w:val="19"/>
          <w:lang w:val="en-GB"/>
        </w:rPr>
        <w:t>anufacture of motor vehicles, trailers and semi-trailers</w:t>
      </w:r>
      <w:r w:rsidR="00EC3C88">
        <w:rPr>
          <w:noProof/>
          <w:spacing w:val="-2"/>
          <w:szCs w:val="19"/>
          <w:lang w:val="en-GB"/>
        </w:rPr>
        <w:t xml:space="preserve"> </w:t>
      </w:r>
      <w:r w:rsidR="00EC3C88">
        <w:rPr>
          <w:noProof/>
          <w:szCs w:val="19"/>
          <w:lang w:val="en-GB"/>
        </w:rPr>
        <w:t xml:space="preserve">– by 22.1%, </w:t>
      </w:r>
      <w:r w:rsidR="00EC3C88">
        <w:rPr>
          <w:noProof/>
          <w:spacing w:val="-2"/>
          <w:szCs w:val="19"/>
          <w:lang w:val="en-GB"/>
        </w:rPr>
        <w:t>m</w:t>
      </w:r>
      <w:r w:rsidR="00EC3C88" w:rsidRPr="00204CAD">
        <w:rPr>
          <w:noProof/>
          <w:spacing w:val="-2"/>
          <w:szCs w:val="19"/>
          <w:lang w:val="en-GB"/>
        </w:rPr>
        <w:t>anufacture of basic metals</w:t>
      </w:r>
      <w:r w:rsidR="00EC3C88">
        <w:rPr>
          <w:noProof/>
          <w:spacing w:val="-2"/>
          <w:szCs w:val="19"/>
          <w:lang w:val="en-GB"/>
        </w:rPr>
        <w:t xml:space="preserve"> – by 11.8%,</w:t>
      </w:r>
      <w:r w:rsidR="00EC3C88" w:rsidRPr="00EC3C88">
        <w:rPr>
          <w:noProof/>
          <w:spacing w:val="-2"/>
          <w:szCs w:val="19"/>
          <w:lang w:val="en-GB"/>
        </w:rPr>
        <w:t xml:space="preserve"> </w:t>
      </w:r>
      <w:r w:rsidR="00EC3C88">
        <w:rPr>
          <w:noProof/>
          <w:spacing w:val="-2"/>
          <w:szCs w:val="19"/>
          <w:lang w:val="en-GB"/>
        </w:rPr>
        <w:t>m</w:t>
      </w:r>
      <w:r w:rsidR="00EC3C88" w:rsidRPr="00BD0775">
        <w:rPr>
          <w:noProof/>
          <w:spacing w:val="-2"/>
          <w:szCs w:val="19"/>
          <w:lang w:val="en-GB"/>
        </w:rPr>
        <w:t>anufacture of chemicals and chemical products</w:t>
      </w:r>
      <w:r w:rsidR="00EC3C88">
        <w:rPr>
          <w:noProof/>
          <w:spacing w:val="-2"/>
          <w:szCs w:val="19"/>
          <w:lang w:val="en-GB"/>
        </w:rPr>
        <w:t xml:space="preserve"> – by 10.6%,</w:t>
      </w:r>
      <w:r w:rsidR="00EC3C88" w:rsidRPr="00EC3C88">
        <w:rPr>
          <w:noProof/>
          <w:spacing w:val="-2"/>
          <w:szCs w:val="19"/>
          <w:lang w:val="en-GB"/>
        </w:rPr>
        <w:t xml:space="preserve"> </w:t>
      </w:r>
      <w:r w:rsidR="00EC3C88">
        <w:rPr>
          <w:noProof/>
          <w:spacing w:val="-2"/>
          <w:szCs w:val="19"/>
          <w:lang w:val="en-GB"/>
        </w:rPr>
        <w:t>m</w:t>
      </w:r>
      <w:r w:rsidR="00EC3C88" w:rsidRPr="00051F0C">
        <w:rPr>
          <w:noProof/>
          <w:spacing w:val="-2"/>
          <w:szCs w:val="19"/>
          <w:lang w:val="en-GB"/>
        </w:rPr>
        <w:t>anufacture of paper and paper products</w:t>
      </w:r>
      <w:r w:rsidR="00EC3C88">
        <w:rPr>
          <w:noProof/>
          <w:spacing w:val="-2"/>
          <w:szCs w:val="19"/>
          <w:lang w:val="en-GB"/>
        </w:rPr>
        <w:t xml:space="preserve"> and m</w:t>
      </w:r>
      <w:r w:rsidR="00EC3C88" w:rsidRPr="00A04924">
        <w:rPr>
          <w:noProof/>
          <w:spacing w:val="-2"/>
          <w:szCs w:val="19"/>
          <w:lang w:val="en-GB"/>
        </w:rPr>
        <w:t>anufacture of other non-metallic mineral products</w:t>
      </w:r>
      <w:r w:rsidR="00EC3C88">
        <w:rPr>
          <w:noProof/>
          <w:spacing w:val="-2"/>
          <w:szCs w:val="19"/>
          <w:lang w:val="en-GB"/>
        </w:rPr>
        <w:t xml:space="preserve"> – by </w:t>
      </w:r>
      <w:r w:rsidR="00CC072F">
        <w:rPr>
          <w:noProof/>
          <w:spacing w:val="-2"/>
          <w:szCs w:val="19"/>
          <w:lang w:val="en-GB"/>
        </w:rPr>
        <w:t>10.1</w:t>
      </w:r>
      <w:r w:rsidR="00EC3C88">
        <w:rPr>
          <w:noProof/>
          <w:spacing w:val="-2"/>
          <w:szCs w:val="19"/>
          <w:lang w:val="en-GB"/>
        </w:rPr>
        <w:t>% each,</w:t>
      </w:r>
      <w:r w:rsidR="00EC3C88">
        <w:rPr>
          <w:lang w:val="en-US"/>
        </w:rPr>
        <w:t xml:space="preserve"> </w:t>
      </w:r>
      <w:r w:rsidR="00EC3C88">
        <w:rPr>
          <w:noProof/>
          <w:spacing w:val="-2"/>
          <w:szCs w:val="19"/>
          <w:lang w:val="en-GB"/>
        </w:rPr>
        <w:t>m</w:t>
      </w:r>
      <w:r w:rsidR="00EC3C88" w:rsidRPr="00EC3C88">
        <w:rPr>
          <w:noProof/>
          <w:spacing w:val="-2"/>
          <w:szCs w:val="19"/>
          <w:lang w:val="en-GB"/>
        </w:rPr>
        <w:t>anufacture of rubber and plastic products</w:t>
      </w:r>
      <w:r w:rsidR="00CC072F">
        <w:rPr>
          <w:noProof/>
          <w:spacing w:val="-2"/>
          <w:szCs w:val="19"/>
          <w:lang w:val="en-GB"/>
        </w:rPr>
        <w:t xml:space="preserve"> – by 9.8%,</w:t>
      </w:r>
      <w:r w:rsidR="00CC072F" w:rsidRPr="00CC072F">
        <w:rPr>
          <w:noProof/>
          <w:szCs w:val="19"/>
          <w:lang w:val="en-GB"/>
        </w:rPr>
        <w:t xml:space="preserve"> </w:t>
      </w:r>
      <w:r w:rsidR="00CC072F">
        <w:rPr>
          <w:noProof/>
          <w:szCs w:val="19"/>
          <w:lang w:val="en-GB"/>
        </w:rPr>
        <w:t>m</w:t>
      </w:r>
      <w:r w:rsidR="00CC072F" w:rsidRPr="004A1F6D">
        <w:rPr>
          <w:noProof/>
          <w:szCs w:val="19"/>
          <w:lang w:val="en-GB"/>
        </w:rPr>
        <w:t xml:space="preserve">anufacture of </w:t>
      </w:r>
      <w:r w:rsidR="00CC072F" w:rsidRPr="005B3DCE">
        <w:rPr>
          <w:noProof/>
          <w:spacing w:val="-2"/>
          <w:szCs w:val="19"/>
          <w:lang w:val="en-GB"/>
        </w:rPr>
        <w:t>machinery and equipment</w:t>
      </w:r>
      <w:r w:rsidR="00CC072F">
        <w:rPr>
          <w:noProof/>
          <w:spacing w:val="-2"/>
          <w:szCs w:val="19"/>
          <w:lang w:val="en-GB"/>
        </w:rPr>
        <w:t xml:space="preserve"> – by 8.6%,</w:t>
      </w:r>
      <w:r w:rsidR="00CC072F" w:rsidRPr="00CC072F">
        <w:rPr>
          <w:noProof/>
          <w:spacing w:val="-2"/>
          <w:szCs w:val="19"/>
          <w:lang w:val="en-GB"/>
        </w:rPr>
        <w:t xml:space="preserve"> </w:t>
      </w:r>
      <w:r w:rsidR="00CC072F">
        <w:rPr>
          <w:noProof/>
          <w:spacing w:val="-2"/>
          <w:szCs w:val="19"/>
          <w:lang w:val="en-GB"/>
        </w:rPr>
        <w:t>in r</w:t>
      </w:r>
      <w:r w:rsidR="00CC072F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CC072F">
        <w:rPr>
          <w:noProof/>
          <w:spacing w:val="-2"/>
          <w:szCs w:val="19"/>
          <w:lang w:val="en-GB"/>
        </w:rPr>
        <w:t xml:space="preserve"> – by 8.3%,</w:t>
      </w:r>
      <w:r w:rsidR="00CC072F" w:rsidRPr="00CC072F">
        <w:rPr>
          <w:noProof/>
          <w:spacing w:val="-2"/>
          <w:szCs w:val="19"/>
          <w:lang w:val="en-GB"/>
        </w:rPr>
        <w:t xml:space="preserve"> </w:t>
      </w:r>
      <w:r w:rsidR="00CC072F">
        <w:rPr>
          <w:noProof/>
          <w:spacing w:val="-2"/>
          <w:szCs w:val="19"/>
          <w:lang w:val="en-GB"/>
        </w:rPr>
        <w:t>in m</w:t>
      </w:r>
      <w:r w:rsidR="00CC072F" w:rsidRPr="007A4341">
        <w:rPr>
          <w:noProof/>
          <w:spacing w:val="-2"/>
          <w:szCs w:val="19"/>
          <w:lang w:val="en-GB"/>
        </w:rPr>
        <w:t>anufacture of electrical equipment</w:t>
      </w:r>
      <w:r w:rsidR="00CC072F">
        <w:rPr>
          <w:noProof/>
          <w:spacing w:val="-2"/>
          <w:szCs w:val="19"/>
          <w:lang w:val="en-GB"/>
        </w:rPr>
        <w:t xml:space="preserve"> – by 7.7%.</w:t>
      </w:r>
    </w:p>
    <w:p w14:paraId="76AD0BE2" w14:textId="62869674" w:rsidR="00BD6E19" w:rsidRPr="00CC072F" w:rsidRDefault="00201122" w:rsidP="00592190">
      <w:pPr>
        <w:spacing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CC072F">
        <w:rPr>
          <w:noProof/>
          <w:szCs w:val="19"/>
          <w:lang w:val="en-GB"/>
        </w:rPr>
        <w:t>n in</w:t>
      </w:r>
      <w:r w:rsidR="00A51608" w:rsidRPr="00A92C78">
        <w:rPr>
          <w:noProof/>
          <w:szCs w:val="19"/>
          <w:lang w:val="en-GB"/>
        </w:rPr>
        <w:t>crease in sold productio</w:t>
      </w:r>
      <w:r w:rsidR="00A51608">
        <w:rPr>
          <w:noProof/>
          <w:szCs w:val="19"/>
          <w:lang w:val="en-GB"/>
        </w:rPr>
        <w:t>n of industry, as compared to</w:t>
      </w:r>
      <w:r w:rsidR="000402E7">
        <w:rPr>
          <w:noProof/>
          <w:szCs w:val="19"/>
          <w:lang w:val="en-GB"/>
        </w:rPr>
        <w:t xml:space="preserve"> the previous month</w:t>
      </w:r>
      <w:r w:rsidR="00A51608">
        <w:rPr>
          <w:noProof/>
          <w:szCs w:val="19"/>
          <w:lang w:val="en-GB"/>
        </w:rPr>
        <w:t>, was recorded</w:t>
      </w:r>
      <w:r w:rsidR="001F3CBF">
        <w:rPr>
          <w:noProof/>
          <w:szCs w:val="19"/>
          <w:lang w:val="en-GB"/>
        </w:rPr>
        <w:t xml:space="preserve"> </w:t>
      </w:r>
      <w:r w:rsidR="00A51608">
        <w:rPr>
          <w:noProof/>
          <w:szCs w:val="19"/>
          <w:lang w:val="en-GB"/>
        </w:rPr>
        <w:t>in</w:t>
      </w:r>
      <w:r w:rsidR="001F3CBF">
        <w:rPr>
          <w:noProof/>
          <w:szCs w:val="19"/>
          <w:lang w:val="en-GB"/>
        </w:rPr>
        <w:t> </w:t>
      </w:r>
      <w:r w:rsidR="00CC072F">
        <w:rPr>
          <w:noProof/>
          <w:szCs w:val="19"/>
          <w:lang w:val="en-GB"/>
        </w:rPr>
        <w:t>5</w:t>
      </w:r>
      <w:r w:rsidR="001F3CBF">
        <w:rPr>
          <w:noProof/>
          <w:szCs w:val="19"/>
          <w:lang w:val="en-GB"/>
        </w:rPr>
        <w:t> </w:t>
      </w:r>
      <w:r w:rsidR="00A51608" w:rsidRPr="00223D02">
        <w:rPr>
          <w:noProof/>
          <w:szCs w:val="19"/>
          <w:lang w:val="en-GB"/>
        </w:rPr>
        <w:t>division</w:t>
      </w:r>
      <w:r w:rsidR="00A51608">
        <w:rPr>
          <w:noProof/>
          <w:szCs w:val="19"/>
          <w:lang w:val="en-GB"/>
        </w:rPr>
        <w:t>s</w:t>
      </w:r>
      <w:r w:rsidR="00A51608" w:rsidRPr="00223D02">
        <w:rPr>
          <w:noProof/>
          <w:szCs w:val="19"/>
          <w:lang w:val="en-GB"/>
        </w:rPr>
        <w:t xml:space="preserve">, </w:t>
      </w:r>
      <w:r w:rsidR="00A51608" w:rsidRPr="00D22ECE">
        <w:rPr>
          <w:noProof/>
          <w:spacing w:val="-2"/>
          <w:szCs w:val="19"/>
          <w:lang w:val="en-GB"/>
        </w:rPr>
        <w:t>among others</w:t>
      </w:r>
      <w:r w:rsidR="007F64BD" w:rsidRPr="007F64BD">
        <w:rPr>
          <w:noProof/>
          <w:spacing w:val="-2"/>
          <w:szCs w:val="19"/>
          <w:lang w:val="en-GB"/>
        </w:rPr>
        <w:t xml:space="preserve"> </w:t>
      </w:r>
      <w:r w:rsidR="00CC072F">
        <w:rPr>
          <w:noProof/>
          <w:spacing w:val="-2"/>
          <w:szCs w:val="19"/>
          <w:lang w:val="en-GB"/>
        </w:rPr>
        <w:t>in</w:t>
      </w:r>
      <w:r w:rsidR="00CC072F" w:rsidRPr="00CC072F">
        <w:rPr>
          <w:noProof/>
          <w:spacing w:val="-2"/>
          <w:szCs w:val="19"/>
          <w:lang w:val="en-GB"/>
        </w:rPr>
        <w:t xml:space="preserve"> </w:t>
      </w:r>
      <w:r w:rsidR="00CC072F">
        <w:rPr>
          <w:noProof/>
          <w:spacing w:val="-2"/>
          <w:szCs w:val="19"/>
          <w:lang w:val="en-GB"/>
        </w:rPr>
        <w:t>m</w:t>
      </w:r>
      <w:r w:rsidR="00CC072F" w:rsidRPr="00780942">
        <w:rPr>
          <w:noProof/>
          <w:spacing w:val="-2"/>
          <w:szCs w:val="19"/>
          <w:lang w:val="en-GB"/>
        </w:rPr>
        <w:t>anufacture of other transport equipment</w:t>
      </w:r>
      <w:r w:rsidR="00CC072F">
        <w:rPr>
          <w:noProof/>
          <w:spacing w:val="-2"/>
          <w:szCs w:val="19"/>
          <w:lang w:val="en-GB"/>
        </w:rPr>
        <w:t xml:space="preserve"> – by 19.3%,</w:t>
      </w:r>
      <w:r w:rsidR="00CC072F" w:rsidRPr="00CC072F">
        <w:rPr>
          <w:lang w:val="en-US"/>
        </w:rPr>
        <w:t xml:space="preserve"> </w:t>
      </w:r>
      <w:r w:rsidR="00CC072F">
        <w:rPr>
          <w:noProof/>
          <w:spacing w:val="-2"/>
          <w:szCs w:val="19"/>
          <w:lang w:val="en-GB"/>
        </w:rPr>
        <w:t>m</w:t>
      </w:r>
      <w:r w:rsidR="00CC072F" w:rsidRPr="00CC072F">
        <w:rPr>
          <w:noProof/>
          <w:spacing w:val="-2"/>
          <w:szCs w:val="19"/>
          <w:lang w:val="en-GB"/>
        </w:rPr>
        <w:t>anufacture of furniture</w:t>
      </w:r>
      <w:r w:rsidR="00CC072F">
        <w:rPr>
          <w:noProof/>
          <w:spacing w:val="-2"/>
          <w:szCs w:val="19"/>
          <w:lang w:val="en-GB"/>
        </w:rPr>
        <w:t xml:space="preserve"> </w:t>
      </w:r>
      <w:r w:rsidR="00CC072F">
        <w:rPr>
          <w:noProof/>
          <w:szCs w:val="19"/>
          <w:lang w:val="en-GB"/>
        </w:rPr>
        <w:t>– by 4.6%,</w:t>
      </w:r>
      <w:r w:rsidR="00CC072F" w:rsidRPr="00CC072F">
        <w:rPr>
          <w:noProof/>
          <w:spacing w:val="-2"/>
          <w:szCs w:val="19"/>
          <w:lang w:val="en-GB"/>
        </w:rPr>
        <w:t xml:space="preserve"> </w:t>
      </w:r>
      <w:r w:rsidR="00CC072F">
        <w:rPr>
          <w:noProof/>
          <w:spacing w:val="-2"/>
          <w:szCs w:val="19"/>
          <w:lang w:val="en-GB"/>
        </w:rPr>
        <w:t>m</w:t>
      </w:r>
      <w:r w:rsidR="00CC072F" w:rsidRPr="00D51D24">
        <w:rPr>
          <w:noProof/>
          <w:spacing w:val="-2"/>
          <w:szCs w:val="19"/>
          <w:lang w:val="en-GB"/>
        </w:rPr>
        <w:t>anufacture of computer, electronic and optical products</w:t>
      </w:r>
      <w:r w:rsidR="00CC072F">
        <w:rPr>
          <w:noProof/>
          <w:spacing w:val="-2"/>
          <w:szCs w:val="19"/>
          <w:lang w:val="en-GB"/>
        </w:rPr>
        <w:t xml:space="preserve"> – by 2.9%.</w:t>
      </w:r>
    </w:p>
    <w:bookmarkEnd w:id="6"/>
    <w:p w14:paraId="1F5B1DF6" w14:textId="607B3D39" w:rsidR="00E44A8F" w:rsidRPr="00B22800" w:rsidRDefault="00CE008B" w:rsidP="007A4341">
      <w:pPr>
        <w:spacing w:before="240" w:after="0"/>
        <w:rPr>
          <w:noProof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>C</w:t>
      </w:r>
      <w:r w:rsidR="002C0F77" w:rsidRPr="000A5D02">
        <w:rPr>
          <w:b/>
          <w:spacing w:val="-2"/>
          <w:szCs w:val="19"/>
          <w:lang w:val="en-GB"/>
        </w:rPr>
        <w:t>hart 3</w:t>
      </w:r>
      <w:r w:rsidR="00E44A8F" w:rsidRPr="000A5D02">
        <w:rPr>
          <w:b/>
          <w:spacing w:val="-2"/>
          <w:szCs w:val="19"/>
          <w:lang w:val="en-GB"/>
        </w:rPr>
        <w:t xml:space="preserve">. </w:t>
      </w:r>
      <w:r w:rsidR="00E44A8F" w:rsidRPr="000A5D02">
        <w:rPr>
          <w:b/>
          <w:spacing w:val="-2"/>
          <w:szCs w:val="19"/>
          <w:shd w:val="clear" w:color="auto" w:fill="FFFFFF"/>
          <w:lang w:val="en-GB"/>
        </w:rPr>
        <w:t xml:space="preserve">Index </w:t>
      </w:r>
      <w:r w:rsidR="00E44A8F"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05992071" w14:textId="59BDE2A1" w:rsidR="00E44A8F" w:rsidRPr="000A5D02" w:rsidRDefault="00951D38" w:rsidP="00E44A8F">
      <w:pPr>
        <w:spacing w:before="0" w:after="0"/>
        <w:rPr>
          <w:b/>
          <w:spacing w:val="-2"/>
          <w:szCs w:val="19"/>
          <w:lang w:val="en-GB"/>
        </w:rPr>
      </w:pPr>
      <w:r>
        <w:rPr>
          <w:noProof/>
          <w:szCs w:val="19"/>
          <w:lang w:val="en-GB"/>
        </w:rPr>
        <w:drawing>
          <wp:anchor distT="0" distB="0" distL="114300" distR="114300" simplePos="0" relativeHeight="252048384" behindDoc="0" locked="0" layoutInCell="1" allowOverlap="1" wp14:anchorId="1A6E88D5" wp14:editId="2D6F8F06">
            <wp:simplePos x="0" y="0"/>
            <wp:positionH relativeFrom="column">
              <wp:posOffset>-82550</wp:posOffset>
            </wp:positionH>
            <wp:positionV relativeFrom="paragraph">
              <wp:posOffset>152400</wp:posOffset>
            </wp:positionV>
            <wp:extent cx="5206365" cy="3460750"/>
            <wp:effectExtent l="0" t="0" r="0" b="6350"/>
            <wp:wrapSquare wrapText="bothSides"/>
            <wp:docPr id="16" name="Obraz 16" descr="Index of sold production of industry by selected NACE divisions (constant prices; previous month =100) - April, May, June July and August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365" cy="346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</w:t>
      </w:r>
      <w:r w:rsidR="000E481A">
        <w:rPr>
          <w:b/>
          <w:spacing w:val="-2"/>
          <w:sz w:val="18"/>
          <w:szCs w:val="18"/>
          <w:lang w:val="en-GB"/>
        </w:rPr>
        <w:t xml:space="preserve"> 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E44A8F" w:rsidRPr="000A5D02">
        <w:rPr>
          <w:b/>
          <w:spacing w:val="-2"/>
          <w:szCs w:val="19"/>
          <w:lang w:val="en-GB"/>
        </w:rPr>
        <w:t>previous month=100)</w:t>
      </w:r>
    </w:p>
    <w:p w14:paraId="676345E0" w14:textId="19D49673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19483378" w14:textId="40B38B0C" w:rsidR="00E03167" w:rsidRDefault="00E03167" w:rsidP="00E01D2D">
      <w:pPr>
        <w:spacing w:before="0" w:after="0" w:line="240" w:lineRule="auto"/>
        <w:rPr>
          <w:szCs w:val="19"/>
          <w:lang w:val="en-GB"/>
        </w:rPr>
      </w:pPr>
    </w:p>
    <w:p w14:paraId="7693CE34" w14:textId="1F5A9E9F" w:rsidR="0064257B" w:rsidRDefault="0064257B" w:rsidP="00E01D2D">
      <w:pPr>
        <w:spacing w:before="0" w:after="0" w:line="240" w:lineRule="auto"/>
        <w:rPr>
          <w:szCs w:val="19"/>
          <w:lang w:val="en-GB"/>
        </w:rPr>
      </w:pPr>
    </w:p>
    <w:p w14:paraId="2F0080A4" w14:textId="77777777" w:rsidR="008E60B6" w:rsidRDefault="007B6CCE" w:rsidP="00E01D2D">
      <w:pPr>
        <w:spacing w:before="0" w:after="0" w:line="240" w:lineRule="auto"/>
        <w:rPr>
          <w:szCs w:val="19"/>
          <w:lang w:val="en-GB"/>
        </w:rPr>
      </w:pPr>
      <w:r>
        <w:rPr>
          <w:szCs w:val="19"/>
          <w:lang w:val="en-GB"/>
        </w:rPr>
        <w:t xml:space="preserve">Data presented in this news release concern entities with 10 or more persons employed, conducting economic activity classified according to the Polish Classification of Activities (PKD 20027) to </w:t>
      </w:r>
      <w:r w:rsidR="0064257B">
        <w:rPr>
          <w:szCs w:val="19"/>
          <w:lang w:val="en-GB"/>
        </w:rPr>
        <w:t>I</w:t>
      </w:r>
      <w:r>
        <w:rPr>
          <w:szCs w:val="19"/>
          <w:lang w:val="en-GB"/>
        </w:rPr>
        <w:t xml:space="preserve">ndustry, i.e. to the following </w:t>
      </w:r>
      <w:r w:rsidR="006B0F3E">
        <w:rPr>
          <w:szCs w:val="19"/>
          <w:lang w:val="en-GB"/>
        </w:rPr>
        <w:t>sections: ‘</w:t>
      </w:r>
      <w:r w:rsidR="006B0F3E" w:rsidRPr="00C935E7">
        <w:rPr>
          <w:szCs w:val="19"/>
          <w:lang w:val="en-GB"/>
        </w:rPr>
        <w:t>Mining and quarrying</w:t>
      </w:r>
      <w:r w:rsidR="006B0F3E">
        <w:rPr>
          <w:szCs w:val="19"/>
          <w:lang w:val="en-GB"/>
        </w:rPr>
        <w:t>’</w:t>
      </w:r>
      <w:r w:rsidR="006B0F3E" w:rsidRPr="00C935E7">
        <w:rPr>
          <w:szCs w:val="19"/>
          <w:lang w:val="en-GB"/>
        </w:rPr>
        <w:t xml:space="preserve">, </w:t>
      </w:r>
      <w:r w:rsidR="006B0F3E">
        <w:rPr>
          <w:szCs w:val="19"/>
          <w:lang w:val="en-GB"/>
        </w:rPr>
        <w:t>‘</w:t>
      </w:r>
      <w:r w:rsidR="006B0F3E" w:rsidRPr="00C935E7">
        <w:rPr>
          <w:szCs w:val="19"/>
          <w:lang w:val="en-GB"/>
        </w:rPr>
        <w:t>Manufacturing</w:t>
      </w:r>
      <w:r w:rsidR="006B0F3E">
        <w:rPr>
          <w:szCs w:val="19"/>
          <w:lang w:val="en-GB"/>
        </w:rPr>
        <w:t>’</w:t>
      </w:r>
      <w:r w:rsidR="006B0F3E" w:rsidRPr="00C935E7">
        <w:rPr>
          <w:szCs w:val="19"/>
          <w:lang w:val="en-GB"/>
        </w:rPr>
        <w:t xml:space="preserve">, </w:t>
      </w:r>
      <w:r w:rsidR="006B0F3E">
        <w:rPr>
          <w:szCs w:val="19"/>
          <w:lang w:val="en-GB"/>
        </w:rPr>
        <w:t>‘</w:t>
      </w:r>
      <w:r w:rsidR="006B0F3E" w:rsidRPr="00C935E7">
        <w:rPr>
          <w:szCs w:val="19"/>
          <w:lang w:val="en-GB"/>
        </w:rPr>
        <w:t>Electricity, gas, steam and air conditioning supply</w:t>
      </w:r>
      <w:r w:rsidR="006B0F3E">
        <w:rPr>
          <w:szCs w:val="19"/>
          <w:lang w:val="en-GB"/>
        </w:rPr>
        <w:t>’, ‘W</w:t>
      </w:r>
      <w:r w:rsidR="006B0F3E" w:rsidRPr="006B0F3E">
        <w:rPr>
          <w:szCs w:val="19"/>
          <w:lang w:val="en-GB"/>
        </w:rPr>
        <w:t>ater supply; sewerage, waste management and remediation activities</w:t>
      </w:r>
      <w:r w:rsidR="006B0F3E">
        <w:rPr>
          <w:szCs w:val="19"/>
          <w:lang w:val="en-GB"/>
        </w:rPr>
        <w:t xml:space="preserve">’. </w:t>
      </w:r>
    </w:p>
    <w:p w14:paraId="4360E051" w14:textId="12677628" w:rsidR="00E03167" w:rsidRPr="006B0F3E" w:rsidRDefault="006B0F3E" w:rsidP="00E01D2D">
      <w:pPr>
        <w:spacing w:before="0" w:after="0" w:line="240" w:lineRule="auto"/>
        <w:rPr>
          <w:szCs w:val="19"/>
          <w:lang w:val="en-GB"/>
        </w:rPr>
      </w:pPr>
      <w:r>
        <w:rPr>
          <w:szCs w:val="19"/>
          <w:lang w:val="en-GB"/>
        </w:rPr>
        <w:t>Statistical unit</w:t>
      </w:r>
      <w:r w:rsidR="0064257B">
        <w:rPr>
          <w:szCs w:val="19"/>
          <w:lang w:val="en-GB"/>
        </w:rPr>
        <w:t>,</w:t>
      </w:r>
      <w:r>
        <w:rPr>
          <w:szCs w:val="19"/>
          <w:lang w:val="en-GB"/>
        </w:rPr>
        <w:t xml:space="preserve"> according to which </w:t>
      </w:r>
      <w:r w:rsidR="0064257B">
        <w:rPr>
          <w:szCs w:val="19"/>
          <w:lang w:val="en-GB"/>
        </w:rPr>
        <w:t xml:space="preserve">the </w:t>
      </w:r>
      <w:r>
        <w:rPr>
          <w:szCs w:val="19"/>
          <w:lang w:val="en-GB"/>
        </w:rPr>
        <w:t>presented data are compiled</w:t>
      </w:r>
      <w:r w:rsidR="0064257B">
        <w:rPr>
          <w:szCs w:val="19"/>
          <w:lang w:val="en-GB"/>
        </w:rPr>
        <w:t>,</w:t>
      </w:r>
      <w:r>
        <w:rPr>
          <w:szCs w:val="19"/>
          <w:lang w:val="en-GB"/>
        </w:rPr>
        <w:t xml:space="preserve"> is a legal unit.</w:t>
      </w:r>
      <w:r w:rsidR="000E481A">
        <w:rPr>
          <w:szCs w:val="19"/>
          <w:lang w:val="en-GB"/>
        </w:rPr>
        <w:t xml:space="preserve"> Methodology of </w:t>
      </w:r>
      <w:r w:rsidR="00010D06">
        <w:rPr>
          <w:szCs w:val="19"/>
          <w:lang w:val="en-GB"/>
        </w:rPr>
        <w:t>compilin</w:t>
      </w:r>
      <w:r w:rsidR="00C65C8E">
        <w:rPr>
          <w:szCs w:val="19"/>
          <w:lang w:val="en-GB"/>
        </w:rPr>
        <w:t xml:space="preserve">g data on </w:t>
      </w:r>
      <w:r w:rsidR="000E481A">
        <w:rPr>
          <w:szCs w:val="19"/>
          <w:lang w:val="en-GB"/>
        </w:rPr>
        <w:t xml:space="preserve">sold production of industry is presented in the methodological report </w:t>
      </w:r>
      <w:hyperlink r:id="rId13" w:history="1">
        <w:r w:rsidR="000E481A" w:rsidRPr="00C65C8E">
          <w:rPr>
            <w:rStyle w:val="Hipercze"/>
            <w:rFonts w:cstheme="minorBidi"/>
            <w:color w:val="2F5496" w:themeColor="accent5" w:themeShade="BF"/>
            <w:szCs w:val="19"/>
            <w:lang w:val="en-GB"/>
          </w:rPr>
          <w:t>Industrial production surveys</w:t>
        </w:r>
      </w:hyperlink>
      <w:r w:rsidR="000E481A">
        <w:rPr>
          <w:szCs w:val="19"/>
          <w:lang w:val="en-GB"/>
        </w:rPr>
        <w:t>.</w:t>
      </w:r>
    </w:p>
    <w:p w14:paraId="035CFBE9" w14:textId="4F7BFD06" w:rsidR="00C935E7" w:rsidRDefault="00C935E7" w:rsidP="00E01D2D">
      <w:pPr>
        <w:spacing w:before="0" w:after="0" w:line="240" w:lineRule="auto"/>
        <w:rPr>
          <w:szCs w:val="19"/>
          <w:lang w:val="en-GB"/>
        </w:rPr>
      </w:pPr>
    </w:p>
    <w:p w14:paraId="62A6B29C" w14:textId="7802AA76" w:rsidR="00A91BD7" w:rsidRDefault="006B0F3E" w:rsidP="00E01D2D">
      <w:pPr>
        <w:spacing w:before="0" w:after="0" w:line="240" w:lineRule="auto"/>
        <w:rPr>
          <w:szCs w:val="19"/>
          <w:lang w:val="en-GB"/>
        </w:rPr>
      </w:pPr>
      <w:r>
        <w:rPr>
          <w:szCs w:val="19"/>
          <w:lang w:val="en-GB"/>
        </w:rPr>
        <w:t>In addition, f</w:t>
      </w:r>
      <w:r w:rsidRPr="00C935E7">
        <w:rPr>
          <w:szCs w:val="19"/>
          <w:lang w:val="en-GB"/>
        </w:rPr>
        <w:t>or the needs of European statistics</w:t>
      </w:r>
      <w:r>
        <w:rPr>
          <w:szCs w:val="19"/>
          <w:lang w:val="en-GB"/>
        </w:rPr>
        <w:t xml:space="preserve">, </w:t>
      </w:r>
      <w:r w:rsidRPr="006B0F3E">
        <w:rPr>
          <w:szCs w:val="19"/>
          <w:lang w:val="en-GB"/>
        </w:rPr>
        <w:t xml:space="preserve">data </w:t>
      </w:r>
      <w:r>
        <w:rPr>
          <w:szCs w:val="19"/>
          <w:lang w:val="en-GB"/>
        </w:rPr>
        <w:t>on</w:t>
      </w:r>
      <w:r w:rsidRPr="006B0F3E">
        <w:rPr>
          <w:szCs w:val="19"/>
          <w:lang w:val="en-GB"/>
        </w:rPr>
        <w:t xml:space="preserve"> industrial production</w:t>
      </w:r>
      <w:r>
        <w:rPr>
          <w:szCs w:val="19"/>
          <w:lang w:val="en-GB"/>
        </w:rPr>
        <w:t xml:space="preserve"> are also compiled according to</w:t>
      </w:r>
      <w:r w:rsidRPr="006B0F3E">
        <w:rPr>
          <w:szCs w:val="19"/>
          <w:lang w:val="en-GB"/>
        </w:rPr>
        <w:t xml:space="preserve"> the kind-of-activity unit (KAU)</w:t>
      </w:r>
      <w:r>
        <w:rPr>
          <w:szCs w:val="19"/>
          <w:lang w:val="en-GB"/>
        </w:rPr>
        <w:t xml:space="preserve">. </w:t>
      </w:r>
      <w:r w:rsidR="0064257B" w:rsidRPr="00CB2B5C">
        <w:rPr>
          <w:lang w:val="en-GB"/>
        </w:rPr>
        <w:t>Th</w:t>
      </w:r>
      <w:r w:rsidR="0064257B">
        <w:rPr>
          <w:lang w:val="en-GB"/>
        </w:rPr>
        <w:t xml:space="preserve">e concept of the kind-of-activity unit is presented in the methodological report </w:t>
      </w:r>
      <w:hyperlink r:id="rId14" w:history="1">
        <w:r w:rsidR="0064257B" w:rsidRPr="00C65C8E">
          <w:rPr>
            <w:color w:val="2F5496" w:themeColor="accent5" w:themeShade="BF"/>
            <w:u w:val="single"/>
            <w:lang w:val="en-GB"/>
          </w:rPr>
          <w:t>Short-term statistics by European concept of the Kind-of-activity unit</w:t>
        </w:r>
      </w:hyperlink>
      <w:r w:rsidR="0064257B" w:rsidRPr="00CB2B5C">
        <w:rPr>
          <w:lang w:val="en-GB"/>
        </w:rPr>
        <w:t>.</w:t>
      </w:r>
    </w:p>
    <w:p w14:paraId="2C67E4CE" w14:textId="4EC5DA11" w:rsidR="00A91BD7" w:rsidRDefault="00A91BD7" w:rsidP="00E01D2D">
      <w:pPr>
        <w:spacing w:before="0" w:after="0" w:line="240" w:lineRule="auto"/>
        <w:rPr>
          <w:szCs w:val="19"/>
          <w:lang w:val="en-GB"/>
        </w:rPr>
      </w:pPr>
    </w:p>
    <w:p w14:paraId="174B9E50" w14:textId="4B051843" w:rsidR="0064257B" w:rsidRDefault="0064257B" w:rsidP="00E01D2D">
      <w:pPr>
        <w:spacing w:before="0" w:after="0" w:line="240" w:lineRule="auto"/>
        <w:rPr>
          <w:szCs w:val="19"/>
          <w:lang w:val="en-GB"/>
        </w:rPr>
      </w:pPr>
    </w:p>
    <w:p w14:paraId="1D809AD5" w14:textId="69C0A4B5" w:rsidR="0064257B" w:rsidRDefault="0064257B" w:rsidP="00E01D2D">
      <w:pPr>
        <w:spacing w:before="0" w:after="0" w:line="240" w:lineRule="auto"/>
        <w:rPr>
          <w:szCs w:val="19"/>
          <w:lang w:val="en-GB"/>
        </w:rPr>
      </w:pPr>
    </w:p>
    <w:p w14:paraId="6A9B2D9C" w14:textId="77777777" w:rsidR="0064257B" w:rsidRDefault="0064257B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1864CA91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C26723">
        <w:rPr>
          <w:szCs w:val="19"/>
          <w:lang w:val="en-US"/>
        </w:rPr>
        <w:t>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:rsidRPr="005B1300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4877D3" w:rsidRDefault="00322975" w:rsidP="00D902C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877D3">
              <w:rPr>
                <w:b/>
                <w:sz w:val="20"/>
                <w:szCs w:val="20"/>
                <w:lang w:val="fi-FI"/>
              </w:rPr>
              <w:t>Director 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18676949" w14:textId="77777777" w:rsidR="00327F20" w:rsidRPr="00327F20" w:rsidRDefault="00327F20" w:rsidP="00B559AD">
            <w:pPr>
              <w:spacing w:before="0" w:after="0"/>
              <w:rPr>
                <w:rFonts w:ascii="Calibri" w:hAnsi="Calibri"/>
                <w:sz w:val="22"/>
                <w:lang w:val="en-GB"/>
              </w:rPr>
            </w:pPr>
            <w:r w:rsidRPr="00327F20">
              <w:rPr>
                <w:rFonts w:cs="Arial"/>
                <w:sz w:val="20"/>
                <w:lang w:val="en-GB"/>
              </w:rPr>
              <w:t>Issued by:</w:t>
            </w:r>
          </w:p>
          <w:p w14:paraId="523ED74E" w14:textId="77777777" w:rsidR="00327F20" w:rsidRPr="00327F20" w:rsidRDefault="00327F20" w:rsidP="00327F20">
            <w:pPr>
              <w:rPr>
                <w:b/>
                <w:lang w:val="en-GB"/>
              </w:rPr>
            </w:pPr>
            <w:r w:rsidRPr="00327F20">
              <w:rPr>
                <w:b/>
                <w:lang w:val="en-GB"/>
              </w:rPr>
              <w:t>Press Office</w:t>
            </w:r>
          </w:p>
          <w:p w14:paraId="4FD6B79B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lang w:val="en-GB"/>
              </w:rPr>
              <w:t>Mobile +48 695 255 032</w:t>
            </w:r>
          </w:p>
          <w:p w14:paraId="7B4EA134" w14:textId="77777777" w:rsidR="00327F20" w:rsidRPr="00327F20" w:rsidRDefault="00327F20" w:rsidP="00327F20">
            <w:pPr>
              <w:spacing w:after="0"/>
              <w:rPr>
                <w:lang w:val="en-GB"/>
              </w:rPr>
            </w:pPr>
            <w:r w:rsidRPr="00327F20">
              <w:rPr>
                <w:lang w:val="en-GB"/>
              </w:rPr>
              <w:t xml:space="preserve">Phone +48 22 608 38 04, +48 22 449 41 45, </w:t>
            </w:r>
          </w:p>
          <w:p w14:paraId="128B3750" w14:textId="77777777" w:rsidR="00327F20" w:rsidRPr="00327F20" w:rsidRDefault="00327F20" w:rsidP="00327F20">
            <w:pPr>
              <w:spacing w:before="0"/>
              <w:rPr>
                <w:lang w:val="en-GB"/>
              </w:rPr>
            </w:pPr>
            <w:r w:rsidRPr="00327F20">
              <w:rPr>
                <w:lang w:val="en-GB"/>
              </w:rPr>
              <w:t>+48 22 608 30 09</w:t>
            </w:r>
          </w:p>
          <w:p w14:paraId="01D5AF70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b/>
                <w:sz w:val="20"/>
                <w:lang w:val="en-GB"/>
              </w:rPr>
              <w:t>e-mail:</w:t>
            </w:r>
            <w:r w:rsidRPr="00327F20">
              <w:rPr>
                <w:sz w:val="20"/>
                <w:lang w:val="en-GB"/>
              </w:rPr>
              <w:t xml:space="preserve"> </w:t>
            </w:r>
            <w:hyperlink r:id="rId19" w:history="1">
              <w:r w:rsidRPr="00327F20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401EF0A3" w14:textId="77777777" w:rsidR="00322975" w:rsidRPr="00327F20" w:rsidRDefault="00322975" w:rsidP="00D902C2">
            <w:pPr>
              <w:rPr>
                <w:sz w:val="18"/>
                <w:lang w:val="en-GB"/>
              </w:rPr>
            </w:pPr>
          </w:p>
        </w:tc>
      </w:tr>
      <w:tr w:rsidR="008E12C3" w:rsidRPr="00CF13C7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5DAD252D" w14:textId="0F27AF56" w:rsidR="008E12C3" w:rsidRPr="00F05FC7" w:rsidRDefault="008E12C3" w:rsidP="008E12C3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5678165F" w14:textId="3A83255C" w:rsidR="008E12C3" w:rsidRPr="00DD4DC4" w:rsidRDefault="008E12C3" w:rsidP="008E12C3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4176" behindDoc="0" locked="0" layoutInCell="1" allowOverlap="1" wp14:anchorId="45991AD6" wp14:editId="1D99111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8E12C3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8E12C3" w:rsidRPr="00DD4DC4" w:rsidRDefault="008E12C3" w:rsidP="008E12C3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284D5B9E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5200" behindDoc="0" locked="0" layoutInCell="1" allowOverlap="1" wp14:anchorId="3AC08E39" wp14:editId="081CE1A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66414EF4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6224" behindDoc="0" locked="0" layoutInCell="1" allowOverlap="1" wp14:anchorId="6CE77D03" wp14:editId="05A7C978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2E2259E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7248" behindDoc="0" locked="0" layoutInCell="1" allowOverlap="1" wp14:anchorId="3D941650" wp14:editId="2D80663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8E12C3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BB7F1BC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8272" behindDoc="0" locked="0" layoutInCell="1" allowOverlap="1" wp14:anchorId="0BB1D848" wp14:editId="5643A63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8E12C3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2A1DABE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5D577EE5" w:rsidR="008E12C3" w:rsidRPr="003D5F42" w:rsidRDefault="008E12C3" w:rsidP="008E12C3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9296" behindDoc="0" locked="0" layoutInCell="1" allowOverlap="1" wp14:anchorId="0CDE9147" wp14:editId="51781A2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4F588646" w:rsidR="003627E7" w:rsidRPr="00322975" w:rsidRDefault="00327F20" w:rsidP="00327F20">
      <w:pPr>
        <w:spacing w:before="0" w:after="0"/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7BF8D686">
                <wp:simplePos x="0" y="0"/>
                <wp:positionH relativeFrom="margin">
                  <wp:posOffset>0</wp:posOffset>
                </wp:positionH>
                <wp:positionV relativeFrom="paragraph">
                  <wp:posOffset>215957</wp:posOffset>
                </wp:positionV>
                <wp:extent cx="6559550" cy="5391785"/>
                <wp:effectExtent l="0" t="0" r="12700" b="1841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917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146B6DAC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="009023DC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instrText>HYPERLINK "https://stat.gov.pl/en/topics/other-studies/informations-on-socio-economic-situation/statistical-bulletin-no-72025,4,177.html"</w:instrText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32B1A978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="00163A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instrText>HYPERLINK "https://ssgk.stat.gov.pl/index_en.html"</w:instrText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16F99666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b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="00A52923"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="00A52923"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instrText xml:space="preserve"> HYPERLINK "https://stat.gov.pl/en/topics/industry-construction-fixed-assets/industry/methodological-report-industrial-production-surveys,16,2.html" </w:instrText>
                            </w:r>
                            <w:r w:rsidR="00A52923"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="00BF44FD"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>Methodological report. Industrial production surveys</w:t>
                            </w:r>
                          </w:p>
                          <w:p w14:paraId="3BB758BF" w14:textId="4054CC32" w:rsidR="00BF44FD" w:rsidRPr="00C65C8E" w:rsidRDefault="00A52923" w:rsidP="003E66BF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4543238B" w:rsidR="00637ED3" w:rsidRPr="00C65C8E" w:rsidRDefault="00637ED3" w:rsidP="003E66BF">
                            <w:pPr>
                              <w:rPr>
                                <w:b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4DCC21C3" w:rsidR="00637ED3" w:rsidRPr="00C65C8E" w:rsidRDefault="000402E7" w:rsidP="003E66BF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instrText xml:space="preserve"> HYPERLINK "https://dbw.stat.gov.pl/en/dashboard/110" </w:instrText>
                            </w: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>Knowledge Database - Indust</w:t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>ry</w:t>
                            </w:r>
                          </w:p>
                          <w:p w14:paraId="42A76362" w14:textId="08662564" w:rsidR="00637ED3" w:rsidRPr="00C65C8E" w:rsidRDefault="000402E7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="00C4416F">
                              <w:fldChar w:fldCharType="begin"/>
                            </w:r>
                            <w:r w:rsidR="00C4416F" w:rsidRPr="005B1300">
                              <w:rPr>
                                <w:lang w:val="en-US"/>
                              </w:rPr>
                              <w:instrText xml:space="preserve"> HYPERLINK "http://bdm.stat.gov.pl/" </w:instrText>
                            </w:r>
                            <w:r w:rsidR="00C4416F">
                              <w:fldChar w:fldCharType="separate"/>
                            </w:r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Macroeconomic Data Bank</w:t>
                            </w:r>
                            <w:r w:rsidR="00C4416F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14:paraId="2A9C823E" w14:textId="77777777" w:rsidR="00637ED3" w:rsidRPr="00C65C8E" w:rsidRDefault="00C4416F" w:rsidP="003E66BF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5B1300">
                              <w:rPr>
                                <w:lang w:val="en-US"/>
                              </w:rPr>
                              <w:instrText xml:space="preserve"> HYPERLINK "http://stat.gov.pl/en/poland-macroeconomic-indicators/" </w:instrText>
                            </w:r>
                            <w:r>
                              <w:fldChar w:fldCharType="separate"/>
                            </w:r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Macroeconomic indicators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14:paraId="513D3D9E" w14:textId="77777777" w:rsidR="00637ED3" w:rsidRPr="00C65C8E" w:rsidRDefault="00C4416F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5B1300">
                              <w:rPr>
                                <w:lang w:val="en-US"/>
                              </w:rPr>
                              <w:instrText xml:space="preserve"> HYPERLINK "https://bdl.stat.gov.pl/BDL/dane/podgrup/temat" </w:instrText>
                            </w:r>
                            <w:r>
                              <w:fldChar w:fldCharType="separate"/>
                            </w:r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Local Data Bank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="00637ED3" w:rsidRPr="00C65C8E">
                              <w:rPr>
                                <w:color w:val="001D77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C65C8E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C65C8E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C65C8E">
                              <w:rPr>
                                <w:szCs w:val="19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 w:rsidRPr="00C65C8E">
                              <w:rPr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C65C8E" w:rsidRDefault="00637ED3" w:rsidP="003E66BF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r w:rsidRPr="00C65C8E">
                              <w:rPr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="00C4416F">
                              <w:fldChar w:fldCharType="begin"/>
                            </w:r>
                            <w:r w:rsidR="00C4416F" w:rsidRPr="005B1300">
                              <w:rPr>
                                <w:lang w:val="en-US"/>
                              </w:rPr>
                              <w:instrText xml:space="preserve"> HYPERLINK "https://stat.gov.pl/en/metainformation/glossary/terms-used-in-official-statistics/700,term.html" </w:instrText>
                            </w:r>
                            <w:r w:rsidR="00C4416F">
                              <w:fldChar w:fldCharType="separate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Seasonally un-</w:t>
                            </w:r>
                            <w:proofErr w:type="spellStart"/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adjustedindex</w:t>
                            </w:r>
                            <w:proofErr w:type="spellEnd"/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 xml:space="preserve"> of sold production of industry</w:t>
                            </w:r>
                            <w:r w:rsidR="00C4416F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14:paraId="4E1E66FD" w14:textId="687219E6" w:rsidR="00637ED3" w:rsidRPr="00C65C8E" w:rsidRDefault="00C4416F" w:rsidP="003E66BF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5B1300">
                              <w:rPr>
                                <w:lang w:val="en-US"/>
                              </w:rPr>
                              <w:instrText xml:space="preserve"> HYPERLINK "https://stat.gov.pl/en/metainformation/glossary/terms-used-in-official-s</w:instrText>
                            </w:r>
                            <w:r w:rsidRPr="005B1300">
                              <w:rPr>
                                <w:lang w:val="en-US"/>
                              </w:rPr>
                              <w:instrText xml:space="preserve">tatistics/707,term.html" </w:instrText>
                            </w:r>
                            <w:r>
                              <w:fldChar w:fldCharType="separate"/>
                            </w:r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 xml:space="preserve">Seasonally </w:t>
                            </w:r>
                            <w:proofErr w:type="spellStart"/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adjustedindex</w:t>
                            </w:r>
                            <w:proofErr w:type="spellEnd"/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 xml:space="preserve"> of sold production of industry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="00637ED3" w:rsidRPr="00C65C8E">
                              <w:rPr>
                                <w:color w:val="001D77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C65C8E" w:rsidRDefault="00C4416F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26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C65C8E" w:rsidRDefault="00C4416F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27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C65C8E" w:rsidRDefault="00C4416F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28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C65C8E" w:rsidRDefault="00C4416F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29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C65C8E" w:rsidRDefault="00C4416F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30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31" type="#_x0000_t202" style="position:absolute;margin-left:0;margin-top:17pt;width:516.5pt;height:424.5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146B6DAC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</w:pP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begin"/>
                      </w:r>
                      <w:r w:rsidR="009023DC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instrText>HYPERLINK "https://stat.gov.pl/en/topics/other-studies/informations-on-socio-economic-situation/statistical-bulletin-no-72025,4,177.html"</w:instrText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separate"/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Statistical Bulletin</w:t>
                      </w:r>
                    </w:p>
                    <w:p w14:paraId="5D692F23" w14:textId="32B1A978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</w:pP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begin"/>
                      </w:r>
                      <w:r w:rsidR="00163A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instrText>HYPERLINK "https://ssgk.stat.gov.pl/index_en.html"</w:instrText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separate"/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Socio-economic situation of the country</w:t>
                      </w:r>
                    </w:p>
                    <w:p w14:paraId="274236A5" w14:textId="16F99666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b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  <w:r w:rsidR="00A52923"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begin"/>
                      </w:r>
                      <w:r w:rsidR="00A52923" w:rsidRPr="00C65C8E">
                        <w:rPr>
                          <w:color w:val="002060"/>
                          <w:szCs w:val="19"/>
                          <w:lang w:val="en-US"/>
                        </w:rPr>
                        <w:instrText xml:space="preserve"> HYPERLINK "https://stat.gov.pl/en/topics/industry-construction-fixed-assets/industry/methodological-report-industrial-production-surveys,16,2.html" </w:instrText>
                      </w:r>
                      <w:r w:rsidR="00A52923"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separate"/>
                      </w:r>
                      <w:r w:rsidR="00BF44FD"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>Methodological report. Industrial production surveys</w:t>
                      </w:r>
                    </w:p>
                    <w:p w14:paraId="3BB758BF" w14:textId="4054CC32" w:rsidR="00BF44FD" w:rsidRPr="00C65C8E" w:rsidRDefault="00A52923" w:rsidP="003E66BF">
                      <w:pPr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</w:pP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end"/>
                      </w:r>
                    </w:p>
                    <w:p w14:paraId="3237251E" w14:textId="4543238B" w:rsidR="00637ED3" w:rsidRPr="00C65C8E" w:rsidRDefault="00637ED3" w:rsidP="003E66BF">
                      <w:pPr>
                        <w:rPr>
                          <w:b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4DCC21C3" w:rsidR="00637ED3" w:rsidRPr="00C65C8E" w:rsidRDefault="000402E7" w:rsidP="003E66BF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begin"/>
                      </w: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instrText xml:space="preserve"> HYPERLINK "https://dbw.stat.gov.pl/en/dashboard/110" </w:instrText>
                      </w: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separate"/>
                      </w:r>
                      <w:r w:rsidR="00637ED3"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>Knowledge Database - Indust</w:t>
                      </w:r>
                      <w:r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>ry</w:t>
                      </w:r>
                    </w:p>
                    <w:p w14:paraId="42A76362" w14:textId="08662564" w:rsidR="00637ED3" w:rsidRPr="00C65C8E" w:rsidRDefault="000402E7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end"/>
                      </w:r>
                      <w:r w:rsidR="00C4416F">
                        <w:fldChar w:fldCharType="begin"/>
                      </w:r>
                      <w:r w:rsidR="00C4416F" w:rsidRPr="005B1300">
                        <w:rPr>
                          <w:lang w:val="en-US"/>
                        </w:rPr>
                        <w:instrText xml:space="preserve"> HYPERLINK "http://bdm.stat.gov.pl/" </w:instrText>
                      </w:r>
                      <w:r w:rsidR="00C4416F">
                        <w:fldChar w:fldCharType="separate"/>
                      </w:r>
                      <w:r w:rsidR="00637E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Macroeconomic Data Bank</w:t>
                      </w:r>
                      <w:r w:rsidR="00C4416F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</w:p>
                    <w:p w14:paraId="2A9C823E" w14:textId="77777777" w:rsidR="00637ED3" w:rsidRPr="00C65C8E" w:rsidRDefault="00C4416F" w:rsidP="003E66BF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5B1300">
                        <w:rPr>
                          <w:lang w:val="en-US"/>
                        </w:rPr>
                        <w:instrText xml:space="preserve"> HYPERLINK "http://stat.gov.pl/en/poland-macroeconomic-indicators/" </w:instrText>
                      </w:r>
                      <w:r>
                        <w:fldChar w:fldCharType="separate"/>
                      </w:r>
                      <w:r w:rsidR="00637E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Macroeconomic indicators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</w:p>
                    <w:p w14:paraId="513D3D9E" w14:textId="77777777" w:rsidR="00637ED3" w:rsidRPr="00C65C8E" w:rsidRDefault="00C4416F" w:rsidP="003E66BF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r>
                        <w:fldChar w:fldCharType="begin"/>
                      </w:r>
                      <w:r w:rsidRPr="005B1300">
                        <w:rPr>
                          <w:lang w:val="en-US"/>
                        </w:rPr>
                        <w:instrText xml:space="preserve"> HYPERLINK "https://bdl.stat.gov.pl/BDL/dane/podgrup/temat" </w:instrText>
                      </w:r>
                      <w:r>
                        <w:fldChar w:fldCharType="separate"/>
                      </w:r>
                      <w:r w:rsidR="00637E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Local Data Bank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  <w:r w:rsidR="00637ED3" w:rsidRPr="00C65C8E">
                        <w:rPr>
                          <w:color w:val="001D77"/>
                          <w:szCs w:val="19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C65C8E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C65C8E" w:rsidRDefault="00637ED3" w:rsidP="003E66BF">
                      <w:pPr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</w:pPr>
                      <w:r w:rsidRPr="00C65C8E"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szCs w:val="19"/>
                          <w:lang w:val="en-US"/>
                        </w:rPr>
                        <w:fldChar w:fldCharType="begin"/>
                      </w:r>
                      <w:r w:rsidRPr="00C65C8E">
                        <w:rPr>
                          <w:szCs w:val="19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 w:rsidRPr="00C65C8E">
                        <w:rPr>
                          <w:szCs w:val="19"/>
                          <w:lang w:val="en-US"/>
                        </w:rPr>
                        <w:fldChar w:fldCharType="separate"/>
                      </w:r>
                      <w:r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C65C8E" w:rsidRDefault="00637ED3" w:rsidP="003E66BF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r w:rsidRPr="00C65C8E">
                        <w:rPr>
                          <w:szCs w:val="19"/>
                          <w:lang w:val="en-US"/>
                        </w:rPr>
                        <w:fldChar w:fldCharType="end"/>
                      </w:r>
                      <w:r w:rsidR="00C4416F">
                        <w:fldChar w:fldCharType="begin"/>
                      </w:r>
                      <w:r w:rsidR="00C4416F" w:rsidRPr="005B1300">
                        <w:rPr>
                          <w:lang w:val="en-US"/>
                        </w:rPr>
                        <w:instrText xml:space="preserve"> HYPERLINK "https://stat.gov.pl/en/metainformation/glossary/terms-used-in-official-statistics/700,term.html" </w:instrText>
                      </w:r>
                      <w:r w:rsidR="00C4416F">
                        <w:fldChar w:fldCharType="separate"/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Seasonally un-</w:t>
                      </w:r>
                      <w:proofErr w:type="spellStart"/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adjustedindex</w:t>
                      </w:r>
                      <w:proofErr w:type="spellEnd"/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 xml:space="preserve"> of sold production of industry</w:t>
                      </w:r>
                      <w:r w:rsidR="00C4416F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</w:p>
                    <w:p w14:paraId="4E1E66FD" w14:textId="687219E6" w:rsidR="00637ED3" w:rsidRPr="00C65C8E" w:rsidRDefault="00C4416F" w:rsidP="003E66BF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5B1300">
                        <w:rPr>
                          <w:lang w:val="en-US"/>
                        </w:rPr>
                        <w:instrText xml:space="preserve"> HYPERLINK "https://stat.gov.pl/en/metainformation/glossary/terms-used-in-official-s</w:instrText>
                      </w:r>
                      <w:r w:rsidRPr="005B1300">
                        <w:rPr>
                          <w:lang w:val="en-US"/>
                        </w:rPr>
                        <w:instrText xml:space="preserve">tatistics/707,term.html" </w:instrText>
                      </w:r>
                      <w:r>
                        <w:fldChar w:fldCharType="separate"/>
                      </w:r>
                      <w:r w:rsidR="00637E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 xml:space="preserve">Seasonally </w:t>
                      </w:r>
                      <w:proofErr w:type="spellStart"/>
                      <w:r w:rsidR="00637E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adjustedindex</w:t>
                      </w:r>
                      <w:proofErr w:type="spellEnd"/>
                      <w:r w:rsidR="00637E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 xml:space="preserve"> of sold production of industry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  <w:r w:rsidR="00637ED3" w:rsidRPr="00C65C8E">
                        <w:rPr>
                          <w:color w:val="001D77"/>
                          <w:szCs w:val="19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C65C8E" w:rsidRDefault="00C4416F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31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C65C8E" w:rsidRDefault="00C4416F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32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C65C8E" w:rsidRDefault="00C4416F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33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C65C8E" w:rsidRDefault="00C4416F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34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C65C8E" w:rsidRDefault="00C4416F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35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6C6A9" w14:textId="77777777" w:rsidR="00C4416F" w:rsidRDefault="00C4416F" w:rsidP="000662E2">
      <w:pPr>
        <w:spacing w:after="0" w:line="240" w:lineRule="auto"/>
      </w:pPr>
      <w:r>
        <w:separator/>
      </w:r>
    </w:p>
  </w:endnote>
  <w:endnote w:type="continuationSeparator" w:id="0">
    <w:p w14:paraId="0EE26151" w14:textId="77777777" w:rsidR="00C4416F" w:rsidRDefault="00C4416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1D8C7" w14:textId="77777777" w:rsidR="00C4416F" w:rsidRDefault="00C4416F" w:rsidP="000662E2">
      <w:pPr>
        <w:spacing w:after="0" w:line="240" w:lineRule="auto"/>
      </w:pPr>
      <w:r>
        <w:separator/>
      </w:r>
    </w:p>
  </w:footnote>
  <w:footnote w:type="continuationSeparator" w:id="0">
    <w:p w14:paraId="0CC18CF9" w14:textId="77777777" w:rsidR="00C4416F" w:rsidRDefault="00C4416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2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4F9ADF6E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18.09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766F5CB5" w:rsidR="00637ED3" w:rsidRPr="00E66F2C" w:rsidRDefault="0076369F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18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ED5562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9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ED5562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18.09.2025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" filled="f" stroked="f">
              <v:textbox>
                <w:txbxContent>
                  <w:p w14:paraId="2CA07B51" w14:textId="766F5CB5" w:rsidR="00637ED3" w:rsidRPr="00E66F2C" w:rsidRDefault="0076369F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18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ED5562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9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ED5562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6pt;visibility:visible;mso-wrap-style:square" o:bullet="t">
        <v:imagedata r:id="rId1" o:title=""/>
      </v:shape>
    </w:pict>
  </w:numPicBullet>
  <w:numPicBullet w:numPicBulletId="1">
    <w:pict>
      <v:shape id="_x0000_i1029" type="#_x0000_t75" style="width:123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5988"/>
    <w:rsid w:val="00006A71"/>
    <w:rsid w:val="0000709F"/>
    <w:rsid w:val="00007996"/>
    <w:rsid w:val="00007AEB"/>
    <w:rsid w:val="00007BF9"/>
    <w:rsid w:val="000108B8"/>
    <w:rsid w:val="00010D06"/>
    <w:rsid w:val="00011182"/>
    <w:rsid w:val="000111EC"/>
    <w:rsid w:val="00013599"/>
    <w:rsid w:val="000152F5"/>
    <w:rsid w:val="00015B05"/>
    <w:rsid w:val="000160A0"/>
    <w:rsid w:val="000163DB"/>
    <w:rsid w:val="0001659E"/>
    <w:rsid w:val="00016634"/>
    <w:rsid w:val="000167C7"/>
    <w:rsid w:val="000169EB"/>
    <w:rsid w:val="00016E48"/>
    <w:rsid w:val="00016EAF"/>
    <w:rsid w:val="000170A7"/>
    <w:rsid w:val="0002154B"/>
    <w:rsid w:val="00021CD6"/>
    <w:rsid w:val="000230B9"/>
    <w:rsid w:val="0002340B"/>
    <w:rsid w:val="00023F9C"/>
    <w:rsid w:val="000243EE"/>
    <w:rsid w:val="00024626"/>
    <w:rsid w:val="00026847"/>
    <w:rsid w:val="00026CB5"/>
    <w:rsid w:val="00027227"/>
    <w:rsid w:val="000276AA"/>
    <w:rsid w:val="000306DD"/>
    <w:rsid w:val="00031D70"/>
    <w:rsid w:val="0003236F"/>
    <w:rsid w:val="000325B5"/>
    <w:rsid w:val="000327DA"/>
    <w:rsid w:val="00032CAC"/>
    <w:rsid w:val="00033D0D"/>
    <w:rsid w:val="0003435E"/>
    <w:rsid w:val="00035886"/>
    <w:rsid w:val="00036E62"/>
    <w:rsid w:val="0003752A"/>
    <w:rsid w:val="000375C3"/>
    <w:rsid w:val="000402E7"/>
    <w:rsid w:val="000409DE"/>
    <w:rsid w:val="00041D83"/>
    <w:rsid w:val="00042216"/>
    <w:rsid w:val="00042A1D"/>
    <w:rsid w:val="00043585"/>
    <w:rsid w:val="00044CA9"/>
    <w:rsid w:val="0004500E"/>
    <w:rsid w:val="00045213"/>
    <w:rsid w:val="00045445"/>
    <w:rsid w:val="0004582E"/>
    <w:rsid w:val="000470AA"/>
    <w:rsid w:val="00047A83"/>
    <w:rsid w:val="00047CF8"/>
    <w:rsid w:val="000502F4"/>
    <w:rsid w:val="000511AE"/>
    <w:rsid w:val="0005122F"/>
    <w:rsid w:val="000518DA"/>
    <w:rsid w:val="00051F0C"/>
    <w:rsid w:val="00052566"/>
    <w:rsid w:val="00053190"/>
    <w:rsid w:val="000536EB"/>
    <w:rsid w:val="0005394E"/>
    <w:rsid w:val="00053AF8"/>
    <w:rsid w:val="00055004"/>
    <w:rsid w:val="00055F08"/>
    <w:rsid w:val="000565D8"/>
    <w:rsid w:val="00056AD0"/>
    <w:rsid w:val="00057307"/>
    <w:rsid w:val="00057CA1"/>
    <w:rsid w:val="000610B5"/>
    <w:rsid w:val="000612F7"/>
    <w:rsid w:val="00061DAF"/>
    <w:rsid w:val="00061E62"/>
    <w:rsid w:val="000657FC"/>
    <w:rsid w:val="00065ADC"/>
    <w:rsid w:val="00066081"/>
    <w:rsid w:val="00066152"/>
    <w:rsid w:val="000662E2"/>
    <w:rsid w:val="00066883"/>
    <w:rsid w:val="000668BF"/>
    <w:rsid w:val="00066B05"/>
    <w:rsid w:val="00067DDD"/>
    <w:rsid w:val="0007131E"/>
    <w:rsid w:val="000719F1"/>
    <w:rsid w:val="0007222B"/>
    <w:rsid w:val="00073259"/>
    <w:rsid w:val="00073311"/>
    <w:rsid w:val="00074DD8"/>
    <w:rsid w:val="00075F73"/>
    <w:rsid w:val="000761AC"/>
    <w:rsid w:val="0007625D"/>
    <w:rsid w:val="00076ADC"/>
    <w:rsid w:val="00076B52"/>
    <w:rsid w:val="00076D95"/>
    <w:rsid w:val="00076F86"/>
    <w:rsid w:val="00077B8C"/>
    <w:rsid w:val="000806F7"/>
    <w:rsid w:val="000809C8"/>
    <w:rsid w:val="00081C1B"/>
    <w:rsid w:val="00082002"/>
    <w:rsid w:val="000828A9"/>
    <w:rsid w:val="0008329D"/>
    <w:rsid w:val="00083794"/>
    <w:rsid w:val="00083E0E"/>
    <w:rsid w:val="00084531"/>
    <w:rsid w:val="000850A7"/>
    <w:rsid w:val="00086360"/>
    <w:rsid w:val="00086892"/>
    <w:rsid w:val="00086B7D"/>
    <w:rsid w:val="00086CFA"/>
    <w:rsid w:val="000870D1"/>
    <w:rsid w:val="000874FF"/>
    <w:rsid w:val="00087806"/>
    <w:rsid w:val="0008784D"/>
    <w:rsid w:val="00090DAE"/>
    <w:rsid w:val="00091304"/>
    <w:rsid w:val="000925FF"/>
    <w:rsid w:val="00092A8F"/>
    <w:rsid w:val="00094C33"/>
    <w:rsid w:val="00095A05"/>
    <w:rsid w:val="00096C0C"/>
    <w:rsid w:val="00097FBD"/>
    <w:rsid w:val="000A09E4"/>
    <w:rsid w:val="000A1172"/>
    <w:rsid w:val="000A1FB3"/>
    <w:rsid w:val="000A34C5"/>
    <w:rsid w:val="000A35B6"/>
    <w:rsid w:val="000A39FD"/>
    <w:rsid w:val="000A3ACF"/>
    <w:rsid w:val="000A4801"/>
    <w:rsid w:val="000A4C12"/>
    <w:rsid w:val="000A4E2A"/>
    <w:rsid w:val="000A515F"/>
    <w:rsid w:val="000A5D02"/>
    <w:rsid w:val="000A6D76"/>
    <w:rsid w:val="000A7DBC"/>
    <w:rsid w:val="000B03DB"/>
    <w:rsid w:val="000B0727"/>
    <w:rsid w:val="000B1D63"/>
    <w:rsid w:val="000B256C"/>
    <w:rsid w:val="000B289A"/>
    <w:rsid w:val="000B318F"/>
    <w:rsid w:val="000B3BA1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0F21"/>
    <w:rsid w:val="000C135D"/>
    <w:rsid w:val="000C2AC9"/>
    <w:rsid w:val="000C443D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416B"/>
    <w:rsid w:val="000D6E9C"/>
    <w:rsid w:val="000E0918"/>
    <w:rsid w:val="000E2DE4"/>
    <w:rsid w:val="000E41EE"/>
    <w:rsid w:val="000E481A"/>
    <w:rsid w:val="000E5184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04E"/>
    <w:rsid w:val="000F617C"/>
    <w:rsid w:val="000F6B6E"/>
    <w:rsid w:val="00100946"/>
    <w:rsid w:val="00100E7D"/>
    <w:rsid w:val="001011C3"/>
    <w:rsid w:val="00101571"/>
    <w:rsid w:val="00101B4A"/>
    <w:rsid w:val="001026F0"/>
    <w:rsid w:val="001030FA"/>
    <w:rsid w:val="001039FA"/>
    <w:rsid w:val="0010569E"/>
    <w:rsid w:val="00105A2D"/>
    <w:rsid w:val="00106E25"/>
    <w:rsid w:val="001070E5"/>
    <w:rsid w:val="00110066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6AE9"/>
    <w:rsid w:val="00117BBE"/>
    <w:rsid w:val="00120701"/>
    <w:rsid w:val="00120D8D"/>
    <w:rsid w:val="00121455"/>
    <w:rsid w:val="0012289A"/>
    <w:rsid w:val="00122F7C"/>
    <w:rsid w:val="00123367"/>
    <w:rsid w:val="001245D8"/>
    <w:rsid w:val="001247CF"/>
    <w:rsid w:val="00124933"/>
    <w:rsid w:val="00127150"/>
    <w:rsid w:val="00127C74"/>
    <w:rsid w:val="00127D4E"/>
    <w:rsid w:val="00127E9C"/>
    <w:rsid w:val="00127F26"/>
    <w:rsid w:val="00130296"/>
    <w:rsid w:val="001310B7"/>
    <w:rsid w:val="00131962"/>
    <w:rsid w:val="0013232F"/>
    <w:rsid w:val="00132A68"/>
    <w:rsid w:val="001336D0"/>
    <w:rsid w:val="00134BAE"/>
    <w:rsid w:val="00134E2D"/>
    <w:rsid w:val="00135F43"/>
    <w:rsid w:val="001377CD"/>
    <w:rsid w:val="001409E1"/>
    <w:rsid w:val="00140C4F"/>
    <w:rsid w:val="00141F19"/>
    <w:rsid w:val="001423B6"/>
    <w:rsid w:val="001425F1"/>
    <w:rsid w:val="001448A7"/>
    <w:rsid w:val="00146621"/>
    <w:rsid w:val="001467DB"/>
    <w:rsid w:val="00147118"/>
    <w:rsid w:val="001477A4"/>
    <w:rsid w:val="00150072"/>
    <w:rsid w:val="00151995"/>
    <w:rsid w:val="00151D31"/>
    <w:rsid w:val="00152273"/>
    <w:rsid w:val="00152BFE"/>
    <w:rsid w:val="00154384"/>
    <w:rsid w:val="00156C28"/>
    <w:rsid w:val="0016119C"/>
    <w:rsid w:val="00161220"/>
    <w:rsid w:val="00161500"/>
    <w:rsid w:val="00162325"/>
    <w:rsid w:val="00163064"/>
    <w:rsid w:val="00163657"/>
    <w:rsid w:val="00163AD3"/>
    <w:rsid w:val="00163C91"/>
    <w:rsid w:val="00164B8E"/>
    <w:rsid w:val="00164CF6"/>
    <w:rsid w:val="001656E7"/>
    <w:rsid w:val="00165D6F"/>
    <w:rsid w:val="001668CE"/>
    <w:rsid w:val="00167589"/>
    <w:rsid w:val="00171484"/>
    <w:rsid w:val="0017351C"/>
    <w:rsid w:val="00173B0C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42F4"/>
    <w:rsid w:val="00185055"/>
    <w:rsid w:val="0018506C"/>
    <w:rsid w:val="001850EA"/>
    <w:rsid w:val="001852BE"/>
    <w:rsid w:val="00185525"/>
    <w:rsid w:val="00185692"/>
    <w:rsid w:val="001866BD"/>
    <w:rsid w:val="00186B6B"/>
    <w:rsid w:val="00186E71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9E3"/>
    <w:rsid w:val="001A6A6A"/>
    <w:rsid w:val="001A6EC1"/>
    <w:rsid w:val="001B1CE5"/>
    <w:rsid w:val="001B2F6C"/>
    <w:rsid w:val="001B38EE"/>
    <w:rsid w:val="001B3932"/>
    <w:rsid w:val="001B3971"/>
    <w:rsid w:val="001B42B3"/>
    <w:rsid w:val="001B48A8"/>
    <w:rsid w:val="001B4968"/>
    <w:rsid w:val="001B4DCC"/>
    <w:rsid w:val="001B69CB"/>
    <w:rsid w:val="001C0B7D"/>
    <w:rsid w:val="001C13B0"/>
    <w:rsid w:val="001C1F53"/>
    <w:rsid w:val="001C3269"/>
    <w:rsid w:val="001C3694"/>
    <w:rsid w:val="001C3B09"/>
    <w:rsid w:val="001C3FF0"/>
    <w:rsid w:val="001C4FFA"/>
    <w:rsid w:val="001C72A4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05C4"/>
    <w:rsid w:val="001E077E"/>
    <w:rsid w:val="001E307A"/>
    <w:rsid w:val="001E35B5"/>
    <w:rsid w:val="001E4243"/>
    <w:rsid w:val="001E42AE"/>
    <w:rsid w:val="001E475A"/>
    <w:rsid w:val="001E482E"/>
    <w:rsid w:val="001E5397"/>
    <w:rsid w:val="001E6B5F"/>
    <w:rsid w:val="001E7919"/>
    <w:rsid w:val="001F2005"/>
    <w:rsid w:val="001F23B3"/>
    <w:rsid w:val="001F23B4"/>
    <w:rsid w:val="001F312B"/>
    <w:rsid w:val="001F31BD"/>
    <w:rsid w:val="001F3686"/>
    <w:rsid w:val="001F3CBF"/>
    <w:rsid w:val="001F4F6D"/>
    <w:rsid w:val="001F5534"/>
    <w:rsid w:val="001F5E14"/>
    <w:rsid w:val="001F5FDE"/>
    <w:rsid w:val="001F649C"/>
    <w:rsid w:val="001F6CD0"/>
    <w:rsid w:val="001F738A"/>
    <w:rsid w:val="0020085C"/>
    <w:rsid w:val="00201122"/>
    <w:rsid w:val="0020139E"/>
    <w:rsid w:val="00201DA0"/>
    <w:rsid w:val="00202E71"/>
    <w:rsid w:val="00203452"/>
    <w:rsid w:val="00204447"/>
    <w:rsid w:val="00204CAD"/>
    <w:rsid w:val="00204D3C"/>
    <w:rsid w:val="00204E70"/>
    <w:rsid w:val="0020504A"/>
    <w:rsid w:val="002056B1"/>
    <w:rsid w:val="00207360"/>
    <w:rsid w:val="002100F1"/>
    <w:rsid w:val="00210A6F"/>
    <w:rsid w:val="0021268C"/>
    <w:rsid w:val="00212BE3"/>
    <w:rsid w:val="00213DF1"/>
    <w:rsid w:val="00214696"/>
    <w:rsid w:val="0021562C"/>
    <w:rsid w:val="00215B0B"/>
    <w:rsid w:val="0021667E"/>
    <w:rsid w:val="00216F21"/>
    <w:rsid w:val="00217031"/>
    <w:rsid w:val="0021736E"/>
    <w:rsid w:val="002173E8"/>
    <w:rsid w:val="00217A7A"/>
    <w:rsid w:val="00217D5E"/>
    <w:rsid w:val="002209D7"/>
    <w:rsid w:val="002217A8"/>
    <w:rsid w:val="00223D02"/>
    <w:rsid w:val="00225012"/>
    <w:rsid w:val="00225789"/>
    <w:rsid w:val="0022605C"/>
    <w:rsid w:val="00226CDB"/>
    <w:rsid w:val="00226D83"/>
    <w:rsid w:val="002300C4"/>
    <w:rsid w:val="002308C6"/>
    <w:rsid w:val="00231001"/>
    <w:rsid w:val="00232C15"/>
    <w:rsid w:val="0023461B"/>
    <w:rsid w:val="00234985"/>
    <w:rsid w:val="00234D7D"/>
    <w:rsid w:val="00234F38"/>
    <w:rsid w:val="00235100"/>
    <w:rsid w:val="00237327"/>
    <w:rsid w:val="00237E72"/>
    <w:rsid w:val="00240ECE"/>
    <w:rsid w:val="002419F5"/>
    <w:rsid w:val="0024258D"/>
    <w:rsid w:val="00244A92"/>
    <w:rsid w:val="002452B8"/>
    <w:rsid w:val="00247C71"/>
    <w:rsid w:val="00250FEE"/>
    <w:rsid w:val="002517AD"/>
    <w:rsid w:val="00251936"/>
    <w:rsid w:val="00252C19"/>
    <w:rsid w:val="002531FE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241"/>
    <w:rsid w:val="00263621"/>
    <w:rsid w:val="0026405B"/>
    <w:rsid w:val="00264835"/>
    <w:rsid w:val="0026524A"/>
    <w:rsid w:val="002655DB"/>
    <w:rsid w:val="00266DD9"/>
    <w:rsid w:val="00267096"/>
    <w:rsid w:val="00270451"/>
    <w:rsid w:val="00270874"/>
    <w:rsid w:val="00270923"/>
    <w:rsid w:val="00270A8D"/>
    <w:rsid w:val="002722B3"/>
    <w:rsid w:val="002728FD"/>
    <w:rsid w:val="002738BD"/>
    <w:rsid w:val="00273D4F"/>
    <w:rsid w:val="00275C31"/>
    <w:rsid w:val="00276811"/>
    <w:rsid w:val="002772FD"/>
    <w:rsid w:val="00277F85"/>
    <w:rsid w:val="0028004D"/>
    <w:rsid w:val="00280714"/>
    <w:rsid w:val="00280CE6"/>
    <w:rsid w:val="00281222"/>
    <w:rsid w:val="00281741"/>
    <w:rsid w:val="0028260A"/>
    <w:rsid w:val="00282699"/>
    <w:rsid w:val="00283009"/>
    <w:rsid w:val="00283425"/>
    <w:rsid w:val="00284999"/>
    <w:rsid w:val="00284E57"/>
    <w:rsid w:val="002854E5"/>
    <w:rsid w:val="00287A47"/>
    <w:rsid w:val="0029011B"/>
    <w:rsid w:val="00291367"/>
    <w:rsid w:val="00291812"/>
    <w:rsid w:val="00291900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4F78"/>
    <w:rsid w:val="002A518A"/>
    <w:rsid w:val="002A5795"/>
    <w:rsid w:val="002A5DE3"/>
    <w:rsid w:val="002A635F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0CDD"/>
    <w:rsid w:val="002B18C6"/>
    <w:rsid w:val="002B3036"/>
    <w:rsid w:val="002B3236"/>
    <w:rsid w:val="002B3350"/>
    <w:rsid w:val="002B3AB7"/>
    <w:rsid w:val="002B5791"/>
    <w:rsid w:val="002B583F"/>
    <w:rsid w:val="002B68B6"/>
    <w:rsid w:val="002B6B12"/>
    <w:rsid w:val="002B6B7B"/>
    <w:rsid w:val="002C01F8"/>
    <w:rsid w:val="002C0F77"/>
    <w:rsid w:val="002C424B"/>
    <w:rsid w:val="002C4336"/>
    <w:rsid w:val="002C471F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436D"/>
    <w:rsid w:val="002D51CC"/>
    <w:rsid w:val="002D7096"/>
    <w:rsid w:val="002D7F9D"/>
    <w:rsid w:val="002E0BB1"/>
    <w:rsid w:val="002E1016"/>
    <w:rsid w:val="002E13A8"/>
    <w:rsid w:val="002E3DCB"/>
    <w:rsid w:val="002E42E3"/>
    <w:rsid w:val="002E6140"/>
    <w:rsid w:val="002E6985"/>
    <w:rsid w:val="002E6B42"/>
    <w:rsid w:val="002E6D06"/>
    <w:rsid w:val="002E6EAA"/>
    <w:rsid w:val="002E71B6"/>
    <w:rsid w:val="002F0049"/>
    <w:rsid w:val="002F1617"/>
    <w:rsid w:val="002F1F42"/>
    <w:rsid w:val="002F2BB5"/>
    <w:rsid w:val="002F4D83"/>
    <w:rsid w:val="002F5155"/>
    <w:rsid w:val="002F5333"/>
    <w:rsid w:val="002F5515"/>
    <w:rsid w:val="002F5670"/>
    <w:rsid w:val="002F6FA2"/>
    <w:rsid w:val="002F77C8"/>
    <w:rsid w:val="003005E6"/>
    <w:rsid w:val="0030115B"/>
    <w:rsid w:val="003019E7"/>
    <w:rsid w:val="00301DA2"/>
    <w:rsid w:val="00301DF5"/>
    <w:rsid w:val="003026A2"/>
    <w:rsid w:val="00303501"/>
    <w:rsid w:val="003038E3"/>
    <w:rsid w:val="00303ED4"/>
    <w:rsid w:val="00304F22"/>
    <w:rsid w:val="00304F51"/>
    <w:rsid w:val="00305979"/>
    <w:rsid w:val="00305F35"/>
    <w:rsid w:val="00306485"/>
    <w:rsid w:val="003067CB"/>
    <w:rsid w:val="00306C7C"/>
    <w:rsid w:val="003103AC"/>
    <w:rsid w:val="00310C9D"/>
    <w:rsid w:val="00310E69"/>
    <w:rsid w:val="003117DA"/>
    <w:rsid w:val="00311A70"/>
    <w:rsid w:val="00311CFF"/>
    <w:rsid w:val="00312467"/>
    <w:rsid w:val="003133B6"/>
    <w:rsid w:val="00313BD1"/>
    <w:rsid w:val="00315805"/>
    <w:rsid w:val="003164B4"/>
    <w:rsid w:val="00320924"/>
    <w:rsid w:val="00320F38"/>
    <w:rsid w:val="00322975"/>
    <w:rsid w:val="00322EDD"/>
    <w:rsid w:val="003231A1"/>
    <w:rsid w:val="0032407B"/>
    <w:rsid w:val="00324C9B"/>
    <w:rsid w:val="00325FE7"/>
    <w:rsid w:val="00327F20"/>
    <w:rsid w:val="00332263"/>
    <w:rsid w:val="00332320"/>
    <w:rsid w:val="00332724"/>
    <w:rsid w:val="00333045"/>
    <w:rsid w:val="0033335A"/>
    <w:rsid w:val="0033525D"/>
    <w:rsid w:val="00335D5B"/>
    <w:rsid w:val="0033611E"/>
    <w:rsid w:val="00336412"/>
    <w:rsid w:val="00336AC1"/>
    <w:rsid w:val="00337DDB"/>
    <w:rsid w:val="0034080E"/>
    <w:rsid w:val="00340AD3"/>
    <w:rsid w:val="00341966"/>
    <w:rsid w:val="00342001"/>
    <w:rsid w:val="003426AA"/>
    <w:rsid w:val="00342DCF"/>
    <w:rsid w:val="00343A88"/>
    <w:rsid w:val="00343FEA"/>
    <w:rsid w:val="003457E4"/>
    <w:rsid w:val="0034615B"/>
    <w:rsid w:val="0034661C"/>
    <w:rsid w:val="00346C98"/>
    <w:rsid w:val="00347649"/>
    <w:rsid w:val="003476A5"/>
    <w:rsid w:val="00347C1F"/>
    <w:rsid w:val="00347CC3"/>
    <w:rsid w:val="00347D72"/>
    <w:rsid w:val="00347DB2"/>
    <w:rsid w:val="00350F22"/>
    <w:rsid w:val="00352354"/>
    <w:rsid w:val="003523EB"/>
    <w:rsid w:val="003531A5"/>
    <w:rsid w:val="00355643"/>
    <w:rsid w:val="003556E3"/>
    <w:rsid w:val="00355AF4"/>
    <w:rsid w:val="00356260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48E0"/>
    <w:rsid w:val="003651C8"/>
    <w:rsid w:val="00365F22"/>
    <w:rsid w:val="00366879"/>
    <w:rsid w:val="00367237"/>
    <w:rsid w:val="00367C48"/>
    <w:rsid w:val="0037077F"/>
    <w:rsid w:val="00370DBD"/>
    <w:rsid w:val="00371757"/>
    <w:rsid w:val="00371C7E"/>
    <w:rsid w:val="00372081"/>
    <w:rsid w:val="00372AA2"/>
    <w:rsid w:val="00373882"/>
    <w:rsid w:val="00373C02"/>
    <w:rsid w:val="00373C36"/>
    <w:rsid w:val="00373C5E"/>
    <w:rsid w:val="00374B96"/>
    <w:rsid w:val="00375215"/>
    <w:rsid w:val="0037526E"/>
    <w:rsid w:val="003802E8"/>
    <w:rsid w:val="00380497"/>
    <w:rsid w:val="003809D3"/>
    <w:rsid w:val="00380DD8"/>
    <w:rsid w:val="00381C59"/>
    <w:rsid w:val="00382343"/>
    <w:rsid w:val="00382CAB"/>
    <w:rsid w:val="003835A0"/>
    <w:rsid w:val="003837D5"/>
    <w:rsid w:val="00383B0F"/>
    <w:rsid w:val="003843DB"/>
    <w:rsid w:val="003854ED"/>
    <w:rsid w:val="00385767"/>
    <w:rsid w:val="00386D02"/>
    <w:rsid w:val="00387C01"/>
    <w:rsid w:val="00387F04"/>
    <w:rsid w:val="003902D5"/>
    <w:rsid w:val="00390CA8"/>
    <w:rsid w:val="0039173C"/>
    <w:rsid w:val="003931C0"/>
    <w:rsid w:val="0039373A"/>
    <w:rsid w:val="00393761"/>
    <w:rsid w:val="00393C51"/>
    <w:rsid w:val="003947E0"/>
    <w:rsid w:val="00394F2B"/>
    <w:rsid w:val="00395366"/>
    <w:rsid w:val="003957CC"/>
    <w:rsid w:val="00395881"/>
    <w:rsid w:val="00395913"/>
    <w:rsid w:val="00395F5C"/>
    <w:rsid w:val="00396002"/>
    <w:rsid w:val="00396865"/>
    <w:rsid w:val="003973C9"/>
    <w:rsid w:val="00397488"/>
    <w:rsid w:val="00397D18"/>
    <w:rsid w:val="003A0362"/>
    <w:rsid w:val="003A09C1"/>
    <w:rsid w:val="003A0EC3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0A55"/>
    <w:rsid w:val="003B10B5"/>
    <w:rsid w:val="003B1105"/>
    <w:rsid w:val="003B1454"/>
    <w:rsid w:val="003B2DB6"/>
    <w:rsid w:val="003B35CB"/>
    <w:rsid w:val="003B3978"/>
    <w:rsid w:val="003B40D7"/>
    <w:rsid w:val="003B4A12"/>
    <w:rsid w:val="003B62A0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4F74"/>
    <w:rsid w:val="003C5848"/>
    <w:rsid w:val="003C59E0"/>
    <w:rsid w:val="003C677F"/>
    <w:rsid w:val="003C6BD1"/>
    <w:rsid w:val="003C6C8D"/>
    <w:rsid w:val="003D0B5F"/>
    <w:rsid w:val="003D0F50"/>
    <w:rsid w:val="003D1203"/>
    <w:rsid w:val="003D2677"/>
    <w:rsid w:val="003D33AD"/>
    <w:rsid w:val="003D3C6E"/>
    <w:rsid w:val="003D4B87"/>
    <w:rsid w:val="003D4F95"/>
    <w:rsid w:val="003D530F"/>
    <w:rsid w:val="003D557D"/>
    <w:rsid w:val="003D5F42"/>
    <w:rsid w:val="003D60A9"/>
    <w:rsid w:val="003E050B"/>
    <w:rsid w:val="003E1CD9"/>
    <w:rsid w:val="003E2C2A"/>
    <w:rsid w:val="003E37F1"/>
    <w:rsid w:val="003E3BB3"/>
    <w:rsid w:val="003E4367"/>
    <w:rsid w:val="003E6124"/>
    <w:rsid w:val="003E66BF"/>
    <w:rsid w:val="003E6F61"/>
    <w:rsid w:val="003E799E"/>
    <w:rsid w:val="003E7C6E"/>
    <w:rsid w:val="003E7DE1"/>
    <w:rsid w:val="003F00ED"/>
    <w:rsid w:val="003F0C85"/>
    <w:rsid w:val="003F13A9"/>
    <w:rsid w:val="003F1402"/>
    <w:rsid w:val="003F1512"/>
    <w:rsid w:val="003F2D2D"/>
    <w:rsid w:val="003F32DB"/>
    <w:rsid w:val="003F36A3"/>
    <w:rsid w:val="003F4C97"/>
    <w:rsid w:val="003F53CA"/>
    <w:rsid w:val="003F5F97"/>
    <w:rsid w:val="003F60A7"/>
    <w:rsid w:val="003F68D3"/>
    <w:rsid w:val="003F78A0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3844"/>
    <w:rsid w:val="004040DA"/>
    <w:rsid w:val="00405BFB"/>
    <w:rsid w:val="00405D79"/>
    <w:rsid w:val="004107A5"/>
    <w:rsid w:val="0041140C"/>
    <w:rsid w:val="004118C3"/>
    <w:rsid w:val="00412E8A"/>
    <w:rsid w:val="004130BC"/>
    <w:rsid w:val="0041374E"/>
    <w:rsid w:val="004177E5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76E"/>
    <w:rsid w:val="00427BF8"/>
    <w:rsid w:val="004312BF"/>
    <w:rsid w:val="00431422"/>
    <w:rsid w:val="00431C02"/>
    <w:rsid w:val="004327B6"/>
    <w:rsid w:val="00432E24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230E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98A"/>
    <w:rsid w:val="00447B0C"/>
    <w:rsid w:val="00450770"/>
    <w:rsid w:val="00450E62"/>
    <w:rsid w:val="00451964"/>
    <w:rsid w:val="00452007"/>
    <w:rsid w:val="00452661"/>
    <w:rsid w:val="00454004"/>
    <w:rsid w:val="00454C5C"/>
    <w:rsid w:val="00454CA6"/>
    <w:rsid w:val="004551AF"/>
    <w:rsid w:val="00456624"/>
    <w:rsid w:val="00460904"/>
    <w:rsid w:val="00460DA9"/>
    <w:rsid w:val="00460EB6"/>
    <w:rsid w:val="00461D15"/>
    <w:rsid w:val="00462A63"/>
    <w:rsid w:val="00463534"/>
    <w:rsid w:val="004636AC"/>
    <w:rsid w:val="00463E39"/>
    <w:rsid w:val="00464267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5455"/>
    <w:rsid w:val="00476319"/>
    <w:rsid w:val="00477DD8"/>
    <w:rsid w:val="00484901"/>
    <w:rsid w:val="00484E17"/>
    <w:rsid w:val="00486128"/>
    <w:rsid w:val="0048628E"/>
    <w:rsid w:val="004862B6"/>
    <w:rsid w:val="00486543"/>
    <w:rsid w:val="004869BD"/>
    <w:rsid w:val="004877D3"/>
    <w:rsid w:val="004905D5"/>
    <w:rsid w:val="00492F46"/>
    <w:rsid w:val="004937A5"/>
    <w:rsid w:val="00493B1C"/>
    <w:rsid w:val="004949CA"/>
    <w:rsid w:val="0049548F"/>
    <w:rsid w:val="004958D5"/>
    <w:rsid w:val="0049621B"/>
    <w:rsid w:val="004963DE"/>
    <w:rsid w:val="004970CC"/>
    <w:rsid w:val="00497CE2"/>
    <w:rsid w:val="004A07C1"/>
    <w:rsid w:val="004A1914"/>
    <w:rsid w:val="004A1F6D"/>
    <w:rsid w:val="004A284F"/>
    <w:rsid w:val="004A3BC8"/>
    <w:rsid w:val="004A446E"/>
    <w:rsid w:val="004A4580"/>
    <w:rsid w:val="004A4641"/>
    <w:rsid w:val="004A5B1F"/>
    <w:rsid w:val="004A5B48"/>
    <w:rsid w:val="004A6C40"/>
    <w:rsid w:val="004B084C"/>
    <w:rsid w:val="004B0D8A"/>
    <w:rsid w:val="004B1040"/>
    <w:rsid w:val="004B13C4"/>
    <w:rsid w:val="004B2234"/>
    <w:rsid w:val="004B358B"/>
    <w:rsid w:val="004B398A"/>
    <w:rsid w:val="004B4738"/>
    <w:rsid w:val="004B548D"/>
    <w:rsid w:val="004B5684"/>
    <w:rsid w:val="004B5E62"/>
    <w:rsid w:val="004B628B"/>
    <w:rsid w:val="004B6A11"/>
    <w:rsid w:val="004B7867"/>
    <w:rsid w:val="004C1895"/>
    <w:rsid w:val="004C20F0"/>
    <w:rsid w:val="004C29C1"/>
    <w:rsid w:val="004C2A13"/>
    <w:rsid w:val="004C397E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3D30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1D09"/>
    <w:rsid w:val="005027A8"/>
    <w:rsid w:val="00502A44"/>
    <w:rsid w:val="00502EF2"/>
    <w:rsid w:val="00503622"/>
    <w:rsid w:val="0050571F"/>
    <w:rsid w:val="00505A92"/>
    <w:rsid w:val="00505C52"/>
    <w:rsid w:val="00506117"/>
    <w:rsid w:val="005074BF"/>
    <w:rsid w:val="00507AB5"/>
    <w:rsid w:val="00507D35"/>
    <w:rsid w:val="005105EB"/>
    <w:rsid w:val="00510D8A"/>
    <w:rsid w:val="0051196A"/>
    <w:rsid w:val="005126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4711"/>
    <w:rsid w:val="0052510F"/>
    <w:rsid w:val="00525CAC"/>
    <w:rsid w:val="00525FB7"/>
    <w:rsid w:val="00527E6B"/>
    <w:rsid w:val="00530FC0"/>
    <w:rsid w:val="005313E1"/>
    <w:rsid w:val="00531F98"/>
    <w:rsid w:val="0053271A"/>
    <w:rsid w:val="00533632"/>
    <w:rsid w:val="00533FC2"/>
    <w:rsid w:val="00534D59"/>
    <w:rsid w:val="0053525A"/>
    <w:rsid w:val="00535F4C"/>
    <w:rsid w:val="00535FF8"/>
    <w:rsid w:val="00536846"/>
    <w:rsid w:val="00537EC4"/>
    <w:rsid w:val="00537F30"/>
    <w:rsid w:val="0054251F"/>
    <w:rsid w:val="00543905"/>
    <w:rsid w:val="00544CA7"/>
    <w:rsid w:val="00545385"/>
    <w:rsid w:val="00545A03"/>
    <w:rsid w:val="0054635E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15E7"/>
    <w:rsid w:val="005520D8"/>
    <w:rsid w:val="00552939"/>
    <w:rsid w:val="00553B0B"/>
    <w:rsid w:val="0055460F"/>
    <w:rsid w:val="00556C04"/>
    <w:rsid w:val="00556CF1"/>
    <w:rsid w:val="00557238"/>
    <w:rsid w:val="0055770D"/>
    <w:rsid w:val="00557D75"/>
    <w:rsid w:val="0056009C"/>
    <w:rsid w:val="00561AEB"/>
    <w:rsid w:val="00561CAD"/>
    <w:rsid w:val="00561CC0"/>
    <w:rsid w:val="00562344"/>
    <w:rsid w:val="00562EC2"/>
    <w:rsid w:val="005643BB"/>
    <w:rsid w:val="005659E8"/>
    <w:rsid w:val="00565C63"/>
    <w:rsid w:val="005661F8"/>
    <w:rsid w:val="00566275"/>
    <w:rsid w:val="005662CD"/>
    <w:rsid w:val="005678B6"/>
    <w:rsid w:val="00567A72"/>
    <w:rsid w:val="00567F82"/>
    <w:rsid w:val="00570E6F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4ABA"/>
    <w:rsid w:val="00585275"/>
    <w:rsid w:val="00585630"/>
    <w:rsid w:val="005861A1"/>
    <w:rsid w:val="00590672"/>
    <w:rsid w:val="00590BB1"/>
    <w:rsid w:val="005916D7"/>
    <w:rsid w:val="00591D87"/>
    <w:rsid w:val="00591FDF"/>
    <w:rsid w:val="00592190"/>
    <w:rsid w:val="005921E2"/>
    <w:rsid w:val="00592254"/>
    <w:rsid w:val="005926CE"/>
    <w:rsid w:val="0059374B"/>
    <w:rsid w:val="005938CF"/>
    <w:rsid w:val="00593FB5"/>
    <w:rsid w:val="005943D2"/>
    <w:rsid w:val="00594802"/>
    <w:rsid w:val="00595F5A"/>
    <w:rsid w:val="00597454"/>
    <w:rsid w:val="00597DE4"/>
    <w:rsid w:val="005A03EB"/>
    <w:rsid w:val="005A074C"/>
    <w:rsid w:val="005A09EB"/>
    <w:rsid w:val="005A2F43"/>
    <w:rsid w:val="005A30AB"/>
    <w:rsid w:val="005A37DA"/>
    <w:rsid w:val="005A45B5"/>
    <w:rsid w:val="005A526E"/>
    <w:rsid w:val="005A5B0D"/>
    <w:rsid w:val="005A5BB8"/>
    <w:rsid w:val="005A6720"/>
    <w:rsid w:val="005A698C"/>
    <w:rsid w:val="005B1300"/>
    <w:rsid w:val="005B2A4C"/>
    <w:rsid w:val="005B3A0A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3B7C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2AA"/>
    <w:rsid w:val="005D0E17"/>
    <w:rsid w:val="005D2FB0"/>
    <w:rsid w:val="005D30DE"/>
    <w:rsid w:val="005D3D9E"/>
    <w:rsid w:val="005D559D"/>
    <w:rsid w:val="005D5950"/>
    <w:rsid w:val="005D6F87"/>
    <w:rsid w:val="005E0799"/>
    <w:rsid w:val="005E4173"/>
    <w:rsid w:val="005E48B2"/>
    <w:rsid w:val="005E4E00"/>
    <w:rsid w:val="005E5086"/>
    <w:rsid w:val="005E55FE"/>
    <w:rsid w:val="005E5DF4"/>
    <w:rsid w:val="005E639A"/>
    <w:rsid w:val="005E64F4"/>
    <w:rsid w:val="005F27B3"/>
    <w:rsid w:val="005F2ED5"/>
    <w:rsid w:val="005F302D"/>
    <w:rsid w:val="005F3046"/>
    <w:rsid w:val="005F30C9"/>
    <w:rsid w:val="005F4A3B"/>
    <w:rsid w:val="005F4D55"/>
    <w:rsid w:val="005F5129"/>
    <w:rsid w:val="005F5A80"/>
    <w:rsid w:val="005F5D26"/>
    <w:rsid w:val="005F5FD8"/>
    <w:rsid w:val="005F7D57"/>
    <w:rsid w:val="00601F96"/>
    <w:rsid w:val="00602A6C"/>
    <w:rsid w:val="00603187"/>
    <w:rsid w:val="006044FF"/>
    <w:rsid w:val="00604908"/>
    <w:rsid w:val="00604C78"/>
    <w:rsid w:val="006051FC"/>
    <w:rsid w:val="006052E7"/>
    <w:rsid w:val="0060587B"/>
    <w:rsid w:val="00607CC5"/>
    <w:rsid w:val="00607D7C"/>
    <w:rsid w:val="0061026E"/>
    <w:rsid w:val="006102AA"/>
    <w:rsid w:val="00610DCD"/>
    <w:rsid w:val="00612D21"/>
    <w:rsid w:val="00613500"/>
    <w:rsid w:val="00613ECD"/>
    <w:rsid w:val="00615DB7"/>
    <w:rsid w:val="006166AD"/>
    <w:rsid w:val="0061791A"/>
    <w:rsid w:val="00620DC3"/>
    <w:rsid w:val="00621F5F"/>
    <w:rsid w:val="006238B3"/>
    <w:rsid w:val="006238DF"/>
    <w:rsid w:val="00624157"/>
    <w:rsid w:val="00624747"/>
    <w:rsid w:val="00625603"/>
    <w:rsid w:val="00626112"/>
    <w:rsid w:val="006263DA"/>
    <w:rsid w:val="0062658A"/>
    <w:rsid w:val="00626952"/>
    <w:rsid w:val="00626D45"/>
    <w:rsid w:val="00626D87"/>
    <w:rsid w:val="00627CBE"/>
    <w:rsid w:val="00630135"/>
    <w:rsid w:val="00630436"/>
    <w:rsid w:val="00630D69"/>
    <w:rsid w:val="006318DA"/>
    <w:rsid w:val="006323A2"/>
    <w:rsid w:val="00633014"/>
    <w:rsid w:val="0063437B"/>
    <w:rsid w:val="0063554D"/>
    <w:rsid w:val="00636D19"/>
    <w:rsid w:val="00637ED3"/>
    <w:rsid w:val="00637F51"/>
    <w:rsid w:val="0064002F"/>
    <w:rsid w:val="00640585"/>
    <w:rsid w:val="0064257B"/>
    <w:rsid w:val="00642C4B"/>
    <w:rsid w:val="00643358"/>
    <w:rsid w:val="00643FD2"/>
    <w:rsid w:val="00645566"/>
    <w:rsid w:val="00646D6F"/>
    <w:rsid w:val="00646FEB"/>
    <w:rsid w:val="00650D4C"/>
    <w:rsid w:val="00652880"/>
    <w:rsid w:val="00652956"/>
    <w:rsid w:val="00654120"/>
    <w:rsid w:val="006562A7"/>
    <w:rsid w:val="006564A1"/>
    <w:rsid w:val="006613FA"/>
    <w:rsid w:val="00661419"/>
    <w:rsid w:val="006631D9"/>
    <w:rsid w:val="00663A16"/>
    <w:rsid w:val="00664589"/>
    <w:rsid w:val="00664FEF"/>
    <w:rsid w:val="0066509D"/>
    <w:rsid w:val="006673B6"/>
    <w:rsid w:val="006673CA"/>
    <w:rsid w:val="00667D6F"/>
    <w:rsid w:val="00670642"/>
    <w:rsid w:val="006706DB"/>
    <w:rsid w:val="00670AB6"/>
    <w:rsid w:val="00670D95"/>
    <w:rsid w:val="0067124E"/>
    <w:rsid w:val="00671511"/>
    <w:rsid w:val="006720A1"/>
    <w:rsid w:val="0067294C"/>
    <w:rsid w:val="006730C2"/>
    <w:rsid w:val="00673657"/>
    <w:rsid w:val="00673787"/>
    <w:rsid w:val="00673BE0"/>
    <w:rsid w:val="00673C26"/>
    <w:rsid w:val="00674508"/>
    <w:rsid w:val="00674ABE"/>
    <w:rsid w:val="00674F75"/>
    <w:rsid w:val="00675435"/>
    <w:rsid w:val="0067558B"/>
    <w:rsid w:val="006763E2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2BBB"/>
    <w:rsid w:val="0068327D"/>
    <w:rsid w:val="00685F86"/>
    <w:rsid w:val="00686BD9"/>
    <w:rsid w:val="00687BD9"/>
    <w:rsid w:val="00690971"/>
    <w:rsid w:val="00690BB5"/>
    <w:rsid w:val="00690C38"/>
    <w:rsid w:val="00691E20"/>
    <w:rsid w:val="00692DAC"/>
    <w:rsid w:val="00693C83"/>
    <w:rsid w:val="006944E1"/>
    <w:rsid w:val="00694AF0"/>
    <w:rsid w:val="006969C0"/>
    <w:rsid w:val="006978FA"/>
    <w:rsid w:val="006A0205"/>
    <w:rsid w:val="006A036C"/>
    <w:rsid w:val="006A04F8"/>
    <w:rsid w:val="006A07BB"/>
    <w:rsid w:val="006A0A6A"/>
    <w:rsid w:val="006A0C59"/>
    <w:rsid w:val="006A1938"/>
    <w:rsid w:val="006A19B6"/>
    <w:rsid w:val="006A1A5E"/>
    <w:rsid w:val="006A37E8"/>
    <w:rsid w:val="006A6B61"/>
    <w:rsid w:val="006A6D1B"/>
    <w:rsid w:val="006A6DB6"/>
    <w:rsid w:val="006A767D"/>
    <w:rsid w:val="006B01DF"/>
    <w:rsid w:val="006B0E9E"/>
    <w:rsid w:val="006B0F3E"/>
    <w:rsid w:val="006B104F"/>
    <w:rsid w:val="006B1485"/>
    <w:rsid w:val="006B14C5"/>
    <w:rsid w:val="006B1D93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905"/>
    <w:rsid w:val="006C4AF3"/>
    <w:rsid w:val="006C4BEC"/>
    <w:rsid w:val="006C5216"/>
    <w:rsid w:val="006C6D12"/>
    <w:rsid w:val="006C7839"/>
    <w:rsid w:val="006D07A2"/>
    <w:rsid w:val="006D109D"/>
    <w:rsid w:val="006D1926"/>
    <w:rsid w:val="006D3843"/>
    <w:rsid w:val="006D4054"/>
    <w:rsid w:val="006D4186"/>
    <w:rsid w:val="006D4BD3"/>
    <w:rsid w:val="006D5260"/>
    <w:rsid w:val="006D554E"/>
    <w:rsid w:val="006D5ACE"/>
    <w:rsid w:val="006D6102"/>
    <w:rsid w:val="006D69CC"/>
    <w:rsid w:val="006D720A"/>
    <w:rsid w:val="006D7EF1"/>
    <w:rsid w:val="006E013F"/>
    <w:rsid w:val="006E02EC"/>
    <w:rsid w:val="006E0A1C"/>
    <w:rsid w:val="006E0C18"/>
    <w:rsid w:val="006E2350"/>
    <w:rsid w:val="006E2AC5"/>
    <w:rsid w:val="006E2C25"/>
    <w:rsid w:val="006E40A9"/>
    <w:rsid w:val="006E43C9"/>
    <w:rsid w:val="006E4CDB"/>
    <w:rsid w:val="006E4D66"/>
    <w:rsid w:val="006E53D8"/>
    <w:rsid w:val="006E5888"/>
    <w:rsid w:val="006E6053"/>
    <w:rsid w:val="006E6812"/>
    <w:rsid w:val="006E76CB"/>
    <w:rsid w:val="006F059C"/>
    <w:rsid w:val="006F05DD"/>
    <w:rsid w:val="006F1C07"/>
    <w:rsid w:val="006F267C"/>
    <w:rsid w:val="006F4D00"/>
    <w:rsid w:val="006F4DB5"/>
    <w:rsid w:val="006F5529"/>
    <w:rsid w:val="006F5EF5"/>
    <w:rsid w:val="00703FFE"/>
    <w:rsid w:val="00706AA5"/>
    <w:rsid w:val="00707935"/>
    <w:rsid w:val="007079FC"/>
    <w:rsid w:val="007100E5"/>
    <w:rsid w:val="0071023C"/>
    <w:rsid w:val="007105D9"/>
    <w:rsid w:val="00710621"/>
    <w:rsid w:val="00710CD3"/>
    <w:rsid w:val="0071399F"/>
    <w:rsid w:val="0071467D"/>
    <w:rsid w:val="00714A99"/>
    <w:rsid w:val="00715961"/>
    <w:rsid w:val="007162C8"/>
    <w:rsid w:val="0071752E"/>
    <w:rsid w:val="00717B53"/>
    <w:rsid w:val="007208F1"/>
    <w:rsid w:val="00720935"/>
    <w:rsid w:val="00721027"/>
    <w:rsid w:val="007211B1"/>
    <w:rsid w:val="00721509"/>
    <w:rsid w:val="00721BD7"/>
    <w:rsid w:val="0072216F"/>
    <w:rsid w:val="0072272D"/>
    <w:rsid w:val="00723DBF"/>
    <w:rsid w:val="00724458"/>
    <w:rsid w:val="00724FB4"/>
    <w:rsid w:val="007317DF"/>
    <w:rsid w:val="0073330A"/>
    <w:rsid w:val="007337DD"/>
    <w:rsid w:val="00733C79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8A6"/>
    <w:rsid w:val="00743BDF"/>
    <w:rsid w:val="007460F9"/>
    <w:rsid w:val="00746187"/>
    <w:rsid w:val="00747CE0"/>
    <w:rsid w:val="00750A83"/>
    <w:rsid w:val="00750F88"/>
    <w:rsid w:val="00751BDA"/>
    <w:rsid w:val="00753265"/>
    <w:rsid w:val="00753DA3"/>
    <w:rsid w:val="0075445A"/>
    <w:rsid w:val="00754F6C"/>
    <w:rsid w:val="007556E9"/>
    <w:rsid w:val="0075636C"/>
    <w:rsid w:val="00756B32"/>
    <w:rsid w:val="00760EA7"/>
    <w:rsid w:val="0076234C"/>
    <w:rsid w:val="0076254F"/>
    <w:rsid w:val="00762709"/>
    <w:rsid w:val="0076349B"/>
    <w:rsid w:val="0076369F"/>
    <w:rsid w:val="00763711"/>
    <w:rsid w:val="00763D31"/>
    <w:rsid w:val="0076475E"/>
    <w:rsid w:val="00765D4F"/>
    <w:rsid w:val="00765D9A"/>
    <w:rsid w:val="00766E80"/>
    <w:rsid w:val="007702BD"/>
    <w:rsid w:val="00770725"/>
    <w:rsid w:val="0077141A"/>
    <w:rsid w:val="00771D52"/>
    <w:rsid w:val="00773B09"/>
    <w:rsid w:val="00773CF3"/>
    <w:rsid w:val="007743AB"/>
    <w:rsid w:val="00774F4E"/>
    <w:rsid w:val="00777957"/>
    <w:rsid w:val="007801F5"/>
    <w:rsid w:val="00780316"/>
    <w:rsid w:val="00780942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4C6"/>
    <w:rsid w:val="00785B50"/>
    <w:rsid w:val="00786124"/>
    <w:rsid w:val="0078634B"/>
    <w:rsid w:val="00786B8A"/>
    <w:rsid w:val="00787410"/>
    <w:rsid w:val="00787A22"/>
    <w:rsid w:val="00790113"/>
    <w:rsid w:val="007904A3"/>
    <w:rsid w:val="00790D2D"/>
    <w:rsid w:val="00792040"/>
    <w:rsid w:val="00793D18"/>
    <w:rsid w:val="0079498A"/>
    <w:rsid w:val="007949DC"/>
    <w:rsid w:val="0079514B"/>
    <w:rsid w:val="00796CE4"/>
    <w:rsid w:val="00796D16"/>
    <w:rsid w:val="00797294"/>
    <w:rsid w:val="007A1014"/>
    <w:rsid w:val="007A2DC1"/>
    <w:rsid w:val="007A3779"/>
    <w:rsid w:val="007A380E"/>
    <w:rsid w:val="007A41A9"/>
    <w:rsid w:val="007A4341"/>
    <w:rsid w:val="007A510F"/>
    <w:rsid w:val="007A5CB7"/>
    <w:rsid w:val="007A7EE6"/>
    <w:rsid w:val="007B0E35"/>
    <w:rsid w:val="007B23E9"/>
    <w:rsid w:val="007B2673"/>
    <w:rsid w:val="007B3102"/>
    <w:rsid w:val="007B3240"/>
    <w:rsid w:val="007B3DB7"/>
    <w:rsid w:val="007B4306"/>
    <w:rsid w:val="007B4A7B"/>
    <w:rsid w:val="007B4F73"/>
    <w:rsid w:val="007B5C49"/>
    <w:rsid w:val="007B67BB"/>
    <w:rsid w:val="007B6869"/>
    <w:rsid w:val="007B6CCE"/>
    <w:rsid w:val="007B78D0"/>
    <w:rsid w:val="007C0BFB"/>
    <w:rsid w:val="007C198E"/>
    <w:rsid w:val="007C2031"/>
    <w:rsid w:val="007C2970"/>
    <w:rsid w:val="007C2C9F"/>
    <w:rsid w:val="007C353C"/>
    <w:rsid w:val="007C3D00"/>
    <w:rsid w:val="007C46D9"/>
    <w:rsid w:val="007C4DCF"/>
    <w:rsid w:val="007C4EF9"/>
    <w:rsid w:val="007C792E"/>
    <w:rsid w:val="007C7A48"/>
    <w:rsid w:val="007D04CF"/>
    <w:rsid w:val="007D0F2A"/>
    <w:rsid w:val="007D16C5"/>
    <w:rsid w:val="007D1F83"/>
    <w:rsid w:val="007D209F"/>
    <w:rsid w:val="007D262F"/>
    <w:rsid w:val="007D2B2C"/>
    <w:rsid w:val="007D3319"/>
    <w:rsid w:val="007D335D"/>
    <w:rsid w:val="007D3D50"/>
    <w:rsid w:val="007D5031"/>
    <w:rsid w:val="007D573B"/>
    <w:rsid w:val="007D654E"/>
    <w:rsid w:val="007D6D55"/>
    <w:rsid w:val="007E0C88"/>
    <w:rsid w:val="007E13D0"/>
    <w:rsid w:val="007E18C8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988"/>
    <w:rsid w:val="007E7CE3"/>
    <w:rsid w:val="007F03B3"/>
    <w:rsid w:val="007F0F7C"/>
    <w:rsid w:val="007F1316"/>
    <w:rsid w:val="007F2685"/>
    <w:rsid w:val="007F2D30"/>
    <w:rsid w:val="007F324B"/>
    <w:rsid w:val="007F3EEC"/>
    <w:rsid w:val="007F4DFE"/>
    <w:rsid w:val="007F64BD"/>
    <w:rsid w:val="007F68A7"/>
    <w:rsid w:val="007F6B07"/>
    <w:rsid w:val="007F7483"/>
    <w:rsid w:val="007F771F"/>
    <w:rsid w:val="0080133E"/>
    <w:rsid w:val="00801901"/>
    <w:rsid w:val="00802022"/>
    <w:rsid w:val="0080281E"/>
    <w:rsid w:val="00802E60"/>
    <w:rsid w:val="008039D9"/>
    <w:rsid w:val="00803EAA"/>
    <w:rsid w:val="00803F42"/>
    <w:rsid w:val="00804204"/>
    <w:rsid w:val="00804896"/>
    <w:rsid w:val="0080553C"/>
    <w:rsid w:val="00805B46"/>
    <w:rsid w:val="0081077F"/>
    <w:rsid w:val="00810E8D"/>
    <w:rsid w:val="00811ECD"/>
    <w:rsid w:val="00813AA2"/>
    <w:rsid w:val="00815E14"/>
    <w:rsid w:val="00816155"/>
    <w:rsid w:val="00816DE1"/>
    <w:rsid w:val="008200D6"/>
    <w:rsid w:val="00820371"/>
    <w:rsid w:val="00820A18"/>
    <w:rsid w:val="008211DF"/>
    <w:rsid w:val="008214C0"/>
    <w:rsid w:val="00821EC7"/>
    <w:rsid w:val="0082284C"/>
    <w:rsid w:val="00823A1F"/>
    <w:rsid w:val="00824F23"/>
    <w:rsid w:val="00825006"/>
    <w:rsid w:val="00825DC2"/>
    <w:rsid w:val="008263B6"/>
    <w:rsid w:val="00830DEC"/>
    <w:rsid w:val="00831098"/>
    <w:rsid w:val="008324D6"/>
    <w:rsid w:val="00833D4E"/>
    <w:rsid w:val="00834AD3"/>
    <w:rsid w:val="00835D3C"/>
    <w:rsid w:val="00836533"/>
    <w:rsid w:val="008365AA"/>
    <w:rsid w:val="0083677A"/>
    <w:rsid w:val="00837417"/>
    <w:rsid w:val="0083788A"/>
    <w:rsid w:val="00837C34"/>
    <w:rsid w:val="00840950"/>
    <w:rsid w:val="00841151"/>
    <w:rsid w:val="008425EE"/>
    <w:rsid w:val="00843795"/>
    <w:rsid w:val="008438BA"/>
    <w:rsid w:val="008438C3"/>
    <w:rsid w:val="0084465E"/>
    <w:rsid w:val="00846E9E"/>
    <w:rsid w:val="008470C3"/>
    <w:rsid w:val="00847F0F"/>
    <w:rsid w:val="008500B1"/>
    <w:rsid w:val="00850CA0"/>
    <w:rsid w:val="00851330"/>
    <w:rsid w:val="008516DA"/>
    <w:rsid w:val="008522FC"/>
    <w:rsid w:val="00852448"/>
    <w:rsid w:val="008524F8"/>
    <w:rsid w:val="008529FC"/>
    <w:rsid w:val="00852CDC"/>
    <w:rsid w:val="0085344B"/>
    <w:rsid w:val="008534B8"/>
    <w:rsid w:val="00853635"/>
    <w:rsid w:val="00853E80"/>
    <w:rsid w:val="00854114"/>
    <w:rsid w:val="00854CAA"/>
    <w:rsid w:val="0085567B"/>
    <w:rsid w:val="008569A1"/>
    <w:rsid w:val="00857E64"/>
    <w:rsid w:val="00857F61"/>
    <w:rsid w:val="00860276"/>
    <w:rsid w:val="00860C28"/>
    <w:rsid w:val="00860F7B"/>
    <w:rsid w:val="00862084"/>
    <w:rsid w:val="008621B0"/>
    <w:rsid w:val="008629CD"/>
    <w:rsid w:val="00863E09"/>
    <w:rsid w:val="008646DA"/>
    <w:rsid w:val="0086557F"/>
    <w:rsid w:val="00865B30"/>
    <w:rsid w:val="00865E47"/>
    <w:rsid w:val="00866050"/>
    <w:rsid w:val="00866416"/>
    <w:rsid w:val="00866ED0"/>
    <w:rsid w:val="00870421"/>
    <w:rsid w:val="00870829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2C4"/>
    <w:rsid w:val="00885575"/>
    <w:rsid w:val="00886332"/>
    <w:rsid w:val="00886B16"/>
    <w:rsid w:val="00886D2F"/>
    <w:rsid w:val="008870E8"/>
    <w:rsid w:val="00887F70"/>
    <w:rsid w:val="008907EE"/>
    <w:rsid w:val="008920AE"/>
    <w:rsid w:val="00893543"/>
    <w:rsid w:val="008948E4"/>
    <w:rsid w:val="0089617B"/>
    <w:rsid w:val="008A072E"/>
    <w:rsid w:val="008A0F0C"/>
    <w:rsid w:val="008A196E"/>
    <w:rsid w:val="008A1C80"/>
    <w:rsid w:val="008A26D9"/>
    <w:rsid w:val="008A2ABD"/>
    <w:rsid w:val="008A2FA5"/>
    <w:rsid w:val="008A3DAD"/>
    <w:rsid w:val="008A44DB"/>
    <w:rsid w:val="008A5542"/>
    <w:rsid w:val="008A58C2"/>
    <w:rsid w:val="008A5F0F"/>
    <w:rsid w:val="008A6FF9"/>
    <w:rsid w:val="008B0F20"/>
    <w:rsid w:val="008B1350"/>
    <w:rsid w:val="008B1B16"/>
    <w:rsid w:val="008B1F26"/>
    <w:rsid w:val="008B2431"/>
    <w:rsid w:val="008B2D5B"/>
    <w:rsid w:val="008B3CA0"/>
    <w:rsid w:val="008B5601"/>
    <w:rsid w:val="008B6A9A"/>
    <w:rsid w:val="008B7AAC"/>
    <w:rsid w:val="008C0007"/>
    <w:rsid w:val="008C094E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9E1"/>
    <w:rsid w:val="008D4A06"/>
    <w:rsid w:val="008D561B"/>
    <w:rsid w:val="008D5D1D"/>
    <w:rsid w:val="008D61DC"/>
    <w:rsid w:val="008D6413"/>
    <w:rsid w:val="008D78B0"/>
    <w:rsid w:val="008E0933"/>
    <w:rsid w:val="008E0E06"/>
    <w:rsid w:val="008E12C3"/>
    <w:rsid w:val="008E1949"/>
    <w:rsid w:val="008E2310"/>
    <w:rsid w:val="008E2B43"/>
    <w:rsid w:val="008E60B6"/>
    <w:rsid w:val="008E6F47"/>
    <w:rsid w:val="008E7186"/>
    <w:rsid w:val="008E79FA"/>
    <w:rsid w:val="008F04DA"/>
    <w:rsid w:val="008F0617"/>
    <w:rsid w:val="008F1C42"/>
    <w:rsid w:val="008F24F5"/>
    <w:rsid w:val="008F2D53"/>
    <w:rsid w:val="008F3638"/>
    <w:rsid w:val="008F4B57"/>
    <w:rsid w:val="008F509B"/>
    <w:rsid w:val="008F5556"/>
    <w:rsid w:val="008F596C"/>
    <w:rsid w:val="008F6283"/>
    <w:rsid w:val="008F62FB"/>
    <w:rsid w:val="008F671C"/>
    <w:rsid w:val="008F6A11"/>
    <w:rsid w:val="008F6F31"/>
    <w:rsid w:val="008F70D9"/>
    <w:rsid w:val="008F74DF"/>
    <w:rsid w:val="00901759"/>
    <w:rsid w:val="009023DC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3F94"/>
    <w:rsid w:val="009146AB"/>
    <w:rsid w:val="00915794"/>
    <w:rsid w:val="00917B6D"/>
    <w:rsid w:val="00920799"/>
    <w:rsid w:val="009218D1"/>
    <w:rsid w:val="00921A87"/>
    <w:rsid w:val="00921C3F"/>
    <w:rsid w:val="009227A6"/>
    <w:rsid w:val="0092303E"/>
    <w:rsid w:val="00923B5D"/>
    <w:rsid w:val="00924494"/>
    <w:rsid w:val="00924EF3"/>
    <w:rsid w:val="00925C4A"/>
    <w:rsid w:val="00926584"/>
    <w:rsid w:val="00926A92"/>
    <w:rsid w:val="0092758B"/>
    <w:rsid w:val="00927755"/>
    <w:rsid w:val="00927D58"/>
    <w:rsid w:val="009301B3"/>
    <w:rsid w:val="009317C2"/>
    <w:rsid w:val="00931AE5"/>
    <w:rsid w:val="0093244E"/>
    <w:rsid w:val="00932B7F"/>
    <w:rsid w:val="0093398C"/>
    <w:rsid w:val="00933EC1"/>
    <w:rsid w:val="00933F4B"/>
    <w:rsid w:val="00934B23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7F9"/>
    <w:rsid w:val="00951D38"/>
    <w:rsid w:val="00951EDB"/>
    <w:rsid w:val="009529F9"/>
    <w:rsid w:val="009530DB"/>
    <w:rsid w:val="00953676"/>
    <w:rsid w:val="0095478E"/>
    <w:rsid w:val="00955B2A"/>
    <w:rsid w:val="00956313"/>
    <w:rsid w:val="0095687B"/>
    <w:rsid w:val="0096055A"/>
    <w:rsid w:val="009609A1"/>
    <w:rsid w:val="00960A1C"/>
    <w:rsid w:val="00960A9C"/>
    <w:rsid w:val="00960BE4"/>
    <w:rsid w:val="0096150B"/>
    <w:rsid w:val="0096178E"/>
    <w:rsid w:val="00962810"/>
    <w:rsid w:val="00963838"/>
    <w:rsid w:val="0096388D"/>
    <w:rsid w:val="00964AFB"/>
    <w:rsid w:val="00964DC1"/>
    <w:rsid w:val="00964DC5"/>
    <w:rsid w:val="00965255"/>
    <w:rsid w:val="0096565D"/>
    <w:rsid w:val="00965BE1"/>
    <w:rsid w:val="00965F03"/>
    <w:rsid w:val="009665D3"/>
    <w:rsid w:val="009667B7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6BD7"/>
    <w:rsid w:val="00977927"/>
    <w:rsid w:val="00980175"/>
    <w:rsid w:val="0098037C"/>
    <w:rsid w:val="0098135C"/>
    <w:rsid w:val="0098156A"/>
    <w:rsid w:val="00982117"/>
    <w:rsid w:val="009821A0"/>
    <w:rsid w:val="00984EEC"/>
    <w:rsid w:val="00985F3C"/>
    <w:rsid w:val="009863EE"/>
    <w:rsid w:val="009871C2"/>
    <w:rsid w:val="00987537"/>
    <w:rsid w:val="009879F0"/>
    <w:rsid w:val="00990583"/>
    <w:rsid w:val="00990E39"/>
    <w:rsid w:val="00991395"/>
    <w:rsid w:val="00991BAC"/>
    <w:rsid w:val="009924F8"/>
    <w:rsid w:val="0099295C"/>
    <w:rsid w:val="00993183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44A4"/>
    <w:rsid w:val="009B6993"/>
    <w:rsid w:val="009B70B2"/>
    <w:rsid w:val="009B7341"/>
    <w:rsid w:val="009B7D46"/>
    <w:rsid w:val="009C0C34"/>
    <w:rsid w:val="009C0CCF"/>
    <w:rsid w:val="009C1335"/>
    <w:rsid w:val="009C1AB2"/>
    <w:rsid w:val="009C4520"/>
    <w:rsid w:val="009C494F"/>
    <w:rsid w:val="009C547B"/>
    <w:rsid w:val="009C5934"/>
    <w:rsid w:val="009C6FA7"/>
    <w:rsid w:val="009C7028"/>
    <w:rsid w:val="009C7251"/>
    <w:rsid w:val="009C7382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527"/>
    <w:rsid w:val="009E374D"/>
    <w:rsid w:val="009E3D7D"/>
    <w:rsid w:val="009E41C7"/>
    <w:rsid w:val="009E4CAF"/>
    <w:rsid w:val="009E56BC"/>
    <w:rsid w:val="009E6202"/>
    <w:rsid w:val="009E70C3"/>
    <w:rsid w:val="009F0127"/>
    <w:rsid w:val="009F0AF2"/>
    <w:rsid w:val="009F16E7"/>
    <w:rsid w:val="009F1C77"/>
    <w:rsid w:val="009F46D4"/>
    <w:rsid w:val="009F4988"/>
    <w:rsid w:val="009F4E88"/>
    <w:rsid w:val="009F4F3E"/>
    <w:rsid w:val="009F4F41"/>
    <w:rsid w:val="009F5C46"/>
    <w:rsid w:val="009F5F9B"/>
    <w:rsid w:val="009F6602"/>
    <w:rsid w:val="009F66F2"/>
    <w:rsid w:val="009F686F"/>
    <w:rsid w:val="00A00610"/>
    <w:rsid w:val="00A00674"/>
    <w:rsid w:val="00A01221"/>
    <w:rsid w:val="00A01803"/>
    <w:rsid w:val="00A01A6B"/>
    <w:rsid w:val="00A01B2E"/>
    <w:rsid w:val="00A01D3B"/>
    <w:rsid w:val="00A025BE"/>
    <w:rsid w:val="00A02CEF"/>
    <w:rsid w:val="00A02D72"/>
    <w:rsid w:val="00A030E6"/>
    <w:rsid w:val="00A0335F"/>
    <w:rsid w:val="00A04924"/>
    <w:rsid w:val="00A052FE"/>
    <w:rsid w:val="00A0647C"/>
    <w:rsid w:val="00A07329"/>
    <w:rsid w:val="00A1107F"/>
    <w:rsid w:val="00A121DF"/>
    <w:rsid w:val="00A1317D"/>
    <w:rsid w:val="00A131C8"/>
    <w:rsid w:val="00A13514"/>
    <w:rsid w:val="00A139F5"/>
    <w:rsid w:val="00A14250"/>
    <w:rsid w:val="00A14EA4"/>
    <w:rsid w:val="00A15D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0CB0"/>
    <w:rsid w:val="00A316E3"/>
    <w:rsid w:val="00A31CFB"/>
    <w:rsid w:val="00A324AA"/>
    <w:rsid w:val="00A33667"/>
    <w:rsid w:val="00A34495"/>
    <w:rsid w:val="00A34C61"/>
    <w:rsid w:val="00A3549C"/>
    <w:rsid w:val="00A365F4"/>
    <w:rsid w:val="00A36820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6972"/>
    <w:rsid w:val="00A46B79"/>
    <w:rsid w:val="00A47D80"/>
    <w:rsid w:val="00A50D1A"/>
    <w:rsid w:val="00A51608"/>
    <w:rsid w:val="00A51DD0"/>
    <w:rsid w:val="00A51F4F"/>
    <w:rsid w:val="00A525B0"/>
    <w:rsid w:val="00A52737"/>
    <w:rsid w:val="00A52923"/>
    <w:rsid w:val="00A529AE"/>
    <w:rsid w:val="00A53132"/>
    <w:rsid w:val="00A5331E"/>
    <w:rsid w:val="00A5369B"/>
    <w:rsid w:val="00A54637"/>
    <w:rsid w:val="00A54D2D"/>
    <w:rsid w:val="00A54EC5"/>
    <w:rsid w:val="00A56357"/>
    <w:rsid w:val="00A563F2"/>
    <w:rsid w:val="00A566E8"/>
    <w:rsid w:val="00A56895"/>
    <w:rsid w:val="00A57C54"/>
    <w:rsid w:val="00A60E43"/>
    <w:rsid w:val="00A614A4"/>
    <w:rsid w:val="00A6184D"/>
    <w:rsid w:val="00A61F49"/>
    <w:rsid w:val="00A61FF6"/>
    <w:rsid w:val="00A63CAF"/>
    <w:rsid w:val="00A63FE4"/>
    <w:rsid w:val="00A6436D"/>
    <w:rsid w:val="00A647B9"/>
    <w:rsid w:val="00A64843"/>
    <w:rsid w:val="00A66409"/>
    <w:rsid w:val="00A67575"/>
    <w:rsid w:val="00A710E9"/>
    <w:rsid w:val="00A71581"/>
    <w:rsid w:val="00A72FEB"/>
    <w:rsid w:val="00A73AE7"/>
    <w:rsid w:val="00A73D9B"/>
    <w:rsid w:val="00A75604"/>
    <w:rsid w:val="00A8065E"/>
    <w:rsid w:val="00A80DD8"/>
    <w:rsid w:val="00A80EF8"/>
    <w:rsid w:val="00A810F9"/>
    <w:rsid w:val="00A823EC"/>
    <w:rsid w:val="00A82472"/>
    <w:rsid w:val="00A82CF0"/>
    <w:rsid w:val="00A82FEA"/>
    <w:rsid w:val="00A846D6"/>
    <w:rsid w:val="00A84C79"/>
    <w:rsid w:val="00A85418"/>
    <w:rsid w:val="00A8565D"/>
    <w:rsid w:val="00A85C4B"/>
    <w:rsid w:val="00A86502"/>
    <w:rsid w:val="00A86ECC"/>
    <w:rsid w:val="00A86FCC"/>
    <w:rsid w:val="00A87770"/>
    <w:rsid w:val="00A87DC7"/>
    <w:rsid w:val="00A90216"/>
    <w:rsid w:val="00A90BDA"/>
    <w:rsid w:val="00A90CB1"/>
    <w:rsid w:val="00A91BD7"/>
    <w:rsid w:val="00A91D74"/>
    <w:rsid w:val="00A92C78"/>
    <w:rsid w:val="00A94C49"/>
    <w:rsid w:val="00A95DC8"/>
    <w:rsid w:val="00AA0473"/>
    <w:rsid w:val="00AA05AC"/>
    <w:rsid w:val="00AA087A"/>
    <w:rsid w:val="00AA3EB6"/>
    <w:rsid w:val="00AA464D"/>
    <w:rsid w:val="00AA4889"/>
    <w:rsid w:val="00AA493C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026"/>
    <w:rsid w:val="00AC2B69"/>
    <w:rsid w:val="00AC31D4"/>
    <w:rsid w:val="00AC367A"/>
    <w:rsid w:val="00AC37B3"/>
    <w:rsid w:val="00AC502E"/>
    <w:rsid w:val="00AC568D"/>
    <w:rsid w:val="00AC5CD6"/>
    <w:rsid w:val="00AC5D36"/>
    <w:rsid w:val="00AC6BCE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030"/>
    <w:rsid w:val="00AD7503"/>
    <w:rsid w:val="00AE0768"/>
    <w:rsid w:val="00AE19DE"/>
    <w:rsid w:val="00AE2435"/>
    <w:rsid w:val="00AE287D"/>
    <w:rsid w:val="00AE29E7"/>
    <w:rsid w:val="00AE2BD8"/>
    <w:rsid w:val="00AE2D4B"/>
    <w:rsid w:val="00AE2F57"/>
    <w:rsid w:val="00AE3D6B"/>
    <w:rsid w:val="00AE3FB3"/>
    <w:rsid w:val="00AE40BF"/>
    <w:rsid w:val="00AE4E9E"/>
    <w:rsid w:val="00AE4F99"/>
    <w:rsid w:val="00AE53E5"/>
    <w:rsid w:val="00AE67EB"/>
    <w:rsid w:val="00AE6D6D"/>
    <w:rsid w:val="00AE78A2"/>
    <w:rsid w:val="00AF19C9"/>
    <w:rsid w:val="00AF45C5"/>
    <w:rsid w:val="00AF6719"/>
    <w:rsid w:val="00AF7709"/>
    <w:rsid w:val="00AF7C6E"/>
    <w:rsid w:val="00B01234"/>
    <w:rsid w:val="00B016E6"/>
    <w:rsid w:val="00B04A5B"/>
    <w:rsid w:val="00B05C82"/>
    <w:rsid w:val="00B05DD8"/>
    <w:rsid w:val="00B067A6"/>
    <w:rsid w:val="00B0683D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20F71"/>
    <w:rsid w:val="00B2122B"/>
    <w:rsid w:val="00B21BA7"/>
    <w:rsid w:val="00B21C01"/>
    <w:rsid w:val="00B22800"/>
    <w:rsid w:val="00B22A4D"/>
    <w:rsid w:val="00B24AF7"/>
    <w:rsid w:val="00B256D3"/>
    <w:rsid w:val="00B266E2"/>
    <w:rsid w:val="00B30795"/>
    <w:rsid w:val="00B31E5A"/>
    <w:rsid w:val="00B32983"/>
    <w:rsid w:val="00B331EB"/>
    <w:rsid w:val="00B3364F"/>
    <w:rsid w:val="00B35CBF"/>
    <w:rsid w:val="00B35F85"/>
    <w:rsid w:val="00B3639C"/>
    <w:rsid w:val="00B36B4D"/>
    <w:rsid w:val="00B36D31"/>
    <w:rsid w:val="00B36F78"/>
    <w:rsid w:val="00B370D7"/>
    <w:rsid w:val="00B407D3"/>
    <w:rsid w:val="00B40D83"/>
    <w:rsid w:val="00B41691"/>
    <w:rsid w:val="00B41BCB"/>
    <w:rsid w:val="00B42455"/>
    <w:rsid w:val="00B426E6"/>
    <w:rsid w:val="00B4328D"/>
    <w:rsid w:val="00B43D8E"/>
    <w:rsid w:val="00B455B5"/>
    <w:rsid w:val="00B456FA"/>
    <w:rsid w:val="00B45CB8"/>
    <w:rsid w:val="00B46521"/>
    <w:rsid w:val="00B465A7"/>
    <w:rsid w:val="00B47261"/>
    <w:rsid w:val="00B4788F"/>
    <w:rsid w:val="00B519B3"/>
    <w:rsid w:val="00B54CD9"/>
    <w:rsid w:val="00B5543C"/>
    <w:rsid w:val="00B5560C"/>
    <w:rsid w:val="00B5588D"/>
    <w:rsid w:val="00B55974"/>
    <w:rsid w:val="00B559AD"/>
    <w:rsid w:val="00B55F47"/>
    <w:rsid w:val="00B5604A"/>
    <w:rsid w:val="00B5620D"/>
    <w:rsid w:val="00B5647E"/>
    <w:rsid w:val="00B57004"/>
    <w:rsid w:val="00B6033A"/>
    <w:rsid w:val="00B633F7"/>
    <w:rsid w:val="00B6381E"/>
    <w:rsid w:val="00B641EB"/>
    <w:rsid w:val="00B64C22"/>
    <w:rsid w:val="00B653AB"/>
    <w:rsid w:val="00B656E2"/>
    <w:rsid w:val="00B65F9E"/>
    <w:rsid w:val="00B668FA"/>
    <w:rsid w:val="00B66A20"/>
    <w:rsid w:val="00B66B19"/>
    <w:rsid w:val="00B66F42"/>
    <w:rsid w:val="00B678B9"/>
    <w:rsid w:val="00B70D87"/>
    <w:rsid w:val="00B7105D"/>
    <w:rsid w:val="00B71591"/>
    <w:rsid w:val="00B7169D"/>
    <w:rsid w:val="00B73487"/>
    <w:rsid w:val="00B74F7B"/>
    <w:rsid w:val="00B76142"/>
    <w:rsid w:val="00B76621"/>
    <w:rsid w:val="00B77336"/>
    <w:rsid w:val="00B804A3"/>
    <w:rsid w:val="00B8076E"/>
    <w:rsid w:val="00B81095"/>
    <w:rsid w:val="00B823E4"/>
    <w:rsid w:val="00B8272D"/>
    <w:rsid w:val="00B8449E"/>
    <w:rsid w:val="00B84942"/>
    <w:rsid w:val="00B85633"/>
    <w:rsid w:val="00B86655"/>
    <w:rsid w:val="00B90337"/>
    <w:rsid w:val="00B90607"/>
    <w:rsid w:val="00B910BC"/>
    <w:rsid w:val="00B9136E"/>
    <w:rsid w:val="00B914E9"/>
    <w:rsid w:val="00B91AC6"/>
    <w:rsid w:val="00B9273E"/>
    <w:rsid w:val="00B93129"/>
    <w:rsid w:val="00B93F7A"/>
    <w:rsid w:val="00B94252"/>
    <w:rsid w:val="00B95001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A6CBA"/>
    <w:rsid w:val="00BB141B"/>
    <w:rsid w:val="00BB32C6"/>
    <w:rsid w:val="00BB33B9"/>
    <w:rsid w:val="00BB499B"/>
    <w:rsid w:val="00BB4F09"/>
    <w:rsid w:val="00BB53B6"/>
    <w:rsid w:val="00BB544E"/>
    <w:rsid w:val="00BB6A55"/>
    <w:rsid w:val="00BC0BAD"/>
    <w:rsid w:val="00BC207E"/>
    <w:rsid w:val="00BC360F"/>
    <w:rsid w:val="00BC3D0D"/>
    <w:rsid w:val="00BC3EB9"/>
    <w:rsid w:val="00BC4193"/>
    <w:rsid w:val="00BC49F8"/>
    <w:rsid w:val="00BC4AE4"/>
    <w:rsid w:val="00BC5F37"/>
    <w:rsid w:val="00BC6201"/>
    <w:rsid w:val="00BC70A9"/>
    <w:rsid w:val="00BC7912"/>
    <w:rsid w:val="00BD0775"/>
    <w:rsid w:val="00BD1B7C"/>
    <w:rsid w:val="00BD1BEB"/>
    <w:rsid w:val="00BD23FB"/>
    <w:rsid w:val="00BD2577"/>
    <w:rsid w:val="00BD4009"/>
    <w:rsid w:val="00BD4615"/>
    <w:rsid w:val="00BD4733"/>
    <w:rsid w:val="00BD473E"/>
    <w:rsid w:val="00BD4E33"/>
    <w:rsid w:val="00BD5BE7"/>
    <w:rsid w:val="00BD5F35"/>
    <w:rsid w:val="00BD5F7F"/>
    <w:rsid w:val="00BD6924"/>
    <w:rsid w:val="00BD6E19"/>
    <w:rsid w:val="00BD7C75"/>
    <w:rsid w:val="00BE0AC3"/>
    <w:rsid w:val="00BE0E63"/>
    <w:rsid w:val="00BE1BE8"/>
    <w:rsid w:val="00BE29F1"/>
    <w:rsid w:val="00BE2B5A"/>
    <w:rsid w:val="00BE458D"/>
    <w:rsid w:val="00BE69DA"/>
    <w:rsid w:val="00BE7A2A"/>
    <w:rsid w:val="00BF01CB"/>
    <w:rsid w:val="00BF07AD"/>
    <w:rsid w:val="00BF1049"/>
    <w:rsid w:val="00BF3D5D"/>
    <w:rsid w:val="00BF44FD"/>
    <w:rsid w:val="00BF5111"/>
    <w:rsid w:val="00BF6639"/>
    <w:rsid w:val="00BF725D"/>
    <w:rsid w:val="00C023D9"/>
    <w:rsid w:val="00C02609"/>
    <w:rsid w:val="00C027FB"/>
    <w:rsid w:val="00C0309E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6411"/>
    <w:rsid w:val="00C26723"/>
    <w:rsid w:val="00C27268"/>
    <w:rsid w:val="00C27BE5"/>
    <w:rsid w:val="00C30545"/>
    <w:rsid w:val="00C30964"/>
    <w:rsid w:val="00C30C97"/>
    <w:rsid w:val="00C31469"/>
    <w:rsid w:val="00C31634"/>
    <w:rsid w:val="00C31687"/>
    <w:rsid w:val="00C33678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6FE8"/>
    <w:rsid w:val="00C3702F"/>
    <w:rsid w:val="00C37A03"/>
    <w:rsid w:val="00C41057"/>
    <w:rsid w:val="00C41317"/>
    <w:rsid w:val="00C41642"/>
    <w:rsid w:val="00C4173D"/>
    <w:rsid w:val="00C41764"/>
    <w:rsid w:val="00C418D7"/>
    <w:rsid w:val="00C431FA"/>
    <w:rsid w:val="00C4416F"/>
    <w:rsid w:val="00C4495F"/>
    <w:rsid w:val="00C45997"/>
    <w:rsid w:val="00C4605D"/>
    <w:rsid w:val="00C46C43"/>
    <w:rsid w:val="00C46FBF"/>
    <w:rsid w:val="00C47820"/>
    <w:rsid w:val="00C518C5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5C8E"/>
    <w:rsid w:val="00C6603C"/>
    <w:rsid w:val="00C66B30"/>
    <w:rsid w:val="00C67295"/>
    <w:rsid w:val="00C702EC"/>
    <w:rsid w:val="00C71109"/>
    <w:rsid w:val="00C7158E"/>
    <w:rsid w:val="00C7250B"/>
    <w:rsid w:val="00C7346B"/>
    <w:rsid w:val="00C76496"/>
    <w:rsid w:val="00C767A1"/>
    <w:rsid w:val="00C77B68"/>
    <w:rsid w:val="00C77C0E"/>
    <w:rsid w:val="00C8094E"/>
    <w:rsid w:val="00C809E5"/>
    <w:rsid w:val="00C82AAA"/>
    <w:rsid w:val="00C82E44"/>
    <w:rsid w:val="00C8338F"/>
    <w:rsid w:val="00C83536"/>
    <w:rsid w:val="00C84055"/>
    <w:rsid w:val="00C84740"/>
    <w:rsid w:val="00C84D08"/>
    <w:rsid w:val="00C84E55"/>
    <w:rsid w:val="00C861FB"/>
    <w:rsid w:val="00C86879"/>
    <w:rsid w:val="00C87D5A"/>
    <w:rsid w:val="00C902FE"/>
    <w:rsid w:val="00C9128B"/>
    <w:rsid w:val="00C91687"/>
    <w:rsid w:val="00C91D4F"/>
    <w:rsid w:val="00C921C9"/>
    <w:rsid w:val="00C924A8"/>
    <w:rsid w:val="00C9261D"/>
    <w:rsid w:val="00C9285A"/>
    <w:rsid w:val="00C92A18"/>
    <w:rsid w:val="00C93531"/>
    <w:rsid w:val="00C935E7"/>
    <w:rsid w:val="00C93DA4"/>
    <w:rsid w:val="00C945FE"/>
    <w:rsid w:val="00C948E6"/>
    <w:rsid w:val="00C949F7"/>
    <w:rsid w:val="00C94C3C"/>
    <w:rsid w:val="00C96F23"/>
    <w:rsid w:val="00C96FAA"/>
    <w:rsid w:val="00C97A04"/>
    <w:rsid w:val="00CA0749"/>
    <w:rsid w:val="00CA0B00"/>
    <w:rsid w:val="00CA107B"/>
    <w:rsid w:val="00CA1EAC"/>
    <w:rsid w:val="00CA3423"/>
    <w:rsid w:val="00CA38D1"/>
    <w:rsid w:val="00CA4296"/>
    <w:rsid w:val="00CA484D"/>
    <w:rsid w:val="00CA5983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B71EF"/>
    <w:rsid w:val="00CC008F"/>
    <w:rsid w:val="00CC072F"/>
    <w:rsid w:val="00CC0A96"/>
    <w:rsid w:val="00CC0BD9"/>
    <w:rsid w:val="00CC0EAB"/>
    <w:rsid w:val="00CC18F2"/>
    <w:rsid w:val="00CC1C7C"/>
    <w:rsid w:val="00CC40A5"/>
    <w:rsid w:val="00CC5377"/>
    <w:rsid w:val="00CC70D5"/>
    <w:rsid w:val="00CC72C9"/>
    <w:rsid w:val="00CC739E"/>
    <w:rsid w:val="00CC7D28"/>
    <w:rsid w:val="00CD0395"/>
    <w:rsid w:val="00CD039D"/>
    <w:rsid w:val="00CD03DC"/>
    <w:rsid w:val="00CD07B6"/>
    <w:rsid w:val="00CD1C2A"/>
    <w:rsid w:val="00CD26C7"/>
    <w:rsid w:val="00CD3572"/>
    <w:rsid w:val="00CD5580"/>
    <w:rsid w:val="00CD574E"/>
    <w:rsid w:val="00CD58B7"/>
    <w:rsid w:val="00CD59AB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3C7"/>
    <w:rsid w:val="00CF1A2B"/>
    <w:rsid w:val="00CF280D"/>
    <w:rsid w:val="00CF4099"/>
    <w:rsid w:val="00CF4578"/>
    <w:rsid w:val="00CF55D1"/>
    <w:rsid w:val="00CF5AB1"/>
    <w:rsid w:val="00CF6823"/>
    <w:rsid w:val="00CF722C"/>
    <w:rsid w:val="00CF76F3"/>
    <w:rsid w:val="00D00796"/>
    <w:rsid w:val="00D01F51"/>
    <w:rsid w:val="00D02A05"/>
    <w:rsid w:val="00D048FB"/>
    <w:rsid w:val="00D04EE4"/>
    <w:rsid w:val="00D10E44"/>
    <w:rsid w:val="00D110E3"/>
    <w:rsid w:val="00D115FF"/>
    <w:rsid w:val="00D12C32"/>
    <w:rsid w:val="00D12F51"/>
    <w:rsid w:val="00D1348A"/>
    <w:rsid w:val="00D134DD"/>
    <w:rsid w:val="00D13FBE"/>
    <w:rsid w:val="00D1625A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542"/>
    <w:rsid w:val="00D33F39"/>
    <w:rsid w:val="00D342B1"/>
    <w:rsid w:val="00D36905"/>
    <w:rsid w:val="00D36DA1"/>
    <w:rsid w:val="00D36DF7"/>
    <w:rsid w:val="00D36E46"/>
    <w:rsid w:val="00D37C52"/>
    <w:rsid w:val="00D40A89"/>
    <w:rsid w:val="00D420C8"/>
    <w:rsid w:val="00D4256C"/>
    <w:rsid w:val="00D45A80"/>
    <w:rsid w:val="00D45FBE"/>
    <w:rsid w:val="00D463B3"/>
    <w:rsid w:val="00D46512"/>
    <w:rsid w:val="00D467D8"/>
    <w:rsid w:val="00D504E4"/>
    <w:rsid w:val="00D5076A"/>
    <w:rsid w:val="00D51D24"/>
    <w:rsid w:val="00D52AB1"/>
    <w:rsid w:val="00D52D85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02B"/>
    <w:rsid w:val="00D62272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1BD"/>
    <w:rsid w:val="00D70DC7"/>
    <w:rsid w:val="00D70EF7"/>
    <w:rsid w:val="00D7350E"/>
    <w:rsid w:val="00D73C1C"/>
    <w:rsid w:val="00D743FA"/>
    <w:rsid w:val="00D74A5B"/>
    <w:rsid w:val="00D766FB"/>
    <w:rsid w:val="00D7718C"/>
    <w:rsid w:val="00D77B37"/>
    <w:rsid w:val="00D81A62"/>
    <w:rsid w:val="00D8211E"/>
    <w:rsid w:val="00D82A87"/>
    <w:rsid w:val="00D8397C"/>
    <w:rsid w:val="00D83BC5"/>
    <w:rsid w:val="00D83D00"/>
    <w:rsid w:val="00D84B34"/>
    <w:rsid w:val="00D8674B"/>
    <w:rsid w:val="00D87808"/>
    <w:rsid w:val="00D90422"/>
    <w:rsid w:val="00D90B46"/>
    <w:rsid w:val="00D90EBE"/>
    <w:rsid w:val="00D92469"/>
    <w:rsid w:val="00D934F6"/>
    <w:rsid w:val="00D93CA8"/>
    <w:rsid w:val="00D94315"/>
    <w:rsid w:val="00D94AD4"/>
    <w:rsid w:val="00D94EED"/>
    <w:rsid w:val="00D95100"/>
    <w:rsid w:val="00D96026"/>
    <w:rsid w:val="00D96B63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02A0"/>
    <w:rsid w:val="00DB147A"/>
    <w:rsid w:val="00DB1B7A"/>
    <w:rsid w:val="00DB1E10"/>
    <w:rsid w:val="00DB1E64"/>
    <w:rsid w:val="00DB21A4"/>
    <w:rsid w:val="00DB3E6C"/>
    <w:rsid w:val="00DB46E9"/>
    <w:rsid w:val="00DB562E"/>
    <w:rsid w:val="00DB78C1"/>
    <w:rsid w:val="00DB7C11"/>
    <w:rsid w:val="00DC024A"/>
    <w:rsid w:val="00DC047D"/>
    <w:rsid w:val="00DC09D7"/>
    <w:rsid w:val="00DC0CDE"/>
    <w:rsid w:val="00DC1CD2"/>
    <w:rsid w:val="00DC270F"/>
    <w:rsid w:val="00DC4295"/>
    <w:rsid w:val="00DC4A61"/>
    <w:rsid w:val="00DC51E5"/>
    <w:rsid w:val="00DC6708"/>
    <w:rsid w:val="00DC6871"/>
    <w:rsid w:val="00DC6F5D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5CB0"/>
    <w:rsid w:val="00DD6840"/>
    <w:rsid w:val="00DE0082"/>
    <w:rsid w:val="00DE0997"/>
    <w:rsid w:val="00DE2C45"/>
    <w:rsid w:val="00DE3449"/>
    <w:rsid w:val="00DE3739"/>
    <w:rsid w:val="00DE3D03"/>
    <w:rsid w:val="00DE3D51"/>
    <w:rsid w:val="00DE4344"/>
    <w:rsid w:val="00DE4A4C"/>
    <w:rsid w:val="00DE4BE2"/>
    <w:rsid w:val="00DE5D2E"/>
    <w:rsid w:val="00DE6285"/>
    <w:rsid w:val="00DE6865"/>
    <w:rsid w:val="00DF0D24"/>
    <w:rsid w:val="00DF18C1"/>
    <w:rsid w:val="00DF2952"/>
    <w:rsid w:val="00DF3AE7"/>
    <w:rsid w:val="00DF3FCC"/>
    <w:rsid w:val="00DF447F"/>
    <w:rsid w:val="00DF450D"/>
    <w:rsid w:val="00DF5058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3A2"/>
    <w:rsid w:val="00E02918"/>
    <w:rsid w:val="00E03167"/>
    <w:rsid w:val="00E03FB8"/>
    <w:rsid w:val="00E04052"/>
    <w:rsid w:val="00E045BD"/>
    <w:rsid w:val="00E04805"/>
    <w:rsid w:val="00E05C19"/>
    <w:rsid w:val="00E05DB4"/>
    <w:rsid w:val="00E0607F"/>
    <w:rsid w:val="00E102B7"/>
    <w:rsid w:val="00E116DC"/>
    <w:rsid w:val="00E13A78"/>
    <w:rsid w:val="00E14090"/>
    <w:rsid w:val="00E15228"/>
    <w:rsid w:val="00E15A67"/>
    <w:rsid w:val="00E174B2"/>
    <w:rsid w:val="00E17B77"/>
    <w:rsid w:val="00E17CED"/>
    <w:rsid w:val="00E17D40"/>
    <w:rsid w:val="00E20312"/>
    <w:rsid w:val="00E22961"/>
    <w:rsid w:val="00E22E08"/>
    <w:rsid w:val="00E23337"/>
    <w:rsid w:val="00E2366B"/>
    <w:rsid w:val="00E24F07"/>
    <w:rsid w:val="00E24F8E"/>
    <w:rsid w:val="00E259EA"/>
    <w:rsid w:val="00E25A89"/>
    <w:rsid w:val="00E2649E"/>
    <w:rsid w:val="00E26DD0"/>
    <w:rsid w:val="00E270BA"/>
    <w:rsid w:val="00E273DA"/>
    <w:rsid w:val="00E30043"/>
    <w:rsid w:val="00E315A4"/>
    <w:rsid w:val="00E32061"/>
    <w:rsid w:val="00E322C8"/>
    <w:rsid w:val="00E328F1"/>
    <w:rsid w:val="00E34610"/>
    <w:rsid w:val="00E34EEF"/>
    <w:rsid w:val="00E35357"/>
    <w:rsid w:val="00E36CE3"/>
    <w:rsid w:val="00E3705B"/>
    <w:rsid w:val="00E4000D"/>
    <w:rsid w:val="00E4240F"/>
    <w:rsid w:val="00E42BB2"/>
    <w:rsid w:val="00E42FF9"/>
    <w:rsid w:val="00E43C74"/>
    <w:rsid w:val="00E43D1C"/>
    <w:rsid w:val="00E44A8F"/>
    <w:rsid w:val="00E44F82"/>
    <w:rsid w:val="00E45484"/>
    <w:rsid w:val="00E457ED"/>
    <w:rsid w:val="00E46125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26F"/>
    <w:rsid w:val="00E53631"/>
    <w:rsid w:val="00E54452"/>
    <w:rsid w:val="00E55047"/>
    <w:rsid w:val="00E55FC5"/>
    <w:rsid w:val="00E56DD9"/>
    <w:rsid w:val="00E61BD0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4A2F"/>
    <w:rsid w:val="00E75210"/>
    <w:rsid w:val="00E7580A"/>
    <w:rsid w:val="00E75D7C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6A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142"/>
    <w:rsid w:val="00EA56EB"/>
    <w:rsid w:val="00EA5A3C"/>
    <w:rsid w:val="00EA5D60"/>
    <w:rsid w:val="00EA676B"/>
    <w:rsid w:val="00EA6B91"/>
    <w:rsid w:val="00EB05BB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6DE2"/>
    <w:rsid w:val="00EB71E4"/>
    <w:rsid w:val="00EC0CED"/>
    <w:rsid w:val="00EC0ED9"/>
    <w:rsid w:val="00EC2197"/>
    <w:rsid w:val="00EC26FD"/>
    <w:rsid w:val="00EC30D4"/>
    <w:rsid w:val="00EC3C88"/>
    <w:rsid w:val="00EC4F64"/>
    <w:rsid w:val="00EC55DB"/>
    <w:rsid w:val="00ED04D0"/>
    <w:rsid w:val="00ED0569"/>
    <w:rsid w:val="00ED18A2"/>
    <w:rsid w:val="00ED2F2D"/>
    <w:rsid w:val="00ED42D6"/>
    <w:rsid w:val="00ED4E4C"/>
    <w:rsid w:val="00ED5562"/>
    <w:rsid w:val="00ED55C0"/>
    <w:rsid w:val="00ED5EC7"/>
    <w:rsid w:val="00ED682B"/>
    <w:rsid w:val="00ED6AA8"/>
    <w:rsid w:val="00ED7983"/>
    <w:rsid w:val="00EE373E"/>
    <w:rsid w:val="00EE3CA1"/>
    <w:rsid w:val="00EE4124"/>
    <w:rsid w:val="00EE41D5"/>
    <w:rsid w:val="00EE5ED7"/>
    <w:rsid w:val="00EE5F94"/>
    <w:rsid w:val="00EE66D9"/>
    <w:rsid w:val="00EE77AC"/>
    <w:rsid w:val="00EF1FD3"/>
    <w:rsid w:val="00EF2171"/>
    <w:rsid w:val="00EF3AE3"/>
    <w:rsid w:val="00EF40DF"/>
    <w:rsid w:val="00EF4EF9"/>
    <w:rsid w:val="00EF56DF"/>
    <w:rsid w:val="00EF611E"/>
    <w:rsid w:val="00EF6614"/>
    <w:rsid w:val="00EF6B0F"/>
    <w:rsid w:val="00EF7576"/>
    <w:rsid w:val="00EF7AD9"/>
    <w:rsid w:val="00F00BC5"/>
    <w:rsid w:val="00F00E08"/>
    <w:rsid w:val="00F02DBD"/>
    <w:rsid w:val="00F037A4"/>
    <w:rsid w:val="00F03961"/>
    <w:rsid w:val="00F04030"/>
    <w:rsid w:val="00F04B60"/>
    <w:rsid w:val="00F10507"/>
    <w:rsid w:val="00F11083"/>
    <w:rsid w:val="00F113BA"/>
    <w:rsid w:val="00F11509"/>
    <w:rsid w:val="00F13202"/>
    <w:rsid w:val="00F137F7"/>
    <w:rsid w:val="00F1426B"/>
    <w:rsid w:val="00F14A08"/>
    <w:rsid w:val="00F16543"/>
    <w:rsid w:val="00F17CDB"/>
    <w:rsid w:val="00F17D27"/>
    <w:rsid w:val="00F2060B"/>
    <w:rsid w:val="00F206B3"/>
    <w:rsid w:val="00F211FE"/>
    <w:rsid w:val="00F218D8"/>
    <w:rsid w:val="00F21A8A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4D2"/>
    <w:rsid w:val="00F27C8F"/>
    <w:rsid w:val="00F30658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0E6"/>
    <w:rsid w:val="00F405B7"/>
    <w:rsid w:val="00F40B84"/>
    <w:rsid w:val="00F40C8B"/>
    <w:rsid w:val="00F40FE1"/>
    <w:rsid w:val="00F41144"/>
    <w:rsid w:val="00F4289B"/>
    <w:rsid w:val="00F42F1F"/>
    <w:rsid w:val="00F42F31"/>
    <w:rsid w:val="00F4477E"/>
    <w:rsid w:val="00F44D12"/>
    <w:rsid w:val="00F46B76"/>
    <w:rsid w:val="00F503BA"/>
    <w:rsid w:val="00F512E7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3A54"/>
    <w:rsid w:val="00F64468"/>
    <w:rsid w:val="00F64AC1"/>
    <w:rsid w:val="00F64D7C"/>
    <w:rsid w:val="00F6534C"/>
    <w:rsid w:val="00F66371"/>
    <w:rsid w:val="00F66589"/>
    <w:rsid w:val="00F66D82"/>
    <w:rsid w:val="00F670C5"/>
    <w:rsid w:val="00F67582"/>
    <w:rsid w:val="00F67C2A"/>
    <w:rsid w:val="00F67D8F"/>
    <w:rsid w:val="00F708DF"/>
    <w:rsid w:val="00F70B19"/>
    <w:rsid w:val="00F71B94"/>
    <w:rsid w:val="00F72615"/>
    <w:rsid w:val="00F7265B"/>
    <w:rsid w:val="00F74112"/>
    <w:rsid w:val="00F74A4F"/>
    <w:rsid w:val="00F755C5"/>
    <w:rsid w:val="00F75763"/>
    <w:rsid w:val="00F76CE2"/>
    <w:rsid w:val="00F779CC"/>
    <w:rsid w:val="00F802BE"/>
    <w:rsid w:val="00F80C6D"/>
    <w:rsid w:val="00F816A1"/>
    <w:rsid w:val="00F81BB6"/>
    <w:rsid w:val="00F81C4E"/>
    <w:rsid w:val="00F82846"/>
    <w:rsid w:val="00F8292A"/>
    <w:rsid w:val="00F82A29"/>
    <w:rsid w:val="00F82C75"/>
    <w:rsid w:val="00F83303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0C6"/>
    <w:rsid w:val="00F90510"/>
    <w:rsid w:val="00F91104"/>
    <w:rsid w:val="00F91606"/>
    <w:rsid w:val="00F91872"/>
    <w:rsid w:val="00F9379A"/>
    <w:rsid w:val="00F93D4E"/>
    <w:rsid w:val="00F9560B"/>
    <w:rsid w:val="00F95943"/>
    <w:rsid w:val="00F95AC4"/>
    <w:rsid w:val="00F9616E"/>
    <w:rsid w:val="00F966BA"/>
    <w:rsid w:val="00F9675B"/>
    <w:rsid w:val="00F968FA"/>
    <w:rsid w:val="00F97BC2"/>
    <w:rsid w:val="00FA0098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42C"/>
    <w:rsid w:val="00FB0592"/>
    <w:rsid w:val="00FB06D3"/>
    <w:rsid w:val="00FB1B21"/>
    <w:rsid w:val="00FB1C70"/>
    <w:rsid w:val="00FB21E1"/>
    <w:rsid w:val="00FB2465"/>
    <w:rsid w:val="00FB2BE7"/>
    <w:rsid w:val="00FB2C94"/>
    <w:rsid w:val="00FB42D4"/>
    <w:rsid w:val="00FB562C"/>
    <w:rsid w:val="00FB58A3"/>
    <w:rsid w:val="00FB5906"/>
    <w:rsid w:val="00FB5B28"/>
    <w:rsid w:val="00FB762F"/>
    <w:rsid w:val="00FC0BA6"/>
    <w:rsid w:val="00FC0E01"/>
    <w:rsid w:val="00FC1641"/>
    <w:rsid w:val="00FC2AED"/>
    <w:rsid w:val="00FC375B"/>
    <w:rsid w:val="00FC39D8"/>
    <w:rsid w:val="00FC3A8F"/>
    <w:rsid w:val="00FC4266"/>
    <w:rsid w:val="00FC4ADE"/>
    <w:rsid w:val="00FC4C89"/>
    <w:rsid w:val="00FC4EB3"/>
    <w:rsid w:val="00FC55A4"/>
    <w:rsid w:val="00FC5EFD"/>
    <w:rsid w:val="00FC625D"/>
    <w:rsid w:val="00FC67EF"/>
    <w:rsid w:val="00FC6AA8"/>
    <w:rsid w:val="00FC6AC9"/>
    <w:rsid w:val="00FD05F4"/>
    <w:rsid w:val="00FD1955"/>
    <w:rsid w:val="00FD39ED"/>
    <w:rsid w:val="00FD5247"/>
    <w:rsid w:val="00FD5686"/>
    <w:rsid w:val="00FD577E"/>
    <w:rsid w:val="00FD5C59"/>
    <w:rsid w:val="00FD5EA7"/>
    <w:rsid w:val="00FD5F18"/>
    <w:rsid w:val="00FD7203"/>
    <w:rsid w:val="00FE19FF"/>
    <w:rsid w:val="00FE1B93"/>
    <w:rsid w:val="00FE1D51"/>
    <w:rsid w:val="00FE3001"/>
    <w:rsid w:val="00FE4879"/>
    <w:rsid w:val="00FE6599"/>
    <w:rsid w:val="00FE6CB4"/>
    <w:rsid w:val="00FE7F7C"/>
    <w:rsid w:val="00FE7FAC"/>
    <w:rsid w:val="00FF19A5"/>
    <w:rsid w:val="00FF2825"/>
    <w:rsid w:val="00FF28B3"/>
    <w:rsid w:val="00FF2F66"/>
    <w:rsid w:val="00FF3C81"/>
    <w:rsid w:val="00FF4875"/>
    <w:rsid w:val="00FF495D"/>
    <w:rsid w:val="00FF4E3F"/>
    <w:rsid w:val="00FF4E78"/>
    <w:rsid w:val="00FF5E10"/>
    <w:rsid w:val="00FF633D"/>
    <w:rsid w:val="00FF6892"/>
    <w:rsid w:val="00FF6D9B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238B3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238B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at.gov.pl/en/topics/industry-construction-fixed-assets/industry/methodological-report-industrial-production-surveys,16,2.html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stat.gov.pl/en/metainformation/glossary/terms-used-in-official-statistics/356,term.html" TargetMode="External"/><Relationship Id="rId21" Type="http://schemas.openxmlformats.org/officeDocument/2006/relationships/image" Target="media/image8.png"/><Relationship Id="rId34" Type="http://schemas.openxmlformats.org/officeDocument/2006/relationships/hyperlink" Target="https://stat.gov.pl/en/metainformation/glossary/terms-used-in-official-statistics/357,term.html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image" Target="media/image12.png"/><Relationship Id="rId33" Type="http://schemas.openxmlformats.org/officeDocument/2006/relationships/hyperlink" Target="https://stat.gov.pl/en/metainformation/glossary/terms-used-in-official-statistics/1314,term.html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7.png"/><Relationship Id="rId29" Type="http://schemas.openxmlformats.org/officeDocument/2006/relationships/hyperlink" Target="https://stat.gov.pl/en/metainformation/glossary/terms-used-in-official-statistics/35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hyperlink" Target="https://stat.gov.pl/en/metainformation/glossary/terms-used-in-official-statistics/1317,term.html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10.png"/><Relationship Id="rId28" Type="http://schemas.openxmlformats.org/officeDocument/2006/relationships/hyperlink" Target="https://stat.gov.pl/en/metainformation/glossary/terms-used-in-official-statistics/1314,term.html" TargetMode="External"/><Relationship Id="rId36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stat.gov.pl/en/metainformation/glossary/terms-used-in-official-statistics/356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at.gov.pl/en/topics/economic-activities-finances/activity-of-enterprises-activity-of-companies/methodological-report-short-term-statistics-by-european-concept-of-the-kind-of-activity-unit,31,1.html" TargetMode="External"/><Relationship Id="rId22" Type="http://schemas.openxmlformats.org/officeDocument/2006/relationships/image" Target="media/image9.png"/><Relationship Id="rId27" Type="http://schemas.openxmlformats.org/officeDocument/2006/relationships/hyperlink" Target="https://stat.gov.pl/en/metainformation/glossary/terms-used-in-official-statistics/1317,term.html" TargetMode="External"/><Relationship Id="rId30" Type="http://schemas.openxmlformats.org/officeDocument/2006/relationships/hyperlink" Target="https://stat.gov.pl/en/metainformation/glossary/terms-used-in-official-statistics/1313,term.html" TargetMode="External"/><Relationship Id="rId35" Type="http://schemas.openxmlformats.org/officeDocument/2006/relationships/hyperlink" Target="https://stat.gov.pl/en/metainformation/glossary/terms-used-in-official-statistics/1313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STAT\WALKOWSKAK</Osoba>
    <NazwaPliku xmlns="1E9983FF-DC4B-4F4E-A072-0441E2B88E6D">Index numbers of sold production of industry in June 2024. News release.docx.docx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7FD8C586-5AA1-4E0A-892E-DDA84A85E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B7777B-299D-478D-9989-BA3DD6144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870</Words>
  <Characters>5221</Characters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of sold production of industry in July 2025</vt:lpstr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of sold production of industry in August 2025</dc:title>
  <dc:creator>Statistics Poland</dc:creator>
  <cp:lastPrinted>2020-06-19T06:38:00Z</cp:lastPrinted>
  <dcterms:created xsi:type="dcterms:W3CDTF">2025-09-17T04:59:00Z</dcterms:created>
  <dcterms:modified xsi:type="dcterms:W3CDTF">2025-09-17T07:42:00Z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