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4F4F24A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1865BAEC" w:rsidR="00BB33B9" w:rsidRPr="001336D0" w:rsidRDefault="000F7D9A" w:rsidP="001336D0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S</w:t>
      </w:r>
      <w:r w:rsidR="00BB33B9" w:rsidRPr="00346B6D">
        <w:rPr>
          <w:shd w:val="clear" w:color="auto" w:fill="FFFFFF"/>
          <w:lang w:val="en-GB"/>
        </w:rPr>
        <w:t>old production of industry in</w:t>
      </w:r>
      <w:r w:rsidR="00D76E51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January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>
        <w:rPr>
          <w:shd w:val="clear" w:color="auto" w:fill="FFFFFF"/>
          <w:lang w:val="en-GB"/>
        </w:rPr>
        <w:t>6</w:t>
      </w:r>
      <w:r w:rsidR="003556E3">
        <w:rPr>
          <w:shd w:val="clear" w:color="auto" w:fill="FFFFFF"/>
          <w:vertAlign w:val="superscript"/>
          <w:lang w:val="en-GB"/>
        </w:rPr>
        <w:t>1</w:t>
      </w:r>
      <w:r w:rsidR="00BB33B9">
        <w:rPr>
          <w:sz w:val="32"/>
          <w:lang w:val="en-GB"/>
        </w:rPr>
        <w:tab/>
      </w:r>
    </w:p>
    <w:p w14:paraId="13B5EE17" w14:textId="1DA99F9C" w:rsidR="00BE0E63" w:rsidRDefault="00E66F2C" w:rsidP="006C52EE">
      <w:pPr>
        <w:pStyle w:val="LID"/>
        <w:spacing w:before="48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52BAAC98">
                <wp:simplePos x="0" y="0"/>
                <wp:positionH relativeFrom="margin">
                  <wp:posOffset>19050</wp:posOffset>
                </wp:positionH>
                <wp:positionV relativeFrom="paragraph">
                  <wp:posOffset>321945</wp:posOffset>
                </wp:positionV>
                <wp:extent cx="2152650" cy="1339850"/>
                <wp:effectExtent l="0" t="0" r="0" b="0"/>
                <wp:wrapSquare wrapText="bothSides"/>
                <wp:docPr id="2" name="Pole tekstowe 2" descr="1.5%&#10;Decrease in sold production of industry as compared to January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A8F" w14:textId="77777777" w:rsidR="00D946BC" w:rsidRDefault="00D946BC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1.5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125DABD1" w:rsidR="00E66F2C" w:rsidRPr="00D946BC" w:rsidRDefault="00D946BC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January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.5%&#10;Decrease in sold production of industry as compared to January 2025" style="position:absolute;margin-left:1.5pt;margin-top:25.35pt;width:169.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" fillcolor="#001d77" stroked="f">
                <v:stroke joinstyle="miter"/>
                <v:textbox>
                  <w:txbxContent>
                    <w:p w14:paraId="4A211A8F" w14:textId="77777777" w:rsidR="00D946BC" w:rsidRDefault="00D946BC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1.5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125DABD1" w:rsidR="00E66F2C" w:rsidRPr="00D946BC" w:rsidRDefault="00D946BC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January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>
                        <w:rPr>
                          <w:sz w:val="20"/>
                          <w:lang w:val="en-US"/>
                        </w:rPr>
                        <w:t>5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D946BC">
        <w:rPr>
          <w:lang w:val="en-GB"/>
        </w:rPr>
        <w:t>January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D946BC">
        <w:rPr>
          <w:lang w:val="en-GB"/>
        </w:rPr>
        <w:t>6</w:t>
      </w:r>
      <w:r w:rsidR="00BB33B9" w:rsidRPr="00C52703">
        <w:rPr>
          <w:lang w:val="en-GB"/>
        </w:rPr>
        <w:t xml:space="preserve">, sold production of industry was by </w:t>
      </w:r>
      <w:r w:rsidR="00D946BC">
        <w:rPr>
          <w:lang w:val="en-GB"/>
        </w:rPr>
        <w:t>1.5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D946BC">
        <w:rPr>
          <w:lang w:val="en-GB"/>
        </w:rPr>
        <w:t>lower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D946BC">
        <w:rPr>
          <w:lang w:val="en-GB"/>
        </w:rPr>
        <w:t>January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D946BC">
        <w:rPr>
          <w:lang w:val="en-GB"/>
        </w:rPr>
        <w:t>5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>when a</w:t>
      </w:r>
      <w:r w:rsidR="001024BB">
        <w:rPr>
          <w:spacing w:val="-2"/>
          <w:lang w:val="en-GB"/>
        </w:rPr>
        <w:t xml:space="preserve"> de</w:t>
      </w:r>
      <w:r w:rsidR="00E42BB2">
        <w:rPr>
          <w:spacing w:val="-2"/>
          <w:lang w:val="en-GB"/>
        </w:rPr>
        <w:t xml:space="preserve">crease was recorded by </w:t>
      </w:r>
      <w:r w:rsidR="00891978">
        <w:rPr>
          <w:spacing w:val="-2"/>
          <w:lang w:val="en-GB"/>
        </w:rPr>
        <w:t>0.</w:t>
      </w:r>
      <w:r w:rsidR="00D946BC">
        <w:rPr>
          <w:spacing w:val="-2"/>
          <w:lang w:val="en-GB"/>
        </w:rPr>
        <w:t>9</w:t>
      </w:r>
      <w:r w:rsidR="00E42BB2">
        <w:rPr>
          <w:spacing w:val="-2"/>
          <w:lang w:val="en-GB"/>
        </w:rPr>
        <w:t>%)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D946BC">
        <w:rPr>
          <w:spacing w:val="-2"/>
          <w:lang w:val="en-GB"/>
        </w:rPr>
        <w:t>Dec</w:t>
      </w:r>
      <w:r w:rsidR="00891978">
        <w:rPr>
          <w:spacing w:val="-2"/>
          <w:lang w:val="en-GB"/>
        </w:rPr>
        <w:t>ember</w:t>
      </w:r>
      <w:r w:rsidR="00D76E51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7639B4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</w:t>
      </w:r>
      <w:r w:rsidR="00D946BC">
        <w:rPr>
          <w:spacing w:val="-2"/>
          <w:lang w:val="en-GB"/>
        </w:rPr>
        <w:t>6.0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</w:p>
    <w:p w14:paraId="21D57202" w14:textId="50731317" w:rsidR="00D946BC" w:rsidRDefault="00D946BC" w:rsidP="006C52EE">
      <w:pPr>
        <w:pStyle w:val="LID"/>
        <w:spacing w:before="480"/>
        <w:rPr>
          <w:lang w:val="en-GB"/>
        </w:rPr>
      </w:pPr>
    </w:p>
    <w:p w14:paraId="35B0C28A" w14:textId="450F4ABE" w:rsidR="00BE0E63" w:rsidRDefault="00BE0E63" w:rsidP="002B0CDD">
      <w:pPr>
        <w:pStyle w:val="LID"/>
        <w:spacing w:before="360"/>
        <w:rPr>
          <w:lang w:val="en-GB"/>
        </w:rPr>
      </w:pPr>
    </w:p>
    <w:p w14:paraId="02C12CBA" w14:textId="76B34378" w:rsidR="006D0248" w:rsidRDefault="006D0248" w:rsidP="00BE0E63">
      <w:pPr>
        <w:pStyle w:val="LID"/>
        <w:jc w:val="both"/>
        <w:rPr>
          <w:b w:val="0"/>
          <w:spacing w:val="-2"/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64768" behindDoc="1" locked="0" layoutInCell="1" allowOverlap="1" wp14:anchorId="48509744" wp14:editId="7F3478C6">
                <wp:simplePos x="0" y="0"/>
                <wp:positionH relativeFrom="column">
                  <wp:posOffset>5189220</wp:posOffset>
                </wp:positionH>
                <wp:positionV relativeFrom="paragraph">
                  <wp:posOffset>102870</wp:posOffset>
                </wp:positionV>
                <wp:extent cx="1704340" cy="1066800"/>
                <wp:effectExtent l="0" t="0" r="0" b="0"/>
                <wp:wrapTight wrapText="bothSides">
                  <wp:wrapPolygon edited="0">
                    <wp:start x="724" y="0"/>
                    <wp:lineTo x="724" y="21214"/>
                    <wp:lineTo x="20763" y="21214"/>
                    <wp:lineTo x="20763" y="0"/>
                    <wp:lineTo x="724" y="0"/>
                  </wp:wrapPolygon>
                </wp:wrapTight>
                <wp:docPr id="15" name="Pole tekstowe 2" descr="After seasonal adjustment, sold production of industry in January 2026 increased by 0.4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607F" w14:textId="1D1AD3DA" w:rsidR="00F679DF" w:rsidRPr="00F679DF" w:rsidRDefault="00F679DF" w:rsidP="00F679D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679DF">
                              <w:rPr>
                                <w:lang w:val="en-GB"/>
                              </w:rPr>
                              <w:t xml:space="preserve">After seasonal adjustment, sold production of industry 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 </w:t>
                            </w:r>
                            <w:r w:rsidR="00D946BC">
                              <w:rPr>
                                <w:lang w:val="en-GB"/>
                              </w:rPr>
                              <w:t>January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202</w:t>
                            </w:r>
                            <w:r w:rsidR="00D946BC">
                              <w:rPr>
                                <w:lang w:val="en-GB"/>
                              </w:rPr>
                              <w:t>6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increased by </w:t>
                            </w:r>
                            <w:r w:rsidR="00D946BC">
                              <w:rPr>
                                <w:lang w:val="en-GB"/>
                              </w:rPr>
                              <w:t>0.4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% </w:t>
                            </w:r>
                            <w:r w:rsidRPr="00F679DF">
                              <w:rPr>
                                <w:lang w:val="en-GB"/>
                              </w:rPr>
                              <w:t>per yea</w:t>
                            </w:r>
                            <w:r w:rsidR="00226E81">
                              <w:rPr>
                                <w:lang w:val="en-GB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0974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sold production of industry in January 2026 increased by 0.4% per year" style="position:absolute;left:0;text-align:left;margin-left:408.6pt;margin-top:8.1pt;width:134.2pt;height:84pt;z-index:-25125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" filled="f" stroked="f">
                <v:textbox>
                  <w:txbxContent>
                    <w:p w14:paraId="183C607F" w14:textId="1D1AD3DA" w:rsidR="00F679DF" w:rsidRPr="00F679DF" w:rsidRDefault="00F679DF" w:rsidP="00F679DF">
                      <w:pPr>
                        <w:pStyle w:val="tekstzboku"/>
                        <w:rPr>
                          <w:lang w:val="en-GB"/>
                        </w:rPr>
                      </w:pPr>
                      <w:r w:rsidRPr="00F679DF">
                        <w:rPr>
                          <w:lang w:val="en-GB"/>
                        </w:rPr>
                        <w:t xml:space="preserve">After seasonal adjustment, sold production of industry </w:t>
                      </w:r>
                      <w:r w:rsidR="00226E81">
                        <w:rPr>
                          <w:lang w:val="en-GB"/>
                        </w:rPr>
                        <w:t xml:space="preserve"> in </w:t>
                      </w:r>
                      <w:r w:rsidR="00D946BC">
                        <w:rPr>
                          <w:lang w:val="en-GB"/>
                        </w:rPr>
                        <w:t>January</w:t>
                      </w:r>
                      <w:r w:rsidR="00226E81">
                        <w:rPr>
                          <w:lang w:val="en-GB"/>
                        </w:rPr>
                        <w:t xml:space="preserve"> 202</w:t>
                      </w:r>
                      <w:r w:rsidR="00D946BC">
                        <w:rPr>
                          <w:lang w:val="en-GB"/>
                        </w:rPr>
                        <w:t>6</w:t>
                      </w:r>
                      <w:r w:rsidR="00226E81">
                        <w:rPr>
                          <w:lang w:val="en-GB"/>
                        </w:rPr>
                        <w:t xml:space="preserve"> increased by </w:t>
                      </w:r>
                      <w:r w:rsidR="00D946BC">
                        <w:rPr>
                          <w:lang w:val="en-GB"/>
                        </w:rPr>
                        <w:t>0.4</w:t>
                      </w:r>
                      <w:r w:rsidR="00226E81">
                        <w:rPr>
                          <w:lang w:val="en-GB"/>
                        </w:rPr>
                        <w:t xml:space="preserve">% </w:t>
                      </w:r>
                      <w:r w:rsidRPr="00F679DF">
                        <w:rPr>
                          <w:lang w:val="en-GB"/>
                        </w:rPr>
                        <w:t>per yea</w:t>
                      </w:r>
                      <w:r w:rsidR="00226E81">
                        <w:rPr>
                          <w:lang w:val="en-GB"/>
                        </w:rPr>
                        <w:t>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21883E0D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D946BC">
        <w:rPr>
          <w:b w:val="0"/>
          <w:spacing w:val="-2"/>
          <w:lang w:val="en-GB"/>
        </w:rPr>
        <w:t>January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D946BC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D946BC">
        <w:rPr>
          <w:b w:val="0"/>
          <w:spacing w:val="-2"/>
          <w:lang w:val="en-GB"/>
        </w:rPr>
        <w:t>0.4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D946BC">
        <w:rPr>
          <w:b w:val="0"/>
          <w:spacing w:val="-2"/>
          <w:lang w:val="en-GB"/>
        </w:rPr>
        <w:t>5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891978">
        <w:rPr>
          <w:b w:val="0"/>
          <w:spacing w:val="-2"/>
          <w:lang w:val="en-GB"/>
        </w:rPr>
        <w:t>2.</w:t>
      </w:r>
      <w:r w:rsidR="00D946BC">
        <w:rPr>
          <w:b w:val="0"/>
          <w:spacing w:val="-2"/>
          <w:lang w:val="en-GB"/>
        </w:rPr>
        <w:t>4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D946BC">
        <w:rPr>
          <w:b w:val="0"/>
          <w:spacing w:val="-2"/>
          <w:lang w:val="en-GB"/>
        </w:rPr>
        <w:t>lower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D946BC">
        <w:rPr>
          <w:b w:val="0"/>
          <w:spacing w:val="-2"/>
          <w:lang w:val="en-GB"/>
        </w:rPr>
        <w:t>Dec</w:t>
      </w:r>
      <w:r w:rsidR="00891978">
        <w:rPr>
          <w:b w:val="0"/>
          <w:spacing w:val="-2"/>
          <w:lang w:val="en-GB"/>
        </w:rPr>
        <w:t>ember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64514210" w:rsidR="00EF2171" w:rsidRPr="00B54CD9" w:rsidRDefault="003A6D81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68864" behindDoc="0" locked="0" layoutInCell="1" allowOverlap="1" wp14:anchorId="7A9970FB" wp14:editId="7A902A4F">
            <wp:simplePos x="0" y="0"/>
            <wp:positionH relativeFrom="column">
              <wp:posOffset>-82550</wp:posOffset>
            </wp:positionH>
            <wp:positionV relativeFrom="paragraph">
              <wp:posOffset>353695</wp:posOffset>
            </wp:positionV>
            <wp:extent cx="5270500" cy="3003550"/>
            <wp:effectExtent l="0" t="0" r="6350" b="6350"/>
            <wp:wrapSquare wrapText="bothSides"/>
            <wp:docPr id="8" name="Obraz 8" descr="Sold production of industry (constant prices, monthly average of 2021=100) in years 2022-2026 - unadjusted data, seasonally adjusted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00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 xml:space="preserve">Chart </w:t>
      </w:r>
      <w:r w:rsidR="00A57321">
        <w:rPr>
          <w:b/>
          <w:szCs w:val="18"/>
          <w:lang w:val="en-GB"/>
        </w:rPr>
        <w:t>1</w:t>
      </w:r>
      <w:r w:rsidR="00BB33B9" w:rsidRPr="00BB33B9">
        <w:rPr>
          <w:b/>
          <w:szCs w:val="18"/>
          <w:lang w:val="en-GB"/>
        </w:rPr>
        <w:t xml:space="preserve">. </w:t>
      </w:r>
      <w:r w:rsidR="00F10CD5" w:rsidRPr="00BB33B9">
        <w:rPr>
          <w:b/>
          <w:szCs w:val="18"/>
          <w:lang w:val="en-GB"/>
        </w:rPr>
        <w:t>Sold production of industry (</w:t>
      </w:r>
      <w:r w:rsidR="00F10CD5" w:rsidRPr="00A57321">
        <w:rPr>
          <w:b/>
          <w:shd w:val="clear" w:color="auto" w:fill="FFFFFF"/>
          <w:lang w:val="en-GB"/>
        </w:rPr>
        <w:t>constant prices</w:t>
      </w:r>
      <w:r w:rsidR="008B63AE">
        <w:rPr>
          <w:b/>
          <w:shd w:val="clear" w:color="auto" w:fill="FFFFFF"/>
          <w:lang w:val="en-GB"/>
        </w:rPr>
        <w:t>;</w:t>
      </w:r>
      <w:r w:rsidR="00F10CD5" w:rsidRPr="00A57321">
        <w:rPr>
          <w:b/>
          <w:szCs w:val="18"/>
          <w:lang w:val="en-GB"/>
        </w:rPr>
        <w:t xml:space="preserve"> </w:t>
      </w:r>
      <w:r w:rsidR="00F10CD5" w:rsidRPr="00BB33B9">
        <w:rPr>
          <w:b/>
          <w:szCs w:val="18"/>
          <w:lang w:val="en-GB"/>
        </w:rPr>
        <w:t xml:space="preserve">monthly average </w:t>
      </w:r>
      <w:r w:rsidR="00F10CD5">
        <w:rPr>
          <w:b/>
          <w:szCs w:val="18"/>
          <w:lang w:val="en-GB"/>
        </w:rPr>
        <w:t>of</w:t>
      </w:r>
      <w:r w:rsidR="00F10CD5" w:rsidRPr="00BB33B9">
        <w:rPr>
          <w:b/>
          <w:szCs w:val="18"/>
          <w:lang w:val="en-GB"/>
        </w:rPr>
        <w:t xml:space="preserve"> 20</w:t>
      </w:r>
      <w:r w:rsidR="00F10CD5">
        <w:rPr>
          <w:b/>
          <w:szCs w:val="18"/>
          <w:lang w:val="en-GB"/>
        </w:rPr>
        <w:t>21</w:t>
      </w:r>
      <w:r w:rsidR="00F10CD5" w:rsidRPr="00BB33B9">
        <w:rPr>
          <w:b/>
          <w:szCs w:val="18"/>
          <w:lang w:val="en-GB"/>
        </w:rPr>
        <w:t>=100)</w:t>
      </w:r>
    </w:p>
    <w:p w14:paraId="75B171A1" w14:textId="3ABE315B" w:rsidR="00B54CD9" w:rsidRDefault="00360C4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3F161C00">
                <wp:simplePos x="0" y="0"/>
                <wp:positionH relativeFrom="page">
                  <wp:posOffset>5646420</wp:posOffset>
                </wp:positionH>
                <wp:positionV relativeFrom="paragraph">
                  <wp:posOffset>3085465</wp:posOffset>
                </wp:positionV>
                <wp:extent cx="1899285" cy="1211580"/>
                <wp:effectExtent l="0" t="0" r="0" b="0"/>
                <wp:wrapSquare wrapText="bothSides"/>
                <wp:docPr id="12" name="Pole tekstowe 2" descr="The highest y/y decrease was recorded in the production of intermediate goods and durable consumer goods, while an increase – in the production of capital good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6900A31B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F10C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de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</w:t>
                            </w:r>
                            <w:r w:rsidR="00F10CD5" w:rsidRPr="00F10C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10CD5" w:rsidRPr="00F10C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intermediate goods and durable consumer goods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F10C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n</w:t>
                            </w:r>
                            <w:r w:rsidR="008919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F10C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</w:t>
                            </w:r>
                            <w:r w:rsidR="00E903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–</w:t>
                            </w:r>
                            <w:r w:rsidR="008D292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F10CD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capital goods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8" type="#_x0000_t202" alt="The highest y/y decrease was recorded in the production of intermediate goods and durable consumer goods, while an increase – in the production of capital goods" style="position:absolute;margin-left:444.6pt;margin-top:242.95pt;width:149.55pt;height:95.4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" filled="f" stroked="f">
                <v:textbox>
                  <w:txbxContent>
                    <w:p w14:paraId="619372A5" w14:textId="6900A31B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F10C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de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</w:t>
                      </w:r>
                      <w:r w:rsidR="00F10CD5" w:rsidRPr="00F10CD5">
                        <w:rPr>
                          <w:lang w:val="en-US"/>
                        </w:rPr>
                        <w:t xml:space="preserve"> </w:t>
                      </w:r>
                      <w:r w:rsidR="00F10CD5" w:rsidRPr="00F10C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intermediate goods and durable consumer goods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F10C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n</w:t>
                      </w:r>
                      <w:r w:rsidR="008919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F10C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</w:t>
                      </w:r>
                      <w:r w:rsidR="00E903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–</w:t>
                      </w:r>
                      <w:r w:rsidR="008D292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F10CD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capital goods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351BCAE1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>January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>6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he</w:t>
      </w:r>
      <w:r w:rsidR="00891978" w:rsidRP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891978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222211305"/>
      <w:r w:rsidR="00D946BC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D946BC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bookmarkEnd w:id="2"/>
      <w:r w:rsidR="00D946BC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D946BC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>7.7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>% each</w:t>
      </w:r>
      <w:r w:rsidR="00DC7223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DC7223" w:rsidRPr="008B63AE">
        <w:rPr>
          <w:b w:val="0"/>
          <w:sz w:val="19"/>
          <w:szCs w:val="19"/>
          <w:shd w:val="clear" w:color="auto" w:fill="FFFFFF"/>
          <w:lang w:val="en-GB"/>
        </w:rPr>
        <w:t>as well as in</w:t>
      </w:r>
      <w:r w:rsidR="00F10CD5" w:rsidRPr="008B63A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946BC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>-</w:t>
      </w:r>
      <w:r w:rsidR="00D946BC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D946BC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>3.0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>%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>.</w:t>
      </w:r>
      <w:r w:rsidR="00F10CD5" w:rsidRPr="00F10CD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>An in</w:t>
      </w:r>
      <w:r w:rsidR="00F10CD5" w:rsidRPr="007B5C49">
        <w:rPr>
          <w:b w:val="0"/>
          <w:sz w:val="19"/>
          <w:szCs w:val="19"/>
          <w:lang w:val="en-GB"/>
        </w:rPr>
        <w:t xml:space="preserve">crease </w:t>
      </w:r>
      <w:r w:rsidR="00F10CD5" w:rsidRPr="00E2764C">
        <w:rPr>
          <w:b w:val="0"/>
          <w:sz w:val="19"/>
          <w:szCs w:val="19"/>
          <w:lang w:val="en-GB"/>
        </w:rPr>
        <w:t xml:space="preserve">was </w:t>
      </w:r>
      <w:r w:rsidR="00F10CD5" w:rsidRPr="004D23D2">
        <w:rPr>
          <w:b w:val="0"/>
          <w:sz w:val="19"/>
          <w:szCs w:val="19"/>
          <w:lang w:val="en-GB"/>
        </w:rPr>
        <w:t>observed in</w:t>
      </w:r>
      <w:r w:rsidR="00F10CD5">
        <w:rPr>
          <w:b w:val="0"/>
          <w:sz w:val="19"/>
          <w:szCs w:val="19"/>
          <w:lang w:val="en-GB"/>
        </w:rPr>
        <w:t xml:space="preserve"> the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0CD5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0CD5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F10CD5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> 5.9</w:t>
      </w:r>
      <w:r w:rsidR="00F10CD5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F10CD5" w:rsidRPr="00F10CD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>and</w:t>
      </w:r>
      <w:r w:rsidR="00F10CD5" w:rsidRP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0CD5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F10CD5">
        <w:rPr>
          <w:b w:val="0"/>
          <w:sz w:val="19"/>
          <w:szCs w:val="19"/>
          <w:shd w:val="clear" w:color="auto" w:fill="FFFFFF"/>
          <w:lang w:val="en-GB"/>
        </w:rPr>
        <w:t xml:space="preserve"> – by 3.3%.</w:t>
      </w:r>
      <w:bookmarkEnd w:id="1"/>
    </w:p>
    <w:p w14:paraId="320E7963" w14:textId="77777777" w:rsidR="00F10CD5" w:rsidRDefault="00F10CD5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0D0039D8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2ADDF399" w14:textId="0133569F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98EB581" w14:textId="62D5E1FD" w:rsidR="006C52EE" w:rsidRDefault="006C52EE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4BA13B" w14:textId="77777777" w:rsidR="006C52EE" w:rsidRDefault="006C52EE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C17401B" w14:textId="3B9A9520" w:rsidR="00A71581" w:rsidRDefault="003556E3" w:rsidP="004B1040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70EC275F" w14:textId="67CE3427" w:rsidR="00A57321" w:rsidRDefault="00A57321" w:rsidP="00BB33B9">
      <w:pPr>
        <w:pStyle w:val="LID"/>
        <w:spacing w:before="0" w:after="0"/>
        <w:rPr>
          <w:shd w:val="clear" w:color="auto" w:fill="FFFFFF"/>
          <w:lang w:val="en-GB"/>
        </w:rPr>
      </w:pPr>
    </w:p>
    <w:p w14:paraId="780AD126" w14:textId="1B8BB35C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</w:t>
      </w:r>
      <w:r w:rsidR="00A57321">
        <w:rPr>
          <w:lang w:val="en-GB"/>
        </w:rPr>
        <w:t>S</w:t>
      </w:r>
      <w:r w:rsidRPr="00DC4A61">
        <w:rPr>
          <w:lang w:val="en-GB"/>
        </w:rPr>
        <w:t>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</w:t>
      </w:r>
      <w:r w:rsidR="00DC7223" w:rsidRPr="008B63AE">
        <w:rPr>
          <w:shd w:val="clear" w:color="auto" w:fill="FFFFFF"/>
          <w:lang w:val="en-GB"/>
        </w:rPr>
        <w:t>; unadjusted data</w:t>
      </w:r>
      <w:r w:rsidRPr="00DC4A61">
        <w:rPr>
          <w:shd w:val="clear" w:color="auto" w:fill="FFFFFF"/>
          <w:lang w:val="en-GB"/>
        </w:rPr>
        <w:t>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Sold production of industry (constant prices; unadjusted data)"/>
      </w:tblPr>
      <w:tblGrid>
        <w:gridCol w:w="2391"/>
        <w:gridCol w:w="986"/>
        <w:gridCol w:w="876"/>
        <w:gridCol w:w="954"/>
        <w:gridCol w:w="889"/>
        <w:gridCol w:w="941"/>
        <w:gridCol w:w="845"/>
      </w:tblGrid>
      <w:tr w:rsidR="006C52EE" w:rsidRPr="003627E7" w14:paraId="2239F2EE" w14:textId="77777777" w:rsidTr="006C52EE">
        <w:trPr>
          <w:trHeight w:val="474"/>
        </w:trPr>
        <w:tc>
          <w:tcPr>
            <w:tcW w:w="2391" w:type="dxa"/>
            <w:vMerge w:val="restart"/>
            <w:tcBorders>
              <w:top w:val="single" w:sz="4" w:space="0" w:color="auto"/>
            </w:tcBorders>
            <w:vAlign w:val="center"/>
          </w:tcPr>
          <w:p w14:paraId="7A2D9C5B" w14:textId="77777777" w:rsidR="006C52EE" w:rsidRPr="003627E7" w:rsidRDefault="006C52EE" w:rsidP="00F21184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42D44DD6" w14:textId="2DDF82AB" w:rsidR="006C52EE" w:rsidRDefault="006C52EE" w:rsidP="00F2118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65BAF178" w14:textId="3439AECC" w:rsidR="006C52EE" w:rsidRDefault="006C52EE" w:rsidP="00F2118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01 2026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4FCE638E" w14:textId="54763A80" w:rsidR="006C52EE" w:rsidRDefault="006C52EE" w:rsidP="00F2118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3BCE2C0F" w14:textId="182A7AEA" w:rsidR="006C52EE" w:rsidRDefault="006C52EE" w:rsidP="00F2118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01 2026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F7CFD62" w14:textId="72363417" w:rsidR="006C52EE" w:rsidRDefault="006C52EE" w:rsidP="00F2118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12 2025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91192D0" w14:textId="5BAA5856" w:rsidR="006C52EE" w:rsidRPr="003627E7" w:rsidRDefault="006C52EE" w:rsidP="00F2118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01 2026</w:t>
            </w:r>
          </w:p>
        </w:tc>
      </w:tr>
      <w:tr w:rsidR="006C52EE" w:rsidRPr="003627E7" w14:paraId="11BADE7C" w14:textId="77777777" w:rsidTr="00F21184">
        <w:trPr>
          <w:trHeight w:val="439"/>
        </w:trPr>
        <w:tc>
          <w:tcPr>
            <w:tcW w:w="2391" w:type="dxa"/>
            <w:vMerge/>
            <w:vAlign w:val="center"/>
          </w:tcPr>
          <w:p w14:paraId="2429653C" w14:textId="77777777" w:rsidR="006C52EE" w:rsidRPr="003627E7" w:rsidRDefault="006C52EE" w:rsidP="00F2118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631D814B" w14:textId="18A0013D" w:rsidR="006C52EE" w:rsidRDefault="006C52EE" w:rsidP="00F21184">
            <w:pPr>
              <w:spacing w:before="0"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</w:t>
            </w:r>
            <w:r>
              <w:rPr>
                <w:noProof/>
                <w:sz w:val="16"/>
                <w:szCs w:val="16"/>
                <w:lang w:val="en-GB" w:eastAsia="pl-PL"/>
              </w:rPr>
              <w:t xml:space="preserve">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DF5F38F" w14:textId="69A9115A" w:rsidR="006C52EE" w:rsidRPr="006C52EE" w:rsidRDefault="006C52EE" w:rsidP="006C52E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686BD9">
              <w:rPr>
                <w:sz w:val="16"/>
                <w:szCs w:val="16"/>
                <w:lang w:val="en-GB"/>
              </w:rPr>
              <w:t>corresponding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 xml:space="preserve"> month of </w:t>
            </w:r>
            <w:r w:rsidRPr="00686BD9">
              <w:rPr>
                <w:sz w:val="16"/>
                <w:szCs w:val="16"/>
                <w:lang w:val="en-GB"/>
              </w:rPr>
              <w:t>previous year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</w:t>
            </w:r>
            <w:r>
              <w:rPr>
                <w:noProof/>
                <w:sz w:val="16"/>
                <w:szCs w:val="16"/>
                <w:lang w:val="en-GB" w:eastAsia="pl-PL"/>
              </w:rPr>
              <w:t xml:space="preserve">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100</w:t>
            </w:r>
          </w:p>
        </w:tc>
        <w:tc>
          <w:tcPr>
            <w:tcW w:w="1786" w:type="dxa"/>
            <w:gridSpan w:val="2"/>
            <w:vAlign w:val="center"/>
          </w:tcPr>
          <w:p w14:paraId="5F8DA291" w14:textId="77777777" w:rsidR="006C52EE" w:rsidRPr="00BD5BE7" w:rsidRDefault="006C52EE" w:rsidP="00F2118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57A28AFD" w14:textId="579E9871" w:rsidR="006C52EE" w:rsidRPr="006244BE" w:rsidRDefault="006C52EE" w:rsidP="00F2118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 xml:space="preserve">21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</w:t>
            </w:r>
            <w:r>
              <w:rPr>
                <w:noProof/>
                <w:sz w:val="16"/>
                <w:szCs w:val="16"/>
                <w:lang w:val="en-GB" w:eastAsia="pl-PL"/>
              </w:rPr>
              <w:t xml:space="preserve">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100</w:t>
            </w:r>
          </w:p>
        </w:tc>
      </w:tr>
      <w:tr w:rsidR="003A6D81" w:rsidRPr="003627E7" w14:paraId="2AFC46CA" w14:textId="77777777" w:rsidTr="00F21184">
        <w:trPr>
          <w:trHeight w:val="57"/>
        </w:trPr>
        <w:tc>
          <w:tcPr>
            <w:tcW w:w="2391" w:type="dxa"/>
            <w:tcBorders>
              <w:top w:val="single" w:sz="12" w:space="0" w:color="212492"/>
            </w:tcBorders>
            <w:vAlign w:val="center"/>
          </w:tcPr>
          <w:p w14:paraId="48F5F4F7" w14:textId="77777777" w:rsidR="003A6D81" w:rsidRPr="003627E7" w:rsidRDefault="003A6D81" w:rsidP="003A6D8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986" w:type="dxa"/>
            <w:tcBorders>
              <w:top w:val="single" w:sz="12" w:space="0" w:color="212492"/>
            </w:tcBorders>
          </w:tcPr>
          <w:p w14:paraId="1EC3913B" w14:textId="686FD6A3" w:rsidR="003A6D81" w:rsidRDefault="003A6D81" w:rsidP="003A6D8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876" w:type="dxa"/>
            <w:tcBorders>
              <w:top w:val="single" w:sz="12" w:space="0" w:color="212492"/>
            </w:tcBorders>
          </w:tcPr>
          <w:p w14:paraId="4FA754AE" w14:textId="6E480D15" w:rsidR="003A6D81" w:rsidRDefault="003A6D81" w:rsidP="003A6D8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94.0</w:t>
            </w:r>
          </w:p>
        </w:tc>
        <w:tc>
          <w:tcPr>
            <w:tcW w:w="954" w:type="dxa"/>
            <w:tcBorders>
              <w:top w:val="single" w:sz="12" w:space="0" w:color="212492"/>
            </w:tcBorders>
          </w:tcPr>
          <w:p w14:paraId="616885A7" w14:textId="344CBC1E" w:rsidR="003A6D81" w:rsidRDefault="003A6D81" w:rsidP="003A6D8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107.3</w:t>
            </w:r>
          </w:p>
        </w:tc>
        <w:tc>
          <w:tcPr>
            <w:tcW w:w="889" w:type="dxa"/>
            <w:tcBorders>
              <w:top w:val="single" w:sz="12" w:space="0" w:color="212492"/>
            </w:tcBorders>
          </w:tcPr>
          <w:p w14:paraId="01DC4DD6" w14:textId="57BEF3CF" w:rsidR="003A6D81" w:rsidRDefault="003A6D81" w:rsidP="003A6D8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98.5</w:t>
            </w:r>
          </w:p>
        </w:tc>
        <w:tc>
          <w:tcPr>
            <w:tcW w:w="941" w:type="dxa"/>
            <w:tcBorders>
              <w:top w:val="single" w:sz="12" w:space="0" w:color="212492"/>
            </w:tcBorders>
          </w:tcPr>
          <w:p w14:paraId="7BA2A903" w14:textId="248E6BA5" w:rsidR="003A6D81" w:rsidRDefault="003A6D81" w:rsidP="003A6D8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112.2</w:t>
            </w:r>
          </w:p>
        </w:tc>
        <w:tc>
          <w:tcPr>
            <w:tcW w:w="845" w:type="dxa"/>
            <w:tcBorders>
              <w:top w:val="single" w:sz="12" w:space="0" w:color="212492"/>
            </w:tcBorders>
            <w:vAlign w:val="center"/>
          </w:tcPr>
          <w:p w14:paraId="2A3AC09E" w14:textId="713FF215" w:rsidR="003A6D81" w:rsidRPr="003627E7" w:rsidRDefault="003A6D81" w:rsidP="003A6D8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105.4</w:t>
            </w:r>
          </w:p>
        </w:tc>
      </w:tr>
      <w:tr w:rsidR="003A6D81" w:rsidRPr="003627E7" w14:paraId="67D6A700" w14:textId="77777777" w:rsidTr="00F21184">
        <w:trPr>
          <w:trHeight w:val="57"/>
        </w:trPr>
        <w:tc>
          <w:tcPr>
            <w:tcW w:w="2391" w:type="dxa"/>
            <w:vAlign w:val="center"/>
          </w:tcPr>
          <w:p w14:paraId="2B34819C" w14:textId="77777777" w:rsidR="003A6D81" w:rsidRPr="003627E7" w:rsidRDefault="003A6D81" w:rsidP="003A6D8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986" w:type="dxa"/>
          </w:tcPr>
          <w:p w14:paraId="185D096D" w14:textId="3F042CD0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97.4*</w:t>
            </w:r>
          </w:p>
        </w:tc>
        <w:tc>
          <w:tcPr>
            <w:tcW w:w="876" w:type="dxa"/>
          </w:tcPr>
          <w:p w14:paraId="443F6693" w14:textId="5068A67D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96.3</w:t>
            </w:r>
          </w:p>
        </w:tc>
        <w:tc>
          <w:tcPr>
            <w:tcW w:w="954" w:type="dxa"/>
          </w:tcPr>
          <w:p w14:paraId="4F4EF649" w14:textId="6F198284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107.0*</w:t>
            </w:r>
          </w:p>
        </w:tc>
        <w:tc>
          <w:tcPr>
            <w:tcW w:w="889" w:type="dxa"/>
          </w:tcPr>
          <w:p w14:paraId="234B230A" w14:textId="29B3D090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105.5</w:t>
            </w:r>
          </w:p>
        </w:tc>
        <w:tc>
          <w:tcPr>
            <w:tcW w:w="941" w:type="dxa"/>
          </w:tcPr>
          <w:p w14:paraId="148C0C47" w14:textId="3782EAB4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108.5*</w:t>
            </w:r>
          </w:p>
        </w:tc>
        <w:tc>
          <w:tcPr>
            <w:tcW w:w="845" w:type="dxa"/>
            <w:vAlign w:val="center"/>
          </w:tcPr>
          <w:p w14:paraId="5BBFCADF" w14:textId="048C8E60" w:rsidR="003A6D81" w:rsidRPr="003627E7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104.5</w:t>
            </w:r>
          </w:p>
        </w:tc>
      </w:tr>
      <w:tr w:rsidR="003A6D81" w:rsidRPr="003627E7" w14:paraId="7E99FDCD" w14:textId="77777777" w:rsidTr="00F21184">
        <w:trPr>
          <w:trHeight w:val="57"/>
        </w:trPr>
        <w:tc>
          <w:tcPr>
            <w:tcW w:w="2391" w:type="dxa"/>
            <w:vAlign w:val="center"/>
          </w:tcPr>
          <w:p w14:paraId="30D18A9C" w14:textId="77777777" w:rsidR="003A6D81" w:rsidRPr="003627E7" w:rsidRDefault="003A6D81" w:rsidP="003A6D8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986" w:type="dxa"/>
          </w:tcPr>
          <w:p w14:paraId="71BF53D1" w14:textId="6591FE7A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99.3*</w:t>
            </w:r>
          </w:p>
        </w:tc>
        <w:tc>
          <w:tcPr>
            <w:tcW w:w="876" w:type="dxa"/>
          </w:tcPr>
          <w:p w14:paraId="53FF6E43" w14:textId="642F4261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92.7</w:t>
            </w:r>
          </w:p>
        </w:tc>
        <w:tc>
          <w:tcPr>
            <w:tcW w:w="954" w:type="dxa"/>
          </w:tcPr>
          <w:p w14:paraId="0935EB91" w14:textId="5FAFC13E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107.9*</w:t>
            </w:r>
          </w:p>
        </w:tc>
        <w:tc>
          <w:tcPr>
            <w:tcW w:w="889" w:type="dxa"/>
          </w:tcPr>
          <w:p w14:paraId="749ACA60" w14:textId="402B80E9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96.8</w:t>
            </w:r>
          </w:p>
        </w:tc>
        <w:tc>
          <w:tcPr>
            <w:tcW w:w="941" w:type="dxa"/>
          </w:tcPr>
          <w:p w14:paraId="7152C79F" w14:textId="31F5866E" w:rsidR="003A6D81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109.2*</w:t>
            </w:r>
          </w:p>
        </w:tc>
        <w:tc>
          <w:tcPr>
            <w:tcW w:w="845" w:type="dxa"/>
            <w:vAlign w:val="center"/>
          </w:tcPr>
          <w:p w14:paraId="0FC11D9E" w14:textId="400E0566" w:rsidR="003A6D81" w:rsidRPr="003627E7" w:rsidRDefault="003A6D81" w:rsidP="003A6D8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</w:tr>
      <w:tr w:rsidR="003A6D81" w:rsidRPr="003A6D81" w14:paraId="7B7A0335" w14:textId="77777777" w:rsidTr="003A6D81">
        <w:trPr>
          <w:trHeight w:val="57"/>
        </w:trPr>
        <w:tc>
          <w:tcPr>
            <w:tcW w:w="2391" w:type="dxa"/>
            <w:vAlign w:val="center"/>
          </w:tcPr>
          <w:p w14:paraId="74AAA5A5" w14:textId="77777777" w:rsidR="003A6D81" w:rsidRPr="004F53D4" w:rsidRDefault="003A6D81" w:rsidP="003A6D81">
            <w:pPr>
              <w:spacing w:before="0" w:after="0"/>
              <w:rPr>
                <w:sz w:val="16"/>
                <w:szCs w:val="18"/>
                <w:shd w:val="clear" w:color="auto" w:fill="FFFFFF"/>
                <w:lang w:val="en-US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986" w:type="dxa"/>
          </w:tcPr>
          <w:p w14:paraId="3A4F2BC3" w14:textId="77777777" w:rsidR="003A6D81" w:rsidRPr="00F446CC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ED122FD" w14:textId="205DCA01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108.5*</w:t>
            </w:r>
          </w:p>
        </w:tc>
        <w:tc>
          <w:tcPr>
            <w:tcW w:w="876" w:type="dxa"/>
          </w:tcPr>
          <w:p w14:paraId="08DDA80F" w14:textId="77777777" w:rsidR="003A6D81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861E863" w14:textId="4FB4B7FF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116.8</w:t>
            </w:r>
          </w:p>
        </w:tc>
        <w:tc>
          <w:tcPr>
            <w:tcW w:w="954" w:type="dxa"/>
          </w:tcPr>
          <w:p w14:paraId="19987369" w14:textId="77777777" w:rsidR="003A6D81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0A9E192" w14:textId="1F12E647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97.4*</w:t>
            </w:r>
          </w:p>
        </w:tc>
        <w:tc>
          <w:tcPr>
            <w:tcW w:w="889" w:type="dxa"/>
          </w:tcPr>
          <w:p w14:paraId="235217FB" w14:textId="77777777" w:rsidR="003A6D81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7860DDD" w14:textId="13360F57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118.7</w:t>
            </w:r>
          </w:p>
        </w:tc>
        <w:tc>
          <w:tcPr>
            <w:tcW w:w="941" w:type="dxa"/>
          </w:tcPr>
          <w:p w14:paraId="78E0C8D5" w14:textId="77777777" w:rsidR="003A6D81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367E6" w14:textId="4459E159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139.4*</w:t>
            </w:r>
          </w:p>
        </w:tc>
        <w:tc>
          <w:tcPr>
            <w:tcW w:w="845" w:type="dxa"/>
            <w:vAlign w:val="bottom"/>
          </w:tcPr>
          <w:p w14:paraId="0D25BAC0" w14:textId="7DED6EFA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172.7</w:t>
            </w:r>
          </w:p>
        </w:tc>
      </w:tr>
      <w:tr w:rsidR="003A6D81" w:rsidRPr="003A6D81" w14:paraId="571DDAF4" w14:textId="77777777" w:rsidTr="006C52EE">
        <w:trPr>
          <w:trHeight w:val="624"/>
        </w:trPr>
        <w:tc>
          <w:tcPr>
            <w:tcW w:w="2391" w:type="dxa"/>
            <w:tcBorders>
              <w:bottom w:val="nil"/>
            </w:tcBorders>
            <w:vAlign w:val="center"/>
          </w:tcPr>
          <w:p w14:paraId="12D9EF95" w14:textId="77777777" w:rsidR="003A6D81" w:rsidRPr="004F53D4" w:rsidRDefault="003A6D81" w:rsidP="003A6D81">
            <w:pPr>
              <w:spacing w:before="0" w:after="0"/>
              <w:rPr>
                <w:sz w:val="16"/>
                <w:szCs w:val="18"/>
                <w:shd w:val="clear" w:color="auto" w:fill="FFFFFF"/>
                <w:lang w:val="en-US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986" w:type="dxa"/>
            <w:tcBorders>
              <w:bottom w:val="nil"/>
            </w:tcBorders>
          </w:tcPr>
          <w:p w14:paraId="4E23A18A" w14:textId="77777777" w:rsidR="003A6D81" w:rsidRPr="00F446CC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0401DE9" w14:textId="3A0C1CA4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107.5*</w:t>
            </w:r>
          </w:p>
        </w:tc>
        <w:tc>
          <w:tcPr>
            <w:tcW w:w="876" w:type="dxa"/>
            <w:tcBorders>
              <w:bottom w:val="nil"/>
            </w:tcBorders>
          </w:tcPr>
          <w:p w14:paraId="3A5432B2" w14:textId="77777777" w:rsidR="003A6D81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9914AE9" w14:textId="1C356009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85.4</w:t>
            </w:r>
          </w:p>
        </w:tc>
        <w:tc>
          <w:tcPr>
            <w:tcW w:w="954" w:type="dxa"/>
            <w:tcBorders>
              <w:bottom w:val="nil"/>
            </w:tcBorders>
          </w:tcPr>
          <w:p w14:paraId="16D5B406" w14:textId="77777777" w:rsidR="003A6D81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442FB4C" w14:textId="5C90A034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110.9*</w:t>
            </w:r>
          </w:p>
        </w:tc>
        <w:tc>
          <w:tcPr>
            <w:tcW w:w="889" w:type="dxa"/>
            <w:tcBorders>
              <w:bottom w:val="nil"/>
            </w:tcBorders>
          </w:tcPr>
          <w:p w14:paraId="763E07E3" w14:textId="77777777" w:rsidR="003A6D81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E8F7621" w14:textId="781003DD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941" w:type="dxa"/>
            <w:tcBorders>
              <w:bottom w:val="nil"/>
            </w:tcBorders>
          </w:tcPr>
          <w:p w14:paraId="4E2D81D6" w14:textId="77777777" w:rsidR="003A6D81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1A9A26" w14:textId="39E1741E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127.5*</w:t>
            </w:r>
          </w:p>
        </w:tc>
        <w:tc>
          <w:tcPr>
            <w:tcW w:w="845" w:type="dxa"/>
            <w:tcBorders>
              <w:bottom w:val="nil"/>
            </w:tcBorders>
            <w:vAlign w:val="center"/>
          </w:tcPr>
          <w:p w14:paraId="01989F24" w14:textId="020AA3F5" w:rsidR="003A6D81" w:rsidRPr="00283425" w:rsidRDefault="003A6D81" w:rsidP="003A6D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108.9</w:t>
            </w:r>
          </w:p>
        </w:tc>
      </w:tr>
    </w:tbl>
    <w:p w14:paraId="37A1CCE3" w14:textId="6C0BC0A1" w:rsidR="00201DA0" w:rsidRDefault="00201DA0" w:rsidP="001024BB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6C52EE">
        <w:rPr>
          <w:sz w:val="16"/>
          <w:szCs w:val="16"/>
          <w:lang w:val="en-GB"/>
        </w:rPr>
        <w:t>Dec</w:t>
      </w:r>
      <w:r w:rsidR="00891978">
        <w:rPr>
          <w:sz w:val="16"/>
          <w:szCs w:val="16"/>
          <w:lang w:val="en-GB"/>
        </w:rPr>
        <w:t>ember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3" w:name="_Hlk193124920"/>
      <w:r w:rsidR="00F66589" w:rsidRPr="001245D8">
        <w:rPr>
          <w:sz w:val="16"/>
          <w:szCs w:val="16"/>
          <w:lang w:val="en-GB"/>
        </w:rPr>
        <w:t>preliminary</w:t>
      </w:r>
      <w:bookmarkEnd w:id="3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6C52EE">
        <w:rPr>
          <w:sz w:val="16"/>
          <w:szCs w:val="16"/>
          <w:lang w:val="en-GB"/>
        </w:rPr>
        <w:t>January</w:t>
      </w:r>
      <w:r>
        <w:rPr>
          <w:sz w:val="16"/>
          <w:szCs w:val="16"/>
          <w:lang w:val="en-GB"/>
        </w:rPr>
        <w:t>.</w:t>
      </w:r>
    </w:p>
    <w:p w14:paraId="52E735D6" w14:textId="28C8D1D0" w:rsidR="003627E7" w:rsidRPr="00DD4DC4" w:rsidRDefault="00AF45C5" w:rsidP="00D701BD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1C0F317C" w14:textId="77777777" w:rsidR="00A97185" w:rsidRDefault="00A97185" w:rsidP="00A97185">
      <w:pPr>
        <w:spacing w:after="0"/>
        <w:rPr>
          <w:b/>
          <w:szCs w:val="18"/>
          <w:lang w:val="en-GB"/>
        </w:rPr>
      </w:pPr>
    </w:p>
    <w:p w14:paraId="1A7043E5" w14:textId="207DFAE7" w:rsidR="00AD79E1" w:rsidRDefault="003A6D81" w:rsidP="00A97185">
      <w:pPr>
        <w:spacing w:after="0"/>
        <w:rPr>
          <w:b/>
          <w:spacing w:val="-2"/>
          <w:szCs w:val="19"/>
          <w:lang w:val="en-GB"/>
        </w:rPr>
      </w:pPr>
      <w:bookmarkStart w:id="4" w:name="_Hlk222218184"/>
      <w:r w:rsidRPr="00BB33B9">
        <w:rPr>
          <w:b/>
          <w:szCs w:val="18"/>
          <w:lang w:val="en-GB"/>
        </w:rPr>
        <w:t xml:space="preserve">Chart </w:t>
      </w:r>
      <w:r>
        <w:rPr>
          <w:b/>
          <w:szCs w:val="18"/>
          <w:lang w:val="en-GB"/>
        </w:rPr>
        <w:t>2</w:t>
      </w:r>
      <w:r w:rsidRPr="00BB33B9">
        <w:rPr>
          <w:b/>
          <w:szCs w:val="18"/>
          <w:lang w:val="en-GB"/>
        </w:rPr>
        <w:t xml:space="preserve">. </w:t>
      </w:r>
      <w:bookmarkStart w:id="5" w:name="_Hlk222211393"/>
      <w:r w:rsidRPr="00BB33B9">
        <w:rPr>
          <w:b/>
          <w:szCs w:val="18"/>
          <w:lang w:val="en-GB"/>
        </w:rPr>
        <w:t xml:space="preserve">Sold production of industry </w:t>
      </w:r>
      <w:r w:rsidR="00AD79E1" w:rsidRPr="000A5D02">
        <w:rPr>
          <w:b/>
          <w:spacing w:val="-2"/>
          <w:szCs w:val="19"/>
          <w:lang w:val="en-GB"/>
        </w:rPr>
        <w:t xml:space="preserve">(constant prices; </w:t>
      </w:r>
      <w:r w:rsidR="00AD79E1" w:rsidRPr="00686BD9">
        <w:rPr>
          <w:b/>
          <w:spacing w:val="-2"/>
          <w:szCs w:val="19"/>
          <w:lang w:val="en-GB"/>
        </w:rPr>
        <w:t xml:space="preserve">corresponding </w:t>
      </w:r>
      <w:r w:rsidR="00AD79E1">
        <w:rPr>
          <w:b/>
          <w:spacing w:val="-2"/>
          <w:szCs w:val="19"/>
          <w:lang w:val="en-GB"/>
        </w:rPr>
        <w:t>month</w:t>
      </w:r>
      <w:r w:rsidR="00AD79E1" w:rsidRPr="00686BD9">
        <w:rPr>
          <w:b/>
          <w:spacing w:val="-2"/>
          <w:szCs w:val="19"/>
          <w:lang w:val="en-GB"/>
        </w:rPr>
        <w:t xml:space="preserve"> </w:t>
      </w:r>
    </w:p>
    <w:bookmarkEnd w:id="4"/>
    <w:p w14:paraId="6C2AF28F" w14:textId="0F3C197B" w:rsidR="003A6D81" w:rsidRDefault="00A97185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69888" behindDoc="0" locked="0" layoutInCell="1" allowOverlap="1" wp14:anchorId="39D353BE" wp14:editId="4A6B72AE">
            <wp:simplePos x="0" y="0"/>
            <wp:positionH relativeFrom="column">
              <wp:posOffset>-63500</wp:posOffset>
            </wp:positionH>
            <wp:positionV relativeFrom="paragraph">
              <wp:posOffset>194945</wp:posOffset>
            </wp:positionV>
            <wp:extent cx="5226050" cy="3054350"/>
            <wp:effectExtent l="0" t="0" r="0" b="0"/>
            <wp:wrapSquare wrapText="bothSides"/>
            <wp:docPr id="9" name="Obraz 9" descr="Sold production of industry (constant prices; corresponding month of previous year=100) in years 2024-2026 - unadjusted data, seasonally adjusted dat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79E1" w:rsidRPr="00686BD9">
        <w:rPr>
          <w:b/>
          <w:spacing w:val="-2"/>
          <w:szCs w:val="19"/>
          <w:lang w:val="en-GB"/>
        </w:rPr>
        <w:t>of previous year=100</w:t>
      </w:r>
      <w:r w:rsidR="00AD79E1" w:rsidRPr="000A5D02">
        <w:rPr>
          <w:b/>
          <w:spacing w:val="-2"/>
          <w:szCs w:val="19"/>
          <w:lang w:val="en-GB"/>
        </w:rPr>
        <w:t>)</w:t>
      </w:r>
      <w:bookmarkEnd w:id="5"/>
    </w:p>
    <w:p w14:paraId="4B1D53C4" w14:textId="51200997" w:rsidR="00AD79E1" w:rsidRPr="00AD79E1" w:rsidRDefault="00B66EFC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3FC8991">
                <wp:simplePos x="0" y="0"/>
                <wp:positionH relativeFrom="rightMargin">
                  <wp:posOffset>38735</wp:posOffset>
                </wp:positionH>
                <wp:positionV relativeFrom="paragraph">
                  <wp:posOffset>3263265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 which recorded a decrease per year, amounted to 64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043B8CB1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360C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C842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60C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64.1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alt="The share in total industry of sold production of divisions which recorded a decrease per year, amounted to 64.1%" style="position:absolute;left:0;text-align:left;margin-left:3.05pt;margin-top:256.95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" filled="f" stroked="f">
                <v:textbox>
                  <w:txbxContent>
                    <w:p w14:paraId="1CC8237B" w14:textId="043B8CB1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360C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C842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60C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64.1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45D911A" w14:textId="0C37BB7B" w:rsidR="00D047BD" w:rsidRDefault="00BB33B9" w:rsidP="00D73C1C">
      <w:pPr>
        <w:spacing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January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D047BD">
        <w:rPr>
          <w:noProof/>
          <w:spacing w:val="-2"/>
          <w:szCs w:val="19"/>
          <w:lang w:val="en-GB"/>
        </w:rPr>
        <w:t>6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404557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de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</w:t>
      </w:r>
      <w:r w:rsidR="0039740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compared to </w:t>
      </w:r>
      <w:r w:rsidR="00D047BD">
        <w:rPr>
          <w:noProof/>
          <w:spacing w:val="-2"/>
          <w:szCs w:val="19"/>
          <w:lang w:val="en-GB"/>
        </w:rPr>
        <w:t>January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D047BD">
        <w:rPr>
          <w:noProof/>
          <w:spacing w:val="-2"/>
          <w:szCs w:val="19"/>
          <w:lang w:val="en-GB"/>
        </w:rPr>
        <w:t>5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6" w:name="_Hlk135220015"/>
      <w:r>
        <w:rPr>
          <w:noProof/>
          <w:spacing w:val="-2"/>
          <w:szCs w:val="19"/>
          <w:lang w:val="en-GB"/>
        </w:rPr>
        <w:t xml:space="preserve">in </w:t>
      </w:r>
      <w:r w:rsidR="00404557">
        <w:rPr>
          <w:noProof/>
          <w:spacing w:val="-2"/>
          <w:szCs w:val="19"/>
          <w:lang w:val="en-GB"/>
        </w:rPr>
        <w:t>2</w:t>
      </w:r>
      <w:r w:rsidR="00D047BD">
        <w:rPr>
          <w:noProof/>
          <w:spacing w:val="-2"/>
          <w:szCs w:val="19"/>
          <w:lang w:val="en-GB"/>
        </w:rPr>
        <w:t>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6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7" w:name="_Hlk195607966"/>
      <w:r w:rsidR="00D047BD">
        <w:rPr>
          <w:lang w:val="en-GB"/>
        </w:rPr>
        <w:t xml:space="preserve">in </w:t>
      </w:r>
      <w:r w:rsidR="00D047BD">
        <w:rPr>
          <w:noProof/>
          <w:spacing w:val="-2"/>
          <w:szCs w:val="19"/>
          <w:lang w:val="en-GB"/>
        </w:rPr>
        <w:t>m</w:t>
      </w:r>
      <w:r w:rsidR="00D047BD" w:rsidRPr="0096204A">
        <w:rPr>
          <w:noProof/>
          <w:spacing w:val="-2"/>
          <w:szCs w:val="19"/>
          <w:lang w:val="en-GB"/>
        </w:rPr>
        <w:t>anufacture of other non-metallic mineral products</w:t>
      </w:r>
      <w:r w:rsidR="00D047BD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zCs w:val="19"/>
          <w:lang w:val="en-GB"/>
        </w:rPr>
        <w:t>– by 17.0%,</w:t>
      </w:r>
      <w:r w:rsidR="00D047BD" w:rsidRPr="00D047BD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m</w:t>
      </w:r>
      <w:r w:rsidR="00D047BD" w:rsidRPr="00404557">
        <w:rPr>
          <w:noProof/>
          <w:spacing w:val="-2"/>
          <w:szCs w:val="19"/>
          <w:lang w:val="en-GB"/>
        </w:rPr>
        <w:t>anufacture of basic metals</w:t>
      </w:r>
      <w:r w:rsidR="00D047BD">
        <w:rPr>
          <w:noProof/>
          <w:spacing w:val="-2"/>
          <w:szCs w:val="19"/>
          <w:lang w:val="en-GB"/>
        </w:rPr>
        <w:t xml:space="preserve"> – by 14.4%,</w:t>
      </w:r>
      <w:r w:rsidR="00D047BD" w:rsidRPr="00D047BD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m</w:t>
      </w:r>
      <w:r w:rsidR="00D047BD" w:rsidRPr="00BD0775">
        <w:rPr>
          <w:noProof/>
          <w:spacing w:val="-2"/>
          <w:szCs w:val="19"/>
          <w:lang w:val="en-GB"/>
        </w:rPr>
        <w:t>anufacture of chemicals and chemical products</w:t>
      </w:r>
      <w:r w:rsidR="00D047BD">
        <w:rPr>
          <w:noProof/>
          <w:spacing w:val="-2"/>
          <w:szCs w:val="19"/>
          <w:lang w:val="en-GB"/>
        </w:rPr>
        <w:t xml:space="preserve"> – by 10.5%, m</w:t>
      </w:r>
      <w:r w:rsidR="00D047BD" w:rsidRPr="00EC3C88">
        <w:rPr>
          <w:noProof/>
          <w:spacing w:val="-2"/>
          <w:szCs w:val="19"/>
          <w:lang w:val="en-GB"/>
        </w:rPr>
        <w:t>anufacture of products of wood, cork, straw and wicker</w:t>
      </w:r>
      <w:r w:rsidR="00D047BD">
        <w:rPr>
          <w:noProof/>
          <w:spacing w:val="-2"/>
          <w:szCs w:val="19"/>
          <w:lang w:val="en-GB"/>
        </w:rPr>
        <w:t xml:space="preserve"> – by 7.6%,</w:t>
      </w:r>
      <w:r w:rsidR="00D047BD" w:rsidRPr="00404557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m</w:t>
      </w:r>
      <w:r w:rsidR="00D047BD" w:rsidRPr="00404557">
        <w:rPr>
          <w:noProof/>
          <w:spacing w:val="-2"/>
          <w:szCs w:val="19"/>
          <w:lang w:val="en-GB"/>
        </w:rPr>
        <w:t>anufacture of metal products</w:t>
      </w:r>
      <w:r w:rsidR="00D047BD">
        <w:rPr>
          <w:noProof/>
          <w:spacing w:val="-2"/>
          <w:szCs w:val="19"/>
          <w:lang w:val="en-GB"/>
        </w:rPr>
        <w:t xml:space="preserve"> and m</w:t>
      </w:r>
      <w:r w:rsidR="00D047BD" w:rsidRPr="00CC072F">
        <w:rPr>
          <w:noProof/>
          <w:spacing w:val="-2"/>
          <w:szCs w:val="19"/>
          <w:lang w:val="en-GB"/>
        </w:rPr>
        <w:t>anufacture of furniture</w:t>
      </w:r>
      <w:r w:rsidR="00D047BD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zCs w:val="19"/>
          <w:lang w:val="en-GB"/>
        </w:rPr>
        <w:t>– by 6.6% each,</w:t>
      </w:r>
      <w:r w:rsidR="00D047BD" w:rsidRPr="00404557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m</w:t>
      </w:r>
      <w:r w:rsidR="00D047BD" w:rsidRPr="006D0F27">
        <w:rPr>
          <w:noProof/>
          <w:spacing w:val="-2"/>
          <w:szCs w:val="19"/>
          <w:lang w:val="en-GB"/>
        </w:rPr>
        <w:t>anufacture of rubber and plastic products</w:t>
      </w:r>
      <w:r w:rsidR="00D047BD">
        <w:rPr>
          <w:noProof/>
          <w:spacing w:val="-2"/>
          <w:szCs w:val="19"/>
          <w:lang w:val="en-GB"/>
        </w:rPr>
        <w:t xml:space="preserve"> – by 6.2%.</w:t>
      </w:r>
    </w:p>
    <w:bookmarkEnd w:id="7"/>
    <w:p w14:paraId="0250B0B8" w14:textId="0F895350" w:rsidR="00D047BD" w:rsidRDefault="00E74A2F" w:rsidP="00D047BD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D047BD">
        <w:rPr>
          <w:noProof/>
          <w:szCs w:val="19"/>
          <w:lang w:val="en-GB"/>
        </w:rPr>
        <w:t>n</w:t>
      </w:r>
      <w:r w:rsidR="00404557">
        <w:rPr>
          <w:noProof/>
          <w:szCs w:val="19"/>
          <w:lang w:val="en-GB"/>
        </w:rPr>
        <w:t xml:space="preserve"> </w:t>
      </w:r>
      <w:r w:rsidR="00D047BD">
        <w:rPr>
          <w:noProof/>
          <w:szCs w:val="19"/>
          <w:lang w:val="en-GB"/>
        </w:rPr>
        <w:t>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compared to </w:t>
      </w:r>
      <w:r w:rsidR="00D047BD">
        <w:rPr>
          <w:noProof/>
          <w:szCs w:val="19"/>
          <w:lang w:val="en-GB"/>
        </w:rPr>
        <w:t>Janaury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047BD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, was recorded in </w:t>
      </w:r>
      <w:r w:rsidR="00D047BD">
        <w:rPr>
          <w:noProof/>
          <w:szCs w:val="19"/>
          <w:lang w:val="en-GB"/>
        </w:rPr>
        <w:t>13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D047BD">
        <w:rPr>
          <w:lang w:val="en-GB"/>
        </w:rPr>
        <w:t xml:space="preserve">in </w:t>
      </w:r>
      <w:r w:rsidR="00D047BD">
        <w:rPr>
          <w:noProof/>
          <w:spacing w:val="-2"/>
          <w:szCs w:val="19"/>
          <w:lang w:val="en-GB"/>
        </w:rPr>
        <w:t>m</w:t>
      </w:r>
      <w:r w:rsidR="00D047BD" w:rsidRPr="00780942">
        <w:rPr>
          <w:noProof/>
          <w:spacing w:val="-2"/>
          <w:szCs w:val="19"/>
          <w:lang w:val="en-GB"/>
        </w:rPr>
        <w:t>anufacture of other transport equipment</w:t>
      </w:r>
      <w:r w:rsidR="00D047BD">
        <w:rPr>
          <w:noProof/>
          <w:spacing w:val="-2"/>
          <w:szCs w:val="19"/>
          <w:lang w:val="en-GB"/>
        </w:rPr>
        <w:t xml:space="preserve"> – by 24.6%,</w:t>
      </w:r>
      <w:r w:rsidR="00D047BD" w:rsidRPr="00D047BD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in e</w:t>
      </w:r>
      <w:r w:rsidR="00D047BD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D047BD">
        <w:rPr>
          <w:noProof/>
          <w:spacing w:val="-2"/>
          <w:szCs w:val="19"/>
          <w:lang w:val="en-GB"/>
        </w:rPr>
        <w:t xml:space="preserve"> – by 18.7%,</w:t>
      </w:r>
      <w:r w:rsidR="00D047BD" w:rsidRPr="00D047BD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in r</w:t>
      </w:r>
      <w:r w:rsidR="00D047B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D047BD">
        <w:rPr>
          <w:noProof/>
          <w:spacing w:val="-2"/>
          <w:szCs w:val="19"/>
          <w:lang w:val="en-GB"/>
        </w:rPr>
        <w:t xml:space="preserve"> – by 14.3%,</w:t>
      </w:r>
      <w:r w:rsidR="00D047BD" w:rsidRPr="00D047BD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pacing w:val="-2"/>
          <w:szCs w:val="19"/>
          <w:lang w:val="en-GB"/>
        </w:rPr>
        <w:t>in</w:t>
      </w:r>
      <w:r w:rsidR="00D047BD" w:rsidRPr="00404557">
        <w:rPr>
          <w:noProof/>
          <w:szCs w:val="19"/>
          <w:lang w:val="en-GB"/>
        </w:rPr>
        <w:t xml:space="preserve"> </w:t>
      </w:r>
      <w:r w:rsidR="00D047BD">
        <w:rPr>
          <w:noProof/>
          <w:szCs w:val="19"/>
          <w:lang w:val="en-GB"/>
        </w:rPr>
        <w:t>m</w:t>
      </w:r>
      <w:r w:rsidR="00D047BD" w:rsidRPr="004A1F6D">
        <w:rPr>
          <w:noProof/>
          <w:szCs w:val="19"/>
          <w:lang w:val="en-GB"/>
        </w:rPr>
        <w:t xml:space="preserve">anufacture of </w:t>
      </w:r>
      <w:r w:rsidR="00D047BD" w:rsidRPr="005B3DCE">
        <w:rPr>
          <w:noProof/>
          <w:spacing w:val="-2"/>
          <w:szCs w:val="19"/>
          <w:lang w:val="en-GB"/>
        </w:rPr>
        <w:t>machinery and equipment</w:t>
      </w:r>
      <w:r w:rsidR="00D047BD">
        <w:rPr>
          <w:noProof/>
          <w:spacing w:val="-2"/>
          <w:szCs w:val="19"/>
          <w:lang w:val="en-GB"/>
        </w:rPr>
        <w:t xml:space="preserve"> – by 12.6%,</w:t>
      </w:r>
      <w:r w:rsidR="00D047BD" w:rsidRPr="00D047BD">
        <w:rPr>
          <w:lang w:val="en-US"/>
        </w:rPr>
        <w:t xml:space="preserve"> </w:t>
      </w:r>
      <w:r w:rsidR="00D047BD">
        <w:rPr>
          <w:noProof/>
          <w:spacing w:val="-2"/>
          <w:szCs w:val="19"/>
          <w:lang w:val="en-GB"/>
        </w:rPr>
        <w:t>m</w:t>
      </w:r>
      <w:r w:rsidR="00D047BD" w:rsidRPr="00D047BD">
        <w:rPr>
          <w:noProof/>
          <w:spacing w:val="-2"/>
          <w:szCs w:val="19"/>
          <w:lang w:val="en-GB"/>
        </w:rPr>
        <w:t>anufacture of computer, electronic and optical products</w:t>
      </w:r>
      <w:r w:rsidR="00D047BD">
        <w:rPr>
          <w:noProof/>
          <w:spacing w:val="-2"/>
          <w:szCs w:val="19"/>
          <w:lang w:val="en-GB"/>
        </w:rPr>
        <w:t xml:space="preserve"> </w:t>
      </w:r>
      <w:r w:rsidR="00D047BD">
        <w:rPr>
          <w:noProof/>
          <w:szCs w:val="19"/>
          <w:lang w:val="en-GB"/>
        </w:rPr>
        <w:t>– by 5.2%.</w:t>
      </w:r>
    </w:p>
    <w:p w14:paraId="7C28497D" w14:textId="77777777" w:rsidR="00A57321" w:rsidRDefault="00A57321" w:rsidP="002D3A74">
      <w:pPr>
        <w:spacing w:before="240" w:after="0"/>
        <w:rPr>
          <w:b/>
          <w:spacing w:val="-2"/>
          <w:szCs w:val="19"/>
          <w:lang w:val="en-GB"/>
        </w:rPr>
      </w:pPr>
    </w:p>
    <w:p w14:paraId="5175D03E" w14:textId="0F470B18" w:rsidR="00680622" w:rsidRPr="000A5D02" w:rsidRDefault="00680622" w:rsidP="002D3A74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 xml:space="preserve">Chart </w:t>
      </w:r>
      <w:r w:rsidR="00A57321">
        <w:rPr>
          <w:b/>
          <w:spacing w:val="-2"/>
          <w:szCs w:val="19"/>
          <w:lang w:val="en-GB"/>
        </w:rPr>
        <w:t>3.</w:t>
      </w:r>
      <w:r w:rsidRPr="000A5D02">
        <w:rPr>
          <w:b/>
          <w:spacing w:val="-2"/>
          <w:szCs w:val="19"/>
          <w:lang w:val="en-GB"/>
        </w:rPr>
        <w:t xml:space="preserve">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Pr="000A5D02">
        <w:rPr>
          <w:b/>
          <w:spacing w:val="-2"/>
          <w:szCs w:val="19"/>
          <w:lang w:val="en-GB"/>
        </w:rPr>
        <w:t xml:space="preserve">divisions </w:t>
      </w:r>
    </w:p>
    <w:p w14:paraId="23DE8194" w14:textId="7F8B07E6" w:rsidR="005E2056" w:rsidRPr="00675C41" w:rsidRDefault="00540CDB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70912" behindDoc="0" locked="0" layoutInCell="1" allowOverlap="1" wp14:anchorId="4E11AD78" wp14:editId="5451F16E">
            <wp:simplePos x="0" y="0"/>
            <wp:positionH relativeFrom="column">
              <wp:posOffset>-107950</wp:posOffset>
            </wp:positionH>
            <wp:positionV relativeFrom="paragraph">
              <wp:posOffset>228600</wp:posOffset>
            </wp:positionV>
            <wp:extent cx="5261610" cy="3333750"/>
            <wp:effectExtent l="0" t="0" r="0" b="0"/>
            <wp:wrapSquare wrapText="bothSides"/>
            <wp:docPr id="13" name="Obraz 13" descr="Sold production of industry by selected NACE Rev. 2 divisions (constant prices; corresponding month of previous year=100; unadjusted data) - January 2025, January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 xml:space="preserve">corresponding </w:t>
      </w:r>
      <w:r w:rsidR="000F7D9A">
        <w:rPr>
          <w:b/>
          <w:spacing w:val="-2"/>
          <w:szCs w:val="19"/>
          <w:lang w:val="en-GB"/>
        </w:rPr>
        <w:t>month</w:t>
      </w:r>
      <w:r w:rsidR="00686BD9" w:rsidRPr="00686BD9">
        <w:rPr>
          <w:b/>
          <w:spacing w:val="-2"/>
          <w:szCs w:val="19"/>
          <w:lang w:val="en-GB"/>
        </w:rPr>
        <w:t xml:space="preserve"> of previous year=</w:t>
      </w:r>
      <w:r w:rsidR="00686BD9" w:rsidRPr="00675C41">
        <w:rPr>
          <w:b/>
          <w:spacing w:val="-2"/>
          <w:szCs w:val="19"/>
          <w:lang w:val="en-GB"/>
        </w:rPr>
        <w:t>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680622" w:rsidRPr="00675C41">
        <w:rPr>
          <w:b/>
          <w:spacing w:val="-2"/>
          <w:szCs w:val="19"/>
          <w:lang w:val="en-GB"/>
        </w:rPr>
        <w:t>)</w:t>
      </w:r>
    </w:p>
    <w:p w14:paraId="007BD039" w14:textId="65A795A0" w:rsidR="00540CDB" w:rsidRPr="00C82E44" w:rsidRDefault="00540CDB" w:rsidP="007A4341">
      <w:pPr>
        <w:spacing w:before="0" w:after="0"/>
        <w:rPr>
          <w:b/>
          <w:spacing w:val="-2"/>
          <w:szCs w:val="19"/>
          <w:lang w:val="en-GB"/>
        </w:rPr>
      </w:pPr>
    </w:p>
    <w:p w14:paraId="5DFE1216" w14:textId="105496AF" w:rsidR="00540CDB" w:rsidRDefault="00540CDB" w:rsidP="00540CDB">
      <w:pPr>
        <w:spacing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71936" behindDoc="0" locked="0" layoutInCell="1" allowOverlap="1" wp14:anchorId="070F7FE7" wp14:editId="0872C9FA">
            <wp:simplePos x="0" y="0"/>
            <wp:positionH relativeFrom="column">
              <wp:posOffset>-76200</wp:posOffset>
            </wp:positionH>
            <wp:positionV relativeFrom="paragraph">
              <wp:posOffset>342900</wp:posOffset>
            </wp:positionV>
            <wp:extent cx="5229860" cy="2816860"/>
            <wp:effectExtent l="0" t="0" r="8890" b="2540"/>
            <wp:wrapSquare wrapText="bothSides"/>
            <wp:docPr id="19" name="Obraz 19" descr="Sold production of industry (constant prices; previous month=100) in years 2024-2026 - unadjusted data, seasonally adjusted dat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B33B9">
        <w:rPr>
          <w:b/>
          <w:szCs w:val="18"/>
          <w:lang w:val="en-GB"/>
        </w:rPr>
        <w:t xml:space="preserve">Chart </w:t>
      </w:r>
      <w:r>
        <w:rPr>
          <w:b/>
          <w:szCs w:val="18"/>
          <w:lang w:val="en-GB"/>
        </w:rPr>
        <w:t>4</w:t>
      </w:r>
      <w:r w:rsidRPr="00BB33B9">
        <w:rPr>
          <w:b/>
          <w:szCs w:val="18"/>
          <w:lang w:val="en-GB"/>
        </w:rPr>
        <w:t xml:space="preserve">. Sold production of industry </w:t>
      </w:r>
      <w:r w:rsidRPr="000A5D02">
        <w:rPr>
          <w:b/>
          <w:spacing w:val="-2"/>
          <w:szCs w:val="19"/>
          <w:lang w:val="en-GB"/>
        </w:rPr>
        <w:t>(constant prices; previous month=100</w:t>
      </w:r>
      <w:r>
        <w:rPr>
          <w:b/>
          <w:spacing w:val="-2"/>
          <w:szCs w:val="19"/>
          <w:lang w:val="en-GB"/>
        </w:rPr>
        <w:t>)</w:t>
      </w:r>
    </w:p>
    <w:p w14:paraId="4D7C841C" w14:textId="182581AE" w:rsidR="00B66EFC" w:rsidRDefault="00B66EFC" w:rsidP="00540CDB">
      <w:pPr>
        <w:spacing w:before="0" w:after="0"/>
        <w:rPr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350E6107">
                <wp:simplePos x="0" y="0"/>
                <wp:positionH relativeFrom="rightMargin">
                  <wp:posOffset>88900</wp:posOffset>
                </wp:positionH>
                <wp:positionV relativeFrom="paragraph">
                  <wp:posOffset>3034030</wp:posOffset>
                </wp:positionV>
                <wp:extent cx="1732915" cy="1016000"/>
                <wp:effectExtent l="0" t="0" r="0" b="0"/>
                <wp:wrapSquare wrapText="bothSides"/>
                <wp:docPr id="6" name="Pole tekstowe 6" descr="The share in total industry of sold production of divisions which recorded a decrease compared to December 2025 amounted to 57.0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1DDED3C2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hare in total industry of sold production of divisions</w:t>
                            </w:r>
                            <w:r w:rsidR="001308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BC3B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360C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</w:t>
                            </w:r>
                            <w:r w:rsidR="005E205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ember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2025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60C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57.0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34B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0" type="#_x0000_t202" alt="The share in total industry of sold production of divisions which recorded a decrease compared to December 2025 amounted to 57.0% " style="position:absolute;margin-left:7pt;margin-top:238.9pt;width:136.45pt;height:80pt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" filled="f" stroked="f">
                <v:textbox>
                  <w:txbxContent>
                    <w:p w14:paraId="0E5C4873" w14:textId="1DDED3C2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hare in total industry of sold production of divisions</w:t>
                      </w:r>
                      <w:r w:rsidR="001308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BC3B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360C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</w:t>
                      </w:r>
                      <w:r w:rsidR="005E205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ember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2025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60C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57.0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34B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7C0A0C" w14:textId="055B0CD2" w:rsidR="00540CDB" w:rsidRDefault="00540CDB" w:rsidP="00540CDB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>In January 2026,</w:t>
      </w:r>
      <w:r w:rsidRPr="00946446">
        <w:rPr>
          <w:szCs w:val="19"/>
          <w:lang w:val="en-GB"/>
        </w:rPr>
        <w:t xml:space="preserve"> </w:t>
      </w:r>
      <w:r>
        <w:rPr>
          <w:szCs w:val="19"/>
          <w:lang w:val="en-GB"/>
        </w:rPr>
        <w:t>a de</w:t>
      </w:r>
      <w:r w:rsidRPr="00946446">
        <w:rPr>
          <w:szCs w:val="19"/>
          <w:lang w:val="en-GB"/>
        </w:rPr>
        <w:t xml:space="preserve">crease </w:t>
      </w:r>
      <w:r>
        <w:rPr>
          <w:szCs w:val="19"/>
          <w:lang w:val="en-GB"/>
        </w:rPr>
        <w:t xml:space="preserve">in 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 xml:space="preserve">ld production </w:t>
      </w:r>
      <w:r>
        <w:rPr>
          <w:szCs w:val="19"/>
          <w:lang w:val="en-GB"/>
        </w:rPr>
        <w:t xml:space="preserve">(in constant prices), compared to December 2025, </w:t>
      </w:r>
      <w:r w:rsidRPr="00946446">
        <w:rPr>
          <w:szCs w:val="19"/>
          <w:lang w:val="en-GB"/>
        </w:rPr>
        <w:t xml:space="preserve">was </w:t>
      </w:r>
      <w:r w:rsidRPr="008F596C">
        <w:rPr>
          <w:szCs w:val="19"/>
          <w:lang w:val="en-GB"/>
        </w:rPr>
        <w:t xml:space="preserve">recorded </w:t>
      </w:r>
      <w:bookmarkStart w:id="8" w:name="_Hlk77319205"/>
      <w:r>
        <w:rPr>
          <w:noProof/>
          <w:spacing w:val="-2"/>
          <w:szCs w:val="19"/>
          <w:lang w:val="en-GB"/>
        </w:rPr>
        <w:t xml:space="preserve">in 22 </w:t>
      </w:r>
      <w:r w:rsidRPr="00D22ECE">
        <w:rPr>
          <w:noProof/>
          <w:spacing w:val="-2"/>
          <w:szCs w:val="19"/>
          <w:lang w:val="en-GB"/>
        </w:rPr>
        <w:t>(out of 34) i</w:t>
      </w:r>
      <w:r>
        <w:rPr>
          <w:noProof/>
          <w:spacing w:val="-2"/>
          <w:szCs w:val="19"/>
          <w:lang w:val="en-GB"/>
        </w:rPr>
        <w:t xml:space="preserve">ndustry divisions, </w:t>
      </w:r>
      <w:r w:rsidRPr="00D22ECE">
        <w:rPr>
          <w:noProof/>
          <w:spacing w:val="-2"/>
          <w:szCs w:val="19"/>
          <w:lang w:val="en-GB"/>
        </w:rPr>
        <w:t>among others</w:t>
      </w:r>
      <w:r w:rsidRPr="00687BD9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 r</w:t>
      </w:r>
      <w:r w:rsidRPr="005B3DCE">
        <w:rPr>
          <w:noProof/>
          <w:spacing w:val="-2"/>
          <w:szCs w:val="19"/>
          <w:lang w:val="en-GB"/>
        </w:rPr>
        <w:t>epair and installation of machinery and equipment</w:t>
      </w:r>
      <w:r>
        <w:rPr>
          <w:noProof/>
          <w:spacing w:val="-2"/>
          <w:szCs w:val="19"/>
          <w:lang w:val="en-GB"/>
        </w:rPr>
        <w:t xml:space="preserve"> – by </w:t>
      </w:r>
      <w:r w:rsidR="00360C43">
        <w:rPr>
          <w:noProof/>
          <w:spacing w:val="-2"/>
          <w:szCs w:val="19"/>
          <w:lang w:val="en-GB"/>
        </w:rPr>
        <w:t>3</w:t>
      </w:r>
      <w:r w:rsidR="00D16891">
        <w:rPr>
          <w:noProof/>
          <w:spacing w:val="-2"/>
          <w:szCs w:val="19"/>
          <w:lang w:val="en-GB"/>
        </w:rPr>
        <w:t>9</w:t>
      </w:r>
      <w:r w:rsidR="00360C43">
        <w:rPr>
          <w:noProof/>
          <w:spacing w:val="-2"/>
          <w:szCs w:val="19"/>
          <w:lang w:val="en-GB"/>
        </w:rPr>
        <w:t>.</w:t>
      </w:r>
      <w:r w:rsidR="00D16891">
        <w:rPr>
          <w:noProof/>
          <w:spacing w:val="-2"/>
          <w:szCs w:val="19"/>
          <w:lang w:val="en-GB"/>
        </w:rPr>
        <w:t>6</w:t>
      </w:r>
      <w:r>
        <w:rPr>
          <w:noProof/>
          <w:spacing w:val="-2"/>
          <w:szCs w:val="19"/>
          <w:lang w:val="en-GB"/>
        </w:rPr>
        <w:t>%,</w:t>
      </w:r>
      <w:r w:rsidRPr="005E2056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 m</w:t>
      </w:r>
      <w:r w:rsidRPr="00780942">
        <w:rPr>
          <w:noProof/>
          <w:spacing w:val="-2"/>
          <w:szCs w:val="19"/>
          <w:lang w:val="en-GB"/>
        </w:rPr>
        <w:t>anufacture of other transport equipment</w:t>
      </w:r>
      <w:r>
        <w:rPr>
          <w:noProof/>
          <w:spacing w:val="-2"/>
          <w:szCs w:val="19"/>
          <w:lang w:val="en-GB"/>
        </w:rPr>
        <w:t xml:space="preserve"> – by 31.</w:t>
      </w:r>
      <w:r w:rsidR="00360C43">
        <w:rPr>
          <w:noProof/>
          <w:spacing w:val="-2"/>
          <w:szCs w:val="19"/>
          <w:lang w:val="en-GB"/>
        </w:rPr>
        <w:t>9</w:t>
      </w:r>
      <w:r>
        <w:rPr>
          <w:noProof/>
          <w:spacing w:val="-2"/>
          <w:szCs w:val="19"/>
          <w:lang w:val="en-GB"/>
        </w:rPr>
        <w:t>%,</w:t>
      </w:r>
      <w:r w:rsidRPr="00540CDB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m</w:t>
      </w:r>
      <w:r w:rsidRPr="004A1F6D">
        <w:rPr>
          <w:noProof/>
          <w:szCs w:val="19"/>
          <w:lang w:val="en-GB"/>
        </w:rPr>
        <w:t xml:space="preserve">anufacture of </w:t>
      </w:r>
      <w:r w:rsidRPr="005B3DCE">
        <w:rPr>
          <w:noProof/>
          <w:spacing w:val="-2"/>
          <w:szCs w:val="19"/>
          <w:lang w:val="en-GB"/>
        </w:rPr>
        <w:t>machinery and equipment</w:t>
      </w:r>
      <w:r>
        <w:rPr>
          <w:noProof/>
          <w:spacing w:val="-2"/>
          <w:szCs w:val="19"/>
          <w:lang w:val="en-GB"/>
        </w:rPr>
        <w:t xml:space="preserve"> – by </w:t>
      </w:r>
      <w:r w:rsidR="00360C43">
        <w:rPr>
          <w:noProof/>
          <w:spacing w:val="-2"/>
          <w:szCs w:val="19"/>
          <w:lang w:val="en-GB"/>
        </w:rPr>
        <w:t>22.1</w:t>
      </w:r>
      <w:r>
        <w:rPr>
          <w:noProof/>
          <w:spacing w:val="-2"/>
          <w:szCs w:val="19"/>
          <w:lang w:val="en-GB"/>
        </w:rPr>
        <w:t>%,</w:t>
      </w:r>
      <w:r w:rsidRPr="00540CDB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96204A">
        <w:rPr>
          <w:noProof/>
          <w:spacing w:val="-2"/>
          <w:szCs w:val="19"/>
          <w:lang w:val="en-GB"/>
        </w:rPr>
        <w:t>anufacture of other non-</w:t>
      </w:r>
      <w:r w:rsidR="001024BB">
        <w:rPr>
          <w:noProof/>
          <w:spacing w:val="-2"/>
          <w:szCs w:val="19"/>
          <w:lang w:val="en-GB"/>
        </w:rPr>
        <w:t xml:space="preserve">       -</w:t>
      </w:r>
      <w:r w:rsidRPr="0096204A">
        <w:rPr>
          <w:noProof/>
          <w:spacing w:val="-2"/>
          <w:szCs w:val="19"/>
          <w:lang w:val="en-GB"/>
        </w:rPr>
        <w:t>metallic mineral products</w:t>
      </w:r>
      <w:r>
        <w:rPr>
          <w:noProof/>
          <w:spacing w:val="-2"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 xml:space="preserve">– by </w:t>
      </w:r>
      <w:r w:rsidR="00360C43">
        <w:rPr>
          <w:noProof/>
          <w:szCs w:val="19"/>
          <w:lang w:val="en-GB"/>
        </w:rPr>
        <w:t>21.1</w:t>
      </w:r>
      <w:r>
        <w:rPr>
          <w:noProof/>
          <w:szCs w:val="19"/>
          <w:lang w:val="en-GB"/>
        </w:rPr>
        <w:t>%,</w:t>
      </w:r>
      <w:r w:rsidRPr="00D047BD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 w</w:t>
      </w:r>
      <w:r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>
        <w:rPr>
          <w:noProof/>
          <w:spacing w:val="-2"/>
          <w:szCs w:val="19"/>
          <w:lang w:val="en-GB"/>
        </w:rPr>
        <w:t xml:space="preserve"> – by </w:t>
      </w:r>
      <w:r w:rsidR="00360C43">
        <w:rPr>
          <w:noProof/>
          <w:spacing w:val="-2"/>
          <w:szCs w:val="19"/>
          <w:lang w:val="en-GB"/>
        </w:rPr>
        <w:t>17.6</w:t>
      </w:r>
      <w:r>
        <w:rPr>
          <w:noProof/>
          <w:spacing w:val="-2"/>
          <w:szCs w:val="19"/>
          <w:lang w:val="en-GB"/>
        </w:rPr>
        <w:t>%, in m</w:t>
      </w:r>
      <w:r w:rsidRPr="00404557">
        <w:rPr>
          <w:noProof/>
          <w:spacing w:val="-2"/>
          <w:szCs w:val="19"/>
          <w:lang w:val="en-GB"/>
        </w:rPr>
        <w:t>anufacture of metal products</w:t>
      </w:r>
      <w:r>
        <w:rPr>
          <w:noProof/>
          <w:spacing w:val="-2"/>
          <w:szCs w:val="19"/>
          <w:lang w:val="en-GB"/>
        </w:rPr>
        <w:t xml:space="preserve"> – by </w:t>
      </w:r>
      <w:r w:rsidR="00360C43">
        <w:rPr>
          <w:noProof/>
          <w:spacing w:val="-2"/>
          <w:szCs w:val="19"/>
          <w:lang w:val="en-GB"/>
        </w:rPr>
        <w:t>15.2</w:t>
      </w:r>
      <w:r>
        <w:rPr>
          <w:noProof/>
          <w:spacing w:val="-2"/>
          <w:szCs w:val="19"/>
          <w:lang w:val="en-GB"/>
        </w:rPr>
        <w:t>%.</w:t>
      </w:r>
    </w:p>
    <w:p w14:paraId="564DCA6A" w14:textId="126A862B" w:rsidR="00360C43" w:rsidRDefault="00360C43" w:rsidP="00360C43">
      <w:pPr>
        <w:spacing w:after="0"/>
        <w:rPr>
          <w:lang w:val="en-US"/>
        </w:rPr>
      </w:pPr>
      <w:r>
        <w:rPr>
          <w:noProof/>
          <w:szCs w:val="19"/>
          <w:lang w:val="en-GB"/>
        </w:rPr>
        <w:t>An in</w:t>
      </w:r>
      <w:r w:rsidRPr="00A92C78">
        <w:rPr>
          <w:noProof/>
          <w:szCs w:val="19"/>
          <w:lang w:val="en-GB"/>
        </w:rPr>
        <w:t>crease in sold productio</w:t>
      </w:r>
      <w:r>
        <w:rPr>
          <w:noProof/>
          <w:szCs w:val="19"/>
          <w:lang w:val="en-GB"/>
        </w:rPr>
        <w:t xml:space="preserve">n of industry, compared to </w:t>
      </w:r>
      <w:r>
        <w:rPr>
          <w:szCs w:val="19"/>
          <w:lang w:val="en-GB"/>
        </w:rPr>
        <w:t>December 2025</w:t>
      </w:r>
      <w:r>
        <w:rPr>
          <w:noProof/>
          <w:szCs w:val="19"/>
          <w:lang w:val="en-GB"/>
        </w:rPr>
        <w:t>, was recorded in 12 </w:t>
      </w:r>
      <w:r w:rsidRPr="00223D02">
        <w:rPr>
          <w:noProof/>
          <w:szCs w:val="19"/>
          <w:lang w:val="en-GB"/>
        </w:rPr>
        <w:t>division</w:t>
      </w:r>
      <w:r>
        <w:rPr>
          <w:noProof/>
          <w:szCs w:val="19"/>
          <w:lang w:val="en-GB"/>
        </w:rPr>
        <w:t>s</w:t>
      </w:r>
      <w:r w:rsidRPr="00223D02">
        <w:rPr>
          <w:noProof/>
          <w:szCs w:val="19"/>
          <w:lang w:val="en-GB"/>
        </w:rPr>
        <w:t xml:space="preserve">, </w:t>
      </w:r>
      <w:r w:rsidRPr="00D22ECE">
        <w:rPr>
          <w:noProof/>
          <w:spacing w:val="-2"/>
          <w:szCs w:val="19"/>
          <w:lang w:val="en-GB"/>
        </w:rPr>
        <w:t>among others</w:t>
      </w:r>
      <w:r w:rsidRPr="00CC072F">
        <w:rPr>
          <w:lang w:val="en-US"/>
        </w:rPr>
        <w:t xml:space="preserve"> </w:t>
      </w:r>
      <w:r>
        <w:rPr>
          <w:lang w:val="en-US"/>
        </w:rPr>
        <w:t xml:space="preserve">in </w:t>
      </w:r>
      <w:r>
        <w:rPr>
          <w:noProof/>
          <w:spacing w:val="-2"/>
          <w:szCs w:val="19"/>
          <w:lang w:val="en-GB"/>
        </w:rPr>
        <w:t>m</w:t>
      </w:r>
      <w:r w:rsidRPr="00404557">
        <w:rPr>
          <w:noProof/>
          <w:spacing w:val="-2"/>
          <w:szCs w:val="19"/>
          <w:lang w:val="en-GB"/>
        </w:rPr>
        <w:t>anufacture of basic metals</w:t>
      </w:r>
      <w:r>
        <w:rPr>
          <w:noProof/>
          <w:spacing w:val="-2"/>
          <w:szCs w:val="19"/>
          <w:lang w:val="en-GB"/>
        </w:rPr>
        <w:t xml:space="preserve"> – by 21.2%,</w:t>
      </w:r>
      <w:r w:rsidRPr="00360C43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 e</w:t>
      </w:r>
      <w:r w:rsidRPr="0096388D">
        <w:rPr>
          <w:noProof/>
          <w:spacing w:val="-2"/>
          <w:szCs w:val="19"/>
          <w:lang w:val="en-GB"/>
        </w:rPr>
        <w:t>lectricity, gas, steam and air conditioning supply</w:t>
      </w:r>
      <w:r>
        <w:rPr>
          <w:noProof/>
          <w:spacing w:val="-2"/>
          <w:szCs w:val="19"/>
          <w:lang w:val="en-GB"/>
        </w:rPr>
        <w:t xml:space="preserve"> – by 16.8%,</w:t>
      </w:r>
      <w:r w:rsidRPr="00360C43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 m</w:t>
      </w:r>
      <w:r w:rsidRPr="00EC3C88">
        <w:rPr>
          <w:noProof/>
          <w:spacing w:val="-2"/>
          <w:szCs w:val="19"/>
          <w:lang w:val="en-GB"/>
        </w:rPr>
        <w:t xml:space="preserve">anufacture of paper and </w:t>
      </w:r>
      <w:r w:rsidRPr="00540CDB">
        <w:rPr>
          <w:noProof/>
          <w:spacing w:val="-2"/>
          <w:szCs w:val="19"/>
          <w:lang w:val="en-GB"/>
        </w:rPr>
        <w:t>paper</w:t>
      </w:r>
      <w:r w:rsidRPr="00EC3C88">
        <w:rPr>
          <w:noProof/>
          <w:spacing w:val="-2"/>
          <w:szCs w:val="19"/>
          <w:lang w:val="en-GB"/>
        </w:rPr>
        <w:t xml:space="preserve"> products</w:t>
      </w:r>
      <w:r>
        <w:rPr>
          <w:noProof/>
          <w:spacing w:val="-2"/>
          <w:szCs w:val="19"/>
          <w:lang w:val="en-GB"/>
        </w:rPr>
        <w:t xml:space="preserve"> – by 10.8%,</w:t>
      </w:r>
      <w:r w:rsidRPr="00360C43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EC3C88">
        <w:rPr>
          <w:noProof/>
          <w:spacing w:val="-2"/>
          <w:szCs w:val="19"/>
          <w:lang w:val="en-GB"/>
        </w:rPr>
        <w:t>anufacture of products of wood, cork, straw and wicker</w:t>
      </w:r>
      <w:r>
        <w:rPr>
          <w:noProof/>
          <w:spacing w:val="-2"/>
          <w:szCs w:val="19"/>
          <w:lang w:val="en-GB"/>
        </w:rPr>
        <w:t xml:space="preserve"> – by 10.2%,</w:t>
      </w:r>
      <w:r w:rsidRPr="00360C43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6D0F27">
        <w:rPr>
          <w:noProof/>
          <w:spacing w:val="-2"/>
          <w:szCs w:val="19"/>
          <w:lang w:val="en-GB"/>
        </w:rPr>
        <w:t>anufacture of rubber and plastic products</w:t>
      </w:r>
      <w:r>
        <w:rPr>
          <w:noProof/>
          <w:spacing w:val="-2"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– by 10.0%,</w:t>
      </w:r>
      <w:r w:rsidRPr="00360C43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BD0775">
        <w:rPr>
          <w:noProof/>
          <w:spacing w:val="-2"/>
          <w:szCs w:val="19"/>
          <w:lang w:val="en-GB"/>
        </w:rPr>
        <w:t>anufacture of chemicals and chemical products</w:t>
      </w:r>
      <w:r>
        <w:rPr>
          <w:noProof/>
          <w:spacing w:val="-2"/>
          <w:szCs w:val="19"/>
          <w:lang w:val="en-GB"/>
        </w:rPr>
        <w:t xml:space="preserve"> – by 8.9%.</w:t>
      </w:r>
    </w:p>
    <w:bookmarkEnd w:id="8"/>
    <w:p w14:paraId="6F75E3D8" w14:textId="7A835248" w:rsidR="00540CDB" w:rsidRDefault="00540CDB" w:rsidP="00540CDB">
      <w:pPr>
        <w:spacing w:after="0"/>
        <w:rPr>
          <w:b/>
          <w:spacing w:val="-2"/>
          <w:szCs w:val="19"/>
          <w:lang w:val="en-GB"/>
        </w:rPr>
      </w:pPr>
    </w:p>
    <w:p w14:paraId="1F5B1DF6" w14:textId="409C5E1D" w:rsidR="00E44A8F" w:rsidRPr="00B22800" w:rsidRDefault="00CE008B" w:rsidP="00540CDB">
      <w:pPr>
        <w:spacing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>C</w:t>
      </w:r>
      <w:r w:rsidR="002C0F77" w:rsidRPr="000A5D02">
        <w:rPr>
          <w:b/>
          <w:spacing w:val="-2"/>
          <w:szCs w:val="19"/>
          <w:lang w:val="en-GB"/>
        </w:rPr>
        <w:t xml:space="preserve">hart </w:t>
      </w:r>
      <w:r w:rsidR="00540CDB">
        <w:rPr>
          <w:b/>
          <w:spacing w:val="-2"/>
          <w:szCs w:val="19"/>
          <w:lang w:val="en-GB"/>
        </w:rPr>
        <w:t>5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="00E44A8F"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="00E44A8F" w:rsidRPr="000A5D02">
        <w:rPr>
          <w:b/>
          <w:spacing w:val="-2"/>
          <w:szCs w:val="19"/>
          <w:lang w:val="en-GB"/>
        </w:rPr>
        <w:t xml:space="preserve">divisions </w:t>
      </w:r>
    </w:p>
    <w:p w14:paraId="7693CE34" w14:textId="657096BA" w:rsidR="0064257B" w:rsidRPr="00675C41" w:rsidRDefault="0092549A" w:rsidP="006C52EE">
      <w:pPr>
        <w:spacing w:before="0" w:after="0"/>
        <w:rPr>
          <w:b/>
          <w:spacing w:val="-2"/>
          <w:szCs w:val="19"/>
          <w:lang w:val="en-GB"/>
        </w:rPr>
      </w:pPr>
      <w:bookmarkStart w:id="9" w:name="_GoBack"/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72960" behindDoc="0" locked="0" layoutInCell="1" allowOverlap="1" wp14:anchorId="056038DA" wp14:editId="5155C869">
            <wp:simplePos x="0" y="0"/>
            <wp:positionH relativeFrom="column">
              <wp:posOffset>-158750</wp:posOffset>
            </wp:positionH>
            <wp:positionV relativeFrom="paragraph">
              <wp:posOffset>177800</wp:posOffset>
            </wp:positionV>
            <wp:extent cx="5295900" cy="3746500"/>
            <wp:effectExtent l="0" t="0" r="0" b="6350"/>
            <wp:wrapSquare wrapText="bothSides"/>
            <wp:docPr id="4" name="Obraz 4" descr="Sold production of industry by selected NACE Rev. 2 divisions (constant prices; previous month=100; unadjusted data) - December 2025, January 2026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4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9"/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 xml:space="preserve">previous </w:t>
      </w:r>
      <w:r w:rsidR="00E44A8F" w:rsidRPr="00675C41">
        <w:rPr>
          <w:b/>
          <w:spacing w:val="-2"/>
          <w:szCs w:val="19"/>
          <w:lang w:val="en-GB"/>
        </w:rPr>
        <w:t>month=100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E44A8F" w:rsidRPr="00675C41">
        <w:rPr>
          <w:b/>
          <w:spacing w:val="-2"/>
          <w:szCs w:val="19"/>
          <w:lang w:val="en-GB"/>
        </w:rPr>
        <w:t>)</w:t>
      </w:r>
    </w:p>
    <w:p w14:paraId="136A3AFF" w14:textId="7C05DD18" w:rsidR="00360C43" w:rsidRPr="006C52EE" w:rsidRDefault="00360C43" w:rsidP="006C52EE">
      <w:pPr>
        <w:spacing w:before="0" w:after="0"/>
        <w:rPr>
          <w:b/>
          <w:spacing w:val="-2"/>
          <w:szCs w:val="19"/>
          <w:lang w:val="en-GB"/>
        </w:rPr>
      </w:pPr>
    </w:p>
    <w:p w14:paraId="52F78458" w14:textId="13D3C262" w:rsidR="00360C43" w:rsidRDefault="00360C43" w:rsidP="00643EFC">
      <w:pPr>
        <w:spacing w:line="240" w:lineRule="auto"/>
        <w:rPr>
          <w:szCs w:val="19"/>
          <w:lang w:val="en-GB"/>
        </w:rPr>
      </w:pPr>
    </w:p>
    <w:p w14:paraId="0BDEF919" w14:textId="62F9039B" w:rsidR="00360C43" w:rsidRPr="00675C41" w:rsidRDefault="00675C41" w:rsidP="00643EFC">
      <w:pPr>
        <w:spacing w:line="240" w:lineRule="auto"/>
        <w:rPr>
          <w:b/>
          <w:szCs w:val="19"/>
          <w:lang w:val="en-GB"/>
        </w:rPr>
      </w:pPr>
      <w:r>
        <w:rPr>
          <w:b/>
          <w:szCs w:val="19"/>
          <w:lang w:val="en-GB"/>
        </w:rPr>
        <w:t>Methodological note</w:t>
      </w:r>
    </w:p>
    <w:p w14:paraId="6C72DD4A" w14:textId="218524BC" w:rsidR="00A40223" w:rsidRDefault="007B6CC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Data presented in this news release concern entities with 10 or more persons employed, conducting economic activity classified according to the Polish Classification of Activities (PKD 20</w:t>
      </w:r>
      <w:r w:rsidR="00A40223">
        <w:rPr>
          <w:szCs w:val="19"/>
          <w:lang w:val="en-GB"/>
        </w:rPr>
        <w:t>0</w:t>
      </w:r>
      <w:r>
        <w:rPr>
          <w:szCs w:val="19"/>
          <w:lang w:val="en-GB"/>
        </w:rPr>
        <w:t>7</w:t>
      </w:r>
      <w:r w:rsidR="00F57C49">
        <w:rPr>
          <w:szCs w:val="19"/>
          <w:lang w:val="en-GB"/>
        </w:rPr>
        <w:t>/NACE Rev. 2</w:t>
      </w:r>
      <w:r>
        <w:rPr>
          <w:szCs w:val="19"/>
          <w:lang w:val="en-GB"/>
        </w:rPr>
        <w:t xml:space="preserve">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3BC0BF2C" w:rsidR="00E03167" w:rsidRPr="006B0F3E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5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62A6B29C" w14:textId="7802AA76" w:rsidR="00A91BD7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6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6A9B2D9C" w14:textId="0F8CF7ED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E1008D4" w14:textId="382F7CA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0CE62D2" w14:textId="58B1DCB1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A6C5A4D" w14:textId="69D11A4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5EB167A" w14:textId="76CA0EA0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409FF4D4" w14:textId="538047A6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7B4994F3" w14:textId="50E432D3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D7EAEEE" w14:textId="6009B7F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6FE3D1A7" w14:textId="11EED9B9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32350F9" w14:textId="4CE60DDD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0AEB3F9" w14:textId="393B256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D15F6D8" w14:textId="3EAB98E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816C1D8" w14:textId="7C175E1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4239692" w14:textId="04541704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9039BDE" w14:textId="77777777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491142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669E36F5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  <w:r w:rsidR="003F5912">
              <w:rPr>
                <w:b/>
                <w:sz w:val="20"/>
                <w:szCs w:val="20"/>
                <w:lang w:val="fi-FI"/>
              </w:rPr>
              <w:t>-Macias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21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F2E1054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BC7CF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"https://publikacje.new.stat.gov.pl/en/publications-portal/statistical-bulletin-122025"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FFF715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BC7CF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C65C8E" w:rsidRDefault="004870A7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C65C8E" w:rsidRDefault="004870A7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31" w:history="1"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C65C8E" w:rsidRDefault="004870A7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32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4870A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3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4870A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4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4870A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5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4870A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6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4870A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7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1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F2E1054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BC7CFB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"https://publikacje.new.stat.gov.pl/en/publications-portal/statistical-bulletin-122025"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2FFF715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BC7CFB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hyperlink r:id="rId38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C65C8E" w:rsidRDefault="004870A7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9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C65C8E" w:rsidRDefault="004870A7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Local Data Bank</w:t>
                        </w:r>
                      </w:hyperlink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hyperlink r:id="rId41" w:history="1"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Seasonally un-</w:t>
                        </w:r>
                        <w:proofErr w:type="spellStart"/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C65C8E" w:rsidRDefault="004870A7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42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4870A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4870A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4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4870A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5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4870A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6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4870A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7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37EAB" w14:textId="77777777" w:rsidR="004870A7" w:rsidRDefault="004870A7" w:rsidP="000662E2">
      <w:pPr>
        <w:spacing w:after="0" w:line="240" w:lineRule="auto"/>
      </w:pPr>
      <w:r>
        <w:separator/>
      </w:r>
    </w:p>
  </w:endnote>
  <w:endnote w:type="continuationSeparator" w:id="0">
    <w:p w14:paraId="1DCF91FC" w14:textId="77777777" w:rsidR="004870A7" w:rsidRDefault="004870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4EB3" w14:textId="77777777" w:rsidR="004870A7" w:rsidRDefault="004870A7" w:rsidP="000662E2">
      <w:pPr>
        <w:spacing w:after="0" w:line="240" w:lineRule="auto"/>
      </w:pPr>
      <w:r>
        <w:separator/>
      </w:r>
    </w:p>
  </w:footnote>
  <w:footnote w:type="continuationSeparator" w:id="0">
    <w:p w14:paraId="299E9675" w14:textId="77777777" w:rsidR="004870A7" w:rsidRDefault="004870A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2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7CEB2348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2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9B1EA3F" w:rsidR="00637ED3" w:rsidRPr="00E66F2C" w:rsidRDefault="006C52EE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19.02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Thm3M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59B1EA3F" w:rsidR="00637ED3" w:rsidRPr="00E66F2C" w:rsidRDefault="006C52EE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6pt;height:126pt;visibility:visible;mso-wrap-style:square" o:bullet="t">
        <v:imagedata r:id="rId1" o:title=""/>
      </v:shape>
    </w:pict>
  </w:numPicBullet>
  <w:numPicBullet w:numPicBulletId="1">
    <w:pict>
      <v:shape id="_x0000_i1033" type="#_x0000_t75" style="width:123.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AA3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5935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DC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38AD"/>
    <w:rsid w:val="00094C33"/>
    <w:rsid w:val="00095A05"/>
    <w:rsid w:val="00096A90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4DE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0F7D9A"/>
    <w:rsid w:val="00100946"/>
    <w:rsid w:val="00100E7D"/>
    <w:rsid w:val="001011C3"/>
    <w:rsid w:val="00101571"/>
    <w:rsid w:val="00101B4A"/>
    <w:rsid w:val="001024BB"/>
    <w:rsid w:val="001026F0"/>
    <w:rsid w:val="001030FA"/>
    <w:rsid w:val="001039FA"/>
    <w:rsid w:val="0010569E"/>
    <w:rsid w:val="00105A2D"/>
    <w:rsid w:val="00106E25"/>
    <w:rsid w:val="001070E5"/>
    <w:rsid w:val="001072C6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6FB1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E9C"/>
    <w:rsid w:val="00127F26"/>
    <w:rsid w:val="00130296"/>
    <w:rsid w:val="00130885"/>
    <w:rsid w:val="001310B7"/>
    <w:rsid w:val="00131962"/>
    <w:rsid w:val="0013232F"/>
    <w:rsid w:val="00132A68"/>
    <w:rsid w:val="001336D0"/>
    <w:rsid w:val="00134BAE"/>
    <w:rsid w:val="00134E2D"/>
    <w:rsid w:val="001352F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2F3F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17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526E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0C2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13C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26E81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47FE8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82A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A7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0354"/>
    <w:rsid w:val="002F1617"/>
    <w:rsid w:val="002F1F42"/>
    <w:rsid w:val="002F2BB5"/>
    <w:rsid w:val="002F4D83"/>
    <w:rsid w:val="002F5155"/>
    <w:rsid w:val="002F5333"/>
    <w:rsid w:val="002F5515"/>
    <w:rsid w:val="002F5670"/>
    <w:rsid w:val="002F597B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0C43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4C3"/>
    <w:rsid w:val="00365F22"/>
    <w:rsid w:val="00366879"/>
    <w:rsid w:val="00367237"/>
    <w:rsid w:val="00367C48"/>
    <w:rsid w:val="0037077F"/>
    <w:rsid w:val="00370DBD"/>
    <w:rsid w:val="00371757"/>
    <w:rsid w:val="00371C7E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12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0E"/>
    <w:rsid w:val="00397488"/>
    <w:rsid w:val="00397D18"/>
    <w:rsid w:val="003A0362"/>
    <w:rsid w:val="003A09C1"/>
    <w:rsid w:val="003A0EC3"/>
    <w:rsid w:val="003A0F9F"/>
    <w:rsid w:val="003A18A4"/>
    <w:rsid w:val="003A1B36"/>
    <w:rsid w:val="003A2304"/>
    <w:rsid w:val="003A269D"/>
    <w:rsid w:val="003A2F3A"/>
    <w:rsid w:val="003A4F62"/>
    <w:rsid w:val="003A5793"/>
    <w:rsid w:val="003A64AC"/>
    <w:rsid w:val="003A6D81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16BB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024"/>
    <w:rsid w:val="003F13A9"/>
    <w:rsid w:val="003F1402"/>
    <w:rsid w:val="003F1512"/>
    <w:rsid w:val="003F2D2D"/>
    <w:rsid w:val="003F32DB"/>
    <w:rsid w:val="003F36A3"/>
    <w:rsid w:val="003F4C97"/>
    <w:rsid w:val="003F53CA"/>
    <w:rsid w:val="003F5912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4557"/>
    <w:rsid w:val="00405BFB"/>
    <w:rsid w:val="00405D79"/>
    <w:rsid w:val="004107A5"/>
    <w:rsid w:val="0041140C"/>
    <w:rsid w:val="004118C3"/>
    <w:rsid w:val="00412E8A"/>
    <w:rsid w:val="004130BC"/>
    <w:rsid w:val="0041374E"/>
    <w:rsid w:val="004147F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339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69BD"/>
    <w:rsid w:val="004870A7"/>
    <w:rsid w:val="004877D3"/>
    <w:rsid w:val="004905D5"/>
    <w:rsid w:val="00491142"/>
    <w:rsid w:val="00492F46"/>
    <w:rsid w:val="004937A5"/>
    <w:rsid w:val="00493B1C"/>
    <w:rsid w:val="004949CA"/>
    <w:rsid w:val="00494C43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4DF8"/>
    <w:rsid w:val="004A5B1F"/>
    <w:rsid w:val="004A5B48"/>
    <w:rsid w:val="004A6C40"/>
    <w:rsid w:val="004B084C"/>
    <w:rsid w:val="004B0D8A"/>
    <w:rsid w:val="004B1040"/>
    <w:rsid w:val="004B13C4"/>
    <w:rsid w:val="004B1E6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2BB7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0CDB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1F35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275"/>
    <w:rsid w:val="00585630"/>
    <w:rsid w:val="00585FCB"/>
    <w:rsid w:val="005861A1"/>
    <w:rsid w:val="00590672"/>
    <w:rsid w:val="00590BB1"/>
    <w:rsid w:val="005916D7"/>
    <w:rsid w:val="00591C2F"/>
    <w:rsid w:val="00591D87"/>
    <w:rsid w:val="00591FDF"/>
    <w:rsid w:val="00592190"/>
    <w:rsid w:val="005921E2"/>
    <w:rsid w:val="00592254"/>
    <w:rsid w:val="005926CE"/>
    <w:rsid w:val="00593682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2056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1CD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01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592B"/>
    <w:rsid w:val="00636D19"/>
    <w:rsid w:val="00637ED3"/>
    <w:rsid w:val="00637F51"/>
    <w:rsid w:val="0064002F"/>
    <w:rsid w:val="00640585"/>
    <w:rsid w:val="0064257B"/>
    <w:rsid w:val="00642C4B"/>
    <w:rsid w:val="00643358"/>
    <w:rsid w:val="00643EFC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3FA"/>
    <w:rsid w:val="00661419"/>
    <w:rsid w:val="006631D9"/>
    <w:rsid w:val="00663A16"/>
    <w:rsid w:val="00664589"/>
    <w:rsid w:val="00664FEF"/>
    <w:rsid w:val="0066509D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5C41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40A1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0FF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3F"/>
    <w:rsid w:val="006C38D2"/>
    <w:rsid w:val="006C4724"/>
    <w:rsid w:val="006C4905"/>
    <w:rsid w:val="006C4AF3"/>
    <w:rsid w:val="006C4BEC"/>
    <w:rsid w:val="006C5216"/>
    <w:rsid w:val="006C52EE"/>
    <w:rsid w:val="006C6D12"/>
    <w:rsid w:val="006C7839"/>
    <w:rsid w:val="006D0248"/>
    <w:rsid w:val="006D07A2"/>
    <w:rsid w:val="006D0F27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6E57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2DA2"/>
    <w:rsid w:val="00703FFE"/>
    <w:rsid w:val="00704BB0"/>
    <w:rsid w:val="00706AA5"/>
    <w:rsid w:val="007077F0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9B4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5F10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5617"/>
    <w:rsid w:val="00796CE4"/>
    <w:rsid w:val="00796D16"/>
    <w:rsid w:val="00797294"/>
    <w:rsid w:val="007A1014"/>
    <w:rsid w:val="007A2DC1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3E7E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6F52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0DB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6332"/>
    <w:rsid w:val="00886B16"/>
    <w:rsid w:val="00886D2F"/>
    <w:rsid w:val="008870E8"/>
    <w:rsid w:val="00887F70"/>
    <w:rsid w:val="008907EE"/>
    <w:rsid w:val="00891978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B23"/>
    <w:rsid w:val="008B3CA0"/>
    <w:rsid w:val="008B5601"/>
    <w:rsid w:val="008B63AE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2921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3BE1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49A"/>
    <w:rsid w:val="00925C47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0DD8"/>
    <w:rsid w:val="0096150B"/>
    <w:rsid w:val="0096178E"/>
    <w:rsid w:val="0096204A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3E2C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460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45EF"/>
    <w:rsid w:val="009B6993"/>
    <w:rsid w:val="009B70B2"/>
    <w:rsid w:val="009B7341"/>
    <w:rsid w:val="009B7D46"/>
    <w:rsid w:val="009C0C34"/>
    <w:rsid w:val="009C0CCF"/>
    <w:rsid w:val="009C1335"/>
    <w:rsid w:val="009C1AB2"/>
    <w:rsid w:val="009C2546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4DD6"/>
    <w:rsid w:val="009D61BA"/>
    <w:rsid w:val="009D72DE"/>
    <w:rsid w:val="009D757F"/>
    <w:rsid w:val="009E1AE1"/>
    <w:rsid w:val="009E2192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6CFD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3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69B"/>
    <w:rsid w:val="00A54637"/>
    <w:rsid w:val="00A54D2D"/>
    <w:rsid w:val="00A54EC5"/>
    <w:rsid w:val="00A56357"/>
    <w:rsid w:val="00A563F2"/>
    <w:rsid w:val="00A566E8"/>
    <w:rsid w:val="00A56895"/>
    <w:rsid w:val="00A57321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77EB2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5DC8"/>
    <w:rsid w:val="00A97185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D79E1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B99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17C91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4BE8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2180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EFC"/>
    <w:rsid w:val="00B66F42"/>
    <w:rsid w:val="00B678B9"/>
    <w:rsid w:val="00B70D87"/>
    <w:rsid w:val="00B7105D"/>
    <w:rsid w:val="00B710A0"/>
    <w:rsid w:val="00B71591"/>
    <w:rsid w:val="00B7169D"/>
    <w:rsid w:val="00B71E1D"/>
    <w:rsid w:val="00B73487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B71"/>
    <w:rsid w:val="00BC3D0D"/>
    <w:rsid w:val="00BC3EB9"/>
    <w:rsid w:val="00BC4193"/>
    <w:rsid w:val="00BC49F8"/>
    <w:rsid w:val="00BC4AE4"/>
    <w:rsid w:val="00BC5128"/>
    <w:rsid w:val="00BC5F37"/>
    <w:rsid w:val="00BC6201"/>
    <w:rsid w:val="00BC70A9"/>
    <w:rsid w:val="00BC7912"/>
    <w:rsid w:val="00BC7CFB"/>
    <w:rsid w:val="00BC7EA2"/>
    <w:rsid w:val="00BD0775"/>
    <w:rsid w:val="00BD1B7C"/>
    <w:rsid w:val="00BD1BEB"/>
    <w:rsid w:val="00BD1CBF"/>
    <w:rsid w:val="00BD23FB"/>
    <w:rsid w:val="00BD2577"/>
    <w:rsid w:val="00BD37DE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49FC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2E3A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288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47B3"/>
    <w:rsid w:val="00CB5287"/>
    <w:rsid w:val="00CB583A"/>
    <w:rsid w:val="00CB6E0A"/>
    <w:rsid w:val="00CB6EAC"/>
    <w:rsid w:val="00CB71EF"/>
    <w:rsid w:val="00CC008F"/>
    <w:rsid w:val="00CC072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B6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6FD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7BD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6891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54B5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009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3C1C"/>
    <w:rsid w:val="00D743FA"/>
    <w:rsid w:val="00D749A6"/>
    <w:rsid w:val="00D74A5B"/>
    <w:rsid w:val="00D766FB"/>
    <w:rsid w:val="00D76E51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6BC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4FC5"/>
    <w:rsid w:val="00DC51E5"/>
    <w:rsid w:val="00DC6708"/>
    <w:rsid w:val="00DC6871"/>
    <w:rsid w:val="00DC6F5D"/>
    <w:rsid w:val="00DC7223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D740D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3DCD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3487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DA3"/>
    <w:rsid w:val="00E87F78"/>
    <w:rsid w:val="00E903EA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C7836"/>
    <w:rsid w:val="00ED04D0"/>
    <w:rsid w:val="00ED0569"/>
    <w:rsid w:val="00ED18A2"/>
    <w:rsid w:val="00ED2F2D"/>
    <w:rsid w:val="00ED42D6"/>
    <w:rsid w:val="00ED4E4C"/>
    <w:rsid w:val="00ED5129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0CD5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4FE3"/>
    <w:rsid w:val="00F35845"/>
    <w:rsid w:val="00F35870"/>
    <w:rsid w:val="00F35A58"/>
    <w:rsid w:val="00F37172"/>
    <w:rsid w:val="00F3738B"/>
    <w:rsid w:val="00F373E1"/>
    <w:rsid w:val="00F374DC"/>
    <w:rsid w:val="00F37AAE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6CC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5154"/>
    <w:rsid w:val="00F5799E"/>
    <w:rsid w:val="00F57C49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9DF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2CDB"/>
    <w:rsid w:val="00FA3953"/>
    <w:rsid w:val="00FA44C7"/>
    <w:rsid w:val="00FA5128"/>
    <w:rsid w:val="00FA544B"/>
    <w:rsid w:val="00FA56EF"/>
    <w:rsid w:val="00FA60E6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image" Target="media/image13.png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en/metainformation/glossary/terms-used-in-official-statistics/1317,term.html" TargetMode="External"/><Relationship Id="rId42" Type="http://schemas.openxmlformats.org/officeDocument/2006/relationships/hyperlink" Target="https://stat.gov.pl/en/metainformation/glossary/terms-used-in-official-statistics/707,term.html" TargetMode="External"/><Relationship Id="rId47" Type="http://schemas.openxmlformats.org/officeDocument/2006/relationships/hyperlink" Target="https://stat.gov.pl/en/metainformation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9" Type="http://schemas.openxmlformats.org/officeDocument/2006/relationships/hyperlink" Target="http://stat.gov.pl/en/poland-macroeconomic-indicators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707,term.html" TargetMode="External"/><Relationship Id="rId37" Type="http://schemas.openxmlformats.org/officeDocument/2006/relationships/hyperlink" Target="https://stat.gov.pl/en/metainformation/glossary/terms-used-in-official-statistics/1313,term.html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s://stat.gov.pl/en/metainformation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at.gov.pl/en/topics/industry-construction-fixed-assets/industry/methodological-report-industrial-production-surveys,16,2.html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s://stat.gov.pl/en/metainformation/glossary/terms-used-in-official-statistics/357,term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yperlink" Target="https://stat.gov.pl/en/metainformation/glossary/terms-used-in-official-statistics/700,term.html" TargetMode="External"/><Relationship Id="rId44" Type="http://schemas.openxmlformats.org/officeDocument/2006/relationships/hyperlink" Target="https://stat.gov.pl/en/metainformation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s://stat.gov.pl/en/metainformation/glossary/terms-used-in-official-statistics/1314,term.html" TargetMode="External"/><Relationship Id="rId43" Type="http://schemas.openxmlformats.org/officeDocument/2006/relationships/hyperlink" Target="https://stat.gov.pl/en/metainformation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image" Target="media/image12.png"/><Relationship Id="rId33" Type="http://schemas.openxmlformats.org/officeDocument/2006/relationships/hyperlink" Target="https://stat.gov.pl/en/metainformation/glossary/terms-used-in-official-statistics/356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s://stat.gov.pl/en/metainformation/glossary/terms-used-in-official-statistics/357,term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stat.gov.pl/en/metainformation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CE87DE95-5612-4742-985A-A3124BF4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880</Words>
  <Characters>5285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of sold production of industry in December 2025</vt:lpstr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 production of industry in January 2026</dc:title>
  <dc:creator>Statistics Poland</dc:creator>
  <cp:lastPrinted>2020-06-19T06:38:00Z</cp:lastPrinted>
  <dcterms:created xsi:type="dcterms:W3CDTF">2026-02-18T08:13:00Z</dcterms:created>
  <dcterms:modified xsi:type="dcterms:W3CDTF">2026-02-18T09:30:00Z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