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3D94AA96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410BEF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August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2018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0DB0D63D">
                <wp:simplePos x="0" y="0"/>
                <wp:positionH relativeFrom="column">
                  <wp:posOffset>5234305</wp:posOffset>
                </wp:positionH>
                <wp:positionV relativeFrom="paragraph">
                  <wp:posOffset>248920</wp:posOffset>
                </wp:positionV>
                <wp:extent cx="1725295" cy="1131570"/>
                <wp:effectExtent l="0" t="0" r="0" b="0"/>
                <wp:wrapTight wrapText="bothSides">
                  <wp:wrapPolygon edited="0">
                    <wp:start x="715" y="0"/>
                    <wp:lineTo x="715" y="21091"/>
                    <wp:lineTo x="20749" y="2109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2B1C812F" w:rsidR="000F7537" w:rsidRPr="00B22252" w:rsidRDefault="000F7537" w:rsidP="00277A82">
                            <w:pPr>
                              <w:pStyle w:val="tekstzboku"/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After eight months we note increase in both exports and imports with the corresponding period of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6pt;width:135.85pt;height:89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AMEA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" filled="f" stroked="f">
                <v:textbox>
                  <w:txbxContent>
                    <w:p w14:paraId="5F87F21A" w14:textId="2B1C812F" w:rsidR="000F7537" w:rsidRPr="00B22252" w:rsidRDefault="000F7537" w:rsidP="00277A82">
                      <w:pPr>
                        <w:pStyle w:val="tekstzboku"/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After eight months we note increase in both exports and imports with the corresponding period of the previous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4B05F09C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3F1FF6C8" w:rsidR="000F7537" w:rsidRPr="003070AC" w:rsidRDefault="000F753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6916AC5" wp14:editId="703A326D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70AC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105.4</w:t>
                            </w:r>
                          </w:p>
                          <w:p w14:paraId="5F87F21C" w14:textId="5082721B" w:rsidR="000F7537" w:rsidRPr="00690129" w:rsidRDefault="000F7537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 of exports in PLN – previous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5F87F21B" w14:textId="3F1FF6C8" w:rsidR="000F7537" w:rsidRPr="003070AC" w:rsidRDefault="000F753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6916AC5" wp14:editId="703A326D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70AC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105.4</w:t>
                      </w:r>
                    </w:p>
                    <w:p w14:paraId="5F87F21C" w14:textId="5082721B" w:rsidR="000F7537" w:rsidRPr="00690129" w:rsidRDefault="000F7537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Index of exports in PLN – previous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F64B50">
        <w:rPr>
          <w:lang w:val="en-US"/>
        </w:rPr>
        <w:t>in</w:t>
      </w:r>
      <w:r w:rsidR="00F64B50" w:rsidRPr="00070820">
        <w:rPr>
          <w:lang w:val="en-US"/>
        </w:rPr>
        <w:t xml:space="preserve"> </w:t>
      </w:r>
      <w:r w:rsidR="00F64B50">
        <w:rPr>
          <w:lang w:val="en-US"/>
        </w:rPr>
        <w:t xml:space="preserve">January – </w:t>
      </w:r>
      <w:r w:rsidR="00A70C1C">
        <w:rPr>
          <w:lang w:val="en-US"/>
        </w:rPr>
        <w:t>August</w:t>
      </w:r>
      <w:r w:rsidR="00F64B50">
        <w:rPr>
          <w:lang w:val="en-US"/>
        </w:rPr>
        <w:t xml:space="preserve"> this year </w:t>
      </w:r>
      <w:r w:rsidR="00F64B50" w:rsidRPr="00070820">
        <w:rPr>
          <w:lang w:val="en-US"/>
        </w:rPr>
        <w:t>according to exports</w:t>
      </w:r>
      <w:r w:rsidR="00E046FE" w:rsidRPr="00070820">
        <w:rPr>
          <w:lang w:val="en-US"/>
        </w:rPr>
        <w:t xml:space="preserve">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A70C1C">
        <w:rPr>
          <w:rFonts w:cs="Arial"/>
          <w:lang w:val="en-US"/>
        </w:rPr>
        <w:t>607.7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A70C1C">
        <w:rPr>
          <w:rFonts w:cs="Arial"/>
          <w:lang w:val="en-US"/>
        </w:rPr>
        <w:t>615.8</w:t>
      </w:r>
      <w:r w:rsidR="00643328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4649BA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A70C1C">
        <w:rPr>
          <w:rFonts w:cs="Arial"/>
          <w:spacing w:val="-3"/>
          <w:lang w:val="en-US"/>
        </w:rPr>
        <w:t>8</w:t>
      </w:r>
      <w:r w:rsidR="00136177">
        <w:rPr>
          <w:rFonts w:cs="Arial"/>
          <w:spacing w:val="-3"/>
          <w:lang w:val="en-US"/>
        </w:rPr>
        <w:t>.1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 xml:space="preserve">while </w:t>
      </w:r>
      <w:r w:rsidR="00771CED">
        <w:rPr>
          <w:rFonts w:cs="Arial"/>
          <w:spacing w:val="-3"/>
          <w:lang w:val="en-US"/>
        </w:rPr>
        <w:t xml:space="preserve">in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771CED">
        <w:rPr>
          <w:rFonts w:cs="Arial"/>
          <w:spacing w:val="-3"/>
          <w:lang w:val="en-US"/>
        </w:rPr>
        <w:t xml:space="preserve">it </w:t>
      </w:r>
      <w:r w:rsidR="004649BA">
        <w:rPr>
          <w:rFonts w:cs="Arial"/>
          <w:spacing w:val="-3"/>
          <w:lang w:val="en-US"/>
        </w:rPr>
        <w:t xml:space="preserve">was positive and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A70C1C">
        <w:rPr>
          <w:rFonts w:cs="Arial"/>
          <w:spacing w:val="-3"/>
          <w:lang w:val="en-US"/>
        </w:rPr>
        <w:t>4</w:t>
      </w:r>
      <w:r w:rsidR="00136177">
        <w:rPr>
          <w:rFonts w:cs="Arial"/>
          <w:spacing w:val="-3"/>
          <w:lang w:val="en-US"/>
        </w:rPr>
        <w:t>.4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41F00">
        <w:rPr>
          <w:rFonts w:cs="Arial"/>
          <w:lang w:val="en-US"/>
        </w:rPr>
        <w:t>7</w:t>
      </w:r>
      <w:r w:rsidR="00E046FE" w:rsidRPr="00070820">
        <w:rPr>
          <w:rFonts w:cs="Arial"/>
          <w:lang w:val="en-US"/>
        </w:rPr>
        <w:t xml:space="preserve">, </w:t>
      </w:r>
      <w:r w:rsidR="003644F9" w:rsidRPr="00070820">
        <w:rPr>
          <w:rFonts w:cs="Arial"/>
          <w:lang w:val="en-US"/>
        </w:rPr>
        <w:t>exports inc</w:t>
      </w:r>
      <w:r w:rsidR="003705D4">
        <w:rPr>
          <w:rFonts w:cs="Arial"/>
          <w:lang w:val="en-US"/>
        </w:rPr>
        <w:t>r</w:t>
      </w:r>
      <w:r w:rsidR="003644F9" w:rsidRPr="00070820">
        <w:rPr>
          <w:rFonts w:cs="Arial"/>
          <w:lang w:val="en-US"/>
        </w:rPr>
        <w:t>eased</w:t>
      </w:r>
      <w:r w:rsidR="003644F9" w:rsidRPr="00070820">
        <w:rPr>
          <w:lang w:val="en-US"/>
        </w:rPr>
        <w:t xml:space="preserve"> by </w:t>
      </w:r>
      <w:r w:rsidR="00A70C1C">
        <w:rPr>
          <w:lang w:val="en-US"/>
        </w:rPr>
        <w:t>5.4</w:t>
      </w:r>
      <w:r w:rsidR="003644F9" w:rsidRPr="00070820">
        <w:rPr>
          <w:rFonts w:cs="Arial"/>
          <w:lang w:val="en-US"/>
        </w:rPr>
        <w:t>%, and imports by </w:t>
      </w:r>
      <w:r w:rsidR="00A70C1C">
        <w:rPr>
          <w:rFonts w:cs="Arial"/>
          <w:lang w:val="en-US"/>
        </w:rPr>
        <w:t>7.7</w:t>
      </w:r>
      <w:r w:rsidR="003644F9" w:rsidRPr="00070820">
        <w:rPr>
          <w:rFonts w:cs="Arial"/>
          <w:lang w:val="en-US"/>
        </w:rPr>
        <w:t>%</w:t>
      </w:r>
      <w:r w:rsidR="004B64A7" w:rsidRPr="00070820">
        <w:rPr>
          <w:rFonts w:cs="Arial"/>
          <w:lang w:val="en-US"/>
        </w:rPr>
        <w:t>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7F440B65">
                <wp:simplePos x="0" y="0"/>
                <wp:positionH relativeFrom="column">
                  <wp:posOffset>5234305</wp:posOffset>
                </wp:positionH>
                <wp:positionV relativeFrom="paragraph">
                  <wp:posOffset>156210</wp:posOffset>
                </wp:positionV>
                <wp:extent cx="1725295" cy="974725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0F7537" w:rsidRPr="00070820" w:rsidRDefault="000F753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3pt;width:135.85pt;height:76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" filled="f" stroked="f">
                <v:textbox>
                  <w:txbxContent>
                    <w:p w14:paraId="5F87F21E" w14:textId="77777777" w:rsidR="000F7537" w:rsidRPr="00070820" w:rsidRDefault="000F753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51A70F90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097B58">
        <w:rPr>
          <w:rFonts w:cs="Arial"/>
          <w:spacing w:val="-3"/>
          <w:szCs w:val="19"/>
          <w:lang w:val="en-US"/>
        </w:rPr>
        <w:t>172.5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097B58">
        <w:rPr>
          <w:rFonts w:cs="Arial"/>
          <w:bCs/>
          <w:color w:val="000000"/>
          <w:szCs w:val="19"/>
          <w:lang w:val="en-US"/>
        </w:rPr>
        <w:t>174.8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102D3E" w:rsidRPr="00070820">
        <w:rPr>
          <w:rFonts w:cs="Arial"/>
          <w:spacing w:val="-3"/>
          <w:szCs w:val="19"/>
          <w:lang w:val="en-US"/>
        </w:rPr>
        <w:t>an</w:t>
      </w:r>
      <w:r w:rsidR="00641F00">
        <w:rPr>
          <w:rFonts w:cs="Arial"/>
          <w:spacing w:val="-3"/>
          <w:szCs w:val="19"/>
          <w:lang w:val="en-US"/>
        </w:rPr>
        <w:t> </w:t>
      </w:r>
      <w:r w:rsidR="00102D3E" w:rsidRPr="00070820">
        <w:rPr>
          <w:rFonts w:cs="Arial"/>
          <w:spacing w:val="-3"/>
          <w:szCs w:val="19"/>
          <w:lang w:val="en-US"/>
        </w:rPr>
        <w:t>increase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097B58">
        <w:rPr>
          <w:rFonts w:cs="Arial"/>
          <w:spacing w:val="-3"/>
          <w:szCs w:val="19"/>
          <w:lang w:val="en-US"/>
        </w:rPr>
        <w:t>17.9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643328">
        <w:rPr>
          <w:rFonts w:cs="Arial"/>
          <w:spacing w:val="-3"/>
          <w:szCs w:val="19"/>
          <w:lang w:val="en-US"/>
        </w:rPr>
        <w:t>2</w:t>
      </w:r>
      <w:r w:rsidR="00097B58">
        <w:rPr>
          <w:rFonts w:cs="Arial"/>
          <w:spacing w:val="-3"/>
          <w:szCs w:val="19"/>
          <w:lang w:val="en-US"/>
        </w:rPr>
        <w:t>0</w:t>
      </w:r>
      <w:r w:rsidR="009228A0">
        <w:rPr>
          <w:rFonts w:cs="Arial"/>
          <w:spacing w:val="-3"/>
          <w:szCs w:val="19"/>
          <w:lang w:val="en-US"/>
        </w:rPr>
        <w:t>.</w:t>
      </w:r>
      <w:r w:rsidR="00097B58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41F00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136177">
        <w:rPr>
          <w:rFonts w:cs="Arial"/>
          <w:spacing w:val="-3"/>
          <w:szCs w:val="19"/>
          <w:lang w:val="en-US"/>
        </w:rPr>
        <w:t>2.</w:t>
      </w:r>
      <w:r w:rsidR="00097B58">
        <w:rPr>
          <w:rFonts w:cs="Arial"/>
          <w:spacing w:val="-3"/>
          <w:szCs w:val="19"/>
          <w:lang w:val="en-US"/>
        </w:rPr>
        <w:t>3</w:t>
      </w:r>
      <w:r w:rsidR="00136177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 xml:space="preserve"> (</w:t>
      </w:r>
      <w:r w:rsidR="002F7716">
        <w:rPr>
          <w:rFonts w:cs="Arial"/>
          <w:spacing w:val="-3"/>
          <w:szCs w:val="19"/>
          <w:lang w:val="en-US"/>
        </w:rPr>
        <w:t xml:space="preserve">in </w:t>
      </w:r>
      <w:r w:rsidR="00B07F6F" w:rsidRPr="00070820">
        <w:rPr>
          <w:rFonts w:cs="Arial"/>
          <w:lang w:val="en-US"/>
        </w:rPr>
        <w:t>the corresponding period of the</w:t>
      </w:r>
      <w:r w:rsidR="00B07F6F" w:rsidRPr="00070820">
        <w:rPr>
          <w:rFonts w:cs="Arial"/>
          <w:spacing w:val="-3"/>
          <w:szCs w:val="19"/>
          <w:lang w:val="en-US"/>
        </w:rPr>
        <w:t xml:space="preserve"> 201</w:t>
      </w:r>
      <w:r w:rsidR="00B07F6F">
        <w:rPr>
          <w:rFonts w:cs="Arial"/>
          <w:spacing w:val="-3"/>
          <w:szCs w:val="19"/>
          <w:lang w:val="en-US"/>
        </w:rPr>
        <w:t xml:space="preserve">7, the </w:t>
      </w:r>
      <w:r w:rsidR="00360749">
        <w:rPr>
          <w:rFonts w:cs="Arial"/>
          <w:spacing w:val="-3"/>
          <w:szCs w:val="19"/>
          <w:lang w:val="en-US"/>
        </w:rPr>
        <w:t xml:space="preserve">positive balance </w:t>
      </w:r>
      <w:r w:rsidR="00B07F6F" w:rsidRPr="00070820">
        <w:rPr>
          <w:rFonts w:cs="Arial"/>
          <w:spacing w:val="-3"/>
          <w:szCs w:val="19"/>
          <w:lang w:val="en-US"/>
        </w:rPr>
        <w:t xml:space="preserve">amounted </w:t>
      </w:r>
      <w:r w:rsidR="002F7716">
        <w:rPr>
          <w:rFonts w:cs="Arial"/>
          <w:spacing w:val="-3"/>
          <w:szCs w:val="19"/>
          <w:lang w:val="en-US"/>
        </w:rPr>
        <w:t xml:space="preserve">to </w:t>
      </w:r>
      <w:r w:rsidR="00102D3E" w:rsidRPr="00070820">
        <w:rPr>
          <w:rFonts w:cs="Arial"/>
          <w:spacing w:val="-3"/>
          <w:szCs w:val="19"/>
          <w:lang w:val="en-US"/>
        </w:rPr>
        <w:t>USD</w:t>
      </w:r>
      <w:r w:rsidR="00B07F6F">
        <w:rPr>
          <w:rFonts w:cs="Arial"/>
          <w:spacing w:val="-3"/>
          <w:szCs w:val="19"/>
          <w:lang w:val="en-US"/>
        </w:rPr>
        <w:t> </w:t>
      </w:r>
      <w:r w:rsidR="00097B58">
        <w:rPr>
          <w:rFonts w:cs="Arial"/>
          <w:spacing w:val="-3"/>
          <w:szCs w:val="19"/>
          <w:lang w:val="en-US"/>
        </w:rPr>
        <w:t xml:space="preserve">1.1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).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383BEE68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97B58">
        <w:rPr>
          <w:rFonts w:cs="Arial"/>
          <w:bCs/>
          <w:color w:val="000000"/>
          <w:szCs w:val="19"/>
          <w:lang w:val="en-US"/>
        </w:rPr>
        <w:t>143.6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097B58">
        <w:rPr>
          <w:rFonts w:cs="Arial"/>
          <w:szCs w:val="19"/>
          <w:lang w:val="en-US"/>
        </w:rPr>
        <w:t>145.6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E4366">
        <w:rPr>
          <w:rFonts w:cs="Arial"/>
          <w:szCs w:val="19"/>
          <w:lang w:val="en-US"/>
        </w:rPr>
        <w:t>6.</w:t>
      </w:r>
      <w:r w:rsidR="00097B58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97B58">
        <w:rPr>
          <w:rFonts w:cs="Arial"/>
          <w:szCs w:val="19"/>
          <w:lang w:val="en-US"/>
        </w:rPr>
        <w:t>9.0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E11C96" w:rsidRPr="00070820">
        <w:rPr>
          <w:rFonts w:cs="Arial"/>
          <w:szCs w:val="19"/>
          <w:lang w:val="en-US"/>
        </w:rPr>
        <w:t xml:space="preserve">The </w:t>
      </w:r>
      <w:r w:rsidR="00641F00">
        <w:rPr>
          <w:rFonts w:cs="Arial"/>
          <w:szCs w:val="19"/>
          <w:lang w:val="en-US"/>
        </w:rPr>
        <w:t>negative</w:t>
      </w:r>
      <w:r w:rsidR="00E11C96" w:rsidRPr="00070820">
        <w:rPr>
          <w:rFonts w:cs="Arial"/>
          <w:szCs w:val="19"/>
          <w:lang w:val="en-US"/>
        </w:rPr>
        <w:t xml:space="preserve"> balance reached the level of EUR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97B58">
        <w:rPr>
          <w:rFonts w:cs="Arial"/>
          <w:bCs/>
          <w:color w:val="000000"/>
          <w:szCs w:val="19"/>
          <w:lang w:val="en-US"/>
        </w:rPr>
        <w:t>2.0</w:t>
      </w:r>
      <w:r w:rsidR="007E436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compared to </w:t>
      </w:r>
      <w:r w:rsidR="008A29FE">
        <w:rPr>
          <w:rFonts w:cs="Arial"/>
          <w:szCs w:val="19"/>
          <w:lang w:val="en-US"/>
        </w:rPr>
        <w:t xml:space="preserve">positive balance </w:t>
      </w:r>
      <w:r w:rsidR="00E11C96" w:rsidRPr="00070820">
        <w:rPr>
          <w:rFonts w:cs="Arial"/>
          <w:szCs w:val="19"/>
          <w:lang w:val="en-US"/>
        </w:rPr>
        <w:t>EUR</w:t>
      </w:r>
      <w:r w:rsidR="00277A82" w:rsidRPr="00070820">
        <w:rPr>
          <w:rFonts w:cs="Arial"/>
          <w:szCs w:val="19"/>
          <w:lang w:val="en-US"/>
        </w:rPr>
        <w:t> </w:t>
      </w:r>
      <w:r w:rsidR="00097B58">
        <w:rPr>
          <w:rFonts w:cs="Arial"/>
          <w:szCs w:val="19"/>
          <w:lang w:val="en-US"/>
        </w:rPr>
        <w:t>1.0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in the same period in</w:t>
      </w:r>
      <w:r w:rsidR="00277A82" w:rsidRPr="00070820">
        <w:rPr>
          <w:rFonts w:cs="Arial"/>
          <w:szCs w:val="19"/>
          <w:lang w:val="en-US"/>
        </w:rPr>
        <w:t xml:space="preserve"> 201</w:t>
      </w:r>
      <w:r w:rsidR="00641F00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Pr="00070820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A" w14:textId="2E6CA62B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>Turnover in the last three months in PLN billion</w:t>
      </w:r>
    </w:p>
    <w:p w14:paraId="6C503421" w14:textId="02738C31" w:rsidR="00E53C35" w:rsidRPr="0014778F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9E125FE">
            <wp:extent cx="4887595" cy="2127504"/>
            <wp:effectExtent l="0" t="0" r="825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27BE12" w14:textId="08A759BA" w:rsidR="00E53C35" w:rsidRDefault="00E53C35" w:rsidP="00F802BE">
      <w:pPr>
        <w:pStyle w:val="Nagwek1"/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0F7537" w:rsidRPr="00F63B71" w:rsidRDefault="000F753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0F7537" w:rsidRPr="00F63B71" w:rsidRDefault="000F753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0F7537" w:rsidRPr="00F63B71" w:rsidRDefault="000F753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0F7537" w:rsidRPr="00F63B71" w:rsidRDefault="000F753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36DF7C72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097B58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097B58">
        <w:rPr>
          <w:rFonts w:cs="Arial"/>
          <w:color w:val="222222"/>
          <w:szCs w:val="19"/>
          <w:lang w:val="en"/>
        </w:rPr>
        <w:t>86.9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14778F">
        <w:rPr>
          <w:rFonts w:cs="Arial"/>
          <w:color w:val="222222"/>
          <w:szCs w:val="19"/>
          <w:lang w:val="en"/>
        </w:rPr>
        <w:t>8</w:t>
      </w:r>
      <w:r w:rsidR="001D4E20">
        <w:rPr>
          <w:rFonts w:cs="Arial"/>
          <w:color w:val="222222"/>
          <w:szCs w:val="19"/>
          <w:lang w:val="en"/>
        </w:rPr>
        <w:t>0</w:t>
      </w:r>
      <w:r w:rsidR="0014778F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1D4E20">
        <w:rPr>
          <w:rFonts w:cs="Arial"/>
          <w:color w:val="222222"/>
          <w:szCs w:val="19"/>
          <w:lang w:val="en"/>
        </w:rPr>
        <w:t>6</w:t>
      </w:r>
      <w:r w:rsidR="0014778F">
        <w:rPr>
          <w:rFonts w:cs="Arial"/>
          <w:color w:val="222222"/>
          <w:szCs w:val="19"/>
          <w:lang w:val="en"/>
        </w:rPr>
        <w:t>.</w:t>
      </w:r>
      <w:r w:rsidR="00097B58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1D4E20">
        <w:rPr>
          <w:rFonts w:cs="Arial"/>
          <w:color w:val="222222"/>
          <w:szCs w:val="19"/>
          <w:lang w:val="en"/>
        </w:rPr>
        <w:t>9</w:t>
      </w:r>
      <w:r w:rsidR="0014778F">
        <w:rPr>
          <w:rFonts w:cs="Arial"/>
          <w:color w:val="222222"/>
          <w:szCs w:val="19"/>
          <w:lang w:val="en"/>
        </w:rPr>
        <w:t>.</w:t>
      </w:r>
      <w:r w:rsidR="00097B58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A873DA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.</w:t>
      </w:r>
      <w:r w:rsidR="00097B58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097B58">
        <w:rPr>
          <w:rFonts w:cs="Arial"/>
          <w:color w:val="222222"/>
          <w:szCs w:val="19"/>
          <w:lang w:val="en"/>
        </w:rPr>
        <w:t>79.9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D4E20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F6107A">
        <w:rPr>
          <w:rFonts w:cs="Arial"/>
          <w:color w:val="222222"/>
          <w:szCs w:val="19"/>
          <w:lang w:val="en"/>
        </w:rPr>
        <w:t>60.</w:t>
      </w:r>
      <w:r w:rsidR="00097B58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lastRenderedPageBreak/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097B58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A873DA">
        <w:rPr>
          <w:shd w:val="clear" w:color="auto" w:fill="FFFFFF"/>
          <w:lang w:val="en-US"/>
        </w:rPr>
        <w:t>9</w:t>
      </w:r>
      <w:r w:rsidR="00097B58">
        <w:rPr>
          <w:shd w:val="clear" w:color="auto" w:fill="FFFFFF"/>
          <w:lang w:val="en-US"/>
        </w:rPr>
        <w:t>.0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B71E5B">
        <w:rPr>
          <w:shd w:val="clear" w:color="auto" w:fill="FFFFFF"/>
          <w:lang w:val="en-US"/>
        </w:rPr>
        <w:t>5.</w:t>
      </w:r>
      <w:r w:rsidR="00097B58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A873DA">
        <w:rPr>
          <w:shd w:val="clear" w:color="auto" w:fill="FFFFFF"/>
          <w:lang w:val="en-US"/>
        </w:rPr>
        <w:t>7.8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B71E5B">
        <w:rPr>
          <w:shd w:val="clear" w:color="auto" w:fill="FFFFFF"/>
          <w:lang w:val="en-US"/>
        </w:rPr>
        <w:t xml:space="preserve"> – </w:t>
      </w:r>
      <w:r w:rsidR="00097B58">
        <w:rPr>
          <w:shd w:val="clear" w:color="auto" w:fill="FFFFFF"/>
          <w:lang w:val="en-US"/>
        </w:rPr>
        <w:t>August</w:t>
      </w:r>
      <w:r w:rsidR="00B71E5B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14778F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>.</w:t>
      </w:r>
    </w:p>
    <w:p w14:paraId="3AD26E30" w14:textId="06C51AF5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097B58">
        <w:rPr>
          <w:rFonts w:cs="Arial"/>
          <w:spacing w:val="-3"/>
          <w:lang w:val="en-US"/>
        </w:rPr>
        <w:t>108.1</w:t>
      </w:r>
      <w:r w:rsidR="00C667D5" w:rsidRPr="00C667D5">
        <w:rPr>
          <w:rFonts w:cs="Arial"/>
          <w:spacing w:val="-3"/>
          <w:lang w:val="en-US"/>
        </w:rPr>
        <w:t xml:space="preserve"> bn (minus USD </w:t>
      </w:r>
      <w:r w:rsidR="00097B58">
        <w:rPr>
          <w:rFonts w:cs="Arial"/>
          <w:spacing w:val="-3"/>
          <w:lang w:val="en-US"/>
        </w:rPr>
        <w:t>30.7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F00CEC">
        <w:rPr>
          <w:rFonts w:cs="Arial"/>
          <w:spacing w:val="-3"/>
          <w:lang w:val="en-US"/>
        </w:rPr>
        <w:t>2</w:t>
      </w:r>
      <w:r w:rsidR="00097B58">
        <w:rPr>
          <w:rFonts w:cs="Arial"/>
          <w:spacing w:val="-3"/>
          <w:lang w:val="en-US"/>
        </w:rPr>
        <w:t>5.5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097B58">
        <w:rPr>
          <w:rFonts w:cs="Arial"/>
          <w:spacing w:val="-3"/>
          <w:lang w:val="en-US"/>
        </w:rPr>
        <w:t>19.8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F00CEC">
        <w:rPr>
          <w:rFonts w:cs="Arial"/>
          <w:spacing w:val="-3"/>
          <w:lang w:val="en-US"/>
        </w:rPr>
        <w:t>5.</w:t>
      </w:r>
      <w:r w:rsidR="00097B58">
        <w:rPr>
          <w:rFonts w:cs="Arial"/>
          <w:spacing w:val="-3"/>
          <w:lang w:val="en-US"/>
        </w:rPr>
        <w:t>6</w:t>
      </w:r>
      <w:r w:rsidR="00C667D5">
        <w:rPr>
          <w:rFonts w:cs="Arial"/>
          <w:spacing w:val="-3"/>
          <w:lang w:val="en-US"/>
        </w:rPr>
        <w:t xml:space="preserve"> bn, minus EUR </w:t>
      </w:r>
      <w:r w:rsidR="00F00CEC">
        <w:rPr>
          <w:rFonts w:cs="Arial"/>
          <w:spacing w:val="-3"/>
          <w:lang w:val="en-US"/>
        </w:rPr>
        <w:t>4.</w:t>
      </w:r>
      <w:r w:rsidR="00097B58">
        <w:rPr>
          <w:rFonts w:cs="Arial"/>
          <w:spacing w:val="-3"/>
          <w:lang w:val="en-US"/>
        </w:rPr>
        <w:t>7</w:t>
      </w:r>
      <w:r w:rsidR="00C667D5">
        <w:rPr>
          <w:rFonts w:cs="Arial"/>
          <w:spacing w:val="-3"/>
          <w:lang w:val="en-US"/>
        </w:rPr>
        <w:t xml:space="preserve"> bn).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097B58">
        <w:rPr>
          <w:rFonts w:cs="Arial"/>
          <w:spacing w:val="-3"/>
          <w:lang w:val="en-US"/>
        </w:rPr>
        <w:t>119.8</w:t>
      </w:r>
      <w:r w:rsidR="004A1CCF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097B58">
        <w:rPr>
          <w:rFonts w:cs="Arial"/>
          <w:spacing w:val="-3"/>
          <w:lang w:val="en-US"/>
        </w:rPr>
        <w:t>34.0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00CEC">
        <w:rPr>
          <w:rFonts w:cs="Arial"/>
          <w:spacing w:val="-3"/>
          <w:lang w:val="en-US"/>
        </w:rPr>
        <w:t>2</w:t>
      </w:r>
      <w:r w:rsidR="00097B58">
        <w:rPr>
          <w:rFonts w:cs="Arial"/>
          <w:spacing w:val="-3"/>
          <w:lang w:val="en-US"/>
        </w:rPr>
        <w:t>8</w:t>
      </w:r>
      <w:r w:rsidR="00F00CEC">
        <w:rPr>
          <w:rFonts w:cs="Arial"/>
          <w:spacing w:val="-3"/>
          <w:lang w:val="en-US"/>
        </w:rPr>
        <w:t>.3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097B58">
        <w:rPr>
          <w:rFonts w:cs="Arial"/>
          <w:spacing w:val="-3"/>
          <w:lang w:val="en-US"/>
        </w:rPr>
        <w:t>123.4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F00CEC">
        <w:rPr>
          <w:rFonts w:cs="Arial"/>
          <w:spacing w:val="-3"/>
          <w:lang w:val="en-US"/>
        </w:rPr>
        <w:t>3</w:t>
      </w:r>
      <w:r w:rsidR="00097B58">
        <w:rPr>
          <w:rFonts w:cs="Arial"/>
          <w:spacing w:val="-3"/>
          <w:lang w:val="en-US"/>
        </w:rPr>
        <w:t>5</w:t>
      </w:r>
      <w:r w:rsidR="00F00CEC">
        <w:rPr>
          <w:rFonts w:cs="Arial"/>
          <w:spacing w:val="-3"/>
          <w:lang w:val="en-US"/>
        </w:rPr>
        <w:t>.</w:t>
      </w:r>
      <w:r w:rsidR="00097B58">
        <w:rPr>
          <w:rFonts w:cs="Arial"/>
          <w:spacing w:val="-3"/>
          <w:lang w:val="en-US"/>
        </w:rPr>
        <w:t>0</w:t>
      </w:r>
      <w:r w:rsidR="004A1CCF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097B58">
        <w:rPr>
          <w:rFonts w:cs="Arial"/>
          <w:spacing w:val="-3"/>
          <w:lang w:val="en-US"/>
        </w:rPr>
        <w:t>29</w:t>
      </w:r>
      <w:r w:rsidR="00F00CEC">
        <w:rPr>
          <w:rFonts w:cs="Arial"/>
          <w:spacing w:val="-3"/>
          <w:lang w:val="en-US"/>
        </w:rPr>
        <w:t>.2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4EE8F875" w14:textId="77777777" w:rsidR="00824766" w:rsidRDefault="00824766" w:rsidP="002D45CF">
      <w:pPr>
        <w:rPr>
          <w:rFonts w:cs="Arial"/>
          <w:spacing w:val="-3"/>
          <w:lang w:val="en-US"/>
        </w:rPr>
      </w:pPr>
    </w:p>
    <w:p w14:paraId="0854346B" w14:textId="77777777" w:rsidR="0014778F" w:rsidRPr="00AB3053" w:rsidRDefault="0014778F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52A7E59F" w:rsidR="004B64A7" w:rsidRPr="000C2149" w:rsidRDefault="004B64A7" w:rsidP="003D10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3D10EB">
              <w:rPr>
                <w:rFonts w:cs="Arial"/>
                <w:sz w:val="16"/>
                <w:szCs w:val="16"/>
              </w:rPr>
              <w:t>V</w:t>
            </w:r>
            <w:r w:rsidR="00097B58">
              <w:rPr>
                <w:rFonts w:cs="Arial"/>
                <w:sz w:val="16"/>
                <w:szCs w:val="16"/>
              </w:rPr>
              <w:t>I</w:t>
            </w:r>
            <w:r w:rsidR="00E76AE4">
              <w:rPr>
                <w:rFonts w:cs="Arial"/>
                <w:sz w:val="16"/>
                <w:szCs w:val="16"/>
              </w:rPr>
              <w:t>II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="0014778F"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4F7A324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7194607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8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0E20DC95" w:rsidR="004B64A7" w:rsidRPr="000C2149" w:rsidRDefault="004B64A7" w:rsidP="00F6107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3D10EB">
              <w:rPr>
                <w:rFonts w:cs="Arial"/>
                <w:sz w:val="16"/>
                <w:szCs w:val="16"/>
              </w:rPr>
              <w:t>V</w:t>
            </w:r>
            <w:r w:rsidR="00E76AE4">
              <w:rPr>
                <w:rFonts w:cs="Arial"/>
                <w:sz w:val="16"/>
                <w:szCs w:val="16"/>
              </w:rPr>
              <w:t>I</w:t>
            </w:r>
            <w:r w:rsidR="00097B58">
              <w:rPr>
                <w:rFonts w:cs="Arial"/>
                <w:sz w:val="16"/>
                <w:szCs w:val="16"/>
              </w:rPr>
              <w:t>I</w:t>
            </w:r>
            <w:r w:rsidR="00E76AE4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1DBAEF1D" w:rsidR="004B64A7" w:rsidRPr="000C2149" w:rsidRDefault="004B64A7" w:rsidP="003D10E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6107A">
              <w:rPr>
                <w:rFonts w:cs="Arial"/>
                <w:sz w:val="16"/>
                <w:szCs w:val="16"/>
              </w:rPr>
              <w:t xml:space="preserve"> – </w:t>
            </w:r>
            <w:r w:rsidR="003D10EB">
              <w:rPr>
                <w:rFonts w:cs="Arial"/>
                <w:sz w:val="16"/>
                <w:szCs w:val="16"/>
              </w:rPr>
              <w:t>V</w:t>
            </w:r>
            <w:r w:rsidR="00E76AE4">
              <w:rPr>
                <w:rFonts w:cs="Arial"/>
                <w:sz w:val="16"/>
                <w:szCs w:val="16"/>
              </w:rPr>
              <w:t>I</w:t>
            </w:r>
            <w:r w:rsidR="00097B58">
              <w:rPr>
                <w:rFonts w:cs="Arial"/>
                <w:sz w:val="16"/>
                <w:szCs w:val="16"/>
              </w:rPr>
              <w:t>I</w:t>
            </w:r>
            <w:r w:rsidR="00E76AE4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97B58" w:rsidRPr="00E33A76" w14:paraId="06688809" w14:textId="77777777" w:rsidTr="000C214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2EB8BD64" w:rsidR="00097B58" w:rsidRPr="006B53C4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607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28420C0F" w:rsidR="00097B58" w:rsidRPr="006B53C4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172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7C4CE29D" w:rsidR="00097B58" w:rsidRPr="006B53C4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143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5E685E37" w:rsidR="00097B58" w:rsidRPr="006B53C4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627D9420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05A0AEE1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3F160E43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196B07B7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97B58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1F336EF2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321B0C79" w14:textId="4D37A3B2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52BA3E18" w14:textId="257485E9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4DED0B24" w14:textId="39C9840B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19D1378D" w14:textId="352C019F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vAlign w:val="bottom"/>
          </w:tcPr>
          <w:p w14:paraId="0A4CDD0A" w14:textId="618EBFBA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14:paraId="41C880AE" w14:textId="02EA6902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bottom"/>
          </w:tcPr>
          <w:p w14:paraId="43FD67F4" w14:textId="0D818C04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97B58" w:rsidRPr="00E33A76" w14:paraId="39EF0974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097B58" w:rsidRPr="00E33A76" w:rsidRDefault="00097B58" w:rsidP="00097B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1D1AB038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36843C17" w14:textId="73B33779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0A021A4C" w14:textId="41D9E102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DB78438" w14:textId="50126AFA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54580B12" w14:textId="02E47979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50AD8A41" w14:textId="42F192A3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vAlign w:val="bottom"/>
          </w:tcPr>
          <w:p w14:paraId="2C9DBBDA" w14:textId="556B8556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14:paraId="3A3C64AD" w14:textId="749DDB9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97B58" w:rsidRPr="00E33A76" w14:paraId="066B357C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30D6D5F1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0D323268" w14:textId="1C280C6A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59C46984" w14:textId="52620955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5F10CD76" w14:textId="05BD9A60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22A6FFE9" w14:textId="59F0AB72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14:paraId="7BB45187" w14:textId="4A82A44F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14:paraId="4FA8979C" w14:textId="6A8D3A09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11CD2759" w14:textId="4356D198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97B58" w:rsidRPr="00E33A76" w14:paraId="767291CB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281B5E96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0FD2CD79" w14:textId="08B46748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25214704" w14:textId="4B78BCB7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08AE36CE" w14:textId="1E0C0A90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1E7921DA" w14:textId="01B9111F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281477B2" w14:textId="303E9FDE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14:paraId="3440B6CA" w14:textId="0F7AFA40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bottom"/>
          </w:tcPr>
          <w:p w14:paraId="31B13608" w14:textId="3BC50191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0F7537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097B58" w:rsidRPr="00E33A76" w14:paraId="4EB8BF14" w14:textId="77777777" w:rsidTr="000C2149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097B58" w:rsidRPr="00890348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371326A0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20FB55AF" w14:textId="29EA132E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6512D1A5" w14:textId="43357C35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1E019430" w14:textId="4E58B93C" w:rsidR="00097B58" w:rsidRPr="006B53C4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3D9EC8D5" w14:textId="3A9BA221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0F8B7397" w14:textId="5D97476D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vAlign w:val="bottom"/>
          </w:tcPr>
          <w:p w14:paraId="73DE2405" w14:textId="7255B92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2C18CE8D" w14:textId="443CB028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97B58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097B58" w:rsidRPr="00A00ADB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7142F788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615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BC2A040" w14:textId="0EE49DAA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174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48A8434" w14:textId="406BFD90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145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40FE95A8" w14:textId="23339396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01C034E9" w14:textId="1505B040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45BA912E" w14:textId="46347CC7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14:paraId="216076F2" w14:textId="2FA85B5F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14D2FC86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97B58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78F72AD1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690B1299" w14:textId="5636211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68D56CD8" w14:textId="16EFEA6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5EBD7E92" w14:textId="51BDD122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26AD9AA8" w14:textId="5AAD2E8A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6D12DCEB" w14:textId="536F9C0E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14:paraId="07B224ED" w14:textId="73B10344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14:paraId="583F4DD2" w14:textId="2730528C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097B58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097B58" w:rsidRPr="00E33A76" w:rsidRDefault="00097B58" w:rsidP="00097B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167063BC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6E2263C7" w14:textId="008603AE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85AB74A" w14:textId="50BCF2DA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0B365E3D" w14:textId="2C721864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FCA0128" w14:textId="1DAE6B67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vAlign w:val="bottom"/>
          </w:tcPr>
          <w:p w14:paraId="439B41CF" w14:textId="098CBE0E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14:paraId="363879B7" w14:textId="4E5A8FE9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14:paraId="2FA24151" w14:textId="26444A71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97B58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0AF12C87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292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1F2AE809" w14:textId="5187EA6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4C146A53" w14:textId="0D015B0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63FCFD0" w14:textId="0CBEC138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19143A5A" w14:textId="68908D50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vAlign w:val="bottom"/>
          </w:tcPr>
          <w:p w14:paraId="380F55BA" w14:textId="2A28E4B8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14:paraId="3F58A1E7" w14:textId="5A8D61F3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14:paraId="4647F2E2" w14:textId="2725911F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097B58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2D22DD8A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781826DA" w14:textId="7C7AA599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1977C18" w14:textId="2E0727D7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3B808B25" w14:textId="2BC1ACA7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4D66EFE5" w14:textId="40CD28CE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010DFBC9" w14:textId="281D1133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14:paraId="10810E76" w14:textId="1F2FEBDE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14:paraId="42148070" w14:textId="00BBAC67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97B58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1764C1E2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156FB493" w14:textId="26F7F53D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796F338E" w14:textId="24F046FB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3A19CBB8" w14:textId="171757BA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0AA91283" w14:textId="46235D66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14:paraId="1337D5B4" w14:textId="32FA3531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bottom"/>
          </w:tcPr>
          <w:p w14:paraId="600E1103" w14:textId="383C72F2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16AF89E4" w14:textId="19D820D8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097B58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65397BA8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-8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838CD99" w14:textId="4E87BE84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4634496A" w14:textId="705881D2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</w:t>
            </w:r>
            <w:r w:rsidR="000F753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5EF13163" w14:textId="3BC3F329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2848E05B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6FF0DF2F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00821C7C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714A3E23" w:rsidR="00097B58" w:rsidRPr="00E33A76" w:rsidRDefault="00097B58" w:rsidP="00097B58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097B58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5D0014E8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732662F0" w14:textId="0C5DB42C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22AE828E" w14:textId="7BD90922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1BD354AF" w14:textId="42077558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75A033F4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0473916D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459BD2FA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53F6F3D5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97B58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097B58" w:rsidRPr="00E33A76" w:rsidRDefault="00097B58" w:rsidP="00097B5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4FE79E1F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2E57722C" w14:textId="273FCE33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6BC3CE1C" w14:textId="14E64B9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1C6F6FD" w14:textId="124D2915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3A8359B5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3A213B9F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1AB132C9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69A248C8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97B58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0CC9DD7A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B8774B4" w14:textId="03B23F28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6694E2FF" w14:textId="385E1807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78D54705" w14:textId="2D1E87A0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1CB0109D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4D6D2D2C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4A27E704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76F4A904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97B58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201E9033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-108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0FB22C48" w14:textId="311D4586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-30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4159804D" w14:textId="00268531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219BE204" w14:textId="69BDCD3C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4ED80FC6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685309BB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7CC2DA3F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3CFDBA54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97B58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097B58" w:rsidRPr="00E33A76" w:rsidRDefault="00097B58" w:rsidP="00097B5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335FCDC1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741DC072" w14:textId="2DB1A4E5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346CC3A2" w14:textId="5C93B96C" w:rsidR="00097B58" w:rsidRPr="00E33A76" w:rsidRDefault="00097B58" w:rsidP="00097B5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</w:t>
            </w:r>
            <w:r w:rsidR="000F753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center"/>
          </w:tcPr>
          <w:p w14:paraId="4B99FF2F" w14:textId="50399276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6C751881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44FD17F5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056BAD34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51AF49DC" w:rsidR="00097B58" w:rsidRPr="00E33A76" w:rsidRDefault="00097B58" w:rsidP="00097B5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5A90826F" w14:textId="77777777" w:rsidR="00824766" w:rsidRDefault="00824766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404165D9">
                <wp:simplePos x="0" y="0"/>
                <wp:positionH relativeFrom="column">
                  <wp:posOffset>5283835</wp:posOffset>
                </wp:positionH>
                <wp:positionV relativeFrom="paragraph">
                  <wp:posOffset>224790</wp:posOffset>
                </wp:positionV>
                <wp:extent cx="1725295" cy="1063625"/>
                <wp:effectExtent l="0" t="0" r="0" b="3175"/>
                <wp:wrapTight wrapText="bothSides">
                  <wp:wrapPolygon edited="0">
                    <wp:start x="715" y="0"/>
                    <wp:lineTo x="715" y="21278"/>
                    <wp:lineTo x="20749" y="21278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7819D63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Among our main trade partners in exports we recorded </w:t>
                            </w:r>
                            <w:r w:rsidRPr="00CF017D">
                              <w:rPr>
                                <w:lang w:val="en-US"/>
                              </w:rPr>
                              <w:t xml:space="preserve">a decrease in turnover for </w:t>
                            </w:r>
                            <w:r w:rsidRPr="00CF017D">
                              <w:rPr>
                                <w:rFonts w:cs="Arial"/>
                                <w:lang w:val="en-US"/>
                              </w:rPr>
                              <w:t>United Kingdom and Italy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F25132D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0F7537" w:rsidRPr="003F7B61" w:rsidRDefault="000F753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0F7537" w:rsidRPr="003F7B61" w:rsidRDefault="000F753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22207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30" type="#_x0000_t202" style="position:absolute;margin-left:416.05pt;margin-top:17.7pt;width:135.85pt;height:83.7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Pc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" filled="f" stroked="f">
                <v:textbox>
                  <w:txbxContent>
                    <w:p w14:paraId="7D9C458C" w14:textId="67819D63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Among our main trade partners in exports we recorded </w:t>
                      </w:r>
                      <w:r w:rsidRPr="00CF017D">
                        <w:rPr>
                          <w:lang w:val="en-US"/>
                        </w:rPr>
                        <w:t xml:space="preserve">a decrease in turnover for </w:t>
                      </w:r>
                      <w:r w:rsidRPr="00CF017D">
                        <w:rPr>
                          <w:rFonts w:cs="Arial"/>
                          <w:lang w:val="en-US"/>
                        </w:rPr>
                        <w:t>United Kingdom and Italy</w:t>
                      </w:r>
                      <w:r w:rsidRPr="003F7B61">
                        <w:rPr>
                          <w:lang w:val="en-US"/>
                        </w:rPr>
                        <w:t xml:space="preserve"> </w:t>
                      </w:r>
                    </w:p>
                    <w:p w14:paraId="6F25132D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0F7537" w:rsidRPr="003F7B61" w:rsidRDefault="000F753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0F7537" w:rsidRPr="003F7B61" w:rsidRDefault="000F753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7373E4B8" w:rsidR="00345F7C" w:rsidRPr="001A33F3" w:rsidRDefault="00EA11BE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January </w:t>
      </w:r>
      <w:r>
        <w:rPr>
          <w:rFonts w:cs="Arial"/>
          <w:lang w:val="en-US"/>
        </w:rPr>
        <w:t xml:space="preserve">– </w:t>
      </w:r>
      <w:r w:rsidR="00442B76">
        <w:rPr>
          <w:rFonts w:cs="Arial"/>
          <w:lang w:val="en-US"/>
        </w:rPr>
        <w:t>August</w:t>
      </w:r>
      <w:r>
        <w:rPr>
          <w:rFonts w:cs="Arial"/>
          <w:lang w:val="en-US"/>
        </w:rPr>
        <w:t xml:space="preserve"> this year</w:t>
      </w:r>
      <w:r w:rsidR="001A33F3" w:rsidRPr="001A33F3">
        <w:rPr>
          <w:rFonts w:cs="Arial"/>
          <w:lang w:val="en-US"/>
        </w:rPr>
        <w:t xml:space="preserve"> among the main trade partners of Poland there was an increase in </w:t>
      </w:r>
      <w:r w:rsidR="001A33F3" w:rsidRPr="00DA4E89">
        <w:rPr>
          <w:rFonts w:cs="Arial"/>
          <w:szCs w:val="19"/>
          <w:lang w:val="en-US"/>
        </w:rPr>
        <w:t xml:space="preserve">exports </w:t>
      </w:r>
      <w:r w:rsidR="003B1D41">
        <w:rPr>
          <w:rFonts w:cs="Arial"/>
          <w:color w:val="222222"/>
          <w:szCs w:val="19"/>
          <w:lang w:val="en"/>
        </w:rPr>
        <w:t>to</w:t>
      </w:r>
      <w:r w:rsidR="00B00542" w:rsidRPr="00B00542">
        <w:rPr>
          <w:rFonts w:cs="Arial"/>
          <w:color w:val="222222"/>
          <w:szCs w:val="19"/>
          <w:lang w:val="en"/>
        </w:rPr>
        <w:t xml:space="preserve"> </w:t>
      </w:r>
      <w:r w:rsidR="00442B76" w:rsidRPr="00DA4E89">
        <w:rPr>
          <w:rFonts w:cs="Arial"/>
          <w:color w:val="222222"/>
          <w:szCs w:val="19"/>
          <w:lang w:val="en"/>
        </w:rPr>
        <w:t>the United States</w:t>
      </w:r>
      <w:r w:rsidR="00442B76">
        <w:rPr>
          <w:rFonts w:cs="Arial"/>
          <w:color w:val="222222"/>
          <w:szCs w:val="19"/>
          <w:lang w:val="en"/>
        </w:rPr>
        <w:t>,</w:t>
      </w:r>
      <w:r w:rsidR="00442B76" w:rsidRPr="00442B76">
        <w:rPr>
          <w:rFonts w:cs="Arial"/>
          <w:color w:val="222222"/>
          <w:szCs w:val="19"/>
          <w:lang w:val="en"/>
        </w:rPr>
        <w:t xml:space="preserve"> </w:t>
      </w:r>
      <w:r w:rsidR="00442B76">
        <w:rPr>
          <w:rFonts w:cs="Arial"/>
          <w:color w:val="222222"/>
          <w:szCs w:val="19"/>
          <w:lang w:val="en"/>
        </w:rPr>
        <w:t>Germany,</w:t>
      </w:r>
      <w:r w:rsidR="00442B76" w:rsidRPr="00DA4E89">
        <w:rPr>
          <w:rFonts w:cs="Arial"/>
          <w:color w:val="222222"/>
          <w:szCs w:val="19"/>
          <w:lang w:val="en"/>
        </w:rPr>
        <w:t xml:space="preserve"> </w:t>
      </w:r>
      <w:r w:rsidR="00B00542" w:rsidRPr="00DA4E89">
        <w:rPr>
          <w:rFonts w:cs="Arial"/>
          <w:color w:val="222222"/>
          <w:szCs w:val="19"/>
          <w:lang w:val="en"/>
        </w:rPr>
        <w:t>Russia</w:t>
      </w:r>
      <w:r w:rsidR="00B00542">
        <w:rPr>
          <w:rFonts w:cs="Arial"/>
          <w:color w:val="222222"/>
          <w:szCs w:val="19"/>
          <w:lang w:val="en"/>
        </w:rPr>
        <w:t>,</w:t>
      </w:r>
      <w:r w:rsidR="00442B76">
        <w:rPr>
          <w:rFonts w:cs="Arial"/>
          <w:color w:val="222222"/>
          <w:szCs w:val="19"/>
          <w:lang w:val="en"/>
        </w:rPr>
        <w:t xml:space="preserve"> Hungary</w:t>
      </w:r>
      <w:r w:rsidR="00E76AE4">
        <w:rPr>
          <w:rFonts w:cs="Arial"/>
          <w:color w:val="222222"/>
          <w:szCs w:val="19"/>
          <w:lang w:val="en"/>
        </w:rPr>
        <w:t xml:space="preserve">, </w:t>
      </w:r>
      <w:r w:rsidR="00442B76">
        <w:rPr>
          <w:rFonts w:cs="Arial"/>
          <w:color w:val="222222"/>
          <w:szCs w:val="19"/>
          <w:lang w:val="en"/>
        </w:rPr>
        <w:t xml:space="preserve">Netherlands, </w:t>
      </w:r>
      <w:r w:rsidR="00E76AE4">
        <w:rPr>
          <w:rFonts w:cs="Arial"/>
          <w:color w:val="222222"/>
          <w:szCs w:val="19"/>
          <w:lang w:val="en"/>
        </w:rPr>
        <w:t xml:space="preserve">France, </w:t>
      </w:r>
      <w:r w:rsidR="00442B76" w:rsidRPr="00EA11BE">
        <w:rPr>
          <w:rFonts w:cs="Arial"/>
          <w:szCs w:val="19"/>
          <w:lang w:val="en-US"/>
        </w:rPr>
        <w:t>Czech Republic</w:t>
      </w:r>
      <w:r w:rsidR="00442B76" w:rsidRPr="001A33F3">
        <w:rPr>
          <w:rFonts w:cs="Arial"/>
          <w:lang w:val="en-US"/>
        </w:rPr>
        <w:t xml:space="preserve"> </w:t>
      </w:r>
      <w:r w:rsidR="00442B76">
        <w:rPr>
          <w:rFonts w:cs="Arial"/>
          <w:szCs w:val="19"/>
          <w:lang w:val="en-US"/>
        </w:rPr>
        <w:t>and</w:t>
      </w:r>
      <w:r w:rsidR="00442B76" w:rsidRPr="00DA4E89">
        <w:rPr>
          <w:rFonts w:cs="Arial"/>
          <w:color w:val="222222"/>
          <w:szCs w:val="19"/>
          <w:lang w:val="en"/>
        </w:rPr>
        <w:t xml:space="preserve"> </w:t>
      </w:r>
      <w:r w:rsidR="00DA4E89" w:rsidRPr="00DA4E89">
        <w:rPr>
          <w:rFonts w:cs="Arial"/>
          <w:color w:val="222222"/>
          <w:szCs w:val="19"/>
          <w:lang w:val="en"/>
        </w:rPr>
        <w:t>Sweden</w:t>
      </w:r>
      <w:r>
        <w:rPr>
          <w:rFonts w:cs="Arial"/>
          <w:color w:val="222222"/>
          <w:szCs w:val="19"/>
          <w:lang w:val="en"/>
        </w:rPr>
        <w:t>,</w:t>
      </w:r>
      <w:r w:rsidR="005B6FC1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 xml:space="preserve">and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0716A9">
        <w:rPr>
          <w:lang w:val="en"/>
        </w:rPr>
        <w:t xml:space="preserve">from all countries from </w:t>
      </w:r>
      <w:r w:rsidR="000716A9" w:rsidRPr="001A33F3">
        <w:rPr>
          <w:rFonts w:cs="Arial"/>
          <w:lang w:val="en-US"/>
        </w:rPr>
        <w:t>the main trade partners of Poland</w:t>
      </w:r>
      <w:r w:rsidR="00345F7C" w:rsidRPr="00DA4E89">
        <w:rPr>
          <w:rFonts w:cs="Arial"/>
          <w:szCs w:val="19"/>
          <w:lang w:val="en-US"/>
        </w:rPr>
        <w:t>.</w:t>
      </w:r>
    </w:p>
    <w:p w14:paraId="03F64C89" w14:textId="16E249B7" w:rsidR="00013EDB" w:rsidRPr="00D45E4A" w:rsidRDefault="000F7537" w:rsidP="00013ED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as in the corresponding period of the previous year – </w:t>
      </w:r>
      <w:r w:rsidR="00013EDB">
        <w:rPr>
          <w:rFonts w:cs="Arial"/>
          <w:lang w:val="en-US"/>
        </w:rPr>
        <w:t>66.</w:t>
      </w:r>
      <w:r>
        <w:rPr>
          <w:rFonts w:cs="Arial"/>
          <w:lang w:val="en-US"/>
        </w:rPr>
        <w:t>4%</w:t>
      </w:r>
      <w:r w:rsidR="00013EDB">
        <w:rPr>
          <w:rFonts w:cs="Arial"/>
          <w:lang w:val="en-US"/>
        </w:rPr>
        <w:t>, while total imports – 65.</w:t>
      </w:r>
      <w:r>
        <w:rPr>
          <w:rFonts w:cs="Arial"/>
          <w:lang w:val="en-US"/>
        </w:rPr>
        <w:t>2</w:t>
      </w:r>
      <w:r w:rsidR="00013EDB">
        <w:rPr>
          <w:rFonts w:cs="Arial"/>
          <w:lang w:val="en-US"/>
        </w:rPr>
        <w:t>% (against 65.</w:t>
      </w:r>
      <w:r>
        <w:rPr>
          <w:rFonts w:cs="Arial"/>
          <w:lang w:val="en-US"/>
        </w:rPr>
        <w:t>7</w:t>
      </w:r>
      <w:r w:rsidR="00013EDB">
        <w:rPr>
          <w:rFonts w:cs="Arial"/>
          <w:lang w:val="en-US"/>
        </w:rPr>
        <w:t xml:space="preserve">% </w:t>
      </w:r>
      <w:r w:rsidR="00013EDB">
        <w:rPr>
          <w:lang w:val="en-US"/>
        </w:rPr>
        <w:t xml:space="preserve">after </w:t>
      </w:r>
      <w:r>
        <w:rPr>
          <w:lang w:val="en-US"/>
        </w:rPr>
        <w:t>eight</w:t>
      </w:r>
      <w:r w:rsidR="00013EDB">
        <w:rPr>
          <w:lang w:val="en-US"/>
        </w:rPr>
        <w:t xml:space="preserve"> months</w:t>
      </w:r>
      <w:r w:rsidR="00013EDB">
        <w:rPr>
          <w:rFonts w:cs="Arial"/>
          <w:lang w:val="en-US"/>
        </w:rPr>
        <w:t xml:space="preserve"> 2017)</w:t>
      </w:r>
      <w:r w:rsidR="00013EDB" w:rsidRPr="00D45E4A">
        <w:rPr>
          <w:rFonts w:cs="Arial"/>
          <w:lang w:val="en-US"/>
        </w:rPr>
        <w:t>.</w:t>
      </w:r>
    </w:p>
    <w:p w14:paraId="5BB9ACD0" w14:textId="330ED2D7" w:rsidR="00A00ADB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increased in comparison with the correspo</w:t>
      </w:r>
      <w:r w:rsidR="00211E19">
        <w:rPr>
          <w:rFonts w:cs="Arial"/>
          <w:lang w:val="en-US"/>
        </w:rPr>
        <w:t>nding period of last year by 0.</w:t>
      </w:r>
      <w:r w:rsidR="000F7537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D869A7">
        <w:rPr>
          <w:rFonts w:cs="Arial"/>
          <w:lang w:val="en-US"/>
        </w:rPr>
        <w:t>28.0</w:t>
      </w:r>
      <w:r w:rsidRPr="009B6005">
        <w:rPr>
          <w:rFonts w:cs="Arial"/>
          <w:lang w:val="en-US"/>
        </w:rPr>
        <w:t>%</w:t>
      </w:r>
      <w:r w:rsidR="00C77C4A" w:rsidRPr="009B6005">
        <w:rPr>
          <w:rFonts w:cs="Arial"/>
          <w:lang w:val="en-US"/>
        </w:rPr>
        <w:t>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F47DDF">
        <w:rPr>
          <w:rFonts w:cs="Arial"/>
          <w:lang w:val="en-US"/>
        </w:rPr>
        <w:t>ts has decreased by 0.</w:t>
      </w:r>
      <w:r w:rsidR="000F7537">
        <w:rPr>
          <w:rFonts w:cs="Arial"/>
          <w:lang w:val="en-US"/>
        </w:rPr>
        <w:t>4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594C60">
        <w:rPr>
          <w:rFonts w:cs="Arial"/>
          <w:lang w:val="en-US"/>
        </w:rPr>
        <w:t>22.</w:t>
      </w:r>
      <w:r w:rsidR="00D869A7">
        <w:rPr>
          <w:rFonts w:cs="Arial"/>
          <w:lang w:val="en-US"/>
        </w:rPr>
        <w:t>8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0F7537">
        <w:rPr>
          <w:rFonts w:cs="Arial"/>
          <w:lang w:val="en-US"/>
        </w:rPr>
        <w:t>30.0</w:t>
      </w:r>
      <w:r w:rsidR="00D869A7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0F7537">
        <w:rPr>
          <w:rFonts w:cs="Arial"/>
          <w:lang w:val="en-US"/>
        </w:rPr>
        <w:t>8.5</w:t>
      </w:r>
      <w:r w:rsidR="00D869A7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0F7537">
        <w:rPr>
          <w:rFonts w:cs="Arial"/>
          <w:lang w:val="en-US"/>
        </w:rPr>
        <w:t>7</w:t>
      </w:r>
      <w:r w:rsidR="00D869A7">
        <w:rPr>
          <w:rFonts w:cs="Arial"/>
          <w:lang w:val="en-US"/>
        </w:rPr>
        <w:t>.1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0F7537">
        <w:rPr>
          <w:rFonts w:cs="Arial"/>
          <w:lang w:val="en-US"/>
        </w:rPr>
        <w:t>25</w:t>
      </w:r>
      <w:r w:rsidR="00D869A7">
        <w:rPr>
          <w:rFonts w:cs="Arial"/>
          <w:lang w:val="en-US"/>
        </w:rPr>
        <w:t>.</w:t>
      </w:r>
      <w:r w:rsidR="000F7537">
        <w:rPr>
          <w:rFonts w:cs="Arial"/>
          <w:lang w:val="en-US"/>
        </w:rPr>
        <w:t>2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0F7537">
        <w:rPr>
          <w:rFonts w:cs="Arial"/>
          <w:lang w:val="en-US"/>
        </w:rPr>
        <w:t>6.3</w:t>
      </w:r>
      <w:r w:rsidR="00594C60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>
        <w:rPr>
          <w:rFonts w:cs="Arial"/>
          <w:sz w:val="18"/>
          <w:szCs w:val="18"/>
          <w:lang w:val="en-US"/>
        </w:rPr>
        <w:t xml:space="preserve">EUR </w:t>
      </w:r>
      <w:r w:rsidR="00D869A7">
        <w:rPr>
          <w:rFonts w:cs="Arial"/>
          <w:sz w:val="18"/>
          <w:szCs w:val="18"/>
          <w:lang w:val="en-US"/>
        </w:rPr>
        <w:t>5.</w:t>
      </w:r>
      <w:r w:rsidR="000F7537">
        <w:rPr>
          <w:rFonts w:cs="Arial"/>
          <w:sz w:val="18"/>
          <w:szCs w:val="18"/>
          <w:lang w:val="en-US"/>
        </w:rPr>
        <w:t>9</w:t>
      </w:r>
      <w:r w:rsidR="00F70DA2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z w:val="18"/>
          <w:szCs w:val="18"/>
          <w:lang w:val="en-US"/>
        </w:rPr>
        <w:t>bn)</w:t>
      </w:r>
      <w:r w:rsidR="00C77C4A" w:rsidRPr="00F47DDF">
        <w:rPr>
          <w:rFonts w:cs="Arial"/>
          <w:sz w:val="18"/>
          <w:szCs w:val="18"/>
          <w:lang w:val="en-US"/>
        </w:rPr>
        <w:t xml:space="preserve"> </w:t>
      </w:r>
      <w:r w:rsidR="00F47DDF">
        <w:rPr>
          <w:rFonts w:cs="Arial"/>
          <w:spacing w:val="-3"/>
          <w:sz w:val="18"/>
          <w:szCs w:val="18"/>
          <w:lang w:val="en-US"/>
        </w:rPr>
        <w:t xml:space="preserve">in the same period of 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201</w:t>
      </w:r>
      <w:r w:rsidR="00594C60">
        <w:rPr>
          <w:rFonts w:cs="Arial"/>
          <w:spacing w:val="-3"/>
          <w:sz w:val="18"/>
          <w:szCs w:val="18"/>
          <w:lang w:val="en-US"/>
        </w:rPr>
        <w:t>7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. </w:t>
      </w:r>
    </w:p>
    <w:p w14:paraId="74E8C5AC" w14:textId="77777777" w:rsidR="00824766" w:rsidRDefault="00824766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68156A57" w14:textId="77777777" w:rsidR="00D725C5" w:rsidRPr="00F47DDF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1E69DC9B" w14:textId="3E28D48D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478B8FF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336F638E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increased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0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.9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2017 and it was 7.2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0F7537" w:rsidRPr="00DB5C76" w:rsidRDefault="000F753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0F7537" w:rsidRPr="00DB5C76" w:rsidRDefault="000F753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336F638E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increased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0</w:t>
                      </w:r>
                      <w:r>
                        <w:rPr>
                          <w:rFonts w:cs="Arial"/>
                          <w:lang w:val="en-US"/>
                        </w:rPr>
                        <w:t>.9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2017 and it was 7.2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0F7537" w:rsidRPr="00DB5C76" w:rsidRDefault="000F753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0F7537" w:rsidRPr="00DB5C76" w:rsidRDefault="000F753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5ABB470A" w:rsidR="00366025" w:rsidRPr="000C2149" w:rsidRDefault="00366025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E6552C">
              <w:rPr>
                <w:rFonts w:cs="Arial"/>
                <w:sz w:val="16"/>
                <w:szCs w:val="16"/>
              </w:rPr>
              <w:t>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E6552C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15CFA7EA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ABB7027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5DA128AB" w:rsidR="00FA3774" w:rsidRPr="000C2149" w:rsidRDefault="00FA3774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E6552C">
              <w:rPr>
                <w:rFonts w:cs="Arial"/>
                <w:sz w:val="16"/>
                <w:szCs w:val="16"/>
              </w:rPr>
              <w:t>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E6552C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0AA20064" w:rsidR="00FA3774" w:rsidRPr="000C2149" w:rsidRDefault="00FA3774" w:rsidP="0048122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481222">
              <w:rPr>
                <w:rFonts w:cs="Arial"/>
                <w:sz w:val="16"/>
                <w:szCs w:val="16"/>
              </w:rPr>
              <w:t>V</w:t>
            </w:r>
            <w:r w:rsidR="00E6552C">
              <w:rPr>
                <w:rFonts w:cs="Arial"/>
                <w:sz w:val="16"/>
                <w:szCs w:val="16"/>
              </w:rPr>
              <w:t>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E6552C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F7537" w:rsidRPr="00366025" w14:paraId="1ADA4BC0" w14:textId="77777777" w:rsidTr="000F7537">
        <w:tc>
          <w:tcPr>
            <w:tcW w:w="2268" w:type="dxa"/>
            <w:vAlign w:val="bottom"/>
          </w:tcPr>
          <w:p w14:paraId="13B9879C" w14:textId="35D11C55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56FA0A1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03758436" w14:textId="5B348D9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4E5DACBC" w14:textId="751E64C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center"/>
          </w:tcPr>
          <w:p w14:paraId="7AB88D12" w14:textId="67AFD6E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center"/>
          </w:tcPr>
          <w:p w14:paraId="1508F782" w14:textId="5D2FE5A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center"/>
          </w:tcPr>
          <w:p w14:paraId="140BF565" w14:textId="69470CC1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14:paraId="29D1DBE4" w14:textId="406DDAB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72ED7625" w14:textId="46F22EC0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0F7537" w:rsidRPr="00366025" w14:paraId="4D092578" w14:textId="77777777" w:rsidTr="000F7537">
        <w:tc>
          <w:tcPr>
            <w:tcW w:w="2268" w:type="dxa"/>
            <w:vAlign w:val="bottom"/>
          </w:tcPr>
          <w:p w14:paraId="4398C437" w14:textId="36BC3E08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6AC460D" w14:textId="76FB8A6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2A0832EC" w14:textId="54966BA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1796452E" w14:textId="6E0BD35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center"/>
          </w:tcPr>
          <w:p w14:paraId="7AE8A716" w14:textId="74623C6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center"/>
          </w:tcPr>
          <w:p w14:paraId="4A5EEBBB" w14:textId="53F6676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center"/>
          </w:tcPr>
          <w:p w14:paraId="36863EC6" w14:textId="5FBC31A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5723039A" w14:textId="5BA333E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754E0455" w14:textId="141E6EE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F7537" w:rsidRPr="00366025" w14:paraId="414C5728" w14:textId="77777777" w:rsidTr="000F7537">
        <w:tc>
          <w:tcPr>
            <w:tcW w:w="2268" w:type="dxa"/>
            <w:vAlign w:val="bottom"/>
          </w:tcPr>
          <w:p w14:paraId="72EF3858" w14:textId="398D6758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5E517A4F" w14:textId="41F76AF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76CE09BA" w14:textId="19E6B72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59582D63" w14:textId="4E1F09F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14:paraId="26D222E1" w14:textId="66D279C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14:paraId="6690EB80" w14:textId="512FDEC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center"/>
          </w:tcPr>
          <w:p w14:paraId="60A77E91" w14:textId="1F9A13E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14:paraId="14AF5E30" w14:textId="2B136A0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26BD254A" w14:textId="3D6D420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0F7537" w:rsidRPr="00366025" w14:paraId="60AC7496" w14:textId="77777777" w:rsidTr="000F7537">
        <w:tc>
          <w:tcPr>
            <w:tcW w:w="2268" w:type="dxa"/>
            <w:vAlign w:val="bottom"/>
          </w:tcPr>
          <w:p w14:paraId="28B87A1E" w14:textId="40276DF0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276660D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2F767FA0" w14:textId="7A6A327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700AE6B4" w14:textId="7D3FCF3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14:paraId="6D416F77" w14:textId="7557A10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center"/>
          </w:tcPr>
          <w:p w14:paraId="025E0D9D" w14:textId="0612B0C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center"/>
          </w:tcPr>
          <w:p w14:paraId="6D3CEA5E" w14:textId="51F8AB7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54F80A0A" w14:textId="7514B2E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4AA61625" w14:textId="0CF4DC2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F7537" w:rsidRPr="00366025" w14:paraId="6ABF6C17" w14:textId="77777777" w:rsidTr="000F7537">
        <w:tc>
          <w:tcPr>
            <w:tcW w:w="2268" w:type="dxa"/>
            <w:vAlign w:val="bottom"/>
          </w:tcPr>
          <w:p w14:paraId="530194F4" w14:textId="481E3A01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14:paraId="7EBC3525" w14:textId="792E325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154FCAD9" w14:textId="7DA85E7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3125AACB" w14:textId="44BD0D81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center"/>
          </w:tcPr>
          <w:p w14:paraId="0D15FDEC" w14:textId="7C66C28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center"/>
          </w:tcPr>
          <w:p w14:paraId="1FBB07D9" w14:textId="313CB0B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6528E3C0" w14:textId="55231D8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14:paraId="6CB6275F" w14:textId="3919C8F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2311538F" w14:textId="5DA25E5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F7537" w:rsidRPr="00366025" w14:paraId="0608F579" w14:textId="77777777" w:rsidTr="000F7537">
        <w:tc>
          <w:tcPr>
            <w:tcW w:w="2268" w:type="dxa"/>
            <w:vAlign w:val="bottom"/>
          </w:tcPr>
          <w:p w14:paraId="4CA291B6" w14:textId="4AA40457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Netherlands</w:t>
            </w:r>
          </w:p>
        </w:tc>
        <w:tc>
          <w:tcPr>
            <w:tcW w:w="911" w:type="dxa"/>
            <w:vAlign w:val="bottom"/>
          </w:tcPr>
          <w:p w14:paraId="13BCC76A" w14:textId="6FD4AA1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4C3AEE3F" w14:textId="2E9BF5F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0BD2BE55" w14:textId="51F09241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14:paraId="2EDC7562" w14:textId="2B869B0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center"/>
          </w:tcPr>
          <w:p w14:paraId="5A8FF469" w14:textId="342542D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center"/>
          </w:tcPr>
          <w:p w14:paraId="5FA048BE" w14:textId="66E6F7C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14:paraId="231390BE" w14:textId="752CDAF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40A49C32" w14:textId="547CF0C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F7537" w:rsidRPr="00366025" w14:paraId="47D16F0E" w14:textId="77777777" w:rsidTr="000F7537">
        <w:tc>
          <w:tcPr>
            <w:tcW w:w="2268" w:type="dxa"/>
            <w:vAlign w:val="bottom"/>
          </w:tcPr>
          <w:p w14:paraId="20BDC520" w14:textId="5C586FA4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5761AD0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58795048" w14:textId="6F25A09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4109C4EE" w14:textId="45E32AA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14:paraId="2ED4B215" w14:textId="71EB05E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center"/>
          </w:tcPr>
          <w:p w14:paraId="30C09E61" w14:textId="4586BCA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6888C567" w14:textId="6BF75A8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6209FC46" w14:textId="7F3070A5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341FECEF" w14:textId="3DE7A41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0F7537" w:rsidRPr="00366025" w14:paraId="1A2B4D65" w14:textId="77777777" w:rsidTr="000F7537">
        <w:tc>
          <w:tcPr>
            <w:tcW w:w="2268" w:type="dxa"/>
            <w:vAlign w:val="bottom"/>
          </w:tcPr>
          <w:p w14:paraId="489E4AF2" w14:textId="5EC44685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States </w:t>
            </w:r>
          </w:p>
        </w:tc>
        <w:tc>
          <w:tcPr>
            <w:tcW w:w="911" w:type="dxa"/>
            <w:vAlign w:val="bottom"/>
          </w:tcPr>
          <w:p w14:paraId="7BADFE1A" w14:textId="0408CEB5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5CFA23A1" w14:textId="3D18E28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0335BED2" w14:textId="659421B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center"/>
          </w:tcPr>
          <w:p w14:paraId="3FE61DE9" w14:textId="3098692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center"/>
          </w:tcPr>
          <w:p w14:paraId="7A164025" w14:textId="372EEA8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center"/>
          </w:tcPr>
          <w:p w14:paraId="42A7CDBE" w14:textId="01A7F19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14:paraId="3A8CC711" w14:textId="5127296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45BDB73C" w14:textId="6A4DFBF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0F7537" w:rsidRPr="00366025" w14:paraId="15969244" w14:textId="77777777" w:rsidTr="000F7537">
        <w:tc>
          <w:tcPr>
            <w:tcW w:w="2268" w:type="dxa"/>
            <w:vAlign w:val="bottom"/>
          </w:tcPr>
          <w:p w14:paraId="0A44D1F1" w14:textId="2AD243DE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Sweden</w:t>
            </w:r>
          </w:p>
        </w:tc>
        <w:tc>
          <w:tcPr>
            <w:tcW w:w="911" w:type="dxa"/>
            <w:vAlign w:val="bottom"/>
          </w:tcPr>
          <w:p w14:paraId="0D36D183" w14:textId="42D64811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0B104298" w14:textId="1E1EC1E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09D776F2" w14:textId="5E98407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center"/>
          </w:tcPr>
          <w:p w14:paraId="29FADE75" w14:textId="6B47CD4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center"/>
          </w:tcPr>
          <w:p w14:paraId="1834FF5B" w14:textId="13D4024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center"/>
          </w:tcPr>
          <w:p w14:paraId="4434F929" w14:textId="79BCABA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3F476F17" w14:textId="2143D565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327D8CFD" w14:textId="38B5A1E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0F7537" w:rsidRPr="00366025" w14:paraId="3AF65B5A" w14:textId="77777777" w:rsidTr="000F7537">
        <w:tc>
          <w:tcPr>
            <w:tcW w:w="2268" w:type="dxa"/>
            <w:vAlign w:val="bottom"/>
          </w:tcPr>
          <w:p w14:paraId="4C75F1B3" w14:textId="033E0553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Hungary</w:t>
            </w:r>
          </w:p>
        </w:tc>
        <w:tc>
          <w:tcPr>
            <w:tcW w:w="911" w:type="dxa"/>
            <w:vAlign w:val="bottom"/>
          </w:tcPr>
          <w:p w14:paraId="63C6464D" w14:textId="3DC5362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4883F5DA" w14:textId="7BDEA91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097B8C08" w14:textId="44C96C0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center"/>
          </w:tcPr>
          <w:p w14:paraId="63B7CE98" w14:textId="42EFCEB0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center"/>
          </w:tcPr>
          <w:p w14:paraId="1D7D8632" w14:textId="17D7449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center"/>
          </w:tcPr>
          <w:p w14:paraId="7391F1FF" w14:textId="2C177F4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40FDA891" w14:textId="2AE0D0F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5E388FED" w14:textId="20CECCD0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F7537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23319C5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197E5710" w14:textId="034E0B2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1EDEAF0C" w14:textId="348F5D4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5FEE159B" w14:textId="4E041C25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4BBFC8A1" w14:textId="5B92F2D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1780A2DB" w14:textId="204D947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14:paraId="3CF46148" w14:textId="23C3C2C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14:paraId="0644EA11" w14:textId="0852253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0F7537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008DCDA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1E7C6388" w14:textId="290E2AB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250324C3" w14:textId="5B280990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04A603D7" w14:textId="6D8373B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6FEE0F04" w14:textId="6F6DB12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1AC30A56" w14:textId="244915F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14:paraId="47703EB6" w14:textId="259C66D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3822B22C" w14:textId="2AD2DCB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F7537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7DDE1125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4EEC7FDD" w14:textId="25D6EA6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61F21E92" w14:textId="2D8ADE2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208BA65A" w14:textId="3A9551F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28797FF9" w14:textId="36F3DE1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582F2C8D" w14:textId="33DCD25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24CD06CC" w14:textId="197F46B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14:paraId="688A9753" w14:textId="1C7A6C8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F7537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5A5503FB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554F512B" w14:textId="6B83F9F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5EE9C93E" w14:textId="2B3E532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49DA3B92" w14:textId="3F0979D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542C2708" w14:textId="569D3AC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14:paraId="3CE23353" w14:textId="4C5C088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4CD7D3B0" w14:textId="648DD80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0EE0ED4B" w14:textId="6306274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0F7537" w:rsidRPr="00366025" w14:paraId="74D1C14C" w14:textId="77777777" w:rsidTr="000C2149">
        <w:tc>
          <w:tcPr>
            <w:tcW w:w="2268" w:type="dxa"/>
            <w:vAlign w:val="bottom"/>
          </w:tcPr>
          <w:p w14:paraId="11C007DD" w14:textId="3AA6462D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14:paraId="0EFA695A" w14:textId="572AEED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37A860C9" w14:textId="0084245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5195D69C" w14:textId="46C1077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7C570578" w14:textId="4670B531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3179D4E4" w14:textId="01A0BB1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29E8F1E4" w14:textId="3BE3B82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14:paraId="6894811B" w14:textId="48AEA8D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14:paraId="2429DB60" w14:textId="7642E2B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0F7537" w:rsidRPr="00366025" w14:paraId="00321FD8" w14:textId="77777777" w:rsidTr="000C2149">
        <w:tc>
          <w:tcPr>
            <w:tcW w:w="2268" w:type="dxa"/>
            <w:vAlign w:val="bottom"/>
          </w:tcPr>
          <w:p w14:paraId="2DF16F21" w14:textId="17DF08D0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vAlign w:val="bottom"/>
          </w:tcPr>
          <w:p w14:paraId="22411BD5" w14:textId="7A406C6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36D581DD" w14:textId="495B718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37E3B9B4" w14:textId="3592310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3657EDA2" w14:textId="15627F2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66441F04" w14:textId="5BA1015D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5E66BB03" w14:textId="7BE2598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14:paraId="262144C6" w14:textId="36899D35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65581BDF" w14:textId="139626D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0F7537" w:rsidRPr="00366025" w14:paraId="72905E34" w14:textId="77777777" w:rsidTr="000C2149">
        <w:tc>
          <w:tcPr>
            <w:tcW w:w="2268" w:type="dxa"/>
            <w:vAlign w:val="bottom"/>
          </w:tcPr>
          <w:p w14:paraId="1DFC4F2D" w14:textId="14C9E648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3634E9B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1B0A1DB0" w14:textId="1792A0E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6E21BBE1" w14:textId="33334D5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1F31A9DD" w14:textId="53FE3490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4F4E5854" w14:textId="018C89A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0B9F6E94" w14:textId="6EAF7076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7E61D1FE" w14:textId="00A816E0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09C20040" w14:textId="5EA1DE7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F7537" w:rsidRPr="00366025" w14:paraId="78641ACB" w14:textId="77777777" w:rsidTr="000C2149">
        <w:tc>
          <w:tcPr>
            <w:tcW w:w="2268" w:type="dxa"/>
            <w:vAlign w:val="bottom"/>
          </w:tcPr>
          <w:p w14:paraId="277AF19F" w14:textId="7C2E5061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vAlign w:val="bottom"/>
          </w:tcPr>
          <w:p w14:paraId="329416A3" w14:textId="24C22A1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763535B1" w14:textId="01428B60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7259B644" w14:textId="4C330DF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76B24F5A" w14:textId="7E9E748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319B2B41" w14:textId="680EC0C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28D72452" w14:textId="470D8E55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6099311C" w14:textId="7CC8054C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14:paraId="6FFDD869" w14:textId="714323A2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0F7537" w:rsidRPr="00366025" w14:paraId="37F42DFF" w14:textId="77777777" w:rsidTr="000C2149">
        <w:tc>
          <w:tcPr>
            <w:tcW w:w="2268" w:type="dxa"/>
            <w:vAlign w:val="bottom"/>
          </w:tcPr>
          <w:p w14:paraId="3364D841" w14:textId="5B8795ED" w:rsidR="000F7537" w:rsidRPr="00366025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Belgium</w:t>
            </w:r>
          </w:p>
        </w:tc>
        <w:tc>
          <w:tcPr>
            <w:tcW w:w="911" w:type="dxa"/>
            <w:vAlign w:val="bottom"/>
          </w:tcPr>
          <w:p w14:paraId="3EC90EDA" w14:textId="1C4989E8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424BA7D9" w14:textId="3FA5BC9F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6B7303D3" w14:textId="00BB4A03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3666A73F" w14:textId="6FEC237A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1B2ADD74" w14:textId="6C9942E4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567E5C25" w14:textId="237C1769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48A1C956" w14:textId="53A8F5E7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01B5D68A" w14:textId="3DB8665E" w:rsidR="000F7537" w:rsidRPr="00366025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F7537" w:rsidRPr="00782B51" w14:paraId="04A779E8" w14:textId="77777777" w:rsidTr="000C2149">
        <w:tc>
          <w:tcPr>
            <w:tcW w:w="2268" w:type="dxa"/>
            <w:vAlign w:val="bottom"/>
          </w:tcPr>
          <w:p w14:paraId="2D955C84" w14:textId="4ECCAE31" w:rsidR="000F7537" w:rsidRPr="00782B51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560B0C5E" w14:textId="2386675F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00E658E1" w14:textId="701D92FF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1FEC6457" w14:textId="5CF07657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4AD224B7" w14:textId="55D71BF0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7AD74DEA" w14:textId="15E7CF9B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30D512D4" w14:textId="135D3AA7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14:paraId="79401C90" w14:textId="60E8A7C8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2B94C071" w14:textId="4B3A1B7E" w:rsidR="000F7537" w:rsidRPr="00782B51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2DDEED26" w14:textId="77777777" w:rsidR="00824766" w:rsidRDefault="00824766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45F15C7B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</w:t>
      </w:r>
      <w:r w:rsidR="003705D4">
        <w:rPr>
          <w:lang w:val="en-US"/>
        </w:rPr>
        <w:t>r</w:t>
      </w:r>
      <w:r w:rsidRPr="00070820">
        <w:rPr>
          <w:lang w:val="en-US"/>
        </w:rPr>
        <w:t>ies</w:t>
      </w:r>
    </w:p>
    <w:p w14:paraId="5AA2FC22" w14:textId="3ECDB6BB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201F6">
        <w:rPr>
          <w:rFonts w:cs="Arial"/>
          <w:spacing w:val="-3"/>
          <w:lang w:val="en-US"/>
        </w:rPr>
        <w:t>4</w:t>
      </w:r>
      <w:r w:rsidR="000F7537">
        <w:rPr>
          <w:rFonts w:cs="Arial"/>
          <w:spacing w:val="-3"/>
          <w:lang w:val="en-US"/>
        </w:rPr>
        <w:t>58</w:t>
      </w:r>
      <w:r w:rsidR="003201F6">
        <w:rPr>
          <w:rFonts w:cs="Arial"/>
          <w:spacing w:val="-3"/>
          <w:lang w:val="en-US"/>
        </w:rPr>
        <w:t>.3</w:t>
      </w:r>
      <w:r w:rsidR="00595C4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0F7537">
        <w:rPr>
          <w:rFonts w:cs="Arial"/>
          <w:spacing w:val="-3"/>
          <w:lang w:val="en-US"/>
        </w:rPr>
        <w:t>429.2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0F7537">
        <w:rPr>
          <w:rFonts w:cs="Arial"/>
          <w:spacing w:val="-3"/>
          <w:lang w:val="en-US"/>
        </w:rPr>
        <w:t>437.5</w:t>
      </w:r>
      <w:r>
        <w:rPr>
          <w:rFonts w:cs="Arial"/>
          <w:spacing w:val="-3"/>
          <w:lang w:val="en-US"/>
        </w:rPr>
        <w:t xml:space="preserve"> 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- PLN </w:t>
      </w:r>
      <w:r w:rsidR="000F7537">
        <w:rPr>
          <w:rFonts w:cs="Arial"/>
          <w:spacing w:val="-3"/>
          <w:lang w:val="en-US"/>
        </w:rPr>
        <w:t>409.9</w:t>
      </w:r>
      <w:r>
        <w:rPr>
          <w:rFonts w:cs="Arial"/>
          <w:spacing w:val="-3"/>
          <w:lang w:val="en-US"/>
        </w:rPr>
        <w:t xml:space="preserve"> bn in the same period of</w:t>
      </w:r>
      <w:r w:rsidR="00782B51">
        <w:rPr>
          <w:rFonts w:cs="Arial"/>
          <w:spacing w:val="-3"/>
          <w:lang w:val="en-US"/>
        </w:rPr>
        <w:t xml:space="preserve"> 2017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74E7FFDE" w:rsidR="0051165C" w:rsidRPr="000C2149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387C7A5E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7F7577C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2AC3906D" w:rsidR="0051165C" w:rsidRPr="000C2149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034FE2FC" w:rsidR="0051165C" w:rsidRPr="000C2149" w:rsidRDefault="0051165C" w:rsidP="00FB47F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842493">
              <w:rPr>
                <w:rFonts w:cs="Arial"/>
                <w:sz w:val="16"/>
                <w:szCs w:val="16"/>
              </w:rPr>
              <w:t xml:space="preserve"> 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F7537" w:rsidRPr="0051165C" w14:paraId="139A0AC8" w14:textId="77777777" w:rsidTr="00782B51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0F7537" w:rsidRPr="00A00ADB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consignment)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48E424B9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615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02BFDB24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174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409E2311" w14:textId="52C4C231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145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0DB4135A" w14:textId="6DB6ECEA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505724CF" w14:textId="5E3DB85E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120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2BED1F" w14:textId="4B9A9CE2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4F7F5636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2811C97C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F7537" w:rsidRPr="0051165C" w14:paraId="6AFE57B4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0F7537" w:rsidRPr="0051165C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2A7E08DA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EA701E9" w14:textId="1926F280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vAlign w:val="bottom"/>
          </w:tcPr>
          <w:p w14:paraId="28012681" w14:textId="43369BC8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bottom"/>
          </w:tcPr>
          <w:p w14:paraId="4F2EFB0E" w14:textId="0E516C05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vAlign w:val="bottom"/>
          </w:tcPr>
          <w:p w14:paraId="586219E8" w14:textId="6031B9D3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vAlign w:val="bottom"/>
          </w:tcPr>
          <w:p w14:paraId="4688C09B" w14:textId="5BAA5EEC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vAlign w:val="bottom"/>
          </w:tcPr>
          <w:p w14:paraId="0751E6A9" w14:textId="0703162E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vAlign w:val="bottom"/>
          </w:tcPr>
          <w:p w14:paraId="6C0A8788" w14:textId="0D07BA21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0F7537" w:rsidRPr="0051165C" w14:paraId="56C97CDA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0F7537" w:rsidRPr="0051165C" w:rsidRDefault="000F7537" w:rsidP="000F753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457C957D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6E6AB1F1" w14:textId="57A81C21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vAlign w:val="bottom"/>
          </w:tcPr>
          <w:p w14:paraId="0E397000" w14:textId="6BEA6998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bottom"/>
          </w:tcPr>
          <w:p w14:paraId="4C8A76CF" w14:textId="666BD1AC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vAlign w:val="bottom"/>
          </w:tcPr>
          <w:p w14:paraId="76FCAFA0" w14:textId="28E38329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vAlign w:val="bottom"/>
          </w:tcPr>
          <w:p w14:paraId="56EA7174" w14:textId="0E422B55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vAlign w:val="bottom"/>
          </w:tcPr>
          <w:p w14:paraId="7B0F515E" w14:textId="59B692B9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1" w:type="dxa"/>
            <w:vAlign w:val="bottom"/>
          </w:tcPr>
          <w:p w14:paraId="15B18860" w14:textId="276FFF25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F7537" w:rsidRPr="0051165C" w14:paraId="10E6465E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0F7537" w:rsidRPr="0051165C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0FB7C935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0D0ABF4E" w14:textId="7FE31A67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vAlign w:val="bottom"/>
          </w:tcPr>
          <w:p w14:paraId="7059D8CB" w14:textId="2762F7DA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bottom"/>
          </w:tcPr>
          <w:p w14:paraId="41DECC32" w14:textId="7F25B050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vAlign w:val="bottom"/>
          </w:tcPr>
          <w:p w14:paraId="1B4C7C19" w14:textId="2070F92E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vAlign w:val="bottom"/>
          </w:tcPr>
          <w:p w14:paraId="60418E11" w14:textId="02395161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14:paraId="4DF40ADA" w14:textId="7E2CFE5E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1" w:type="dxa"/>
            <w:vAlign w:val="bottom"/>
          </w:tcPr>
          <w:p w14:paraId="26511D85" w14:textId="41D5940C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0F7537" w:rsidRPr="0051165C" w14:paraId="5E082EB7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0F7537" w:rsidRPr="0051165C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6986BB19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031EF443" w14:textId="4353A438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bottom"/>
          </w:tcPr>
          <w:p w14:paraId="558D632A" w14:textId="11A2680B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bottom"/>
          </w:tcPr>
          <w:p w14:paraId="2C221E46" w14:textId="6832EC7D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vAlign w:val="bottom"/>
          </w:tcPr>
          <w:p w14:paraId="33F03002" w14:textId="250F7174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vAlign w:val="bottom"/>
          </w:tcPr>
          <w:p w14:paraId="206E88A2" w14:textId="3EBC2B08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vAlign w:val="bottom"/>
          </w:tcPr>
          <w:p w14:paraId="4B7C6267" w14:textId="4612E0DF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vAlign w:val="bottom"/>
          </w:tcPr>
          <w:p w14:paraId="7DD7E20E" w14:textId="6D0113F8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F7537" w:rsidRPr="0051165C" w14:paraId="173A4F9D" w14:textId="77777777" w:rsidTr="00782B51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0F7537" w:rsidRPr="00BA58B2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79EE3F10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65C3C39B" w14:textId="5A75CEF6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vAlign w:val="bottom"/>
          </w:tcPr>
          <w:p w14:paraId="223402C1" w14:textId="0F029A82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bottom"/>
          </w:tcPr>
          <w:p w14:paraId="405A59BD" w14:textId="564FB7BC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vAlign w:val="bottom"/>
          </w:tcPr>
          <w:p w14:paraId="65318744" w14:textId="3A85CB3F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vAlign w:val="bottom"/>
          </w:tcPr>
          <w:p w14:paraId="381F3337" w14:textId="6E06CED0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vAlign w:val="bottom"/>
          </w:tcPr>
          <w:p w14:paraId="1FFC93F5" w14:textId="209035C9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vAlign w:val="bottom"/>
          </w:tcPr>
          <w:p w14:paraId="37C4E2B7" w14:textId="69AD4FDD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0F7537" w:rsidRPr="0051165C" w14:paraId="7C90BA94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0F7537" w:rsidRPr="0051165C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303EDFA5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-8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1AD4FFC" w14:textId="36618253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bottom"/>
          </w:tcPr>
          <w:p w14:paraId="30E2545C" w14:textId="5F5A549F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-2</w:t>
            </w:r>
            <w:r w:rsidR="001222C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14:paraId="75CB10C8" w14:textId="7981D2C8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0A4FADD0" w14:textId="46F0CAE9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CBC06F" w14:textId="41D3486F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36FD9F49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06BE79EB" w:rsidR="000F7537" w:rsidRPr="0051165C" w:rsidRDefault="000F7537" w:rsidP="000F753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0F7537" w:rsidRPr="0051165C" w14:paraId="272E1D92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0F7537" w:rsidRPr="0051165C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22F2342C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0A1BCC7D" w14:textId="5C69C12C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bottom"/>
          </w:tcPr>
          <w:p w14:paraId="67809513" w14:textId="79C0D5B2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bottom"/>
          </w:tcPr>
          <w:p w14:paraId="4AE3E68C" w14:textId="6573597B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2410713D" w14:textId="538D772B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5D4E59D" w14:textId="219D9523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03F1F170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5D451438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7537" w:rsidRPr="0051165C" w14:paraId="29FBE80B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0F7537" w:rsidRPr="0051165C" w:rsidRDefault="000F7537" w:rsidP="000F753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3A77AA09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4AB72E94" w14:textId="22FCB0EE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vAlign w:val="bottom"/>
          </w:tcPr>
          <w:p w14:paraId="7082B283" w14:textId="02762461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bottom"/>
          </w:tcPr>
          <w:p w14:paraId="6107481E" w14:textId="738C68A6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6F66A2E7" w14:textId="10B839F2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4F84695C" w14:textId="6B51BE1A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4B968C48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69AA72DD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7537" w:rsidRPr="0051165C" w14:paraId="6CB64DA5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0F7537" w:rsidRPr="0051165C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7F65AF84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7592048C" w14:textId="7F720F4B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bottom"/>
          </w:tcPr>
          <w:p w14:paraId="7DC5579B" w14:textId="009594CF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bottom"/>
          </w:tcPr>
          <w:p w14:paraId="16BED31E" w14:textId="452A11E9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1B5D87A" w14:textId="1F0BE960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83E8B1A" w14:textId="7DDEA2FB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0FA11DCD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47433A21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7537" w:rsidRPr="0051165C" w14:paraId="72D596B9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0F7537" w:rsidRPr="0051165C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44368B3D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-54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55A76382" w14:textId="40DD9DDC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vAlign w:val="bottom"/>
          </w:tcPr>
          <w:p w14:paraId="11A14C5E" w14:textId="755C80E8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bottom"/>
          </w:tcPr>
          <w:p w14:paraId="73FB7954" w14:textId="1B614300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116A7ACA" w14:textId="1D8A0BD4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3CF540D2" w14:textId="67D4C933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12023B76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471E61B5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0F7537" w:rsidRPr="0051165C" w14:paraId="42827894" w14:textId="77777777" w:rsidTr="00782B51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0F7537" w:rsidRPr="00BA58B2" w:rsidRDefault="000F7537" w:rsidP="000F753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00A13298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-23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340C62E8" w14:textId="0945167B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vAlign w:val="bottom"/>
          </w:tcPr>
          <w:p w14:paraId="5A3B1BA5" w14:textId="455548CD" w:rsidR="000F7537" w:rsidRPr="0051165C" w:rsidRDefault="000F7537" w:rsidP="000F753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</w:t>
            </w:r>
            <w:r w:rsidR="001222C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bottom"/>
          </w:tcPr>
          <w:p w14:paraId="28A08014" w14:textId="3DFB7304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05E51C3" w14:textId="0727FA87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737F28" w14:textId="02DBEEEC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4C5B40F7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759CD414" w:rsidR="000F7537" w:rsidRPr="0051165C" w:rsidRDefault="000F7537" w:rsidP="000F753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69DE8514" w:rsidR="00B92B28" w:rsidRPr="000C2149" w:rsidRDefault="00B92B28" w:rsidP="00FB47F4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206F15">
              <w:rPr>
                <w:rFonts w:cs="Arial"/>
                <w:sz w:val="16"/>
                <w:szCs w:val="16"/>
              </w:rPr>
              <w:t xml:space="preserve">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18A44D2C" w:rsidR="00B92B28" w:rsidRPr="000C2149" w:rsidRDefault="00B92B28" w:rsidP="00FB47F4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3201F6">
              <w:rPr>
                <w:rFonts w:cs="Arial"/>
                <w:sz w:val="16"/>
                <w:szCs w:val="16"/>
              </w:rPr>
              <w:t>II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723162F4" w:rsidR="00B92B28" w:rsidRPr="000C2149" w:rsidRDefault="00B92B28" w:rsidP="00FB47F4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FB47F4">
              <w:rPr>
                <w:rFonts w:cs="Arial"/>
                <w:sz w:val="16"/>
                <w:szCs w:val="16"/>
              </w:rPr>
              <w:t>V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0F7537">
              <w:rPr>
                <w:rFonts w:cs="Arial"/>
                <w:sz w:val="16"/>
                <w:szCs w:val="16"/>
              </w:rPr>
              <w:t>I</w:t>
            </w:r>
            <w:r w:rsidR="003201F6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0F7537" w:rsidRPr="00366025" w14:paraId="2D900DF1" w14:textId="77777777" w:rsidTr="00A43C7B">
        <w:tc>
          <w:tcPr>
            <w:tcW w:w="2268" w:type="dxa"/>
            <w:vAlign w:val="center"/>
          </w:tcPr>
          <w:p w14:paraId="4046DFF0" w14:textId="77777777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A09DBBE" w14:textId="107CB7D0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673FF4E4" w14:textId="0E71DD07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1BA2CC30" w14:textId="453589D0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4F7FFC7E" w14:textId="19AC0492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7C064A4E" w14:textId="3F549777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185D9F0E" w14:textId="58E6A847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5AAB945B" w14:textId="626DFAB5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036750B6" w14:textId="681FD12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0F7537" w:rsidRPr="00366025" w14:paraId="01B4AC8A" w14:textId="77777777" w:rsidTr="00A43C7B">
        <w:tc>
          <w:tcPr>
            <w:tcW w:w="2268" w:type="dxa"/>
            <w:vAlign w:val="center"/>
          </w:tcPr>
          <w:p w14:paraId="0A739665" w14:textId="77777777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Russia </w:t>
            </w:r>
          </w:p>
        </w:tc>
        <w:tc>
          <w:tcPr>
            <w:tcW w:w="911" w:type="dxa"/>
            <w:vAlign w:val="bottom"/>
          </w:tcPr>
          <w:p w14:paraId="0F5D4AE1" w14:textId="781B401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090E5755" w14:textId="289CA7EF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06391732" w14:textId="57CD52C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573B9F4C" w14:textId="730D5DF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255B010D" w14:textId="16B72CE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14:paraId="2F440C6A" w14:textId="02984B37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609D1D4A" w14:textId="7DBF0FA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14:paraId="06799779" w14:textId="25B947D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F7537" w:rsidRPr="00366025" w14:paraId="177095D4" w14:textId="77777777" w:rsidTr="00A43C7B">
        <w:tc>
          <w:tcPr>
            <w:tcW w:w="2268" w:type="dxa"/>
            <w:vAlign w:val="center"/>
          </w:tcPr>
          <w:p w14:paraId="0B4BEAB9" w14:textId="77777777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 China</w:t>
            </w:r>
          </w:p>
        </w:tc>
        <w:tc>
          <w:tcPr>
            <w:tcW w:w="911" w:type="dxa"/>
            <w:vAlign w:val="bottom"/>
          </w:tcPr>
          <w:p w14:paraId="7A7884B6" w14:textId="7514E947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7C883237" w14:textId="298ACF0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0FFB5F7F" w14:textId="15952698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398B33D3" w14:textId="28015BC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2C4FF155" w14:textId="2C90C9C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11EA0EE4" w14:textId="3627F60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5B49FF78" w14:textId="79B84DB5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14:paraId="40DA72BD" w14:textId="7F294BFF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0F7537" w:rsidRPr="00366025" w14:paraId="53DE6448" w14:textId="77777777" w:rsidTr="00A43C7B">
        <w:tc>
          <w:tcPr>
            <w:tcW w:w="2268" w:type="dxa"/>
            <w:vAlign w:val="center"/>
          </w:tcPr>
          <w:p w14:paraId="55309F56" w14:textId="77777777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Netherlands</w:t>
            </w:r>
          </w:p>
        </w:tc>
        <w:tc>
          <w:tcPr>
            <w:tcW w:w="911" w:type="dxa"/>
            <w:vAlign w:val="bottom"/>
          </w:tcPr>
          <w:p w14:paraId="455D7E5C" w14:textId="5F712C9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2EC55A47" w14:textId="27CD21D1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64251AE0" w14:textId="57828A3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7E84EF58" w14:textId="0F942C4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4CDEF95B" w14:textId="45ED9CFF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2110F19A" w14:textId="46B67DC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14:paraId="221156BF" w14:textId="618094A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0E39A0E7" w14:textId="1E1BF32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F7537" w:rsidRPr="00366025" w14:paraId="2360D431" w14:textId="77777777" w:rsidTr="00A43C7B">
        <w:tc>
          <w:tcPr>
            <w:tcW w:w="2268" w:type="dxa"/>
            <w:vAlign w:val="center"/>
          </w:tcPr>
          <w:p w14:paraId="15B9F800" w14:textId="77777777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1A6BC350" w14:textId="5D00FF90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33308717" w14:textId="1621D4C6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67BB4B94" w14:textId="4B3B0C9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174F5EE2" w14:textId="704FA89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5AF7D014" w14:textId="33046D7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6FF67025" w14:textId="12BB0E38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14:paraId="5C393653" w14:textId="5525AF6F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19E5E3CC" w14:textId="11A47F5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0F7537" w:rsidRPr="00366025" w14:paraId="600287BA" w14:textId="77777777" w:rsidTr="00A43C7B">
        <w:tc>
          <w:tcPr>
            <w:tcW w:w="2268" w:type="dxa"/>
            <w:vAlign w:val="center"/>
          </w:tcPr>
          <w:p w14:paraId="54B90F6D" w14:textId="310D743C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A91A834" w14:textId="3A130F4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20EECA67" w14:textId="5FBA9CE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03D7A065" w14:textId="4A0A503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02310768" w14:textId="7356E28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2DF5C38D" w14:textId="20D7A2A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485BB67D" w14:textId="0252B7DF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14:paraId="0174C815" w14:textId="3E75983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14:paraId="782C8BF7" w14:textId="3F8DC8A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0F7537" w:rsidRPr="00366025" w14:paraId="7EE7C680" w14:textId="77777777" w:rsidTr="00A43C7B">
        <w:tc>
          <w:tcPr>
            <w:tcW w:w="2268" w:type="dxa"/>
            <w:vAlign w:val="center"/>
          </w:tcPr>
          <w:p w14:paraId="5C1DDFD5" w14:textId="2EC7E72A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0120D27D" w14:textId="756156F9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6337AC4C" w14:textId="2238122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69D9C3DD" w14:textId="75BFB2B2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623BDBEF" w14:textId="23F275A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2D715A2F" w14:textId="00F75FE6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709D884D" w14:textId="3CEFBD1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6682D9E5" w14:textId="519E77B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14:paraId="44EE23FF" w14:textId="63E00C92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0F7537" w:rsidRPr="00366025" w14:paraId="308A9ACC" w14:textId="77777777" w:rsidTr="00A43C7B">
        <w:tc>
          <w:tcPr>
            <w:tcW w:w="2268" w:type="dxa"/>
            <w:vAlign w:val="center"/>
          </w:tcPr>
          <w:p w14:paraId="1CB706AD" w14:textId="77777777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Belgium</w:t>
            </w:r>
          </w:p>
        </w:tc>
        <w:tc>
          <w:tcPr>
            <w:tcW w:w="911" w:type="dxa"/>
            <w:vAlign w:val="bottom"/>
          </w:tcPr>
          <w:p w14:paraId="3487DD29" w14:textId="6678440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5B3C3E37" w14:textId="17CB9B45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312BB965" w14:textId="04B22AE0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7574235E" w14:textId="6A940CD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037DB886" w14:textId="3D0FDCE6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091CAB66" w14:textId="4E20871E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14:paraId="2BE81CCE" w14:textId="1AAC397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02A5DFE2" w14:textId="0997EB6C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0F7537" w:rsidRPr="00366025" w14:paraId="1DFCFAEB" w14:textId="77777777" w:rsidTr="00A43C7B">
        <w:tc>
          <w:tcPr>
            <w:tcW w:w="2268" w:type="dxa"/>
            <w:vAlign w:val="center"/>
          </w:tcPr>
          <w:p w14:paraId="506158B5" w14:textId="607075D3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4194E501" w14:textId="41919077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08223B9F" w14:textId="65A6A8C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2455F797" w14:textId="6B95848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11081182" w14:textId="28FD2DDE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7D945DCC" w14:textId="7E10F6B1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14:paraId="3FDF5671" w14:textId="6209D221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14:paraId="7604064A" w14:textId="7C90B72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14:paraId="13722B8A" w14:textId="7F3389A0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F7537" w:rsidRPr="00366025" w14:paraId="1EEC315F" w14:textId="77777777" w:rsidTr="00A43C7B">
        <w:tc>
          <w:tcPr>
            <w:tcW w:w="2268" w:type="dxa"/>
            <w:vAlign w:val="center"/>
          </w:tcPr>
          <w:p w14:paraId="0D32BC2D" w14:textId="063CF1E3" w:rsidR="000F7537" w:rsidRPr="0038490F" w:rsidRDefault="000F7537" w:rsidP="000F753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14:paraId="6E69C3AA" w14:textId="14124FCA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6A844F3C" w14:textId="148BCEB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70E0A203" w14:textId="121E1F74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74B43889" w14:textId="054BE4F8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40E9CBE4" w14:textId="2EAD4313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643FC7DC" w14:textId="50879E2E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14:paraId="7DE3418C" w14:textId="1BBFC59B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14:paraId="12569704" w14:textId="24EA3C62" w:rsidR="000F7537" w:rsidRPr="0038490F" w:rsidRDefault="000F7537" w:rsidP="000F7537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222C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4A59023D" w14:textId="78A19503" w:rsidR="00B92B28" w:rsidRDefault="00CB2E8F" w:rsidP="00366025">
      <w:pPr>
        <w:rPr>
          <w:b/>
          <w:noProof/>
          <w:spacing w:val="-2"/>
          <w:szCs w:val="19"/>
          <w:lang w:val="en-US" w:eastAsia="pl-PL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0F7537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1.9</w:t>
      </w:r>
      <w:r w:rsidR="0099454C" w:rsidRPr="00CB2E8F">
        <w:rPr>
          <w:rFonts w:cs="Arial"/>
          <w:lang w:val="en-US"/>
        </w:rPr>
        <w:t xml:space="preserve"> pp</w:t>
      </w:r>
      <w:r w:rsidR="00782B51">
        <w:rPr>
          <w:rFonts w:cs="Arial"/>
          <w:lang w:val="en-US"/>
        </w:rPr>
        <w:t xml:space="preserve">, </w:t>
      </w:r>
      <w:r w:rsidR="00206F15" w:rsidRPr="00CB2E8F">
        <w:rPr>
          <w:rFonts w:cs="Arial"/>
          <w:lang w:val="en-US"/>
        </w:rPr>
        <w:t>Belgi</w:t>
      </w:r>
      <w:r w:rsidR="00206F15">
        <w:rPr>
          <w:rFonts w:cs="Arial"/>
          <w:lang w:val="en-US"/>
        </w:rPr>
        <w:t>um by 1.</w:t>
      </w:r>
      <w:r w:rsidR="00206F15" w:rsidRPr="007D45CC">
        <w:rPr>
          <w:rFonts w:cs="Arial"/>
          <w:szCs w:val="19"/>
          <w:lang w:val="en-US"/>
        </w:rPr>
        <w:t>2</w:t>
      </w:r>
      <w:r w:rsidR="00782B51" w:rsidRPr="007D45CC">
        <w:rPr>
          <w:rFonts w:cs="Arial"/>
          <w:szCs w:val="19"/>
          <w:lang w:val="en-US"/>
        </w:rPr>
        <w:t xml:space="preserve"> pp</w:t>
      </w:r>
      <w:r w:rsidR="00D725C5" w:rsidRPr="007D45CC">
        <w:rPr>
          <w:rFonts w:cs="Arial"/>
          <w:szCs w:val="19"/>
          <w:lang w:val="en-US"/>
        </w:rPr>
        <w:t xml:space="preserve">, </w:t>
      </w:r>
      <w:r w:rsidR="003201F6" w:rsidRPr="007D45CC">
        <w:rPr>
          <w:rFonts w:cs="Arial"/>
          <w:szCs w:val="19"/>
          <w:lang w:val="en-US"/>
        </w:rPr>
        <w:t>Czech</w:t>
      </w:r>
      <w:r w:rsidR="003201F6">
        <w:rPr>
          <w:rFonts w:cs="Arial"/>
          <w:szCs w:val="19"/>
          <w:lang w:val="en-US"/>
        </w:rPr>
        <w:t xml:space="preserve"> </w:t>
      </w:r>
      <w:r w:rsidR="003201F6" w:rsidRPr="00D725C5">
        <w:rPr>
          <w:rFonts w:cs="Arial"/>
          <w:szCs w:val="19"/>
          <w:lang w:val="en-US"/>
        </w:rPr>
        <w:t>Republic</w:t>
      </w:r>
      <w:r w:rsidR="003201F6">
        <w:rPr>
          <w:rFonts w:cs="Arial"/>
          <w:lang w:val="en-US"/>
        </w:rPr>
        <w:t xml:space="preserve"> by</w:t>
      </w:r>
      <w:r w:rsidR="003201F6" w:rsidRPr="00CB2E8F">
        <w:rPr>
          <w:rFonts w:cs="Arial"/>
          <w:lang w:val="en-US"/>
        </w:rPr>
        <w:t xml:space="preserve"> </w:t>
      </w:r>
      <w:r w:rsidR="003201F6">
        <w:rPr>
          <w:rFonts w:cs="Arial"/>
          <w:lang w:val="en-US"/>
        </w:rPr>
        <w:t>0.</w:t>
      </w:r>
      <w:r w:rsidR="000F7537">
        <w:rPr>
          <w:rFonts w:cs="Arial"/>
          <w:lang w:val="en-US"/>
        </w:rPr>
        <w:t>5</w:t>
      </w:r>
      <w:r w:rsidR="003201F6" w:rsidRPr="00CB2E8F">
        <w:rPr>
          <w:rFonts w:cs="Arial"/>
          <w:lang w:val="en-US"/>
        </w:rPr>
        <w:t xml:space="preserve"> pp</w:t>
      </w:r>
      <w:r w:rsidR="003201F6" w:rsidRPr="007D45CC">
        <w:rPr>
          <w:rFonts w:cs="Arial"/>
          <w:szCs w:val="19"/>
          <w:lang w:val="en-US"/>
        </w:rPr>
        <w:t xml:space="preserve"> </w:t>
      </w:r>
      <w:r w:rsidR="003201F6">
        <w:rPr>
          <w:rFonts w:cs="Arial"/>
          <w:szCs w:val="19"/>
          <w:lang w:val="en-US"/>
        </w:rPr>
        <w:t>and</w:t>
      </w:r>
      <w:r w:rsidR="003201F6" w:rsidRPr="00D725C5">
        <w:rPr>
          <w:rFonts w:cs="Arial"/>
          <w:szCs w:val="19"/>
          <w:lang w:val="en-US"/>
        </w:rPr>
        <w:t xml:space="preserve"> </w:t>
      </w:r>
      <w:r w:rsidR="007D45CC" w:rsidRPr="007D45CC">
        <w:rPr>
          <w:rFonts w:cs="Arial"/>
          <w:szCs w:val="19"/>
          <w:lang w:val="en-US"/>
        </w:rPr>
        <w:t>Russia</w:t>
      </w:r>
      <w:r w:rsidR="003201F6" w:rsidRPr="003201F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by</w:t>
      </w:r>
      <w:r w:rsidR="0099454C" w:rsidRPr="00CB2E8F">
        <w:rPr>
          <w:rFonts w:cs="Arial"/>
          <w:lang w:val="en-US"/>
        </w:rPr>
        <w:t xml:space="preserve"> </w:t>
      </w:r>
      <w:r w:rsidR="00206F15">
        <w:rPr>
          <w:rFonts w:cs="Arial"/>
          <w:lang w:val="en-US"/>
        </w:rPr>
        <w:t>0.</w:t>
      </w:r>
      <w:r w:rsidR="000F7537">
        <w:rPr>
          <w:rFonts w:cs="Arial"/>
          <w:lang w:val="en-US"/>
        </w:rPr>
        <w:t>4</w:t>
      </w:r>
      <w:r w:rsidR="00F657FD" w:rsidRPr="00CB2E8F">
        <w:rPr>
          <w:rFonts w:cs="Arial"/>
          <w:lang w:val="en-US"/>
        </w:rPr>
        <w:t xml:space="preserve"> </w:t>
      </w:r>
      <w:r w:rsidR="009C17B6" w:rsidRPr="00CB2E8F">
        <w:rPr>
          <w:rFonts w:cs="Arial"/>
          <w:lang w:val="en-US"/>
        </w:rPr>
        <w:t>pp.</w:t>
      </w:r>
      <w:r w:rsidR="009C17B6" w:rsidRPr="00CB2E8F">
        <w:rPr>
          <w:b/>
          <w:noProof/>
          <w:spacing w:val="-2"/>
          <w:szCs w:val="19"/>
          <w:lang w:val="en-US" w:eastAsia="pl-PL"/>
        </w:rPr>
        <w:t xml:space="preserve"> </w:t>
      </w:r>
    </w:p>
    <w:p w14:paraId="6B1BAA7E" w14:textId="77777777" w:rsidR="00B92B28" w:rsidRPr="00B92B28" w:rsidRDefault="00B92B28" w:rsidP="00366025">
      <w:pPr>
        <w:rPr>
          <w:rFonts w:cs="Arial"/>
          <w:lang w:val="en-US"/>
        </w:rPr>
        <w:sectPr w:rsidR="00B92B28" w:rsidRPr="00B92B28" w:rsidSect="0082476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568" w:footer="397" w:gutter="0"/>
          <w:cols w:space="708"/>
          <w:titlePg/>
          <w:docGrid w:linePitch="360"/>
        </w:sect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510EBAC9">
                <wp:simplePos x="0" y="0"/>
                <wp:positionH relativeFrom="page">
                  <wp:posOffset>5749163</wp:posOffset>
                </wp:positionH>
                <wp:positionV relativeFrom="paragraph">
                  <wp:posOffset>1851914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2AE0D6C5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share of i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</w:t>
                            </w:r>
                            <w:r>
                              <w:rPr>
                                <w:lang w:val="en-US"/>
                              </w:rPr>
                              <w:t xml:space="preserve"> the share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the 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4.1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0F7537" w:rsidRPr="00193D62" w:rsidRDefault="000F7537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0F7537" w:rsidRPr="00193D62" w:rsidRDefault="000F7537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52.7pt;margin-top:145.8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CfOuvE4AAAAAwBAAAPAAAAAAAAAAAAAAAAAG4EAABkcnMvZG93bnJldi54bWxQSwUGAAAA&#10;AAQABADzAAAAewUAAAAA&#10;" filled="f" stroked="f">
                <v:textbox>
                  <w:txbxContent>
                    <w:p w14:paraId="5C618C50" w14:textId="2AE0D6C5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share of i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</w:t>
                      </w:r>
                      <w:r>
                        <w:rPr>
                          <w:lang w:val="en-US"/>
                        </w:rPr>
                        <w:t xml:space="preserve"> the share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the </w:t>
                      </w:r>
                      <w:r w:rsidRPr="00193D62">
                        <w:rPr>
                          <w:lang w:val="en-US"/>
                        </w:rPr>
                        <w:t xml:space="preserve">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4.1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0F7537" w:rsidRPr="00193D62" w:rsidRDefault="000F7537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0F7537" w:rsidRPr="00193D62" w:rsidRDefault="000F7537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771CED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1E2271A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0D2321D3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22 608 3475, 22 608 3009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71CED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A8169A4" w:rsidR="000470AA" w:rsidRPr="000C2149" w:rsidRDefault="000470AA" w:rsidP="000470AA">
            <w:pPr>
              <w:rPr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 xml:space="preserve">tel.: </w:t>
            </w:r>
            <w:r w:rsidRPr="000C2149">
              <w:rPr>
                <w:sz w:val="20"/>
                <w:lang w:val="en-US"/>
              </w:rPr>
              <w:t xml:space="preserve">+48 22 608 34 91, +48 22 608 38 04 </w:t>
            </w:r>
          </w:p>
          <w:p w14:paraId="5F87F1E6" w14:textId="12351112"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</w:t>
            </w:r>
            <w:r w:rsidR="00B31F08">
              <w:rPr>
                <w:b/>
                <w:sz w:val="20"/>
                <w:lang w:val="en-US"/>
              </w:rPr>
              <w:t>ax</w:t>
            </w:r>
            <w:r w:rsidRPr="00690129">
              <w:rPr>
                <w:b/>
                <w:sz w:val="20"/>
                <w:lang w:val="en-US"/>
              </w:rPr>
              <w:t>:</w:t>
            </w:r>
            <w:r w:rsidRPr="00690129">
              <w:rPr>
                <w:sz w:val="20"/>
                <w:lang w:val="en-US"/>
              </w:rPr>
              <w:t xml:space="preserve"> +48 22 608 38 86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4D286576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0F7537" w:rsidRDefault="000F753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0F7537" w:rsidRPr="00856331" w:rsidRDefault="000F7537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51B60FB" w14:textId="5A1B6101" w:rsidR="000F7537" w:rsidRPr="000C2149" w:rsidRDefault="000F753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"http://stat.gov.pl/en/topics/statistical-yearbooks/statistical-yearbooks/yearbook-of-foreign-trade-statistics-2017,9,11.html" </w:instrText>
                            </w: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0C214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Yearbook of Foreign Trade Statistics of Poland 2017</w:t>
                            </w:r>
                          </w:p>
                          <w:p w14:paraId="31300938" w14:textId="716A829A" w:rsidR="000F7537" w:rsidRDefault="000F753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r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 turnover by main commodities 2016</w:t>
                              </w:r>
                            </w:hyperlink>
                          </w:p>
                          <w:p w14:paraId="336A4908" w14:textId="04F9F447" w:rsidR="000F7537" w:rsidRDefault="00C979C4" w:rsidP="00AB6D25">
                            <w:pPr>
                              <w:rPr>
                                <w:rStyle w:val="Hipercze"/>
                                <w:rFonts w:cstheme="minorBidi"/>
                                <w:color w:val="auto"/>
                                <w:szCs w:val="19"/>
                                <w:u w:val="none"/>
                                <w:lang w:val="en"/>
                              </w:rPr>
                            </w:pPr>
                            <w:hyperlink r:id="rId25" w:history="1">
                              <w:r w:rsidR="000F7537" w:rsidRPr="00FE471A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279B4598" w14:textId="77777777" w:rsidR="000F7537" w:rsidRPr="00DD686A" w:rsidRDefault="000F7537" w:rsidP="00AB6D25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</w:p>
                          <w:p w14:paraId="5F87F228" w14:textId="0D9372D6" w:rsidR="000F7537" w:rsidRPr="00A00ADB" w:rsidRDefault="000F753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 available in databases</w:t>
                            </w:r>
                          </w:p>
                          <w:p w14:paraId="70755C9E" w14:textId="4864FE94" w:rsidR="000F7537" w:rsidRPr="000C2149" w:rsidRDefault="000F7537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0C2149"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0C2149">
                              <w:fldChar w:fldCharType="separate"/>
                            </w:r>
                            <w:hyperlink r:id="rId26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0F7537" w:rsidRPr="000C2149" w:rsidRDefault="000F753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0C2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0C2149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0C2149">
                                  <w:rPr>
                                    <w:color w:val="001D77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0C2149">
                                <w:rPr>
                                  <w:color w:val="001D77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0C2149">
                                <w:rPr>
                                  <w:rFonts w:ascii="firaregular" w:hAnsi="firaregular"/>
                                  <w:color w:val="001D77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0F7537" w:rsidRPr="000C2149" w:rsidRDefault="000F753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0F7537" w:rsidRPr="000C2149" w:rsidRDefault="000F753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0F7537" w:rsidRPr="000C2149" w:rsidRDefault="00C979C4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0F7537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0F7537"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0F7537" w:rsidRPr="000C2149" w:rsidRDefault="00C979C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0F7537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0F7537" w:rsidRPr="00B86308" w:rsidRDefault="00C979C4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0F7537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0F7537" w:rsidRPr="00B86308" w:rsidRDefault="000F753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0F7537" w:rsidRPr="00B86308" w:rsidRDefault="000F753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0F7537" w:rsidRDefault="000F7537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0F7537" w:rsidRPr="00856331" w:rsidRDefault="000F7537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51B60FB" w14:textId="5A1B6101" w:rsidR="000F7537" w:rsidRPr="000C2149" w:rsidRDefault="000F753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"http://stat.gov.pl/en/topics/statistical-yearbooks/statistical-yearbooks/yearbook-of-foreign-trade-statistics-2017,9,11.html" </w:instrText>
                      </w: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0C2149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Yearbook of Foreign Trade Statistics of Poland 2017</w:t>
                      </w:r>
                    </w:p>
                    <w:p w14:paraId="31300938" w14:textId="716A829A" w:rsidR="000F7537" w:rsidRDefault="000F753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 turnover by main commodities 2016</w:t>
                        </w:r>
                      </w:hyperlink>
                    </w:p>
                    <w:p w14:paraId="336A4908" w14:textId="04F9F447" w:rsidR="000F7537" w:rsidRDefault="000F7537" w:rsidP="00AB6D25">
                      <w:pPr>
                        <w:rPr>
                          <w:rStyle w:val="Hipercze"/>
                          <w:rFonts w:cstheme="minorBidi"/>
                          <w:color w:val="auto"/>
                          <w:szCs w:val="19"/>
                          <w:u w:val="none"/>
                          <w:lang w:val="en"/>
                        </w:rPr>
                      </w:pPr>
                      <w:hyperlink r:id="rId33" w:history="1">
                        <w:r w:rsidRPr="00FE471A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279B4598" w14:textId="77777777" w:rsidR="000F7537" w:rsidRPr="00DD686A" w:rsidRDefault="000F7537" w:rsidP="00AB6D25">
                      <w:pPr>
                        <w:rPr>
                          <w:b/>
                          <w:szCs w:val="19"/>
                          <w:lang w:val="en-US"/>
                        </w:rPr>
                      </w:pPr>
                    </w:p>
                    <w:p w14:paraId="5F87F228" w14:textId="0D9372D6" w:rsidR="000F7537" w:rsidRPr="00A00ADB" w:rsidRDefault="000F753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0F7537" w:rsidRPr="000C2149" w:rsidRDefault="000F7537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0C2149">
                        <w:fldChar w:fldCharType="begin"/>
                      </w:r>
                      <w:r w:rsidRPr="000C2149">
                        <w:rPr>
                          <w:color w:val="001D77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0C2149">
                        <w:fldChar w:fldCharType="separate"/>
                      </w:r>
                      <w:hyperlink r:id="rId34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0F7537" w:rsidRPr="000C2149" w:rsidRDefault="000F7537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0C2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C2149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0C2149">
                            <w:rPr>
                              <w:color w:val="001D77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0C2149">
                          <w:rPr>
                            <w:color w:val="001D77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0C2149">
                          <w:rPr>
                            <w:rFonts w:ascii="firaregular" w:hAnsi="firaregular"/>
                            <w:color w:val="001D77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0F7537" w:rsidRPr="000C2149" w:rsidRDefault="000F753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0F7537" w:rsidRPr="000C2149" w:rsidRDefault="000F753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0F7537" w:rsidRPr="000C2149" w:rsidRDefault="000F7537" w:rsidP="0045590E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0F7537" w:rsidRPr="000C2149" w:rsidRDefault="000F7537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0F7537" w:rsidRPr="00B86308" w:rsidRDefault="000F7537" w:rsidP="0045590E">
                      <w:pPr>
                        <w:rPr>
                          <w:rStyle w:val="Hipercze"/>
                          <w:rFonts w:cs="Arial"/>
                          <w:color w:val="auto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0F7537" w:rsidRPr="00B86308" w:rsidRDefault="000F753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0F7537" w:rsidRPr="00B86308" w:rsidRDefault="000F753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690D5" w14:textId="77777777" w:rsidR="00C979C4" w:rsidRDefault="00C979C4" w:rsidP="000662E2">
      <w:pPr>
        <w:spacing w:after="0" w:line="240" w:lineRule="auto"/>
      </w:pPr>
      <w:r>
        <w:separator/>
      </w:r>
    </w:p>
  </w:endnote>
  <w:endnote w:type="continuationSeparator" w:id="0">
    <w:p w14:paraId="5EAF3D7F" w14:textId="77777777" w:rsidR="00C979C4" w:rsidRDefault="00C979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03180"/>
      <w:docPartObj>
        <w:docPartGallery w:val="Page Numbers (Bottom of Page)"/>
        <w:docPartUnique/>
      </w:docPartObj>
    </w:sdtPr>
    <w:sdtEndPr/>
    <w:sdtContent>
      <w:p w14:paraId="08D35801" w14:textId="758E4FEC" w:rsidR="000F7537" w:rsidRDefault="000F75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C9E">
          <w:rPr>
            <w:noProof/>
          </w:rPr>
          <w:t>5</w:t>
        </w:r>
        <w:r>
          <w:fldChar w:fldCharType="end"/>
        </w:r>
      </w:p>
    </w:sdtContent>
  </w:sdt>
  <w:p w14:paraId="2AA24448" w14:textId="77777777" w:rsidR="000F7537" w:rsidRDefault="000F75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791803"/>
      <w:docPartObj>
        <w:docPartGallery w:val="Page Numbers (Bottom of Page)"/>
        <w:docPartUnique/>
      </w:docPartObj>
    </w:sdtPr>
    <w:sdtEndPr/>
    <w:sdtContent>
      <w:p w14:paraId="06DDA38F" w14:textId="29242683" w:rsidR="000F7537" w:rsidRDefault="000F75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C4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0F7537" w:rsidRDefault="000F75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9A5EB" w14:textId="77777777" w:rsidR="00C979C4" w:rsidRDefault="00C979C4" w:rsidP="000662E2">
      <w:pPr>
        <w:spacing w:after="0" w:line="240" w:lineRule="auto"/>
      </w:pPr>
      <w:r>
        <w:separator/>
      </w:r>
    </w:p>
  </w:footnote>
  <w:footnote w:type="continuationSeparator" w:id="0">
    <w:p w14:paraId="3FF64A16" w14:textId="77777777" w:rsidR="00C979C4" w:rsidRDefault="00C979C4" w:rsidP="000662E2">
      <w:pPr>
        <w:spacing w:after="0" w:line="240" w:lineRule="auto"/>
      </w:pPr>
      <w:r>
        <w:continuationSeparator/>
      </w:r>
    </w:p>
  </w:footnote>
  <w:footnote w:id="1">
    <w:p w14:paraId="07B53EE4" w14:textId="77777777" w:rsidR="000F7537" w:rsidRPr="00070820" w:rsidRDefault="000F7537" w:rsidP="000C2149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0F7537" w:rsidRPr="00070820" w:rsidRDefault="000F7537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3">
    <w:p w14:paraId="080CF8BA" w14:textId="2A24A9DD" w:rsidR="000F7537" w:rsidRPr="00070820" w:rsidRDefault="000F7537" w:rsidP="0048231B">
      <w:pPr>
        <w:pStyle w:val="tekstzboku"/>
        <w:rPr>
          <w:lang w:val="en-US"/>
        </w:rPr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70820">
        <w:rPr>
          <w:color w:val="auto"/>
          <w:lang w:val="en-US"/>
        </w:rPr>
        <w:t xml:space="preserve"> </w:t>
      </w:r>
      <w:r w:rsidRPr="00CC60CF">
        <w:rPr>
          <w:rFonts w:cs="Arial"/>
          <w:color w:val="auto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ountry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consignment is the country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from which the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goods were introduced into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 Polish territory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irrespective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their origin</w:t>
      </w:r>
      <w:r w:rsidRPr="00070820">
        <w:rPr>
          <w:color w:val="auto"/>
          <w:sz w:val="12"/>
          <w:szCs w:val="12"/>
          <w:lang w:val="en-US"/>
        </w:rPr>
        <w:t>.</w:t>
      </w:r>
      <w:r w:rsidRPr="00070820">
        <w:rPr>
          <w:color w:val="au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F7537" w:rsidRDefault="000F753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0F7537" w:rsidRDefault="000F75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320EA3F6" w:rsidR="000F7537" w:rsidRDefault="000F753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0F7537" w:rsidRPr="003C6C8D" w:rsidRDefault="000F7537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0F7537" w:rsidRPr="003C6C8D" w:rsidRDefault="000F7537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241E1BC" wp14:editId="6F2F1A2F">
          <wp:extent cx="2512060" cy="430306"/>
          <wp:effectExtent l="0" t="0" r="2540" b="8255"/>
          <wp:docPr id="19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66" cy="44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C78DA" w14:textId="77777777" w:rsidR="000F7537" w:rsidRDefault="000F7537">
    <w:pPr>
      <w:pStyle w:val="Nagwek"/>
      <w:rPr>
        <w:noProof/>
        <w:lang w:eastAsia="pl-PL"/>
      </w:rPr>
    </w:pPr>
  </w:p>
  <w:p w14:paraId="5F87F20D" w14:textId="77777777" w:rsidR="000F7537" w:rsidRDefault="000F753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06A9D907" w:rsidR="000F7537" w:rsidRPr="00C97596" w:rsidRDefault="000F753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11.10.2018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06A9D907" w:rsidR="000F7537" w:rsidRPr="00C97596" w:rsidRDefault="000F753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11.10.2018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0F7537" w:rsidRDefault="000F7537">
    <w:pPr>
      <w:pStyle w:val="Nagwek"/>
    </w:pPr>
  </w:p>
  <w:p w14:paraId="5F87F20F" w14:textId="77777777" w:rsidR="000F7537" w:rsidRDefault="000F75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6pt;visibility:visible;mso-wrap-style:square" o:bullet="t">
        <v:imagedata r:id="rId1" o:title=""/>
      </v:shape>
    </w:pict>
  </w:numPicBullet>
  <w:numPicBullet w:numPicBulletId="1">
    <w:pict>
      <v:shape id="_x0000_i1029" type="#_x0000_t75" style="width:123.9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3EDB"/>
    <w:rsid w:val="000152F5"/>
    <w:rsid w:val="00017EBA"/>
    <w:rsid w:val="00020CD4"/>
    <w:rsid w:val="00024AFF"/>
    <w:rsid w:val="00040EA2"/>
    <w:rsid w:val="0004582E"/>
    <w:rsid w:val="000470AA"/>
    <w:rsid w:val="00057CA1"/>
    <w:rsid w:val="000662E2"/>
    <w:rsid w:val="00066883"/>
    <w:rsid w:val="00066C1C"/>
    <w:rsid w:val="00070820"/>
    <w:rsid w:val="000716A9"/>
    <w:rsid w:val="00073DEA"/>
    <w:rsid w:val="00074DD8"/>
    <w:rsid w:val="00076A47"/>
    <w:rsid w:val="000806F7"/>
    <w:rsid w:val="00081BF6"/>
    <w:rsid w:val="00097B58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0F7537"/>
    <w:rsid w:val="001011C3"/>
    <w:rsid w:val="001013C9"/>
    <w:rsid w:val="00102D3E"/>
    <w:rsid w:val="00110D87"/>
    <w:rsid w:val="001146CE"/>
    <w:rsid w:val="00114DB9"/>
    <w:rsid w:val="00116087"/>
    <w:rsid w:val="00116420"/>
    <w:rsid w:val="001222C0"/>
    <w:rsid w:val="00130296"/>
    <w:rsid w:val="00135236"/>
    <w:rsid w:val="00136177"/>
    <w:rsid w:val="001423B6"/>
    <w:rsid w:val="001440E1"/>
    <w:rsid w:val="001448A7"/>
    <w:rsid w:val="00146621"/>
    <w:rsid w:val="0014778F"/>
    <w:rsid w:val="001478E5"/>
    <w:rsid w:val="00150575"/>
    <w:rsid w:val="00152273"/>
    <w:rsid w:val="00157F95"/>
    <w:rsid w:val="00162325"/>
    <w:rsid w:val="0017078D"/>
    <w:rsid w:val="00185BAA"/>
    <w:rsid w:val="00193D62"/>
    <w:rsid w:val="001951DA"/>
    <w:rsid w:val="001A33F3"/>
    <w:rsid w:val="001C3269"/>
    <w:rsid w:val="001D1DB4"/>
    <w:rsid w:val="001D4E20"/>
    <w:rsid w:val="001D6C6B"/>
    <w:rsid w:val="001F2F1F"/>
    <w:rsid w:val="00206F15"/>
    <w:rsid w:val="00211E19"/>
    <w:rsid w:val="00217509"/>
    <w:rsid w:val="00242525"/>
    <w:rsid w:val="00246534"/>
    <w:rsid w:val="002574F9"/>
    <w:rsid w:val="0027462D"/>
    <w:rsid w:val="00276811"/>
    <w:rsid w:val="00277A82"/>
    <w:rsid w:val="00282699"/>
    <w:rsid w:val="0028458E"/>
    <w:rsid w:val="002926DF"/>
    <w:rsid w:val="00292810"/>
    <w:rsid w:val="00294C9E"/>
    <w:rsid w:val="00296697"/>
    <w:rsid w:val="002A2166"/>
    <w:rsid w:val="002A4B3E"/>
    <w:rsid w:val="002B0472"/>
    <w:rsid w:val="002B6B12"/>
    <w:rsid w:val="002D45CF"/>
    <w:rsid w:val="002E28DF"/>
    <w:rsid w:val="002E6140"/>
    <w:rsid w:val="002E6360"/>
    <w:rsid w:val="002E6985"/>
    <w:rsid w:val="002E71B6"/>
    <w:rsid w:val="002F2768"/>
    <w:rsid w:val="002F7716"/>
    <w:rsid w:val="002F77C8"/>
    <w:rsid w:val="003013FD"/>
    <w:rsid w:val="00304F22"/>
    <w:rsid w:val="003066B2"/>
    <w:rsid w:val="00306C7C"/>
    <w:rsid w:val="003070AC"/>
    <w:rsid w:val="003201F6"/>
    <w:rsid w:val="003216C9"/>
    <w:rsid w:val="00322EDD"/>
    <w:rsid w:val="00325C53"/>
    <w:rsid w:val="00332320"/>
    <w:rsid w:val="00336E93"/>
    <w:rsid w:val="00345F7C"/>
    <w:rsid w:val="00347D72"/>
    <w:rsid w:val="00357611"/>
    <w:rsid w:val="00360749"/>
    <w:rsid w:val="003644F9"/>
    <w:rsid w:val="00366025"/>
    <w:rsid w:val="00367237"/>
    <w:rsid w:val="003705D4"/>
    <w:rsid w:val="0037077F"/>
    <w:rsid w:val="00371FC0"/>
    <w:rsid w:val="00373882"/>
    <w:rsid w:val="0038341F"/>
    <w:rsid w:val="003843DB"/>
    <w:rsid w:val="0038490F"/>
    <w:rsid w:val="00393761"/>
    <w:rsid w:val="00397D18"/>
    <w:rsid w:val="003A1B36"/>
    <w:rsid w:val="003B1454"/>
    <w:rsid w:val="003B1D41"/>
    <w:rsid w:val="003C59E0"/>
    <w:rsid w:val="003C6B82"/>
    <w:rsid w:val="003C6C8D"/>
    <w:rsid w:val="003D10EB"/>
    <w:rsid w:val="003D23E6"/>
    <w:rsid w:val="003D4F95"/>
    <w:rsid w:val="003D5F42"/>
    <w:rsid w:val="003D60A9"/>
    <w:rsid w:val="003F16AB"/>
    <w:rsid w:val="003F4C97"/>
    <w:rsid w:val="003F5B94"/>
    <w:rsid w:val="003F7B61"/>
    <w:rsid w:val="003F7FE6"/>
    <w:rsid w:val="00400193"/>
    <w:rsid w:val="004045B9"/>
    <w:rsid w:val="00410BEF"/>
    <w:rsid w:val="004212E7"/>
    <w:rsid w:val="0042446D"/>
    <w:rsid w:val="00424CB7"/>
    <w:rsid w:val="0042571C"/>
    <w:rsid w:val="00427BF8"/>
    <w:rsid w:val="00431C02"/>
    <w:rsid w:val="00434D16"/>
    <w:rsid w:val="00437395"/>
    <w:rsid w:val="00442B76"/>
    <w:rsid w:val="00445047"/>
    <w:rsid w:val="0045590E"/>
    <w:rsid w:val="004567B4"/>
    <w:rsid w:val="00463E39"/>
    <w:rsid w:val="004649BA"/>
    <w:rsid w:val="004657FC"/>
    <w:rsid w:val="0046619C"/>
    <w:rsid w:val="004712D4"/>
    <w:rsid w:val="004733F6"/>
    <w:rsid w:val="00474E69"/>
    <w:rsid w:val="00476D65"/>
    <w:rsid w:val="00481222"/>
    <w:rsid w:val="0048231B"/>
    <w:rsid w:val="004921B7"/>
    <w:rsid w:val="004926AC"/>
    <w:rsid w:val="004931B7"/>
    <w:rsid w:val="0049621B"/>
    <w:rsid w:val="004A0681"/>
    <w:rsid w:val="004A1CCF"/>
    <w:rsid w:val="004A29AD"/>
    <w:rsid w:val="004B0092"/>
    <w:rsid w:val="004B2FBB"/>
    <w:rsid w:val="004B64A7"/>
    <w:rsid w:val="004C1895"/>
    <w:rsid w:val="004C6D40"/>
    <w:rsid w:val="004D100F"/>
    <w:rsid w:val="004F0C3C"/>
    <w:rsid w:val="004F63FC"/>
    <w:rsid w:val="00505A92"/>
    <w:rsid w:val="00507F2B"/>
    <w:rsid w:val="0051165C"/>
    <w:rsid w:val="005127B5"/>
    <w:rsid w:val="005203F1"/>
    <w:rsid w:val="00521BC3"/>
    <w:rsid w:val="00533632"/>
    <w:rsid w:val="0054251F"/>
    <w:rsid w:val="00550618"/>
    <w:rsid w:val="005520D8"/>
    <w:rsid w:val="00556CF1"/>
    <w:rsid w:val="00567A91"/>
    <w:rsid w:val="005762A7"/>
    <w:rsid w:val="00585385"/>
    <w:rsid w:val="00586936"/>
    <w:rsid w:val="00586CE9"/>
    <w:rsid w:val="005916D7"/>
    <w:rsid w:val="00594C60"/>
    <w:rsid w:val="00595C4C"/>
    <w:rsid w:val="005A698C"/>
    <w:rsid w:val="005A729A"/>
    <w:rsid w:val="005B6FC1"/>
    <w:rsid w:val="005B79E4"/>
    <w:rsid w:val="005C48B8"/>
    <w:rsid w:val="005C4C4F"/>
    <w:rsid w:val="005C5358"/>
    <w:rsid w:val="005E0799"/>
    <w:rsid w:val="005E67F5"/>
    <w:rsid w:val="005E76AC"/>
    <w:rsid w:val="005F0F6A"/>
    <w:rsid w:val="005F30B8"/>
    <w:rsid w:val="005F5A80"/>
    <w:rsid w:val="00600D19"/>
    <w:rsid w:val="006044FF"/>
    <w:rsid w:val="006079DF"/>
    <w:rsid w:val="00607CC5"/>
    <w:rsid w:val="00607E3E"/>
    <w:rsid w:val="00633014"/>
    <w:rsid w:val="0063437B"/>
    <w:rsid w:val="006401A1"/>
    <w:rsid w:val="00641F00"/>
    <w:rsid w:val="00643328"/>
    <w:rsid w:val="0065146E"/>
    <w:rsid w:val="0065337E"/>
    <w:rsid w:val="006537F5"/>
    <w:rsid w:val="00665A78"/>
    <w:rsid w:val="006673CA"/>
    <w:rsid w:val="00673C26"/>
    <w:rsid w:val="006812AF"/>
    <w:rsid w:val="0068327D"/>
    <w:rsid w:val="00683419"/>
    <w:rsid w:val="00690129"/>
    <w:rsid w:val="00694AF0"/>
    <w:rsid w:val="006A1323"/>
    <w:rsid w:val="006A215D"/>
    <w:rsid w:val="006B0E9E"/>
    <w:rsid w:val="006B53C4"/>
    <w:rsid w:val="006B5AE4"/>
    <w:rsid w:val="006D31C0"/>
    <w:rsid w:val="006D4054"/>
    <w:rsid w:val="006E02EC"/>
    <w:rsid w:val="007000BD"/>
    <w:rsid w:val="00701D51"/>
    <w:rsid w:val="007041B0"/>
    <w:rsid w:val="00717D5C"/>
    <w:rsid w:val="0072037C"/>
    <w:rsid w:val="007211B1"/>
    <w:rsid w:val="0073371B"/>
    <w:rsid w:val="00746187"/>
    <w:rsid w:val="00746A5B"/>
    <w:rsid w:val="007476ED"/>
    <w:rsid w:val="007534D2"/>
    <w:rsid w:val="0076254F"/>
    <w:rsid w:val="00762790"/>
    <w:rsid w:val="00771CED"/>
    <w:rsid w:val="00773E91"/>
    <w:rsid w:val="007801F5"/>
    <w:rsid w:val="00782B51"/>
    <w:rsid w:val="00783CA4"/>
    <w:rsid w:val="007842FB"/>
    <w:rsid w:val="00786124"/>
    <w:rsid w:val="0079514B"/>
    <w:rsid w:val="007A2DC1"/>
    <w:rsid w:val="007C3D28"/>
    <w:rsid w:val="007D3319"/>
    <w:rsid w:val="007D335D"/>
    <w:rsid w:val="007D3F3F"/>
    <w:rsid w:val="007D45CC"/>
    <w:rsid w:val="007D5E79"/>
    <w:rsid w:val="007D6BC4"/>
    <w:rsid w:val="007E3314"/>
    <w:rsid w:val="007E4366"/>
    <w:rsid w:val="007E4B03"/>
    <w:rsid w:val="007E4E9B"/>
    <w:rsid w:val="007F324B"/>
    <w:rsid w:val="008029BB"/>
    <w:rsid w:val="0080553C"/>
    <w:rsid w:val="00805B46"/>
    <w:rsid w:val="00824766"/>
    <w:rsid w:val="00825DC2"/>
    <w:rsid w:val="00825F5C"/>
    <w:rsid w:val="00834AD3"/>
    <w:rsid w:val="0084092E"/>
    <w:rsid w:val="00842493"/>
    <w:rsid w:val="00843795"/>
    <w:rsid w:val="008459BF"/>
    <w:rsid w:val="00847F0F"/>
    <w:rsid w:val="00852448"/>
    <w:rsid w:val="00856331"/>
    <w:rsid w:val="008720A0"/>
    <w:rsid w:val="0088258A"/>
    <w:rsid w:val="00886332"/>
    <w:rsid w:val="00887309"/>
    <w:rsid w:val="00890348"/>
    <w:rsid w:val="008A10A2"/>
    <w:rsid w:val="008A26D9"/>
    <w:rsid w:val="008A29FE"/>
    <w:rsid w:val="008B1B0C"/>
    <w:rsid w:val="008C0C29"/>
    <w:rsid w:val="008F3638"/>
    <w:rsid w:val="008F6C09"/>
    <w:rsid w:val="008F6F31"/>
    <w:rsid w:val="008F74DF"/>
    <w:rsid w:val="009127BA"/>
    <w:rsid w:val="00921F50"/>
    <w:rsid w:val="009227A6"/>
    <w:rsid w:val="009228A0"/>
    <w:rsid w:val="00932408"/>
    <w:rsid w:val="00933EC1"/>
    <w:rsid w:val="00936FD1"/>
    <w:rsid w:val="00943668"/>
    <w:rsid w:val="009451EB"/>
    <w:rsid w:val="009530DB"/>
    <w:rsid w:val="00953676"/>
    <w:rsid w:val="00955FF5"/>
    <w:rsid w:val="00964A3E"/>
    <w:rsid w:val="009705EE"/>
    <w:rsid w:val="00973C0B"/>
    <w:rsid w:val="00977927"/>
    <w:rsid w:val="0098135C"/>
    <w:rsid w:val="0098156A"/>
    <w:rsid w:val="00982B24"/>
    <w:rsid w:val="0098396E"/>
    <w:rsid w:val="00984585"/>
    <w:rsid w:val="00990E0D"/>
    <w:rsid w:val="00991BAC"/>
    <w:rsid w:val="00992926"/>
    <w:rsid w:val="0099454C"/>
    <w:rsid w:val="009A0F70"/>
    <w:rsid w:val="009A39CF"/>
    <w:rsid w:val="009A5C86"/>
    <w:rsid w:val="009A6EA0"/>
    <w:rsid w:val="009B6005"/>
    <w:rsid w:val="009C1335"/>
    <w:rsid w:val="009C17B6"/>
    <w:rsid w:val="009C1AB2"/>
    <w:rsid w:val="009C3713"/>
    <w:rsid w:val="009C7251"/>
    <w:rsid w:val="009D1900"/>
    <w:rsid w:val="009E2E91"/>
    <w:rsid w:val="009F740D"/>
    <w:rsid w:val="00A00ADB"/>
    <w:rsid w:val="00A13626"/>
    <w:rsid w:val="00A139F5"/>
    <w:rsid w:val="00A365F4"/>
    <w:rsid w:val="00A416B1"/>
    <w:rsid w:val="00A43659"/>
    <w:rsid w:val="00A43C7B"/>
    <w:rsid w:val="00A44ACB"/>
    <w:rsid w:val="00A47D80"/>
    <w:rsid w:val="00A53132"/>
    <w:rsid w:val="00A563F2"/>
    <w:rsid w:val="00A566E8"/>
    <w:rsid w:val="00A60BEF"/>
    <w:rsid w:val="00A70C1C"/>
    <w:rsid w:val="00A76F14"/>
    <w:rsid w:val="00A80758"/>
    <w:rsid w:val="00A810F9"/>
    <w:rsid w:val="00A81F44"/>
    <w:rsid w:val="00A844E6"/>
    <w:rsid w:val="00A86ECC"/>
    <w:rsid w:val="00A86FCC"/>
    <w:rsid w:val="00A873DA"/>
    <w:rsid w:val="00A876AE"/>
    <w:rsid w:val="00A913B8"/>
    <w:rsid w:val="00A94866"/>
    <w:rsid w:val="00AA6D1C"/>
    <w:rsid w:val="00AA710D"/>
    <w:rsid w:val="00AB29F1"/>
    <w:rsid w:val="00AB3053"/>
    <w:rsid w:val="00AB38AA"/>
    <w:rsid w:val="00AB6D25"/>
    <w:rsid w:val="00AD34B4"/>
    <w:rsid w:val="00AE2D4B"/>
    <w:rsid w:val="00AE4F99"/>
    <w:rsid w:val="00AE636C"/>
    <w:rsid w:val="00AF0CDF"/>
    <w:rsid w:val="00B00542"/>
    <w:rsid w:val="00B043A8"/>
    <w:rsid w:val="00B07F6F"/>
    <w:rsid w:val="00B14952"/>
    <w:rsid w:val="00B22252"/>
    <w:rsid w:val="00B241A9"/>
    <w:rsid w:val="00B31E5A"/>
    <w:rsid w:val="00B31F08"/>
    <w:rsid w:val="00B462F9"/>
    <w:rsid w:val="00B5279C"/>
    <w:rsid w:val="00B61672"/>
    <w:rsid w:val="00B653AB"/>
    <w:rsid w:val="00B65CB2"/>
    <w:rsid w:val="00B65F9E"/>
    <w:rsid w:val="00B66555"/>
    <w:rsid w:val="00B66B19"/>
    <w:rsid w:val="00B71E5B"/>
    <w:rsid w:val="00B77835"/>
    <w:rsid w:val="00B86308"/>
    <w:rsid w:val="00B914E9"/>
    <w:rsid w:val="00B9261D"/>
    <w:rsid w:val="00B92654"/>
    <w:rsid w:val="00B92B28"/>
    <w:rsid w:val="00B956EE"/>
    <w:rsid w:val="00BA1D4F"/>
    <w:rsid w:val="00BA2BA1"/>
    <w:rsid w:val="00BA58B2"/>
    <w:rsid w:val="00BB4F09"/>
    <w:rsid w:val="00BC48D3"/>
    <w:rsid w:val="00BD2BC3"/>
    <w:rsid w:val="00BD4E33"/>
    <w:rsid w:val="00BD5068"/>
    <w:rsid w:val="00BE588F"/>
    <w:rsid w:val="00BF4142"/>
    <w:rsid w:val="00BF7D5E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9C4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017D"/>
    <w:rsid w:val="00CF4099"/>
    <w:rsid w:val="00D00796"/>
    <w:rsid w:val="00D261A2"/>
    <w:rsid w:val="00D34682"/>
    <w:rsid w:val="00D34D98"/>
    <w:rsid w:val="00D45E4A"/>
    <w:rsid w:val="00D616D2"/>
    <w:rsid w:val="00D63B5F"/>
    <w:rsid w:val="00D67CD3"/>
    <w:rsid w:val="00D70EF7"/>
    <w:rsid w:val="00D725C5"/>
    <w:rsid w:val="00D74FA5"/>
    <w:rsid w:val="00D8397C"/>
    <w:rsid w:val="00D869A7"/>
    <w:rsid w:val="00D94EED"/>
    <w:rsid w:val="00D96026"/>
    <w:rsid w:val="00DA4E89"/>
    <w:rsid w:val="00DA7C1C"/>
    <w:rsid w:val="00DA7E1C"/>
    <w:rsid w:val="00DB147A"/>
    <w:rsid w:val="00DB1B7A"/>
    <w:rsid w:val="00DB562E"/>
    <w:rsid w:val="00DB5C76"/>
    <w:rsid w:val="00DB63FF"/>
    <w:rsid w:val="00DC0B6C"/>
    <w:rsid w:val="00DC5DA7"/>
    <w:rsid w:val="00DC6708"/>
    <w:rsid w:val="00DD686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42FF9"/>
    <w:rsid w:val="00E441B4"/>
    <w:rsid w:val="00E4714C"/>
    <w:rsid w:val="00E51568"/>
    <w:rsid w:val="00E51AEB"/>
    <w:rsid w:val="00E522A7"/>
    <w:rsid w:val="00E53C35"/>
    <w:rsid w:val="00E54452"/>
    <w:rsid w:val="00E623A8"/>
    <w:rsid w:val="00E6552C"/>
    <w:rsid w:val="00E664C5"/>
    <w:rsid w:val="00E671A2"/>
    <w:rsid w:val="00E72126"/>
    <w:rsid w:val="00E76AE4"/>
    <w:rsid w:val="00E76D26"/>
    <w:rsid w:val="00E93AC6"/>
    <w:rsid w:val="00EA11BE"/>
    <w:rsid w:val="00EA13F1"/>
    <w:rsid w:val="00EB1390"/>
    <w:rsid w:val="00EB2C71"/>
    <w:rsid w:val="00EB4340"/>
    <w:rsid w:val="00EB556D"/>
    <w:rsid w:val="00EB5A7D"/>
    <w:rsid w:val="00EC2D76"/>
    <w:rsid w:val="00EC57A2"/>
    <w:rsid w:val="00ED05D0"/>
    <w:rsid w:val="00ED55C0"/>
    <w:rsid w:val="00ED682B"/>
    <w:rsid w:val="00EE41D5"/>
    <w:rsid w:val="00EF4DF3"/>
    <w:rsid w:val="00F00CEC"/>
    <w:rsid w:val="00F02C7E"/>
    <w:rsid w:val="00F037A4"/>
    <w:rsid w:val="00F066A4"/>
    <w:rsid w:val="00F152E6"/>
    <w:rsid w:val="00F24228"/>
    <w:rsid w:val="00F27C8F"/>
    <w:rsid w:val="00F32749"/>
    <w:rsid w:val="00F3415A"/>
    <w:rsid w:val="00F37172"/>
    <w:rsid w:val="00F4477E"/>
    <w:rsid w:val="00F47DDF"/>
    <w:rsid w:val="00F6107A"/>
    <w:rsid w:val="00F62855"/>
    <w:rsid w:val="00F63B71"/>
    <w:rsid w:val="00F64B50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47F4"/>
    <w:rsid w:val="00FB50BD"/>
    <w:rsid w:val="00FB5906"/>
    <w:rsid w:val="00FB762F"/>
    <w:rsid w:val="00FC0B7D"/>
    <w:rsid w:val="00FC2AED"/>
    <w:rsid w:val="00FC628D"/>
    <w:rsid w:val="00FD4B11"/>
    <w:rsid w:val="00FD5EA7"/>
    <w:rsid w:val="00FE471A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topics/prices-trade/trade/foreign-trade-turnover-by-main-commodities-2016,4,16.html" TargetMode="External"/><Relationship Id="rId32" Type="http://schemas.openxmlformats.org/officeDocument/2006/relationships/hyperlink" Target="http://stat.gov.pl/en/topics/prices-trade/trade/foreign-trade-turnover-by-main-commodities-2016,4,16.html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44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Foreign%20trade.%20Mirror%20and%20asymmetry%20statistics" TargetMode="External"/><Relationship Id="rId33" Type="http://schemas.openxmlformats.org/officeDocument/2006/relationships/hyperlink" Target="Foreign%20trade.%20Mirror%20and%20asymmetry%20statistics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10718461738334E-2"/>
          <c:y val="7.5940768597955108E-2"/>
          <c:w val="0.89130830193581911"/>
          <c:h val="0.60342194885287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002060"/>
              </a:solidFill>
            </a:ln>
          </c:spPr>
          <c:invertIfNegative val="0"/>
          <c:cat>
            <c:strRef>
              <c:f>Arkusz1!$G$5:$I$6</c:f>
              <c:strCache>
                <c:ptCount val="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</c:strCache>
            </c:strRef>
          </c:cat>
          <c:val>
            <c:numRef>
              <c:f>Arkusz1!$G$7:$I$7</c:f>
              <c:numCache>
                <c:formatCode>0.0</c:formatCode>
                <c:ptCount val="3"/>
                <c:pt idx="0">
                  <c:v>80.5</c:v>
                </c:pt>
                <c:pt idx="1">
                  <c:v>76.5</c:v>
                </c:pt>
                <c:pt idx="2">
                  <c:v>72.7</c:v>
                </c:pt>
              </c:numCache>
            </c:numRef>
          </c:val>
        </c:ser>
        <c:ser>
          <c:idx val="1"/>
          <c:order val="1"/>
          <c:tx>
            <c:strRef>
              <c:f>Arkusz1!$F$8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</c:strCache>
            </c:strRef>
          </c:cat>
          <c:val>
            <c:numRef>
              <c:f>Arkusz1!$G$8:$I$8</c:f>
              <c:numCache>
                <c:formatCode>0.0</c:formatCode>
                <c:ptCount val="3"/>
                <c:pt idx="0">
                  <c:v>81.5</c:v>
                </c:pt>
                <c:pt idx="1">
                  <c:v>77.400000000000006</c:v>
                </c:pt>
                <c:pt idx="2">
                  <c:v>74.900000000000006</c:v>
                </c:pt>
              </c:numCache>
            </c:numRef>
          </c:val>
        </c:ser>
        <c:ser>
          <c:idx val="2"/>
          <c:order val="2"/>
          <c:tx>
            <c:strRef>
              <c:f>Arkusz1!$F$9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</c:strCache>
            </c:strRef>
          </c:cat>
          <c:val>
            <c:numRef>
              <c:f>Arkusz1!$G$9:$I$9</c:f>
              <c:numCache>
                <c:formatCode>0.0</c:formatCode>
                <c:ptCount val="3"/>
                <c:pt idx="0">
                  <c:v>-1</c:v>
                </c:pt>
                <c:pt idx="1">
                  <c:v>-0.90000000000000568</c:v>
                </c:pt>
                <c:pt idx="2">
                  <c:v>-2.2000000000000028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58843264"/>
        <c:axId val="-1458856864"/>
      </c:barChart>
      <c:catAx>
        <c:axId val="-145884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458856864"/>
        <c:crosses val="autoZero"/>
        <c:auto val="1"/>
        <c:lblAlgn val="ctr"/>
        <c:lblOffset val="100"/>
        <c:noMultiLvlLbl val="0"/>
      </c:catAx>
      <c:valAx>
        <c:axId val="-1458856864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4588432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E70AB4-FDF4-4008-933E-B98A401E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2018-06-04T12:25:00Z</cp:lastPrinted>
  <dcterms:created xsi:type="dcterms:W3CDTF">2018-10-11T07:32:00Z</dcterms:created>
  <dcterms:modified xsi:type="dcterms:W3CDTF">2018-10-11T07:32:00Z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