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003C03" w:rsidRDefault="00DB472B" w:rsidP="00074DD8">
      <w:pPr>
        <w:pStyle w:val="tytuinformacji"/>
        <w:rPr>
          <w:b/>
          <w:szCs w:val="40"/>
          <w:shd w:val="clear" w:color="auto" w:fill="FFFFFF"/>
          <w:lang w:val="en-US"/>
        </w:rPr>
      </w:pPr>
      <w:bookmarkStart w:id="0" w:name="_GoBack"/>
      <w:bookmarkEnd w:id="0"/>
      <w:r>
        <w:rPr>
          <w:rFonts w:cs="Arial"/>
          <w:b/>
          <w:lang w:val="en-US"/>
        </w:rPr>
        <w:t>R</w:t>
      </w:r>
      <w:r w:rsidR="000A3BE8" w:rsidRPr="00003C03">
        <w:rPr>
          <w:rFonts w:cs="Arial"/>
          <w:b/>
          <w:lang w:val="en-US"/>
        </w:rPr>
        <w:t xml:space="preserve">etail sales </w:t>
      </w:r>
      <w:r w:rsidR="00B71522">
        <w:rPr>
          <w:rFonts w:cs="Arial"/>
          <w:b/>
          <w:lang w:val="en-US"/>
        </w:rPr>
        <w:t xml:space="preserve">index </w:t>
      </w:r>
      <w:r w:rsidR="005934DA">
        <w:rPr>
          <w:rFonts w:cs="Arial"/>
          <w:b/>
          <w:lang w:val="en-US"/>
        </w:rPr>
        <w:t>–</w:t>
      </w:r>
      <w:r w:rsidR="00B71522">
        <w:rPr>
          <w:rFonts w:cs="Arial"/>
          <w:b/>
          <w:lang w:val="en-US"/>
        </w:rPr>
        <w:t xml:space="preserve"> </w:t>
      </w:r>
      <w:r w:rsidR="003E6106">
        <w:rPr>
          <w:rFonts w:cs="Arial"/>
          <w:b/>
          <w:lang w:val="en-US"/>
        </w:rPr>
        <w:t>September</w:t>
      </w:r>
      <w:r w:rsidR="005934DA">
        <w:rPr>
          <w:rFonts w:cs="Arial"/>
          <w:b/>
          <w:lang w:val="en-US"/>
        </w:rPr>
        <w:t xml:space="preserve"> </w:t>
      </w:r>
      <w:r w:rsidR="00D13520" w:rsidRPr="00003C03">
        <w:rPr>
          <w:rFonts w:cs="Arial"/>
          <w:b/>
          <w:szCs w:val="40"/>
          <w:lang w:val="en-US"/>
        </w:rPr>
        <w:t>201</w:t>
      </w:r>
      <w:r w:rsidR="006534EB" w:rsidRPr="00003C03">
        <w:rPr>
          <w:rFonts w:cs="Arial"/>
          <w:b/>
          <w:szCs w:val="40"/>
          <w:lang w:val="en-US"/>
        </w:rPr>
        <w:t>8</w:t>
      </w:r>
    </w:p>
    <w:p w:rsidR="00393761" w:rsidRPr="000A3BE8" w:rsidRDefault="00203BEC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245745</wp:posOffset>
                </wp:positionV>
                <wp:extent cx="1725295" cy="1095375"/>
                <wp:effectExtent l="0" t="0" r="0" b="0"/>
                <wp:wrapTight wrapText="bothSides">
                  <wp:wrapPolygon edited="0">
                    <wp:start x="715" y="0"/>
                    <wp:lineTo x="715" y="21037"/>
                    <wp:lineTo x="20749" y="2103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995BE7" w:rsidRDefault="00AF6D0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211A7E">
                              <w:rPr>
                                <w:lang w:val="en-US"/>
                              </w:rPr>
                              <w:t>September</w:t>
                            </w:r>
                            <w:r>
                              <w:rPr>
                                <w:lang w:val="en-US"/>
                              </w:rPr>
                              <w:t xml:space="preserve"> 2018</w:t>
                            </w:r>
                            <w:r w:rsidR="00FE1C4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retail sales </w:t>
                            </w:r>
                            <w:r w:rsidR="00EA739E">
                              <w:rPr>
                                <w:lang w:val="en-US"/>
                              </w:rPr>
                              <w:t>at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 constant prices </w:t>
                            </w:r>
                            <w:r w:rsidR="00D02B78">
                              <w:rPr>
                                <w:lang w:val="en-US"/>
                              </w:rPr>
                              <w:t>y/y</w:t>
                            </w:r>
                            <w:r w:rsidR="008F3A6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02B78">
                              <w:rPr>
                                <w:lang w:val="en-US"/>
                              </w:rPr>
                              <w:t>w</w:t>
                            </w:r>
                            <w:r w:rsidR="00C0668D">
                              <w:rPr>
                                <w:lang w:val="en-US"/>
                              </w:rPr>
                              <w:t>ere</w:t>
                            </w:r>
                            <w:r w:rsidR="00D02B7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1A7E">
                              <w:rPr>
                                <w:lang w:val="en-US"/>
                              </w:rPr>
                              <w:t>higher</w:t>
                            </w:r>
                            <w:r w:rsidR="0013057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1A7E">
                              <w:rPr>
                                <w:lang w:val="en-US"/>
                              </w:rPr>
                              <w:t xml:space="preserve">by 3.6% and it was the lowest </w:t>
                            </w:r>
                            <w:r w:rsidR="00D02B78">
                              <w:rPr>
                                <w:lang w:val="en-US"/>
                              </w:rPr>
                              <w:t>in</w:t>
                            </w:r>
                            <w:r w:rsidR="00211A7E">
                              <w:rPr>
                                <w:lang w:val="en-US"/>
                              </w:rPr>
                              <w:t>crease recorded this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35pt;width:135.8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NaDw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" filled="f" stroked="f">
                <v:textbox>
                  <w:txbxContent>
                    <w:p w:rsidR="00CB3B4E" w:rsidRPr="00995BE7" w:rsidRDefault="00AF6D09" w:rsidP="00074DD8">
                      <w:pPr>
                        <w:pStyle w:val="tekstzboku"/>
                        <w:rPr>
                          <w:lang w:val="en-US"/>
                        </w:rPr>
                      </w:pPr>
                      <w:bookmarkStart w:id="1" w:name="_GoBack"/>
                      <w:r>
                        <w:rPr>
                          <w:lang w:val="en-US"/>
                        </w:rPr>
                        <w:t xml:space="preserve">In </w:t>
                      </w:r>
                      <w:r w:rsidR="00211A7E">
                        <w:rPr>
                          <w:lang w:val="en-US"/>
                        </w:rPr>
                        <w:t>September</w:t>
                      </w:r>
                      <w:r>
                        <w:rPr>
                          <w:lang w:val="en-US"/>
                        </w:rPr>
                        <w:t xml:space="preserve"> 2018</w:t>
                      </w:r>
                      <w:r w:rsidR="00FE1C4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CB3B4E" w:rsidRPr="00995BE7">
                        <w:rPr>
                          <w:lang w:val="en-US"/>
                        </w:rPr>
                        <w:t xml:space="preserve">retail sales </w:t>
                      </w:r>
                      <w:r w:rsidR="00EA739E">
                        <w:rPr>
                          <w:lang w:val="en-US"/>
                        </w:rPr>
                        <w:t>at</w:t>
                      </w:r>
                      <w:r w:rsidR="00CB3B4E" w:rsidRPr="00995BE7">
                        <w:rPr>
                          <w:lang w:val="en-US"/>
                        </w:rPr>
                        <w:t xml:space="preserve"> constant prices </w:t>
                      </w:r>
                      <w:r w:rsidR="00D02B78">
                        <w:rPr>
                          <w:lang w:val="en-US"/>
                        </w:rPr>
                        <w:t>y/y</w:t>
                      </w:r>
                      <w:r w:rsidR="008F3A69">
                        <w:rPr>
                          <w:lang w:val="en-US"/>
                        </w:rPr>
                        <w:t xml:space="preserve"> </w:t>
                      </w:r>
                      <w:r w:rsidR="00D02B78">
                        <w:rPr>
                          <w:lang w:val="en-US"/>
                        </w:rPr>
                        <w:t>w</w:t>
                      </w:r>
                      <w:r w:rsidR="00C0668D">
                        <w:rPr>
                          <w:lang w:val="en-US"/>
                        </w:rPr>
                        <w:t>ere</w:t>
                      </w:r>
                      <w:r w:rsidR="00D02B78">
                        <w:rPr>
                          <w:lang w:val="en-US"/>
                        </w:rPr>
                        <w:t xml:space="preserve"> </w:t>
                      </w:r>
                      <w:r w:rsidR="00211A7E">
                        <w:rPr>
                          <w:lang w:val="en-US"/>
                        </w:rPr>
                        <w:t>higher</w:t>
                      </w:r>
                      <w:r w:rsidR="0013057C">
                        <w:rPr>
                          <w:lang w:val="en-US"/>
                        </w:rPr>
                        <w:t xml:space="preserve"> </w:t>
                      </w:r>
                      <w:r w:rsidR="00211A7E">
                        <w:rPr>
                          <w:lang w:val="en-US"/>
                        </w:rPr>
                        <w:t xml:space="preserve">by 3.6% and it was the lowest </w:t>
                      </w:r>
                      <w:r w:rsidR="00D02B78">
                        <w:rPr>
                          <w:lang w:val="en-US"/>
                        </w:rPr>
                        <w:t>in</w:t>
                      </w:r>
                      <w:r w:rsidR="00211A7E">
                        <w:rPr>
                          <w:lang w:val="en-US"/>
                        </w:rPr>
                        <w:t>crease recorded this year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203BEC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06357B" w:rsidRDefault="00CB3B4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4403C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4403C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</w:p>
                          <w:p w:rsidR="00CB3B4E" w:rsidRPr="00D13520" w:rsidRDefault="009B5393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="00CB3B4E">
                              <w:rPr>
                                <w:lang w:val="en-US"/>
                              </w:rPr>
                              <w:t xml:space="preserve">etail sales </w:t>
                            </w:r>
                            <w:r w:rsidR="00ED7B43">
                              <w:rPr>
                                <w:lang w:val="en-US"/>
                              </w:rPr>
                              <w:t xml:space="preserve">index </w:t>
                            </w:r>
                            <w:r w:rsidR="00CB3B4E">
                              <w:rPr>
                                <w:lang w:val="en-US"/>
                              </w:rPr>
                              <w:t>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CB3B4E" w:rsidRPr="0006357B" w:rsidRDefault="00CB3B4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4403C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4403C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</w:p>
                    <w:p w:rsidR="00CB3B4E" w:rsidRPr="00D13520" w:rsidRDefault="009B5393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  <w:r w:rsidR="00CB3B4E">
                        <w:rPr>
                          <w:lang w:val="en-US"/>
                        </w:rPr>
                        <w:t xml:space="preserve">etail sales </w:t>
                      </w:r>
                      <w:r w:rsidR="00ED7B43">
                        <w:rPr>
                          <w:lang w:val="en-US"/>
                        </w:rPr>
                        <w:t xml:space="preserve">index </w:t>
                      </w:r>
                      <w:r w:rsidR="00CB3B4E">
                        <w:rPr>
                          <w:lang w:val="en-US"/>
                        </w:rPr>
                        <w:t>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AD662C">
        <w:rPr>
          <w:rFonts w:cs="Arial"/>
          <w:lang w:val="en-US"/>
        </w:rPr>
        <w:t>September</w:t>
      </w:r>
      <w:r w:rsidR="007D794B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2018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011564">
        <w:rPr>
          <w:rFonts w:cs="Arial"/>
          <w:lang w:val="en-US"/>
        </w:rPr>
        <w:t> </w:t>
      </w:r>
      <w:r w:rsidR="003910EE" w:rsidRPr="003910EE">
        <w:rPr>
          <w:rFonts w:cs="Arial"/>
          <w:lang w:val="en-US"/>
        </w:rPr>
        <w:t>constant prices</w:t>
      </w:r>
      <w:r w:rsidR="00517462">
        <w:rPr>
          <w:rFonts w:cs="Arial"/>
          <w:lang w:val="en-US"/>
        </w:rPr>
        <w:t xml:space="preserve"> were</w:t>
      </w:r>
      <w:r w:rsidR="001A40AB">
        <w:rPr>
          <w:rFonts w:cs="Arial"/>
          <w:lang w:val="en-US"/>
        </w:rPr>
        <w:t xml:space="preserve"> by </w:t>
      </w:r>
      <w:r w:rsidR="00AE554B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.</w:t>
      </w:r>
      <w:r w:rsidR="00AE554B">
        <w:rPr>
          <w:rFonts w:cs="Arial"/>
          <w:lang w:val="en-US"/>
        </w:rPr>
        <w:t>6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AE554B">
        <w:rPr>
          <w:rFonts w:cs="Arial"/>
          <w:lang w:val="en-US"/>
        </w:rPr>
        <w:t>7</w:t>
      </w:r>
      <w:r w:rsidR="008A0000">
        <w:rPr>
          <w:rFonts w:cs="Arial"/>
          <w:lang w:val="en-US"/>
        </w:rPr>
        <w:t>.</w:t>
      </w:r>
      <w:r w:rsidR="00AE554B">
        <w:rPr>
          <w:rFonts w:cs="Arial"/>
          <w:lang w:val="en-US"/>
        </w:rPr>
        <w:t>5</w:t>
      </w:r>
      <w:r w:rsidR="004B784E">
        <w:rPr>
          <w:rFonts w:cs="Arial"/>
          <w:lang w:val="en-US"/>
        </w:rPr>
        <w:t>% in</w:t>
      </w:r>
      <w:r w:rsidR="00FF1AF5">
        <w:rPr>
          <w:rFonts w:cs="Arial"/>
          <w:lang w:val="en-US"/>
        </w:rPr>
        <w:t> </w:t>
      </w:r>
      <w:r w:rsidR="00AE554B">
        <w:rPr>
          <w:rFonts w:cs="Arial"/>
          <w:lang w:val="en-US"/>
        </w:rPr>
        <w:t>September</w:t>
      </w:r>
      <w:r w:rsidR="004B784E">
        <w:rPr>
          <w:rFonts w:cs="Arial"/>
          <w:lang w:val="en-US"/>
        </w:rPr>
        <w:t xml:space="preserve"> 2017)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AE554B">
        <w:rPr>
          <w:lang w:val="en-US"/>
        </w:rPr>
        <w:t>August</w:t>
      </w:r>
      <w:r w:rsidR="002B5519">
        <w:rPr>
          <w:lang w:val="en-US"/>
        </w:rPr>
        <w:t xml:space="preserve"> this year 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AE554B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AE554B">
        <w:rPr>
          <w:lang w:val="en-US"/>
        </w:rPr>
        <w:t>3</w:t>
      </w:r>
      <w:r w:rsidR="002B5519">
        <w:rPr>
          <w:lang w:val="en-US"/>
        </w:rPr>
        <w:t>.</w:t>
      </w:r>
      <w:r w:rsidR="00AE554B">
        <w:rPr>
          <w:lang w:val="en-US"/>
        </w:rPr>
        <w:t>9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203BEC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39265" cy="1228090"/>
                <wp:effectExtent l="0" t="0" r="0" b="0"/>
                <wp:wrapTight wrapText="bothSides">
                  <wp:wrapPolygon edited="0">
                    <wp:start x="710" y="0"/>
                    <wp:lineTo x="710" y="21109"/>
                    <wp:lineTo x="20819" y="21109"/>
                    <wp:lineTo x="20819" y="0"/>
                    <wp:lineTo x="71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FA7C28" w:rsidRDefault="00CB3B4E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A7C2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F50CE6" w:rsidRPr="00FA7C28">
                              <w:rPr>
                                <w:rFonts w:cs="Arial"/>
                                <w:lang w:val="en-US"/>
                              </w:rPr>
                              <w:t xml:space="preserve">the period January-September 2018 </w:t>
                            </w:r>
                            <w:r w:rsidRPr="00FA7C28"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="00F50CE6" w:rsidRPr="00FA7C28">
                              <w:rPr>
                                <w:rFonts w:cs="Arial"/>
                                <w:lang w:val="en-US"/>
                              </w:rPr>
                              <w:t>retail sales index</w:t>
                            </w:r>
                            <w:r w:rsidRPr="00FA7C28">
                              <w:rPr>
                                <w:rFonts w:cs="Arial"/>
                                <w:lang w:val="en-US"/>
                              </w:rPr>
                              <w:t xml:space="preserve"> at constant prices </w:t>
                            </w:r>
                            <w:r w:rsidR="00F50CE6" w:rsidRPr="00FA7C28">
                              <w:rPr>
                                <w:rFonts w:cs="Arial"/>
                                <w:lang w:val="en-US"/>
                              </w:rPr>
                              <w:t>amounted to 106.4</w:t>
                            </w:r>
                          </w:p>
                          <w:p w:rsidR="00CB3B4E" w:rsidRPr="007725C8" w:rsidRDefault="00CB3B4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1pt;margin-top:9.25pt;width:136.95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" filled="f" stroked="f">
                <v:textbox>
                  <w:txbxContent>
                    <w:p w:rsidR="00CB3B4E" w:rsidRPr="00FA7C28" w:rsidRDefault="00CB3B4E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FA7C2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F50CE6" w:rsidRPr="00FA7C28">
                        <w:rPr>
                          <w:rFonts w:cs="Arial"/>
                          <w:lang w:val="en-US"/>
                        </w:rPr>
                        <w:t xml:space="preserve">the period January-September 2018 </w:t>
                      </w:r>
                      <w:r w:rsidRPr="00FA7C28"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="00F50CE6" w:rsidRPr="00FA7C28">
                        <w:rPr>
                          <w:rFonts w:cs="Arial"/>
                          <w:lang w:val="en-US"/>
                        </w:rPr>
                        <w:t>retail sales index</w:t>
                      </w:r>
                      <w:r w:rsidRPr="00FA7C28">
                        <w:rPr>
                          <w:rFonts w:cs="Arial"/>
                          <w:lang w:val="en-US"/>
                        </w:rPr>
                        <w:t xml:space="preserve"> at constant prices </w:t>
                      </w:r>
                      <w:r w:rsidR="00F50CE6" w:rsidRPr="00FA7C28">
                        <w:rPr>
                          <w:rFonts w:cs="Arial"/>
                          <w:lang w:val="en-US"/>
                        </w:rPr>
                        <w:t>amounted to 106.4</w:t>
                      </w:r>
                    </w:p>
                    <w:p w:rsidR="00CB3B4E" w:rsidRPr="007725C8" w:rsidRDefault="00CB3B4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8A0000" w:rsidRDefault="00794E5F" w:rsidP="00D40D4C">
      <w:pPr>
        <w:spacing w:before="0" w:after="0" w:line="240" w:lineRule="atLeast"/>
        <w:rPr>
          <w:rFonts w:cs="Arial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 xml:space="preserve">nt share in total retail sales </w:t>
      </w:r>
      <w:r w:rsidRPr="00794E5F">
        <w:rPr>
          <w:rFonts w:cs="Arial"/>
          <w:lang w:val="en-US"/>
        </w:rPr>
        <w:t xml:space="preserve">high increase in </w:t>
      </w:r>
      <w:r w:rsidR="00E8695A">
        <w:rPr>
          <w:rFonts w:cs="Arial"/>
          <w:lang w:val="en-US"/>
        </w:rPr>
        <w:t>September</w:t>
      </w:r>
      <w:r w:rsidR="00EC2A8F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 xml:space="preserve">2018 compared to the </w:t>
      </w:r>
      <w:r>
        <w:rPr>
          <w:rFonts w:cs="Arial"/>
          <w:lang w:val="en-US"/>
        </w:rPr>
        <w:t xml:space="preserve">corresponding period of previous year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 in</w:t>
      </w:r>
      <w:r w:rsidR="00673952">
        <w:rPr>
          <w:rFonts w:cs="Arial"/>
          <w:lang w:val="en-US"/>
        </w:rPr>
        <w:t xml:space="preserve"> enterprises</w:t>
      </w:r>
      <w:r w:rsidR="00B55A9D">
        <w:rPr>
          <w:rFonts w:cs="Arial"/>
          <w:lang w:val="en-US"/>
        </w:rPr>
        <w:t xml:space="preserve"> from the group “others”</w:t>
      </w:r>
      <w:r w:rsidR="00B55A9D" w:rsidRPr="00B55A9D">
        <w:rPr>
          <w:rFonts w:cs="Arial"/>
          <w:lang w:val="en-US"/>
        </w:rPr>
        <w:t xml:space="preserve"> </w:t>
      </w:r>
      <w:r w:rsidR="00B55A9D">
        <w:rPr>
          <w:rFonts w:cs="Arial"/>
          <w:lang w:val="en-US"/>
        </w:rPr>
        <w:t>(by 8.9% against a growth of 3.9% the year before)</w:t>
      </w:r>
      <w:r w:rsidR="00732240">
        <w:rPr>
          <w:rFonts w:cs="Arial"/>
          <w:lang w:val="en-US"/>
        </w:rPr>
        <w:t xml:space="preserve"> and</w:t>
      </w:r>
      <w:r w:rsidR="00732240" w:rsidRPr="00732240">
        <w:rPr>
          <w:rFonts w:cs="Arial"/>
          <w:lang w:val="en-US"/>
        </w:rPr>
        <w:t xml:space="preserve"> </w:t>
      </w:r>
      <w:r w:rsidR="00732240">
        <w:rPr>
          <w:rFonts w:cs="Arial"/>
          <w:lang w:val="en-US"/>
        </w:rPr>
        <w:t>by</w:t>
      </w:r>
      <w:r w:rsidR="00732240" w:rsidRPr="00441551">
        <w:rPr>
          <w:rFonts w:cs="Arial"/>
          <w:lang w:val="en-US"/>
        </w:rPr>
        <w:t xml:space="preserve"> </w:t>
      </w:r>
      <w:r w:rsidR="00732240">
        <w:rPr>
          <w:rFonts w:cs="Arial"/>
          <w:lang w:val="en-US"/>
        </w:rPr>
        <w:t xml:space="preserve">units trading in solid, liquid and gaseous fuels (by 8.2% against a growth of 3.6% the year before). </w:t>
      </w:r>
      <w:r w:rsidR="00441551">
        <w:rPr>
          <w:rFonts w:cs="Arial"/>
          <w:lang w:val="en-US"/>
        </w:rPr>
        <w:t xml:space="preserve">Higher than average growth was reported </w:t>
      </w:r>
      <w:r w:rsidR="00561B17">
        <w:rPr>
          <w:rFonts w:cs="Arial"/>
          <w:lang w:val="en-US"/>
        </w:rPr>
        <w:t>by</w:t>
      </w:r>
      <w:r w:rsidR="00441551" w:rsidRPr="00441551">
        <w:rPr>
          <w:rFonts w:cs="Arial"/>
          <w:lang w:val="en-US"/>
        </w:rPr>
        <w:t xml:space="preserve"> </w:t>
      </w:r>
      <w:r w:rsidR="00441551">
        <w:rPr>
          <w:rFonts w:cs="Arial"/>
          <w:lang w:val="en-US"/>
        </w:rPr>
        <w:t>entities classified into the</w:t>
      </w:r>
      <w:r w:rsidR="00441551" w:rsidRPr="00AD1D71">
        <w:rPr>
          <w:rFonts w:cs="Arial"/>
          <w:lang w:val="en-US"/>
        </w:rPr>
        <w:t xml:space="preserve"> </w:t>
      </w:r>
      <w:r w:rsidR="00AD2499">
        <w:rPr>
          <w:rFonts w:cs="Arial"/>
          <w:lang w:val="en-US"/>
        </w:rPr>
        <w:t>group “other retail sale in non-specialized stores</w:t>
      </w:r>
      <w:r w:rsidR="00441551">
        <w:rPr>
          <w:rFonts w:cs="Arial"/>
          <w:lang w:val="en-US"/>
        </w:rPr>
        <w:t xml:space="preserve">” (by </w:t>
      </w:r>
      <w:r w:rsidR="00732240">
        <w:rPr>
          <w:rFonts w:cs="Arial"/>
          <w:lang w:val="en-US"/>
        </w:rPr>
        <w:t>4</w:t>
      </w:r>
      <w:r w:rsidR="00441551">
        <w:rPr>
          <w:rFonts w:cs="Arial"/>
          <w:lang w:val="en-US"/>
        </w:rPr>
        <w:t>.</w:t>
      </w:r>
      <w:r w:rsidR="00732240">
        <w:rPr>
          <w:rFonts w:cs="Arial"/>
          <w:lang w:val="en-US"/>
        </w:rPr>
        <w:t>5</w:t>
      </w:r>
      <w:r w:rsidR="000F4AAC">
        <w:rPr>
          <w:rFonts w:cs="Arial"/>
          <w:lang w:val="en-US"/>
        </w:rPr>
        <w:t>%</w:t>
      </w:r>
      <w:r w:rsidR="00441551">
        <w:rPr>
          <w:rFonts w:cs="Arial"/>
          <w:lang w:val="en-US"/>
        </w:rPr>
        <w:t>)</w:t>
      </w:r>
      <w:r w:rsidR="00AD2499">
        <w:rPr>
          <w:rFonts w:cs="Arial"/>
          <w:lang w:val="en-US"/>
        </w:rPr>
        <w:t>.</w:t>
      </w:r>
      <w:r w:rsidR="00441551">
        <w:rPr>
          <w:rFonts w:cs="Arial"/>
          <w:lang w:val="en-US"/>
        </w:rPr>
        <w:t xml:space="preserve"> </w:t>
      </w:r>
      <w:r w:rsidR="009759D1">
        <w:rPr>
          <w:rFonts w:cs="Arial"/>
          <w:lang w:val="en-US"/>
        </w:rPr>
        <w:t>The decrease in retail sales was recorded by enterprises trading in motor vehicles, motorcycles, parts</w:t>
      </w:r>
      <w:r w:rsidR="009759D1" w:rsidRPr="008E446C">
        <w:rPr>
          <w:rFonts w:cs="Arial"/>
          <w:lang w:val="en-US"/>
        </w:rPr>
        <w:t xml:space="preserve"> </w:t>
      </w:r>
      <w:r w:rsidR="009759D1">
        <w:rPr>
          <w:rFonts w:cs="Arial"/>
          <w:lang w:val="en-US"/>
        </w:rPr>
        <w:t>(by 4.3%) as well as selling food, beverages and tobacco products (by 0.9%).</w:t>
      </w:r>
      <w:r w:rsidR="00F26952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 xml:space="preserve">Within groups with a lower share in total retail sales, </w:t>
      </w:r>
      <w:r w:rsidR="003E43B9">
        <w:rPr>
          <w:rFonts w:cs="Arial"/>
          <w:lang w:val="en-US"/>
        </w:rPr>
        <w:t>high growth</w:t>
      </w:r>
      <w:r w:rsidR="00516EB5">
        <w:rPr>
          <w:rFonts w:cs="Arial"/>
          <w:lang w:val="en-US"/>
        </w:rPr>
        <w:t xml:space="preserve"> </w:t>
      </w:r>
      <w:r w:rsidR="003E43B9">
        <w:rPr>
          <w:rFonts w:cs="Arial"/>
          <w:lang w:val="en-US"/>
        </w:rPr>
        <w:t xml:space="preserve">was </w:t>
      </w:r>
      <w:r w:rsidR="00890A96">
        <w:rPr>
          <w:rFonts w:cs="Arial"/>
          <w:lang w:val="en-US"/>
        </w:rPr>
        <w:t>noted</w:t>
      </w:r>
      <w:r w:rsidR="003E43B9">
        <w:rPr>
          <w:rFonts w:cs="Arial"/>
          <w:lang w:val="en-US"/>
        </w:rPr>
        <w:t xml:space="preserve"> by units</w:t>
      </w:r>
      <w:r w:rsidR="00673952">
        <w:rPr>
          <w:rFonts w:cs="Arial"/>
          <w:lang w:val="en-US"/>
        </w:rPr>
        <w:t xml:space="preserve"> from groups</w:t>
      </w:r>
      <w:r w:rsidR="00030A9C">
        <w:rPr>
          <w:rFonts w:cs="Arial"/>
          <w:lang w:val="en-US"/>
        </w:rPr>
        <w:t>:</w:t>
      </w:r>
      <w:r w:rsidR="00FC61A2">
        <w:rPr>
          <w:rFonts w:cs="Arial"/>
          <w:lang w:val="en-US"/>
        </w:rPr>
        <w:t xml:space="preserve"> </w:t>
      </w:r>
      <w:r w:rsidR="009759D1">
        <w:rPr>
          <w:rFonts w:cs="Arial"/>
          <w:lang w:val="en-US"/>
        </w:rPr>
        <w:t>“</w:t>
      </w:r>
      <w:r w:rsidR="009759D1">
        <w:rPr>
          <w:rFonts w:cs="Arial"/>
          <w:szCs w:val="19"/>
          <w:lang w:val="en-US"/>
        </w:rPr>
        <w:t>p</w:t>
      </w:r>
      <w:r w:rsidR="009759D1" w:rsidRPr="00D40D4C">
        <w:rPr>
          <w:rFonts w:cs="Arial"/>
          <w:szCs w:val="19"/>
          <w:lang w:val="en-US"/>
        </w:rPr>
        <w:t xml:space="preserve">harmaceuticals, cosmetics, </w:t>
      </w:r>
      <w:r w:rsidR="009759D1" w:rsidRPr="00D40D4C">
        <w:rPr>
          <w:rFonts w:cs="Arial"/>
          <w:szCs w:val="19"/>
          <w:lang w:val="en-GB"/>
        </w:rPr>
        <w:t xml:space="preserve">orthopaedic </w:t>
      </w:r>
      <w:r w:rsidR="009759D1" w:rsidRPr="00D40D4C">
        <w:rPr>
          <w:rFonts w:cs="Arial"/>
          <w:szCs w:val="19"/>
          <w:lang w:val="en-US"/>
        </w:rPr>
        <w:t>equipment</w:t>
      </w:r>
      <w:r w:rsidR="009759D1">
        <w:rPr>
          <w:rFonts w:cs="Arial"/>
          <w:szCs w:val="19"/>
          <w:lang w:val="en-US"/>
        </w:rPr>
        <w:t>”</w:t>
      </w:r>
      <w:r w:rsidR="009759D1">
        <w:rPr>
          <w:rFonts w:cs="Arial"/>
          <w:lang w:val="en-US"/>
        </w:rPr>
        <w:t xml:space="preserve"> (by 9.1%) and </w:t>
      </w:r>
      <w:r w:rsidR="00673952">
        <w:rPr>
          <w:rFonts w:cs="Arial"/>
          <w:lang w:val="en-US"/>
        </w:rPr>
        <w:t>“</w:t>
      </w:r>
      <w:r w:rsidR="00FC61A2">
        <w:rPr>
          <w:rFonts w:cs="Arial"/>
          <w:lang w:val="en-US"/>
        </w:rPr>
        <w:t>textiles, clothing, footwear</w:t>
      </w:r>
      <w:r w:rsidR="00673952">
        <w:rPr>
          <w:rFonts w:cs="Arial"/>
          <w:lang w:val="en-US"/>
        </w:rPr>
        <w:t>”</w:t>
      </w:r>
      <w:r w:rsidR="00FC61A2">
        <w:rPr>
          <w:rFonts w:cs="Arial"/>
          <w:lang w:val="en-US"/>
        </w:rPr>
        <w:t xml:space="preserve"> (by </w:t>
      </w:r>
      <w:r w:rsidR="009759D1">
        <w:rPr>
          <w:rFonts w:cs="Arial"/>
          <w:lang w:val="en-US"/>
        </w:rPr>
        <w:t>8</w:t>
      </w:r>
      <w:r w:rsidR="00FC61A2">
        <w:rPr>
          <w:rFonts w:cs="Arial"/>
          <w:lang w:val="en-US"/>
        </w:rPr>
        <w:t>.</w:t>
      </w:r>
      <w:r w:rsidR="00890A96">
        <w:rPr>
          <w:rFonts w:cs="Arial"/>
          <w:lang w:val="en-US"/>
        </w:rPr>
        <w:t>9</w:t>
      </w:r>
      <w:r w:rsidR="00FC61A2">
        <w:rPr>
          <w:rFonts w:cs="Arial"/>
          <w:lang w:val="en-US"/>
        </w:rPr>
        <w:t>%)</w:t>
      </w:r>
      <w:r w:rsidR="009759D1">
        <w:rPr>
          <w:rFonts w:cs="Arial"/>
          <w:lang w:val="en-US"/>
        </w:rPr>
        <w:t>.</w:t>
      </w:r>
      <w:r w:rsidR="00673952">
        <w:rPr>
          <w:rFonts w:cs="Arial"/>
          <w:lang w:val="en-US"/>
        </w:rPr>
        <w:t xml:space="preserve"> </w:t>
      </w:r>
    </w:p>
    <w:p w:rsidR="00476467" w:rsidRDefault="004C79A0" w:rsidP="00ED7B43">
      <w:pPr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  <w:t>In the period of January-</w:t>
      </w:r>
      <w:r w:rsidR="00BF2ECA">
        <w:rPr>
          <w:rFonts w:cs="Arial"/>
          <w:lang w:val="en-US"/>
        </w:rPr>
        <w:t>September</w:t>
      </w:r>
      <w:r>
        <w:rPr>
          <w:rFonts w:cs="Arial"/>
          <w:lang w:val="en-US"/>
        </w:rPr>
        <w:t xml:space="preserve"> 2018</w:t>
      </w:r>
      <w:r w:rsidR="00077890">
        <w:rPr>
          <w:rStyle w:val="Odwoanieprzypisudolnego"/>
          <w:rFonts w:cs="Arial"/>
          <w:lang w:val="en-US"/>
        </w:rPr>
        <w:footnoteReference w:id="2"/>
      </w:r>
      <w:r>
        <w:rPr>
          <w:rFonts w:cs="Arial"/>
          <w:lang w:val="en-US"/>
        </w:rPr>
        <w:t xml:space="preserve"> retail sales were by </w:t>
      </w:r>
      <w:r w:rsidR="0010694A">
        <w:rPr>
          <w:rFonts w:cs="Arial"/>
          <w:lang w:val="en-US"/>
        </w:rPr>
        <w:t>6</w:t>
      </w:r>
      <w:r>
        <w:rPr>
          <w:rFonts w:cs="Arial"/>
          <w:lang w:val="en-US"/>
        </w:rPr>
        <w:t>.</w:t>
      </w:r>
      <w:r w:rsidR="00BF2ECA">
        <w:rPr>
          <w:rFonts w:cs="Arial"/>
          <w:lang w:val="en-US"/>
        </w:rPr>
        <w:t>4</w:t>
      </w:r>
      <w:r w:rsidR="009B6DEA">
        <w:rPr>
          <w:rFonts w:cs="Arial"/>
          <w:lang w:val="en-US"/>
        </w:rPr>
        <w:t xml:space="preserve">% </w:t>
      </w:r>
      <w:r>
        <w:rPr>
          <w:rFonts w:cs="Arial"/>
          <w:lang w:val="en-US"/>
        </w:rPr>
        <w:t xml:space="preserve">higher than in the corresponding </w:t>
      </w:r>
      <w:r w:rsidR="000D7994">
        <w:rPr>
          <w:rFonts w:cs="Arial"/>
          <w:lang w:val="en-US"/>
        </w:rPr>
        <w:t xml:space="preserve">period of </w:t>
      </w:r>
      <w:r w:rsidR="00F164F5">
        <w:rPr>
          <w:rFonts w:cs="Arial"/>
          <w:lang w:val="en-US"/>
        </w:rPr>
        <w:t>previous year</w:t>
      </w:r>
      <w:r w:rsidR="00241406">
        <w:rPr>
          <w:rFonts w:cs="Arial"/>
          <w:lang w:val="en-US"/>
        </w:rPr>
        <w:t xml:space="preserve"> </w:t>
      </w:r>
      <w:r w:rsidR="009B6DEA">
        <w:rPr>
          <w:rFonts w:cs="Arial"/>
          <w:lang w:val="en-US"/>
        </w:rPr>
        <w:t xml:space="preserve">(against a growth of </w:t>
      </w:r>
      <w:r w:rsidR="000D15A6">
        <w:rPr>
          <w:rFonts w:cs="Arial"/>
          <w:lang w:val="en-US"/>
        </w:rPr>
        <w:t>7</w:t>
      </w:r>
      <w:r w:rsidR="003B3445">
        <w:rPr>
          <w:rFonts w:cs="Arial"/>
          <w:lang w:val="en-US"/>
        </w:rPr>
        <w:t>.</w:t>
      </w:r>
      <w:r w:rsidR="00BF2ECA">
        <w:rPr>
          <w:rFonts w:cs="Arial"/>
          <w:lang w:val="en-US"/>
        </w:rPr>
        <w:t>2</w:t>
      </w:r>
      <w:r w:rsidR="003B3445">
        <w:rPr>
          <w:rFonts w:cs="Arial"/>
          <w:lang w:val="en-US"/>
        </w:rPr>
        <w:t>%</w:t>
      </w:r>
      <w:r w:rsidR="00F164F5">
        <w:rPr>
          <w:rFonts w:cs="Arial"/>
          <w:lang w:val="en-US"/>
        </w:rPr>
        <w:t xml:space="preserve"> in 2017</w:t>
      </w:r>
      <w:r w:rsidR="003B3445">
        <w:rPr>
          <w:rFonts w:cs="Arial"/>
          <w:lang w:val="en-US"/>
        </w:rPr>
        <w:t>)</w:t>
      </w:r>
      <w:r w:rsidR="00D10F4B">
        <w:rPr>
          <w:rFonts w:cs="Arial"/>
          <w:lang w:val="en-US"/>
        </w:rPr>
        <w:t>.</w:t>
      </w: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760B21" w:rsidRPr="00350F8C" w:rsidRDefault="00350F8C" w:rsidP="00350F8C">
      <w:pPr>
        <w:pStyle w:val="tytuwykresu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2DF38E43" wp14:editId="73A55D67">
            <wp:simplePos x="0" y="0"/>
            <wp:positionH relativeFrom="margin">
              <wp:posOffset>0</wp:posOffset>
            </wp:positionH>
            <wp:positionV relativeFrom="margin">
              <wp:posOffset>4869180</wp:posOffset>
            </wp:positionV>
            <wp:extent cx="5118735" cy="2748915"/>
            <wp:effectExtent l="0" t="0" r="571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808AA" w:rsidRPr="00186719" w:rsidRDefault="00A808AA" w:rsidP="00A808AA">
      <w:pPr>
        <w:pStyle w:val="Nagwek1"/>
        <w:rPr>
          <w:rFonts w:cs="Arial"/>
          <w:b/>
          <w:lang w:val="en-US"/>
        </w:rPr>
      </w:pPr>
      <w:r w:rsidRPr="005C123C">
        <w:rPr>
          <w:rFonts w:cs="Arial"/>
          <w:b/>
          <w:color w:val="auto"/>
          <w:lang w:val="en-US"/>
        </w:rPr>
        <w:lastRenderedPageBreak/>
        <w:t xml:space="preserve">Table 1. </w:t>
      </w:r>
      <w:r w:rsidR="00865207" w:rsidRPr="005C123C">
        <w:rPr>
          <w:rFonts w:cs="Arial"/>
          <w:b/>
          <w:color w:val="auto"/>
          <w:lang w:val="en-US"/>
        </w:rPr>
        <w:t>Index numbers</w:t>
      </w:r>
      <w:r w:rsidRPr="005C123C">
        <w:rPr>
          <w:rFonts w:cs="Arial"/>
          <w:b/>
          <w:color w:val="auto"/>
          <w:lang w:val="en-US"/>
        </w:rPr>
        <w:t xml:space="preserve"> of retail sales 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808AA" w:rsidRPr="0095396F" w:rsidTr="000714C9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808AA" w:rsidRPr="0095396F" w:rsidTr="000714C9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808AA" w:rsidRPr="0095396F" w:rsidRDefault="002F03B0" w:rsidP="002F03B0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I</w:t>
            </w:r>
            <w:r w:rsidR="00256D58">
              <w:rPr>
                <w:rFonts w:asciiTheme="majorHAnsi" w:hAnsiTheme="majorHAnsi" w:cs="Arial"/>
                <w:color w:val="000000"/>
                <w:sz w:val="16"/>
                <w:szCs w:val="16"/>
              </w:rPr>
              <w:t>X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</w:t>
            </w:r>
            <w:r w:rsidR="00A808AA"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201</w:t>
            </w:r>
            <w:r w:rsidR="00A808AA">
              <w:rPr>
                <w:rFonts w:asciiTheme="majorHAnsi" w:hAnsiTheme="majorHAns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808AA" w:rsidRPr="0095396F" w:rsidRDefault="00A808AA" w:rsidP="00256D58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I</w:t>
            </w:r>
            <w:r w:rsidR="00531C2B">
              <w:rPr>
                <w:rFonts w:asciiTheme="majorHAnsi" w:hAnsiTheme="majorHAnsi" w:cs="Arial"/>
                <w:color w:val="000000"/>
                <w:sz w:val="16"/>
                <w:szCs w:val="16"/>
              </w:rPr>
              <w:t>-</w:t>
            </w:r>
            <w:r w:rsidR="002F03B0">
              <w:rPr>
                <w:rFonts w:asciiTheme="majorHAnsi" w:hAnsiTheme="majorHAnsi" w:cs="Arial"/>
                <w:color w:val="000000"/>
                <w:sz w:val="16"/>
                <w:szCs w:val="16"/>
              </w:rPr>
              <w:t>I</w:t>
            </w:r>
            <w:r w:rsidR="00256D58">
              <w:rPr>
                <w:rFonts w:asciiTheme="majorHAnsi" w:hAnsiTheme="majorHAnsi" w:cs="Arial"/>
                <w:color w:val="000000"/>
                <w:sz w:val="16"/>
                <w:szCs w:val="16"/>
              </w:rPr>
              <w:t>X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</w:t>
            </w:r>
            <w:r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201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8</w:t>
            </w:r>
          </w:p>
        </w:tc>
      </w:tr>
      <w:tr w:rsidR="00A808AA" w:rsidRPr="0095396F" w:rsidTr="000714C9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808AA" w:rsidRPr="0095396F" w:rsidRDefault="00A808AA" w:rsidP="000714C9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808AA" w:rsidRPr="002F03B0" w:rsidRDefault="00531C2B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5"/>
                <w:szCs w:val="15"/>
              </w:rPr>
            </w:pPr>
            <w:r w:rsidRPr="002F03B0">
              <w:rPr>
                <w:rFonts w:asciiTheme="majorHAnsi" w:hAnsiTheme="majorHAnsi" w:cs="Arial"/>
                <w:color w:val="000000"/>
                <w:sz w:val="15"/>
                <w:szCs w:val="15"/>
              </w:rPr>
              <w:t>V</w:t>
            </w:r>
            <w:r w:rsidR="00E77E61" w:rsidRPr="002F03B0">
              <w:rPr>
                <w:rFonts w:asciiTheme="majorHAnsi" w:hAnsiTheme="majorHAnsi" w:cs="Arial"/>
                <w:color w:val="000000"/>
                <w:sz w:val="15"/>
                <w:szCs w:val="15"/>
              </w:rPr>
              <w:t>I</w:t>
            </w:r>
            <w:r w:rsidR="002F03B0" w:rsidRPr="002F03B0">
              <w:rPr>
                <w:rFonts w:asciiTheme="majorHAnsi" w:hAnsiTheme="majorHAnsi" w:cs="Arial"/>
                <w:color w:val="000000"/>
                <w:sz w:val="15"/>
                <w:szCs w:val="15"/>
              </w:rPr>
              <w:t>I</w:t>
            </w:r>
            <w:r w:rsidR="00256D58">
              <w:rPr>
                <w:rFonts w:asciiTheme="majorHAnsi" w:hAnsiTheme="majorHAnsi" w:cs="Arial"/>
                <w:color w:val="000000"/>
                <w:sz w:val="15"/>
                <w:szCs w:val="15"/>
              </w:rPr>
              <w:t>I</w:t>
            </w:r>
            <w:r w:rsidR="00A808AA" w:rsidRPr="002F03B0">
              <w:rPr>
                <w:rFonts w:asciiTheme="majorHAnsi" w:hAnsiTheme="majorHAnsi" w:cs="Arial"/>
                <w:color w:val="000000"/>
                <w:sz w:val="15"/>
                <w:szCs w:val="15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2F03B0" w:rsidRDefault="002F03B0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5"/>
                <w:szCs w:val="15"/>
              </w:rPr>
            </w:pPr>
            <w:r w:rsidRPr="002F03B0">
              <w:rPr>
                <w:rFonts w:asciiTheme="majorHAnsi" w:hAnsiTheme="majorHAnsi" w:cs="Arial"/>
                <w:color w:val="000000"/>
                <w:sz w:val="15"/>
                <w:szCs w:val="15"/>
              </w:rPr>
              <w:t>I</w:t>
            </w:r>
            <w:r w:rsidR="00256D58">
              <w:rPr>
                <w:rFonts w:asciiTheme="majorHAnsi" w:hAnsiTheme="majorHAnsi" w:cs="Arial"/>
                <w:color w:val="000000"/>
                <w:sz w:val="15"/>
                <w:szCs w:val="15"/>
              </w:rPr>
              <w:t>X</w:t>
            </w:r>
            <w:r w:rsidR="00A808AA" w:rsidRPr="002F03B0">
              <w:rPr>
                <w:rFonts w:asciiTheme="majorHAnsi" w:hAnsiTheme="majorHAnsi" w:cs="Arial"/>
                <w:color w:val="000000"/>
                <w:sz w:val="15"/>
                <w:szCs w:val="15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2F03B0" w:rsidRDefault="00531C2B" w:rsidP="00256D58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5"/>
                <w:szCs w:val="15"/>
              </w:rPr>
            </w:pPr>
            <w:r w:rsidRPr="002F03B0">
              <w:rPr>
                <w:rFonts w:asciiTheme="majorHAnsi" w:hAnsiTheme="majorHAnsi" w:cs="Arial"/>
                <w:color w:val="000000"/>
                <w:sz w:val="15"/>
                <w:szCs w:val="15"/>
              </w:rPr>
              <w:t>I-</w:t>
            </w:r>
            <w:r w:rsidR="00256D58">
              <w:rPr>
                <w:rFonts w:asciiTheme="majorHAnsi" w:hAnsiTheme="majorHAnsi" w:cs="Arial"/>
                <w:color w:val="000000"/>
                <w:sz w:val="15"/>
                <w:szCs w:val="15"/>
              </w:rPr>
              <w:t>IX</w:t>
            </w:r>
            <w:r w:rsidR="00A808AA" w:rsidRPr="002F03B0">
              <w:rPr>
                <w:rFonts w:asciiTheme="majorHAnsi" w:hAnsiTheme="majorHAnsi" w:cs="Arial"/>
                <w:color w:val="000000"/>
                <w:sz w:val="15"/>
                <w:szCs w:val="15"/>
              </w:rPr>
              <w:t xml:space="preserve"> 2017=100</w:t>
            </w:r>
          </w:p>
        </w:tc>
      </w:tr>
      <w:tr w:rsidR="007E38FF" w:rsidRPr="0095396F" w:rsidTr="00DD67FB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7E38FF" w:rsidRPr="00382DAE" w:rsidRDefault="007E38FF" w:rsidP="007E38FF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106.4</w:t>
            </w:r>
          </w:p>
        </w:tc>
      </w:tr>
      <w:tr w:rsidR="007E38FF" w:rsidRPr="0095396F" w:rsidTr="00DD67FB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E38FF" w:rsidRPr="0095396F" w:rsidRDefault="007E38FF" w:rsidP="007E38FF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E38FF" w:rsidRPr="00130AB2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E38FF" w:rsidRPr="00382DAE" w:rsidRDefault="007E38FF" w:rsidP="007E38F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106.5</w:t>
            </w:r>
          </w:p>
        </w:tc>
      </w:tr>
      <w:tr w:rsidR="007E38FF" w:rsidRPr="00371E29" w:rsidTr="00DD67FB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E38FF" w:rsidRPr="00382DAE" w:rsidRDefault="007E38FF" w:rsidP="007E38F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107.6</w:t>
            </w:r>
          </w:p>
        </w:tc>
      </w:tr>
      <w:tr w:rsidR="007E38FF" w:rsidRPr="00371E29" w:rsidTr="00DD67FB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E38FF" w:rsidRPr="00382DAE" w:rsidRDefault="007E38FF" w:rsidP="007E38F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101.1</w:t>
            </w:r>
          </w:p>
        </w:tc>
      </w:tr>
      <w:tr w:rsidR="007E38FF" w:rsidRPr="00371E29" w:rsidTr="0058110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E38FF" w:rsidRPr="00382DAE" w:rsidRDefault="007E38FF" w:rsidP="007E38F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107.1</w:t>
            </w:r>
          </w:p>
        </w:tc>
      </w:tr>
      <w:tr w:rsidR="007E38FF" w:rsidRPr="00130AB2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E38FF" w:rsidRPr="00382DAE" w:rsidRDefault="007E38FF" w:rsidP="007E38F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111.0</w:t>
            </w:r>
          </w:p>
        </w:tc>
      </w:tr>
      <w:tr w:rsidR="007E38FF" w:rsidRPr="00D358DF" w:rsidTr="00DD67FB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E38FF" w:rsidRPr="00130AB2" w:rsidRDefault="007E38FF" w:rsidP="007E38F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113.0</w:t>
            </w:r>
          </w:p>
        </w:tc>
      </w:tr>
      <w:tr w:rsidR="007E38FF" w:rsidRPr="00D358DF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E38FF" w:rsidRPr="00382DAE" w:rsidRDefault="007E38FF" w:rsidP="007E38F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C04F3E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7E38F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7E38FF" w:rsidRPr="00371E29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E38FF" w:rsidRPr="00382DAE" w:rsidRDefault="007E38FF" w:rsidP="007E38F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C04F3E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7E38F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8FF" w:rsidRPr="00F156AE" w:rsidRDefault="00C04F3E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7E38F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7E38FF" w:rsidRPr="0095396F" w:rsidTr="00DD67FB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E38FF" w:rsidRPr="00382DAE" w:rsidRDefault="007E38FF" w:rsidP="007E38F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E38FF" w:rsidRPr="00F156AE" w:rsidRDefault="007E38FF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E38FF" w:rsidRPr="00F156AE" w:rsidRDefault="00C04F3E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E38F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E38FF" w:rsidRPr="00F156AE" w:rsidRDefault="00C04F3E" w:rsidP="007E38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7E38F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A808AA" w:rsidRDefault="00A808AA" w:rsidP="00A808AA">
      <w:pPr>
        <w:pStyle w:val="tytuwykresu"/>
        <w:spacing w:line="240" w:lineRule="atLeast"/>
        <w:rPr>
          <w:sz w:val="16"/>
          <w:szCs w:val="16"/>
        </w:rPr>
      </w:pPr>
    </w:p>
    <w:p w:rsidR="00A7496F" w:rsidRDefault="00F04A2A" w:rsidP="00303C59">
      <w:pPr>
        <w:pStyle w:val="Nagwek1"/>
        <w:rPr>
          <w:rFonts w:cs="Arial"/>
          <w:b/>
          <w:color w:val="auto"/>
          <w:lang w:val="en-US"/>
        </w:rPr>
      </w:pPr>
      <w:r w:rsidRPr="005C123C">
        <w:rPr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532765</wp:posOffset>
                </wp:positionV>
                <wp:extent cx="1811020" cy="1212850"/>
                <wp:effectExtent l="0" t="0" r="0" b="6350"/>
                <wp:wrapTight wrapText="bothSides">
                  <wp:wrapPolygon edited="0">
                    <wp:start x="682" y="0"/>
                    <wp:lineTo x="682" y="21374"/>
                    <wp:lineTo x="20903" y="21374"/>
                    <wp:lineTo x="20903" y="0"/>
                    <wp:lineTo x="682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21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745877" w:rsidRDefault="00F04A2A" w:rsidP="00745877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share of group “food, beverages and tobacco products “ in the total retail sales structure in the period January-September 2018 decreased in comparison with the first half of this year  by 0.5 pp.</w:t>
                            </w:r>
                          </w:p>
                          <w:p w:rsidR="00CB3B4E" w:rsidRPr="00745877" w:rsidRDefault="00CB3B4E" w:rsidP="00C15AD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415.5pt;margin-top:41.95pt;width:142.6pt;height:95.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" filled="f" stroked="f">
                <v:textbox>
                  <w:txbxContent>
                    <w:p w:rsidR="00CB3B4E" w:rsidRPr="00745877" w:rsidRDefault="00F04A2A" w:rsidP="00745877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share of group “food, beverages and tobacco products “ in the total retail sales structure in the period January-September 2018 decreased in comparison with the first half of this year  by 0.5 pp.</w:t>
                      </w:r>
                    </w:p>
                    <w:p w:rsidR="00CB3B4E" w:rsidRPr="00745877" w:rsidRDefault="00CB3B4E" w:rsidP="00C15AD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21D84">
        <w:rPr>
          <w:rFonts w:cs="Arial"/>
          <w:b/>
          <w:color w:val="auto"/>
          <w:lang w:val="en-US"/>
        </w:rPr>
        <w:t>Table 2</w:t>
      </w:r>
      <w:r w:rsidR="00A808AA" w:rsidRPr="005C123C">
        <w:rPr>
          <w:rFonts w:cs="Arial"/>
          <w:b/>
          <w:color w:val="auto"/>
          <w:lang w:val="en-US"/>
        </w:rPr>
        <w:t xml:space="preserve">. </w:t>
      </w:r>
      <w:r w:rsidR="008A4988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E01656" w:rsidRPr="00E01656" w:rsidTr="00A51DEF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E01656" w:rsidRPr="00E01656" w:rsidRDefault="00E01656" w:rsidP="00E01656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E01656" w:rsidRPr="00E01656" w:rsidTr="00A51DEF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E01656" w:rsidRPr="00E01656" w:rsidRDefault="00E01656" w:rsidP="00E01656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01656" w:rsidRPr="00E01656" w:rsidRDefault="00E01656" w:rsidP="00E0165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01656" w:rsidRPr="00E01656" w:rsidRDefault="00E01656" w:rsidP="00E0165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IX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</w:tr>
      <w:tr w:rsidR="00E01656" w:rsidRPr="00E01656" w:rsidTr="00A51DEF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E01656" w:rsidRPr="00E01656" w:rsidRDefault="00E01656" w:rsidP="00E0165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E01656" w:rsidRPr="00E01656" w:rsidRDefault="00E01656" w:rsidP="00E0165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E01656" w:rsidRPr="00E01656" w:rsidRDefault="00E01656" w:rsidP="00E0165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E01656" w:rsidRPr="00E01656" w:rsidRDefault="00E01656" w:rsidP="00E0165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I–I</w:t>
            </w: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E01656" w:rsidRPr="00E01656" w:rsidRDefault="00E01656" w:rsidP="00E0165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8419A3" w:rsidRPr="00E01656" w:rsidTr="00A51DEF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8419A3" w:rsidRPr="00E01656" w:rsidRDefault="008419A3" w:rsidP="008419A3">
            <w:pPr>
              <w:spacing w:before="60" w:after="0"/>
              <w:rPr>
                <w:b/>
                <w:sz w:val="16"/>
                <w:szCs w:val="16"/>
              </w:rPr>
            </w:pPr>
            <w:r w:rsidRPr="00E0165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419A3" w:rsidRPr="00F156AE" w:rsidRDefault="0002125E" w:rsidP="008419A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</w:t>
            </w:r>
            <w:r w:rsidR="008419A3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8419A3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8419A3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419A3" w:rsidRPr="001F551D" w:rsidRDefault="00040525" w:rsidP="008419A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8419A3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419A3" w:rsidRPr="00E01656" w:rsidTr="00A51DE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419A3" w:rsidRPr="00E01656" w:rsidRDefault="008419A3" w:rsidP="008419A3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8419A3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8419A3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8419A3" w:rsidP="008419A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1F551D" w:rsidRDefault="008419A3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419A3" w:rsidRPr="00E01656" w:rsidTr="00A51DE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419A3" w:rsidRPr="00E01656" w:rsidRDefault="008419A3" w:rsidP="008419A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02125E" w:rsidP="008419A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1F551D" w:rsidRDefault="00EF6DD1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8419A3" w:rsidRPr="00E01656" w:rsidTr="00A51DE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419A3" w:rsidRPr="00E01656" w:rsidRDefault="008419A3" w:rsidP="008419A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02125E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1F551D" w:rsidRDefault="00EF6DD1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8419A3" w:rsidRPr="00E01656" w:rsidTr="00A51DE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419A3" w:rsidRPr="00E01656" w:rsidRDefault="008419A3" w:rsidP="008419A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02125E" w:rsidP="008419A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1F551D" w:rsidRDefault="00EF6DD1" w:rsidP="008419A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8419A3" w:rsidRPr="00E01656" w:rsidTr="00A51DE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419A3" w:rsidRPr="00E01656" w:rsidRDefault="008419A3" w:rsidP="008419A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02125E" w:rsidP="008419A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1F551D" w:rsidRDefault="00EF6DD1" w:rsidP="008419A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8419A3" w:rsidRPr="00E01656" w:rsidTr="00A51DEF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8419A3" w:rsidRPr="00E01656" w:rsidRDefault="008419A3" w:rsidP="008419A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E01656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02125E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1F551D" w:rsidRDefault="00EF6DD1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8419A3" w:rsidRPr="00E01656" w:rsidTr="00A51DE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419A3" w:rsidRPr="00E01656" w:rsidRDefault="008419A3" w:rsidP="008419A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02125E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1F551D" w:rsidRDefault="00EF6DD1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8419A3" w:rsidRPr="00E01656" w:rsidTr="00A51DEF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8419A3" w:rsidRPr="00E01656" w:rsidRDefault="008419A3" w:rsidP="008419A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02125E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1F551D" w:rsidRDefault="00EF6DD1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8419A3" w:rsidRPr="00E01656" w:rsidTr="00A51DEF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8419A3" w:rsidRPr="00E01656" w:rsidRDefault="008419A3" w:rsidP="008419A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02125E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9A3" w:rsidRPr="001F551D" w:rsidRDefault="00EF6DD1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8419A3" w:rsidRPr="00E01656" w:rsidTr="00A51DEF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419A3" w:rsidRPr="00E01656" w:rsidRDefault="008419A3" w:rsidP="008419A3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E01656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419A3" w:rsidRPr="00F156AE" w:rsidRDefault="0002125E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419A3" w:rsidRPr="00F156AE" w:rsidRDefault="002F3499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419A3" w:rsidRPr="001F551D" w:rsidRDefault="00EF6DD1" w:rsidP="008419A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</w:t>
            </w:r>
            <w:r w:rsidR="008419A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E01656" w:rsidRDefault="00E01656" w:rsidP="00E01656">
      <w:pPr>
        <w:rPr>
          <w:lang w:val="en-US" w:eastAsia="pl-PL"/>
        </w:rPr>
      </w:pPr>
    </w:p>
    <w:p w:rsidR="00E01656" w:rsidRDefault="00E01656" w:rsidP="00E01656">
      <w:pPr>
        <w:rPr>
          <w:lang w:val="en-US" w:eastAsia="pl-PL"/>
        </w:rPr>
      </w:pPr>
    </w:p>
    <w:p w:rsidR="00E01656" w:rsidRDefault="00E01656" w:rsidP="00E01656">
      <w:pPr>
        <w:rPr>
          <w:lang w:val="en-US" w:eastAsia="pl-PL"/>
        </w:rPr>
      </w:pPr>
    </w:p>
    <w:p w:rsidR="00E01656" w:rsidRDefault="00E01656" w:rsidP="00E01656">
      <w:pPr>
        <w:rPr>
          <w:lang w:val="en-US" w:eastAsia="pl-PL"/>
        </w:rPr>
      </w:pPr>
    </w:p>
    <w:p w:rsidR="00E01656" w:rsidRPr="00E01656" w:rsidRDefault="00E01656" w:rsidP="00E01656">
      <w:pPr>
        <w:rPr>
          <w:lang w:val="en-US" w:eastAsia="pl-PL"/>
        </w:rPr>
      </w:pPr>
    </w:p>
    <w:p w:rsidR="00760B21" w:rsidRPr="00E960C2" w:rsidRDefault="00760B21" w:rsidP="00382DAE">
      <w:pPr>
        <w:pStyle w:val="tytuwykresu"/>
        <w:spacing w:line="240" w:lineRule="atLeast"/>
        <w:rPr>
          <w:sz w:val="16"/>
          <w:szCs w:val="16"/>
          <w:lang w:val="en-US"/>
        </w:rPr>
      </w:pPr>
    </w:p>
    <w:p w:rsidR="00C15AD6" w:rsidRDefault="000B7472" w:rsidP="00B25EE8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103B588A" wp14:editId="4FC05DA7">
            <wp:simplePos x="0" y="0"/>
            <wp:positionH relativeFrom="margin">
              <wp:align>right</wp:align>
            </wp:positionH>
            <wp:positionV relativeFrom="margin">
              <wp:posOffset>618131</wp:posOffset>
            </wp:positionV>
            <wp:extent cx="5125720" cy="347281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C6D41">
        <w:rPr>
          <w:lang w:val="en-US"/>
        </w:rPr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B2761E">
        <w:rPr>
          <w:shd w:val="clear" w:color="auto" w:fill="FFFFFF"/>
          <w:lang w:val="en-US"/>
        </w:rPr>
        <w:t>September</w:t>
      </w:r>
      <w:r w:rsidR="00134242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>2018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A808AA" w:rsidRDefault="00A808AA" w:rsidP="00B25EE8">
      <w:pPr>
        <w:pStyle w:val="tytuwykresu"/>
        <w:rPr>
          <w:shd w:val="clear" w:color="auto" w:fill="FFFFFF"/>
          <w:lang w:val="en-US"/>
        </w:rPr>
      </w:pPr>
    </w:p>
    <w:p w:rsidR="00003C03" w:rsidRPr="00476467" w:rsidRDefault="00EC1228" w:rsidP="00B04BBF">
      <w:pPr>
        <w:rPr>
          <w:rFonts w:ascii="Fira Sans SemiBold" w:hAnsi="Fira Sans SemiBold"/>
          <w:b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5689600</wp:posOffset>
                </wp:positionH>
                <wp:positionV relativeFrom="paragraph">
                  <wp:posOffset>100330</wp:posOffset>
                </wp:positionV>
                <wp:extent cx="1793240" cy="793750"/>
                <wp:effectExtent l="0" t="0" r="0" b="63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B4E" w:rsidRPr="001E236B" w:rsidRDefault="00CB3B4E" w:rsidP="001E236B">
                            <w:pPr>
                              <w:pStyle w:val="tytuwykresu"/>
                              <w:rPr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853114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September</w:t>
                            </w:r>
                            <w:r w:rsidR="003B39CC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2018, the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re was </w:t>
                            </w:r>
                            <w:r w:rsidR="00F73993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a 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>d</w:t>
                            </w:r>
                            <w:r w:rsidR="00F73993">
                              <w:rPr>
                                <w:b w:val="0"/>
                                <w:color w:val="001D77"/>
                                <w:lang w:val="en-US"/>
                              </w:rPr>
                              <w:t>rop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in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3D215D">
                              <w:rPr>
                                <w:b w:val="0"/>
                                <w:color w:val="001D77"/>
                                <w:lang w:val="en-US"/>
                              </w:rPr>
                              <w:t>retail sales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by 0.6% compared to August this year</w:t>
                            </w:r>
                            <w:r w:rsidR="00354DE7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C84FE4" w:rsidRPr="00C21E78" w:rsidRDefault="00C84F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48pt;margin-top:7.9pt;width:141.2pt;height:62.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It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" filled="f" stroked="f">
                <v:textbox>
                  <w:txbxContent>
                    <w:p w:rsidR="00CB3B4E" w:rsidRPr="001E236B" w:rsidRDefault="00CB3B4E" w:rsidP="001E236B">
                      <w:pPr>
                        <w:pStyle w:val="tytuwykresu"/>
                        <w:rPr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853114">
                        <w:rPr>
                          <w:b w:val="0"/>
                          <w:color w:val="001D77"/>
                          <w:lang w:val="en-US"/>
                        </w:rPr>
                        <w:t>September</w:t>
                      </w:r>
                      <w:r w:rsidR="003B39CC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2018, the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re was </w:t>
                      </w:r>
                      <w:r w:rsidR="00F73993">
                        <w:rPr>
                          <w:b w:val="0"/>
                          <w:color w:val="001D77"/>
                          <w:lang w:val="en-US"/>
                        </w:rPr>
                        <w:t xml:space="preserve">a 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>d</w:t>
                      </w:r>
                      <w:r w:rsidR="00F73993">
                        <w:rPr>
                          <w:b w:val="0"/>
                          <w:color w:val="001D77"/>
                          <w:lang w:val="en-US"/>
                        </w:rPr>
                        <w:t>rop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 in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3D215D">
                        <w:rPr>
                          <w:b w:val="0"/>
                          <w:color w:val="001D77"/>
                          <w:lang w:val="en-US"/>
                        </w:rPr>
                        <w:t>retail sales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 by 0.6% compared to August this year</w:t>
                      </w:r>
                      <w:r w:rsidR="00354DE7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C84FE4" w:rsidRPr="00C21E78" w:rsidRDefault="00C84F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3C03" w:rsidRPr="00476467">
        <w:rPr>
          <w:rFonts w:ascii="Fira Sans SemiBold" w:hAnsi="Fira Sans SemiBold"/>
          <w:b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b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EC1228">
        <w:rPr>
          <w:szCs w:val="23"/>
          <w:lang w:val="en-US"/>
        </w:rPr>
        <w:t>September</w:t>
      </w:r>
      <w:r w:rsidR="005C16C6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 xml:space="preserve">2018 </w:t>
      </w:r>
      <w:r w:rsidR="00EC1228">
        <w:rPr>
          <w:szCs w:val="23"/>
          <w:lang w:val="en-US"/>
        </w:rPr>
        <w:t xml:space="preserve">were lower by 0.6 % in comparison to the </w:t>
      </w:r>
      <w:r w:rsidR="00354DE7">
        <w:rPr>
          <w:szCs w:val="23"/>
          <w:lang w:val="en-US"/>
        </w:rPr>
        <w:t xml:space="preserve">previous </w:t>
      </w:r>
      <w:r w:rsidRPr="00EC1228">
        <w:rPr>
          <w:szCs w:val="23"/>
          <w:lang w:val="en-US"/>
        </w:rPr>
        <w:t>month</w:t>
      </w:r>
      <w:r w:rsidR="001905F6" w:rsidRPr="00EC1228">
        <w:rPr>
          <w:szCs w:val="23"/>
          <w:lang w:val="en-US"/>
        </w:rPr>
        <w:t xml:space="preserve"> of this year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04BBF">
      <w:pPr>
        <w:pStyle w:val="tytuwykresu"/>
        <w:spacing w:before="0"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3939CD">
        <w:rPr>
          <w:noProof/>
          <w:color w:val="69BE2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470AA" w:rsidRPr="008C6D41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06357B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06357B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382DAE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The Spokesperson for the President of the Statistics Poland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B04BBF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0470AA" w:rsidRPr="00B04BBF" w:rsidRDefault="000470AA" w:rsidP="000470AA">
      <w:pPr>
        <w:rPr>
          <w:rFonts w:asciiTheme="majorHAnsi" w:hAnsiTheme="majorHAnsi"/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B04BBF" w:rsidRDefault="001A75DF" w:rsidP="000470AA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0470AA" w:rsidRPr="00B04BB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 xml:space="preserve">tel.: 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(+48 22) 608 34 91, (+48 22) 608 38 04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faks: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(+48 22) 608 38 86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e-mail: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hyperlink r:id="rId22" w:history="1">
              <w:r w:rsidRPr="0095396F">
                <w:rPr>
                  <w:rStyle w:val="Hipercze"/>
                  <w:rFonts w:asciiTheme="majorHAnsi" w:hAnsiTheme="majorHAnsi"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203BE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Default="00CB3B4E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B3B4E" w:rsidRPr="00B04BBF" w:rsidRDefault="00CB3B4E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="00CB3B4E" w:rsidRPr="00BD3C6A">
                              <w:rPr>
                                <w:lang w:val="en-US"/>
                              </w:rPr>
                              <w:instrText>HYPERLINK "http://stat.gov.pl/en/topics/prices-trade/trade/internal-market-in-2016,7,14.html"</w:instrText>
                            </w:r>
                            <w: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Inte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rnal market in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 xml:space="preserve"> 2016 r.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CB3B4E" w:rsidRPr="00BD3C6A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Knowledge Databa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ses – Trade and S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ervices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  <w:hyperlink r:id="rId26" w:history="1">
                              <w:r w:rsidR="00DB2744" w:rsidRPr="00DB2744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CB3B4E" w:rsidRPr="001A75DF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Retail sales of g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oods</w:t>
                            </w:r>
                          </w:p>
                          <w:p w:rsidR="00CB3B4E" w:rsidRPr="003D7F37" w:rsidRDefault="00FD7191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CB3B4E" w:rsidRDefault="00CB3B4E" w:rsidP="00AB6D25">
                      <w:pPr>
                        <w:rPr>
                          <w:b/>
                        </w:rPr>
                      </w:pPr>
                    </w:p>
                    <w:p w:rsidR="00CB3B4E" w:rsidRPr="00B04BBF" w:rsidRDefault="00CB3B4E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fldChar w:fldCharType="begin"/>
                      </w:r>
                      <w:r w:rsidR="00CB3B4E" w:rsidRPr="00BD3C6A">
                        <w:rPr>
                          <w:lang w:val="en-US"/>
                        </w:rPr>
                        <w:instrText>HYPERLINK "http://stat.gov.pl/en/topics/prices-trade/trade/internal-market-in-2016,7,14.html"</w:instrText>
                      </w:r>
                      <w: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>Inte</w:t>
                      </w:r>
                      <w:r w:rsidR="00CB3B4E">
                        <w:rPr>
                          <w:rStyle w:val="Hipercze"/>
                          <w:rFonts w:cstheme="minorBidi"/>
                          <w:lang w:val="en-US"/>
                        </w:rPr>
                        <w:t>rnal market in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 xml:space="preserve"> 2016 r.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>
                        <w:fldChar w:fldCharType="end"/>
                      </w:r>
                    </w:p>
                    <w:p w:rsidR="00CB3B4E" w:rsidRPr="00BD3C6A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"http://swaid.stat.gov.pl/EN/SitePagesDBW/HandelUslugi.aspx"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Knowledge Databa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ses – Trade and S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ervices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  <w:hyperlink r:id="rId27" w:history="1">
                        <w:r w:rsidR="00DB2744" w:rsidRPr="00DB2744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CB3B4E" w:rsidRPr="001A75DF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Retail sales of g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oods</w:t>
                      </w:r>
                    </w:p>
                    <w:p w:rsidR="00CB3B4E" w:rsidRPr="003D7F37" w:rsidRDefault="00FD7191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D53" w:rsidRDefault="003F7D53" w:rsidP="000662E2">
      <w:pPr>
        <w:spacing w:after="0" w:line="240" w:lineRule="auto"/>
      </w:pPr>
      <w:r>
        <w:separator/>
      </w:r>
    </w:p>
  </w:endnote>
  <w:endnote w:type="continuationSeparator" w:id="0">
    <w:p w:rsidR="003F7D53" w:rsidRDefault="003F7D5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CB3B4E" w:rsidRDefault="00FD7191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5C70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CB3B4E" w:rsidRDefault="00FD7191" w:rsidP="002A6115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3F7D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D53" w:rsidRDefault="003F7D53" w:rsidP="000662E2">
      <w:pPr>
        <w:spacing w:after="0" w:line="240" w:lineRule="auto"/>
      </w:pPr>
      <w:r>
        <w:separator/>
      </w:r>
    </w:p>
  </w:footnote>
  <w:footnote w:type="continuationSeparator" w:id="0">
    <w:p w:rsidR="003F7D53" w:rsidRDefault="003F7D53" w:rsidP="000662E2">
      <w:pPr>
        <w:spacing w:after="0" w:line="240" w:lineRule="auto"/>
      </w:pPr>
      <w:r>
        <w:continuationSeparator/>
      </w:r>
    </w:p>
  </w:footnote>
  <w:footnote w:id="1">
    <w:p w:rsidR="00CB3B4E" w:rsidRPr="00C134FB" w:rsidRDefault="00CB3B4E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077890" w:rsidRPr="00077890" w:rsidRDefault="0007789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77890">
        <w:rPr>
          <w:lang w:val="en-US"/>
        </w:rPr>
        <w:t xml:space="preserve"> </w:t>
      </w:r>
      <w:r w:rsidRPr="00077890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203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1B2D1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CB3B4E" w:rsidRDefault="00CB3B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203BEC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3B4E" w:rsidRPr="003C6C8D" w:rsidRDefault="00CB3B4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B3B4E" w:rsidRPr="003C6C8D" w:rsidRDefault="00CB3B4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9F950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47E59">
      <w:rPr>
        <w:noProof/>
        <w:lang w:eastAsia="pl-PL"/>
      </w:rPr>
      <w:t xml:space="preserve">      </w:t>
    </w:r>
    <w:r w:rsidR="00547E59">
      <w:rPr>
        <w:noProof/>
        <w:lang w:eastAsia="pl-PL"/>
      </w:rPr>
      <w:drawing>
        <wp:inline distT="0" distB="0" distL="0" distR="0" wp14:anchorId="1BD20751" wp14:editId="636F7D53">
          <wp:extent cx="2857500" cy="721995"/>
          <wp:effectExtent l="0" t="0" r="0" b="1905"/>
          <wp:docPr id="28" name="Obraz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B4E" w:rsidRDefault="00203BE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B4E" w:rsidRPr="00C97596" w:rsidRDefault="003E610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CB3B4E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CB3B4E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.2018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CB3B4E" w:rsidRPr="00C97596" w:rsidRDefault="003E610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CB3B4E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CB3B4E">
                      <w:rPr>
                        <w:rFonts w:ascii="Fira Sans SemiBold" w:hAnsi="Fira Sans SemiBold"/>
                        <w:color w:val="001D77"/>
                      </w:rPr>
                      <w:t xml:space="preserve">.2018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CB3B4E">
    <w:pPr>
      <w:pStyle w:val="Nagwek"/>
    </w:pPr>
  </w:p>
  <w:p w:rsidR="00CB3B4E" w:rsidRDefault="00CB3B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37" type="#_x0000_t75" style="width:123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C5B"/>
    <w:rsid w:val="00003437"/>
    <w:rsid w:val="00003C03"/>
    <w:rsid w:val="0000709F"/>
    <w:rsid w:val="0000713E"/>
    <w:rsid w:val="000102CC"/>
    <w:rsid w:val="000108B8"/>
    <w:rsid w:val="00011564"/>
    <w:rsid w:val="000144A9"/>
    <w:rsid w:val="000152F5"/>
    <w:rsid w:val="00017FFE"/>
    <w:rsid w:val="0002125E"/>
    <w:rsid w:val="00023A16"/>
    <w:rsid w:val="00023B31"/>
    <w:rsid w:val="00023F0B"/>
    <w:rsid w:val="00027020"/>
    <w:rsid w:val="00027951"/>
    <w:rsid w:val="00027E78"/>
    <w:rsid w:val="00030A9C"/>
    <w:rsid w:val="00036905"/>
    <w:rsid w:val="00037E75"/>
    <w:rsid w:val="00040525"/>
    <w:rsid w:val="000419AC"/>
    <w:rsid w:val="00043D31"/>
    <w:rsid w:val="0004582E"/>
    <w:rsid w:val="000470AA"/>
    <w:rsid w:val="00047453"/>
    <w:rsid w:val="00052608"/>
    <w:rsid w:val="000533D9"/>
    <w:rsid w:val="00057CA1"/>
    <w:rsid w:val="00057EC2"/>
    <w:rsid w:val="0006357B"/>
    <w:rsid w:val="000662E2"/>
    <w:rsid w:val="00066883"/>
    <w:rsid w:val="00067082"/>
    <w:rsid w:val="000724CD"/>
    <w:rsid w:val="00074DD8"/>
    <w:rsid w:val="00075004"/>
    <w:rsid w:val="00077890"/>
    <w:rsid w:val="000806F7"/>
    <w:rsid w:val="00093F25"/>
    <w:rsid w:val="000A1B55"/>
    <w:rsid w:val="000A3BE8"/>
    <w:rsid w:val="000A50BE"/>
    <w:rsid w:val="000B0727"/>
    <w:rsid w:val="000B6DA7"/>
    <w:rsid w:val="000B73BD"/>
    <w:rsid w:val="000B7472"/>
    <w:rsid w:val="000C0D4D"/>
    <w:rsid w:val="000C135D"/>
    <w:rsid w:val="000C3D76"/>
    <w:rsid w:val="000D15A6"/>
    <w:rsid w:val="000D1D43"/>
    <w:rsid w:val="000D225C"/>
    <w:rsid w:val="000D2A5C"/>
    <w:rsid w:val="000D2DA9"/>
    <w:rsid w:val="000D2DD3"/>
    <w:rsid w:val="000D5EE9"/>
    <w:rsid w:val="000D7994"/>
    <w:rsid w:val="000E0918"/>
    <w:rsid w:val="000E2DD1"/>
    <w:rsid w:val="000F2FDE"/>
    <w:rsid w:val="000F303C"/>
    <w:rsid w:val="000F4AAC"/>
    <w:rsid w:val="001011C3"/>
    <w:rsid w:val="001017E9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679F"/>
    <w:rsid w:val="001267F4"/>
    <w:rsid w:val="00130296"/>
    <w:rsid w:val="001304EC"/>
    <w:rsid w:val="0013057C"/>
    <w:rsid w:val="00130AB2"/>
    <w:rsid w:val="0013237E"/>
    <w:rsid w:val="00134242"/>
    <w:rsid w:val="00135671"/>
    <w:rsid w:val="00135D92"/>
    <w:rsid w:val="001409E1"/>
    <w:rsid w:val="001423B6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2325"/>
    <w:rsid w:val="0016514E"/>
    <w:rsid w:val="001720A2"/>
    <w:rsid w:val="001774A2"/>
    <w:rsid w:val="0018456B"/>
    <w:rsid w:val="001851A5"/>
    <w:rsid w:val="00186719"/>
    <w:rsid w:val="001905F6"/>
    <w:rsid w:val="00191E3E"/>
    <w:rsid w:val="001951DA"/>
    <w:rsid w:val="001A0434"/>
    <w:rsid w:val="001A1119"/>
    <w:rsid w:val="001A2810"/>
    <w:rsid w:val="001A40AB"/>
    <w:rsid w:val="001A41A6"/>
    <w:rsid w:val="001A75DF"/>
    <w:rsid w:val="001B69A2"/>
    <w:rsid w:val="001C190A"/>
    <w:rsid w:val="001C3269"/>
    <w:rsid w:val="001C5DE2"/>
    <w:rsid w:val="001C6976"/>
    <w:rsid w:val="001C70AF"/>
    <w:rsid w:val="001C7489"/>
    <w:rsid w:val="001D1DB4"/>
    <w:rsid w:val="001E1400"/>
    <w:rsid w:val="001E236B"/>
    <w:rsid w:val="001E5351"/>
    <w:rsid w:val="001F1289"/>
    <w:rsid w:val="001F2800"/>
    <w:rsid w:val="001F340B"/>
    <w:rsid w:val="001F48BB"/>
    <w:rsid w:val="001F67FE"/>
    <w:rsid w:val="001F7F8B"/>
    <w:rsid w:val="00203B23"/>
    <w:rsid w:val="00203BEC"/>
    <w:rsid w:val="00211A7E"/>
    <w:rsid w:val="00216030"/>
    <w:rsid w:val="002220B7"/>
    <w:rsid w:val="00223EBE"/>
    <w:rsid w:val="00226FE1"/>
    <w:rsid w:val="002314F1"/>
    <w:rsid w:val="00234335"/>
    <w:rsid w:val="00235EE9"/>
    <w:rsid w:val="00240FAB"/>
    <w:rsid w:val="00241406"/>
    <w:rsid w:val="00244DBF"/>
    <w:rsid w:val="00244E7F"/>
    <w:rsid w:val="00246B7F"/>
    <w:rsid w:val="00247E0C"/>
    <w:rsid w:val="0025169D"/>
    <w:rsid w:val="00251F38"/>
    <w:rsid w:val="0025463B"/>
    <w:rsid w:val="00256D58"/>
    <w:rsid w:val="002574F9"/>
    <w:rsid w:val="00257C56"/>
    <w:rsid w:val="00260774"/>
    <w:rsid w:val="0026573E"/>
    <w:rsid w:val="00270DDC"/>
    <w:rsid w:val="00274C17"/>
    <w:rsid w:val="00276811"/>
    <w:rsid w:val="00282699"/>
    <w:rsid w:val="00282E90"/>
    <w:rsid w:val="00287DE4"/>
    <w:rsid w:val="0029139F"/>
    <w:rsid w:val="002926DF"/>
    <w:rsid w:val="002958BB"/>
    <w:rsid w:val="00296697"/>
    <w:rsid w:val="002A6115"/>
    <w:rsid w:val="002A6CE2"/>
    <w:rsid w:val="002A7CB1"/>
    <w:rsid w:val="002B0472"/>
    <w:rsid w:val="002B1E50"/>
    <w:rsid w:val="002B2088"/>
    <w:rsid w:val="002B5519"/>
    <w:rsid w:val="002B6B12"/>
    <w:rsid w:val="002C11BE"/>
    <w:rsid w:val="002D15C6"/>
    <w:rsid w:val="002D20E5"/>
    <w:rsid w:val="002D294F"/>
    <w:rsid w:val="002D3A7B"/>
    <w:rsid w:val="002E4A43"/>
    <w:rsid w:val="002E55FE"/>
    <w:rsid w:val="002E6140"/>
    <w:rsid w:val="002E6985"/>
    <w:rsid w:val="002E7047"/>
    <w:rsid w:val="002E71B6"/>
    <w:rsid w:val="002E77DC"/>
    <w:rsid w:val="002F03B0"/>
    <w:rsid w:val="002F0D7C"/>
    <w:rsid w:val="002F23DD"/>
    <w:rsid w:val="002F3499"/>
    <w:rsid w:val="002F52E1"/>
    <w:rsid w:val="002F5558"/>
    <w:rsid w:val="002F65F8"/>
    <w:rsid w:val="002F6DB4"/>
    <w:rsid w:val="002F7112"/>
    <w:rsid w:val="002F734C"/>
    <w:rsid w:val="002F77C8"/>
    <w:rsid w:val="003016A4"/>
    <w:rsid w:val="00302C83"/>
    <w:rsid w:val="00303C59"/>
    <w:rsid w:val="00304F22"/>
    <w:rsid w:val="00305290"/>
    <w:rsid w:val="00306C7C"/>
    <w:rsid w:val="003112E7"/>
    <w:rsid w:val="003140EB"/>
    <w:rsid w:val="00320FEE"/>
    <w:rsid w:val="00322EDD"/>
    <w:rsid w:val="0033011E"/>
    <w:rsid w:val="0033026E"/>
    <w:rsid w:val="00332320"/>
    <w:rsid w:val="00333012"/>
    <w:rsid w:val="00336650"/>
    <w:rsid w:val="00336951"/>
    <w:rsid w:val="0034323F"/>
    <w:rsid w:val="0034354B"/>
    <w:rsid w:val="003448B9"/>
    <w:rsid w:val="00346B95"/>
    <w:rsid w:val="00347D72"/>
    <w:rsid w:val="00350F8C"/>
    <w:rsid w:val="00354DE7"/>
    <w:rsid w:val="00354FEE"/>
    <w:rsid w:val="00357611"/>
    <w:rsid w:val="00363A26"/>
    <w:rsid w:val="00364D74"/>
    <w:rsid w:val="00367237"/>
    <w:rsid w:val="0037077F"/>
    <w:rsid w:val="00371E29"/>
    <w:rsid w:val="00372956"/>
    <w:rsid w:val="00372EDD"/>
    <w:rsid w:val="00373882"/>
    <w:rsid w:val="00374D5D"/>
    <w:rsid w:val="00375B9E"/>
    <w:rsid w:val="00382DAE"/>
    <w:rsid w:val="003843DB"/>
    <w:rsid w:val="00387793"/>
    <w:rsid w:val="003910EE"/>
    <w:rsid w:val="0039111A"/>
    <w:rsid w:val="00393761"/>
    <w:rsid w:val="003939CD"/>
    <w:rsid w:val="00397D18"/>
    <w:rsid w:val="003A1B36"/>
    <w:rsid w:val="003A2CCA"/>
    <w:rsid w:val="003A3245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C2CAA"/>
    <w:rsid w:val="003C4268"/>
    <w:rsid w:val="003C59E0"/>
    <w:rsid w:val="003C64DF"/>
    <w:rsid w:val="003C6C8D"/>
    <w:rsid w:val="003D0C16"/>
    <w:rsid w:val="003D0E78"/>
    <w:rsid w:val="003D215D"/>
    <w:rsid w:val="003D2FEA"/>
    <w:rsid w:val="003D45E7"/>
    <w:rsid w:val="003D4F95"/>
    <w:rsid w:val="003D5F42"/>
    <w:rsid w:val="003D60A9"/>
    <w:rsid w:val="003D7F37"/>
    <w:rsid w:val="003E2006"/>
    <w:rsid w:val="003E43B9"/>
    <w:rsid w:val="003E6106"/>
    <w:rsid w:val="003E697C"/>
    <w:rsid w:val="003E7F1A"/>
    <w:rsid w:val="003F025A"/>
    <w:rsid w:val="003F1527"/>
    <w:rsid w:val="003F4C97"/>
    <w:rsid w:val="003F7D53"/>
    <w:rsid w:val="003F7FE6"/>
    <w:rsid w:val="00400193"/>
    <w:rsid w:val="00401667"/>
    <w:rsid w:val="00402D9F"/>
    <w:rsid w:val="004078E9"/>
    <w:rsid w:val="00407D2F"/>
    <w:rsid w:val="004125DE"/>
    <w:rsid w:val="00412CCC"/>
    <w:rsid w:val="004136AB"/>
    <w:rsid w:val="00415861"/>
    <w:rsid w:val="00416ABA"/>
    <w:rsid w:val="00416D57"/>
    <w:rsid w:val="004174ED"/>
    <w:rsid w:val="00417691"/>
    <w:rsid w:val="004212E7"/>
    <w:rsid w:val="00422795"/>
    <w:rsid w:val="0042446D"/>
    <w:rsid w:val="00427BF8"/>
    <w:rsid w:val="00431113"/>
    <w:rsid w:val="00431C02"/>
    <w:rsid w:val="00437395"/>
    <w:rsid w:val="004403C3"/>
    <w:rsid w:val="00441551"/>
    <w:rsid w:val="00442D2F"/>
    <w:rsid w:val="00445047"/>
    <w:rsid w:val="00454107"/>
    <w:rsid w:val="004565DC"/>
    <w:rsid w:val="00463E39"/>
    <w:rsid w:val="004657FC"/>
    <w:rsid w:val="00467693"/>
    <w:rsid w:val="004733F6"/>
    <w:rsid w:val="00474E69"/>
    <w:rsid w:val="00476467"/>
    <w:rsid w:val="00477731"/>
    <w:rsid w:val="00481107"/>
    <w:rsid w:val="00482240"/>
    <w:rsid w:val="00483FCF"/>
    <w:rsid w:val="00485CB8"/>
    <w:rsid w:val="00487462"/>
    <w:rsid w:val="00490822"/>
    <w:rsid w:val="004954A5"/>
    <w:rsid w:val="00495553"/>
    <w:rsid w:val="0049621B"/>
    <w:rsid w:val="004B015C"/>
    <w:rsid w:val="004B06B1"/>
    <w:rsid w:val="004B0B9B"/>
    <w:rsid w:val="004B339C"/>
    <w:rsid w:val="004B784E"/>
    <w:rsid w:val="004C1895"/>
    <w:rsid w:val="004C1AB5"/>
    <w:rsid w:val="004C43FA"/>
    <w:rsid w:val="004C6D40"/>
    <w:rsid w:val="004C79A0"/>
    <w:rsid w:val="004D00AF"/>
    <w:rsid w:val="004D10CF"/>
    <w:rsid w:val="004D279F"/>
    <w:rsid w:val="004D3DDA"/>
    <w:rsid w:val="004D7A79"/>
    <w:rsid w:val="004E18EB"/>
    <w:rsid w:val="004E2013"/>
    <w:rsid w:val="004F0B03"/>
    <w:rsid w:val="004F0C3C"/>
    <w:rsid w:val="004F63FC"/>
    <w:rsid w:val="00500B1E"/>
    <w:rsid w:val="00505A92"/>
    <w:rsid w:val="00510AB6"/>
    <w:rsid w:val="005152A6"/>
    <w:rsid w:val="00516EB5"/>
    <w:rsid w:val="00517462"/>
    <w:rsid w:val="00517C73"/>
    <w:rsid w:val="005203F1"/>
    <w:rsid w:val="00521BC3"/>
    <w:rsid w:val="0052593D"/>
    <w:rsid w:val="00527DC0"/>
    <w:rsid w:val="00531C2B"/>
    <w:rsid w:val="00532FEB"/>
    <w:rsid w:val="00533632"/>
    <w:rsid w:val="005355D3"/>
    <w:rsid w:val="00537E68"/>
    <w:rsid w:val="0054251F"/>
    <w:rsid w:val="00542783"/>
    <w:rsid w:val="00546B2B"/>
    <w:rsid w:val="005475B5"/>
    <w:rsid w:val="00547E59"/>
    <w:rsid w:val="00550618"/>
    <w:rsid w:val="00551B16"/>
    <w:rsid w:val="005520D8"/>
    <w:rsid w:val="0055613F"/>
    <w:rsid w:val="00556CF1"/>
    <w:rsid w:val="00561B17"/>
    <w:rsid w:val="005646A7"/>
    <w:rsid w:val="005657B8"/>
    <w:rsid w:val="005737E1"/>
    <w:rsid w:val="005762A7"/>
    <w:rsid w:val="00581100"/>
    <w:rsid w:val="0058303B"/>
    <w:rsid w:val="00583B4A"/>
    <w:rsid w:val="005913C1"/>
    <w:rsid w:val="005916D7"/>
    <w:rsid w:val="0059242E"/>
    <w:rsid w:val="00592B0A"/>
    <w:rsid w:val="005934DA"/>
    <w:rsid w:val="00593E15"/>
    <w:rsid w:val="0059405C"/>
    <w:rsid w:val="00594FB6"/>
    <w:rsid w:val="00596CBA"/>
    <w:rsid w:val="005A1593"/>
    <w:rsid w:val="005A1B40"/>
    <w:rsid w:val="005A1B7C"/>
    <w:rsid w:val="005A289C"/>
    <w:rsid w:val="005A698C"/>
    <w:rsid w:val="005B23AA"/>
    <w:rsid w:val="005B3C18"/>
    <w:rsid w:val="005B3CB4"/>
    <w:rsid w:val="005B6AAA"/>
    <w:rsid w:val="005C08E7"/>
    <w:rsid w:val="005C123C"/>
    <w:rsid w:val="005C16C6"/>
    <w:rsid w:val="005C267A"/>
    <w:rsid w:val="005C5F08"/>
    <w:rsid w:val="005C6163"/>
    <w:rsid w:val="005C65AA"/>
    <w:rsid w:val="005C706D"/>
    <w:rsid w:val="005D661C"/>
    <w:rsid w:val="005E0799"/>
    <w:rsid w:val="005E47E1"/>
    <w:rsid w:val="005E5BF4"/>
    <w:rsid w:val="005F271E"/>
    <w:rsid w:val="005F5A80"/>
    <w:rsid w:val="005F7959"/>
    <w:rsid w:val="006044FF"/>
    <w:rsid w:val="006060DA"/>
    <w:rsid w:val="00607CC5"/>
    <w:rsid w:val="00615B0C"/>
    <w:rsid w:val="00616B93"/>
    <w:rsid w:val="00620F8B"/>
    <w:rsid w:val="00621AA8"/>
    <w:rsid w:val="00625251"/>
    <w:rsid w:val="00625C03"/>
    <w:rsid w:val="00633014"/>
    <w:rsid w:val="00633ED3"/>
    <w:rsid w:val="0063437B"/>
    <w:rsid w:val="0063586B"/>
    <w:rsid w:val="0064353E"/>
    <w:rsid w:val="00645152"/>
    <w:rsid w:val="00645483"/>
    <w:rsid w:val="00647B92"/>
    <w:rsid w:val="006534EB"/>
    <w:rsid w:val="0066247D"/>
    <w:rsid w:val="00665416"/>
    <w:rsid w:val="006673CA"/>
    <w:rsid w:val="00670AB4"/>
    <w:rsid w:val="00670CC3"/>
    <w:rsid w:val="00671189"/>
    <w:rsid w:val="00673952"/>
    <w:rsid w:val="00673C26"/>
    <w:rsid w:val="00677D27"/>
    <w:rsid w:val="006803F9"/>
    <w:rsid w:val="006812AF"/>
    <w:rsid w:val="0068259D"/>
    <w:rsid w:val="006831C9"/>
    <w:rsid w:val="0068327D"/>
    <w:rsid w:val="00690C99"/>
    <w:rsid w:val="00694AF0"/>
    <w:rsid w:val="006A2E6E"/>
    <w:rsid w:val="006A3AAE"/>
    <w:rsid w:val="006A3DA0"/>
    <w:rsid w:val="006A45D9"/>
    <w:rsid w:val="006A5E06"/>
    <w:rsid w:val="006B0E9E"/>
    <w:rsid w:val="006B3156"/>
    <w:rsid w:val="006B5AE4"/>
    <w:rsid w:val="006B723D"/>
    <w:rsid w:val="006C2BD1"/>
    <w:rsid w:val="006C623C"/>
    <w:rsid w:val="006D4054"/>
    <w:rsid w:val="006E02EC"/>
    <w:rsid w:val="006E309F"/>
    <w:rsid w:val="006F24EA"/>
    <w:rsid w:val="006F2ACE"/>
    <w:rsid w:val="006F4664"/>
    <w:rsid w:val="007211B1"/>
    <w:rsid w:val="00721863"/>
    <w:rsid w:val="00721B78"/>
    <w:rsid w:val="00725494"/>
    <w:rsid w:val="00732240"/>
    <w:rsid w:val="0074044A"/>
    <w:rsid w:val="00741508"/>
    <w:rsid w:val="00745877"/>
    <w:rsid w:val="00746187"/>
    <w:rsid w:val="00753F1D"/>
    <w:rsid w:val="00755578"/>
    <w:rsid w:val="00760B21"/>
    <w:rsid w:val="0076254F"/>
    <w:rsid w:val="00764539"/>
    <w:rsid w:val="0076486B"/>
    <w:rsid w:val="00765F4D"/>
    <w:rsid w:val="00771CC0"/>
    <w:rsid w:val="007725C8"/>
    <w:rsid w:val="00772DC4"/>
    <w:rsid w:val="00777720"/>
    <w:rsid w:val="007801F5"/>
    <w:rsid w:val="00781D6D"/>
    <w:rsid w:val="00783CA4"/>
    <w:rsid w:val="007842FB"/>
    <w:rsid w:val="00784C30"/>
    <w:rsid w:val="00786124"/>
    <w:rsid w:val="00786B8E"/>
    <w:rsid w:val="007918B0"/>
    <w:rsid w:val="007931A1"/>
    <w:rsid w:val="00793A95"/>
    <w:rsid w:val="00794E5F"/>
    <w:rsid w:val="0079514B"/>
    <w:rsid w:val="00797F9C"/>
    <w:rsid w:val="007A1453"/>
    <w:rsid w:val="007A2DC1"/>
    <w:rsid w:val="007B099F"/>
    <w:rsid w:val="007B0EB1"/>
    <w:rsid w:val="007B1231"/>
    <w:rsid w:val="007B41C0"/>
    <w:rsid w:val="007B68C0"/>
    <w:rsid w:val="007C59C8"/>
    <w:rsid w:val="007C5BA5"/>
    <w:rsid w:val="007C7266"/>
    <w:rsid w:val="007C7794"/>
    <w:rsid w:val="007D3319"/>
    <w:rsid w:val="007D335D"/>
    <w:rsid w:val="007D794B"/>
    <w:rsid w:val="007E1D0B"/>
    <w:rsid w:val="007E2657"/>
    <w:rsid w:val="007E3314"/>
    <w:rsid w:val="007E38FF"/>
    <w:rsid w:val="007E4B03"/>
    <w:rsid w:val="007E4CF8"/>
    <w:rsid w:val="007F29B4"/>
    <w:rsid w:val="007F324B"/>
    <w:rsid w:val="007F42A2"/>
    <w:rsid w:val="0080553C"/>
    <w:rsid w:val="00805B46"/>
    <w:rsid w:val="00807304"/>
    <w:rsid w:val="00810B88"/>
    <w:rsid w:val="00812F42"/>
    <w:rsid w:val="00813116"/>
    <w:rsid w:val="00815153"/>
    <w:rsid w:val="0081569C"/>
    <w:rsid w:val="00817424"/>
    <w:rsid w:val="00820BD5"/>
    <w:rsid w:val="00822C1F"/>
    <w:rsid w:val="0082503A"/>
    <w:rsid w:val="00825DC2"/>
    <w:rsid w:val="008271F3"/>
    <w:rsid w:val="008319E7"/>
    <w:rsid w:val="00834AD3"/>
    <w:rsid w:val="008419A3"/>
    <w:rsid w:val="008428D9"/>
    <w:rsid w:val="008434C0"/>
    <w:rsid w:val="00843795"/>
    <w:rsid w:val="00846527"/>
    <w:rsid w:val="00847F0F"/>
    <w:rsid w:val="00850631"/>
    <w:rsid w:val="00852448"/>
    <w:rsid w:val="00853114"/>
    <w:rsid w:val="00861BC5"/>
    <w:rsid w:val="00864E18"/>
    <w:rsid w:val="00865207"/>
    <w:rsid w:val="00873A3A"/>
    <w:rsid w:val="008762CD"/>
    <w:rsid w:val="00876DCE"/>
    <w:rsid w:val="0088258A"/>
    <w:rsid w:val="00886332"/>
    <w:rsid w:val="00886419"/>
    <w:rsid w:val="008872DA"/>
    <w:rsid w:val="00890A96"/>
    <w:rsid w:val="008A0000"/>
    <w:rsid w:val="008A26D9"/>
    <w:rsid w:val="008A4988"/>
    <w:rsid w:val="008B12C7"/>
    <w:rsid w:val="008B79E9"/>
    <w:rsid w:val="008C0C29"/>
    <w:rsid w:val="008C6D41"/>
    <w:rsid w:val="008D0655"/>
    <w:rsid w:val="008D63C7"/>
    <w:rsid w:val="008E1252"/>
    <w:rsid w:val="008E3B1D"/>
    <w:rsid w:val="008E446C"/>
    <w:rsid w:val="008E67A0"/>
    <w:rsid w:val="008F3638"/>
    <w:rsid w:val="008F3A69"/>
    <w:rsid w:val="008F6816"/>
    <w:rsid w:val="008F6C12"/>
    <w:rsid w:val="008F6F31"/>
    <w:rsid w:val="008F74DF"/>
    <w:rsid w:val="00902074"/>
    <w:rsid w:val="00902E2A"/>
    <w:rsid w:val="00905508"/>
    <w:rsid w:val="009127BA"/>
    <w:rsid w:val="00914EA8"/>
    <w:rsid w:val="00914F25"/>
    <w:rsid w:val="00915A7F"/>
    <w:rsid w:val="00916918"/>
    <w:rsid w:val="009227A6"/>
    <w:rsid w:val="009229A1"/>
    <w:rsid w:val="00933EC1"/>
    <w:rsid w:val="00935ABA"/>
    <w:rsid w:val="00942379"/>
    <w:rsid w:val="00942C04"/>
    <w:rsid w:val="00944824"/>
    <w:rsid w:val="009448E3"/>
    <w:rsid w:val="00945071"/>
    <w:rsid w:val="009530DB"/>
    <w:rsid w:val="00953676"/>
    <w:rsid w:val="0095396F"/>
    <w:rsid w:val="0095590B"/>
    <w:rsid w:val="0096306A"/>
    <w:rsid w:val="009705EE"/>
    <w:rsid w:val="00970ADF"/>
    <w:rsid w:val="00971A76"/>
    <w:rsid w:val="00975286"/>
    <w:rsid w:val="009759D1"/>
    <w:rsid w:val="00976445"/>
    <w:rsid w:val="00977904"/>
    <w:rsid w:val="00977927"/>
    <w:rsid w:val="0098135C"/>
    <w:rsid w:val="0098156A"/>
    <w:rsid w:val="009870C3"/>
    <w:rsid w:val="009910D3"/>
    <w:rsid w:val="00991BAC"/>
    <w:rsid w:val="00994688"/>
    <w:rsid w:val="00995BE7"/>
    <w:rsid w:val="009965E9"/>
    <w:rsid w:val="009A2292"/>
    <w:rsid w:val="009A24EB"/>
    <w:rsid w:val="009A55B6"/>
    <w:rsid w:val="009A6EA0"/>
    <w:rsid w:val="009A71B2"/>
    <w:rsid w:val="009B247E"/>
    <w:rsid w:val="009B5393"/>
    <w:rsid w:val="009B6DEA"/>
    <w:rsid w:val="009C1335"/>
    <w:rsid w:val="009C1AB2"/>
    <w:rsid w:val="009C302C"/>
    <w:rsid w:val="009C33FC"/>
    <w:rsid w:val="009C5DA1"/>
    <w:rsid w:val="009C6ACB"/>
    <w:rsid w:val="009C7251"/>
    <w:rsid w:val="009E0945"/>
    <w:rsid w:val="009E2303"/>
    <w:rsid w:val="009E2E91"/>
    <w:rsid w:val="009E7870"/>
    <w:rsid w:val="009F6196"/>
    <w:rsid w:val="00A00D73"/>
    <w:rsid w:val="00A026C5"/>
    <w:rsid w:val="00A03287"/>
    <w:rsid w:val="00A139F5"/>
    <w:rsid w:val="00A20624"/>
    <w:rsid w:val="00A22F2A"/>
    <w:rsid w:val="00A2458F"/>
    <w:rsid w:val="00A24A6A"/>
    <w:rsid w:val="00A24F88"/>
    <w:rsid w:val="00A3096D"/>
    <w:rsid w:val="00A31E77"/>
    <w:rsid w:val="00A32B77"/>
    <w:rsid w:val="00A33D31"/>
    <w:rsid w:val="00A365F4"/>
    <w:rsid w:val="00A36E5B"/>
    <w:rsid w:val="00A42BED"/>
    <w:rsid w:val="00A44B7F"/>
    <w:rsid w:val="00A47D80"/>
    <w:rsid w:val="00A528C0"/>
    <w:rsid w:val="00A53132"/>
    <w:rsid w:val="00A55519"/>
    <w:rsid w:val="00A563F2"/>
    <w:rsid w:val="00A566E8"/>
    <w:rsid w:val="00A70EEE"/>
    <w:rsid w:val="00A732A9"/>
    <w:rsid w:val="00A7333E"/>
    <w:rsid w:val="00A74775"/>
    <w:rsid w:val="00A7496F"/>
    <w:rsid w:val="00A761BB"/>
    <w:rsid w:val="00A770D7"/>
    <w:rsid w:val="00A808AA"/>
    <w:rsid w:val="00A810F9"/>
    <w:rsid w:val="00A86B9F"/>
    <w:rsid w:val="00A86ECC"/>
    <w:rsid w:val="00A86FCC"/>
    <w:rsid w:val="00A95F26"/>
    <w:rsid w:val="00A97F4D"/>
    <w:rsid w:val="00AA5DDE"/>
    <w:rsid w:val="00AA710D"/>
    <w:rsid w:val="00AB1115"/>
    <w:rsid w:val="00AB6D25"/>
    <w:rsid w:val="00AB6F24"/>
    <w:rsid w:val="00AC05B3"/>
    <w:rsid w:val="00AC36C2"/>
    <w:rsid w:val="00AC5132"/>
    <w:rsid w:val="00AC64CB"/>
    <w:rsid w:val="00AC750F"/>
    <w:rsid w:val="00AD1021"/>
    <w:rsid w:val="00AD1D71"/>
    <w:rsid w:val="00AD2499"/>
    <w:rsid w:val="00AD662C"/>
    <w:rsid w:val="00AD7066"/>
    <w:rsid w:val="00AE271B"/>
    <w:rsid w:val="00AE2D4B"/>
    <w:rsid w:val="00AE4F99"/>
    <w:rsid w:val="00AE554B"/>
    <w:rsid w:val="00AF11C3"/>
    <w:rsid w:val="00AF3882"/>
    <w:rsid w:val="00AF411A"/>
    <w:rsid w:val="00AF6D09"/>
    <w:rsid w:val="00B00BC3"/>
    <w:rsid w:val="00B04BBF"/>
    <w:rsid w:val="00B077B2"/>
    <w:rsid w:val="00B14952"/>
    <w:rsid w:val="00B16A63"/>
    <w:rsid w:val="00B25EE8"/>
    <w:rsid w:val="00B2761E"/>
    <w:rsid w:val="00B31E5A"/>
    <w:rsid w:val="00B34829"/>
    <w:rsid w:val="00B45617"/>
    <w:rsid w:val="00B5106E"/>
    <w:rsid w:val="00B5309C"/>
    <w:rsid w:val="00B531BA"/>
    <w:rsid w:val="00B55A9D"/>
    <w:rsid w:val="00B60212"/>
    <w:rsid w:val="00B60390"/>
    <w:rsid w:val="00B61195"/>
    <w:rsid w:val="00B6394E"/>
    <w:rsid w:val="00B653AB"/>
    <w:rsid w:val="00B65F9E"/>
    <w:rsid w:val="00B66B19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85A"/>
    <w:rsid w:val="00B956EE"/>
    <w:rsid w:val="00B95A02"/>
    <w:rsid w:val="00BA1810"/>
    <w:rsid w:val="00BA1D09"/>
    <w:rsid w:val="00BA2BA1"/>
    <w:rsid w:val="00BA38B6"/>
    <w:rsid w:val="00BA5243"/>
    <w:rsid w:val="00BA6601"/>
    <w:rsid w:val="00BB3136"/>
    <w:rsid w:val="00BB4F09"/>
    <w:rsid w:val="00BC0F74"/>
    <w:rsid w:val="00BC16A0"/>
    <w:rsid w:val="00BC530B"/>
    <w:rsid w:val="00BC5419"/>
    <w:rsid w:val="00BD3C6A"/>
    <w:rsid w:val="00BD4E33"/>
    <w:rsid w:val="00BE3BE6"/>
    <w:rsid w:val="00BE45DB"/>
    <w:rsid w:val="00BF2ECA"/>
    <w:rsid w:val="00BF6029"/>
    <w:rsid w:val="00C02359"/>
    <w:rsid w:val="00C030DE"/>
    <w:rsid w:val="00C0433A"/>
    <w:rsid w:val="00C04F3E"/>
    <w:rsid w:val="00C0668D"/>
    <w:rsid w:val="00C0693C"/>
    <w:rsid w:val="00C121A6"/>
    <w:rsid w:val="00C12385"/>
    <w:rsid w:val="00C134FB"/>
    <w:rsid w:val="00C15AD6"/>
    <w:rsid w:val="00C174CC"/>
    <w:rsid w:val="00C21E78"/>
    <w:rsid w:val="00C22105"/>
    <w:rsid w:val="00C244B6"/>
    <w:rsid w:val="00C27703"/>
    <w:rsid w:val="00C30EA5"/>
    <w:rsid w:val="00C3272C"/>
    <w:rsid w:val="00C34A75"/>
    <w:rsid w:val="00C359D6"/>
    <w:rsid w:val="00C3702F"/>
    <w:rsid w:val="00C4563B"/>
    <w:rsid w:val="00C45CB2"/>
    <w:rsid w:val="00C472CE"/>
    <w:rsid w:val="00C555AC"/>
    <w:rsid w:val="00C62D38"/>
    <w:rsid w:val="00C6472A"/>
    <w:rsid w:val="00C64A37"/>
    <w:rsid w:val="00C652C1"/>
    <w:rsid w:val="00C7158E"/>
    <w:rsid w:val="00C7250B"/>
    <w:rsid w:val="00C7346B"/>
    <w:rsid w:val="00C742AC"/>
    <w:rsid w:val="00C75A34"/>
    <w:rsid w:val="00C77C0E"/>
    <w:rsid w:val="00C80CE7"/>
    <w:rsid w:val="00C84FE4"/>
    <w:rsid w:val="00C851E2"/>
    <w:rsid w:val="00C91283"/>
    <w:rsid w:val="00C91687"/>
    <w:rsid w:val="00C924A8"/>
    <w:rsid w:val="00C93246"/>
    <w:rsid w:val="00C945FE"/>
    <w:rsid w:val="00C946C0"/>
    <w:rsid w:val="00C96FAA"/>
    <w:rsid w:val="00C97A04"/>
    <w:rsid w:val="00CA107B"/>
    <w:rsid w:val="00CA484D"/>
    <w:rsid w:val="00CA5570"/>
    <w:rsid w:val="00CA5A66"/>
    <w:rsid w:val="00CB3B4E"/>
    <w:rsid w:val="00CC739E"/>
    <w:rsid w:val="00CD58B7"/>
    <w:rsid w:val="00CE11A4"/>
    <w:rsid w:val="00CE196D"/>
    <w:rsid w:val="00CE40E1"/>
    <w:rsid w:val="00CE5BBD"/>
    <w:rsid w:val="00CF4099"/>
    <w:rsid w:val="00CF7D75"/>
    <w:rsid w:val="00D00796"/>
    <w:rsid w:val="00D02B78"/>
    <w:rsid w:val="00D10F4B"/>
    <w:rsid w:val="00D13520"/>
    <w:rsid w:val="00D243EB"/>
    <w:rsid w:val="00D249F5"/>
    <w:rsid w:val="00D261A2"/>
    <w:rsid w:val="00D3472C"/>
    <w:rsid w:val="00D358DF"/>
    <w:rsid w:val="00D40D4C"/>
    <w:rsid w:val="00D42D11"/>
    <w:rsid w:val="00D46101"/>
    <w:rsid w:val="00D509E1"/>
    <w:rsid w:val="00D52DF0"/>
    <w:rsid w:val="00D53A39"/>
    <w:rsid w:val="00D54090"/>
    <w:rsid w:val="00D554AF"/>
    <w:rsid w:val="00D600BA"/>
    <w:rsid w:val="00D6060F"/>
    <w:rsid w:val="00D616D2"/>
    <w:rsid w:val="00D63B5F"/>
    <w:rsid w:val="00D63B83"/>
    <w:rsid w:val="00D63D88"/>
    <w:rsid w:val="00D641C9"/>
    <w:rsid w:val="00D66513"/>
    <w:rsid w:val="00D70EF7"/>
    <w:rsid w:val="00D76AA4"/>
    <w:rsid w:val="00D77C69"/>
    <w:rsid w:val="00D81B83"/>
    <w:rsid w:val="00D8397C"/>
    <w:rsid w:val="00D94EED"/>
    <w:rsid w:val="00D959B3"/>
    <w:rsid w:val="00D96026"/>
    <w:rsid w:val="00D96A97"/>
    <w:rsid w:val="00D96D81"/>
    <w:rsid w:val="00DA07A7"/>
    <w:rsid w:val="00DA3059"/>
    <w:rsid w:val="00DA7C1C"/>
    <w:rsid w:val="00DB147A"/>
    <w:rsid w:val="00DB1B7A"/>
    <w:rsid w:val="00DB2744"/>
    <w:rsid w:val="00DB39C2"/>
    <w:rsid w:val="00DB472B"/>
    <w:rsid w:val="00DB562E"/>
    <w:rsid w:val="00DC370F"/>
    <w:rsid w:val="00DC6708"/>
    <w:rsid w:val="00DD67FB"/>
    <w:rsid w:val="00DE5572"/>
    <w:rsid w:val="00DE5E99"/>
    <w:rsid w:val="00E01436"/>
    <w:rsid w:val="00E01656"/>
    <w:rsid w:val="00E0171F"/>
    <w:rsid w:val="00E045BD"/>
    <w:rsid w:val="00E04B9B"/>
    <w:rsid w:val="00E17B77"/>
    <w:rsid w:val="00E21D84"/>
    <w:rsid w:val="00E23337"/>
    <w:rsid w:val="00E24BC3"/>
    <w:rsid w:val="00E24EFD"/>
    <w:rsid w:val="00E259EA"/>
    <w:rsid w:val="00E31581"/>
    <w:rsid w:val="00E32061"/>
    <w:rsid w:val="00E32920"/>
    <w:rsid w:val="00E332D8"/>
    <w:rsid w:val="00E37890"/>
    <w:rsid w:val="00E37D56"/>
    <w:rsid w:val="00E401D2"/>
    <w:rsid w:val="00E40C72"/>
    <w:rsid w:val="00E41E94"/>
    <w:rsid w:val="00E42FF9"/>
    <w:rsid w:val="00E4714C"/>
    <w:rsid w:val="00E51AEB"/>
    <w:rsid w:val="00E522A7"/>
    <w:rsid w:val="00E54452"/>
    <w:rsid w:val="00E64FFD"/>
    <w:rsid w:val="00E658E6"/>
    <w:rsid w:val="00E664C5"/>
    <w:rsid w:val="00E671A2"/>
    <w:rsid w:val="00E746E2"/>
    <w:rsid w:val="00E75939"/>
    <w:rsid w:val="00E76D26"/>
    <w:rsid w:val="00E77E61"/>
    <w:rsid w:val="00E80C30"/>
    <w:rsid w:val="00E8695A"/>
    <w:rsid w:val="00E87E1C"/>
    <w:rsid w:val="00E92A1D"/>
    <w:rsid w:val="00E960C2"/>
    <w:rsid w:val="00EA4F91"/>
    <w:rsid w:val="00EA739E"/>
    <w:rsid w:val="00EB1390"/>
    <w:rsid w:val="00EB2C71"/>
    <w:rsid w:val="00EB34FA"/>
    <w:rsid w:val="00EB4340"/>
    <w:rsid w:val="00EB556D"/>
    <w:rsid w:val="00EB5A7D"/>
    <w:rsid w:val="00EB7899"/>
    <w:rsid w:val="00EC1228"/>
    <w:rsid w:val="00EC25EA"/>
    <w:rsid w:val="00EC2A8F"/>
    <w:rsid w:val="00EC4173"/>
    <w:rsid w:val="00ED19CD"/>
    <w:rsid w:val="00ED1B54"/>
    <w:rsid w:val="00ED2115"/>
    <w:rsid w:val="00ED421C"/>
    <w:rsid w:val="00ED4F74"/>
    <w:rsid w:val="00ED55C0"/>
    <w:rsid w:val="00ED682B"/>
    <w:rsid w:val="00ED7B43"/>
    <w:rsid w:val="00EE2CF0"/>
    <w:rsid w:val="00EE41D5"/>
    <w:rsid w:val="00EE49D9"/>
    <w:rsid w:val="00EE62E0"/>
    <w:rsid w:val="00EF2DFF"/>
    <w:rsid w:val="00EF6DD1"/>
    <w:rsid w:val="00F005D6"/>
    <w:rsid w:val="00F0229B"/>
    <w:rsid w:val="00F02C7A"/>
    <w:rsid w:val="00F037A4"/>
    <w:rsid w:val="00F04A2A"/>
    <w:rsid w:val="00F10A47"/>
    <w:rsid w:val="00F14457"/>
    <w:rsid w:val="00F15EA9"/>
    <w:rsid w:val="00F164F5"/>
    <w:rsid w:val="00F20495"/>
    <w:rsid w:val="00F235F4"/>
    <w:rsid w:val="00F23B32"/>
    <w:rsid w:val="00F26952"/>
    <w:rsid w:val="00F27C8F"/>
    <w:rsid w:val="00F303A0"/>
    <w:rsid w:val="00F32749"/>
    <w:rsid w:val="00F356A7"/>
    <w:rsid w:val="00F37172"/>
    <w:rsid w:val="00F40D11"/>
    <w:rsid w:val="00F4477E"/>
    <w:rsid w:val="00F447F2"/>
    <w:rsid w:val="00F50437"/>
    <w:rsid w:val="00F50CE6"/>
    <w:rsid w:val="00F516C0"/>
    <w:rsid w:val="00F53FB1"/>
    <w:rsid w:val="00F54238"/>
    <w:rsid w:val="00F67BEC"/>
    <w:rsid w:val="00F67D8F"/>
    <w:rsid w:val="00F71D73"/>
    <w:rsid w:val="00F73993"/>
    <w:rsid w:val="00F802BE"/>
    <w:rsid w:val="00F816DD"/>
    <w:rsid w:val="00F8204F"/>
    <w:rsid w:val="00F83ECB"/>
    <w:rsid w:val="00F84C9E"/>
    <w:rsid w:val="00F85DC4"/>
    <w:rsid w:val="00F86024"/>
    <w:rsid w:val="00F8611A"/>
    <w:rsid w:val="00F9418E"/>
    <w:rsid w:val="00F9456C"/>
    <w:rsid w:val="00FA130D"/>
    <w:rsid w:val="00FA5128"/>
    <w:rsid w:val="00FA65EC"/>
    <w:rsid w:val="00FA7C28"/>
    <w:rsid w:val="00FB277F"/>
    <w:rsid w:val="00FB42D4"/>
    <w:rsid w:val="00FB4EB4"/>
    <w:rsid w:val="00FB5906"/>
    <w:rsid w:val="00FB5917"/>
    <w:rsid w:val="00FB762F"/>
    <w:rsid w:val="00FC2AED"/>
    <w:rsid w:val="00FC61A2"/>
    <w:rsid w:val="00FD103C"/>
    <w:rsid w:val="00FD131F"/>
    <w:rsid w:val="00FD5EA7"/>
    <w:rsid w:val="00FD640D"/>
    <w:rsid w:val="00FD7191"/>
    <w:rsid w:val="00FE163A"/>
    <w:rsid w:val="00FE1C40"/>
    <w:rsid w:val="00FE2DA3"/>
    <w:rsid w:val="00FF1AF5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07152-90DD-4D17-8E7F-AEBD6076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35E-2"/>
          <c:y val="2.0202020202020211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Arkusz1!$B$53:$C$97</c:f>
              <c:multiLvlStrCache>
                <c:ptCount val="45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Arkusz1!$D$53:$D$97</c:f>
              <c:numCache>
                <c:formatCode>0.0</c:formatCode>
                <c:ptCount val="45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  <c:pt idx="41" formatCode="General">
                  <c:v>108.2</c:v>
                </c:pt>
                <c:pt idx="42" formatCode="General">
                  <c:v>107.1</c:v>
                </c:pt>
                <c:pt idx="43" formatCode="General">
                  <c:v>106.7</c:v>
                </c:pt>
                <c:pt idx="44" formatCode="General">
                  <c:v>103.6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962324912"/>
        <c:axId val="-962321648"/>
      </c:barChart>
      <c:catAx>
        <c:axId val="-9623249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96232164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962321648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96232491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033751355907069E-2"/>
          <c:y val="5.4984788996822451E-2"/>
          <c:w val="0.90746450357941544"/>
          <c:h val="0.661978776866842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95.7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904364655111899E-3"/>
                  <c:y val="1.1214533454848555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108.2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2943508424183E-2"/>
                      <c:h val="5.704882062534284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3645699472153441E-3"/>
                  <c:y val="3.7310971765646419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99.1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0172697799501651E-3"/>
                  <c:y val="3.74671236244944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1387902577589104E-4"/>
                  <c:y val="9.720356540731367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705071677735036E-4"/>
                  <c:y val="8.9123664807943988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90604246818099E-3"/>
                  <c:y val="9.4269346337193319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3675126111094847E-4"/>
                  <c:y val="7.1601618903328187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99.4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4501065216203772E-4"/>
                  <c:y val="7.461382192832039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108.9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4588466376058548E-3"/>
                  <c:y val="6.82502965114615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rodz_dział_miesiąc!$BA$4:$BA$12</c:f>
              <c:numCache>
                <c:formatCode>0.0</c:formatCode>
                <c:ptCount val="9"/>
                <c:pt idx="0">
                  <c:v>95.7</c:v>
                </c:pt>
                <c:pt idx="1">
                  <c:v>108.2</c:v>
                </c:pt>
                <c:pt idx="2">
                  <c:v>99.1</c:v>
                </c:pt>
                <c:pt idx="3">
                  <c:v>104.5</c:v>
                </c:pt>
                <c:pt idx="4">
                  <c:v>109.1</c:v>
                </c:pt>
                <c:pt idx="5">
                  <c:v>108.9</c:v>
                </c:pt>
                <c:pt idx="6">
                  <c:v>102.8</c:v>
                </c:pt>
                <c:pt idx="7">
                  <c:v>99.4</c:v>
                </c:pt>
                <c:pt idx="8">
                  <c:v>108.9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962324368"/>
        <c:axId val="-962323824"/>
      </c:barChart>
      <c:catAx>
        <c:axId val="-96232436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962323824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962323824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96232436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33E-2"/>
          <c:y val="6.7454676273573919E-2"/>
          <c:w val="0.91693229961766687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anadjusted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104"/>
              <c:layout>
                <c:manualLayout>
                  <c:x val="-2.9750836742283376E-2"/>
                  <c:y val="4.118404118404118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119.1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  <c:pt idx="101">
                  <c:v>122.3</c:v>
                </c:pt>
                <c:pt idx="102">
                  <c:v>122.5</c:v>
                </c:pt>
                <c:pt idx="103">
                  <c:v>123.8</c:v>
                </c:pt>
                <c:pt idx="104">
                  <c:v>119.1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4"/>
              <c:layout>
                <c:manualLayout>
                  <c:x val="-3.718854592785422E-2"/>
                  <c:y val="-6.1776061776061778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69BE28"/>
                        </a:solidFill>
                        <a:latin typeface="Fira Sans" panose="020B0503050000020004" pitchFamily="34" charset="0"/>
                      </a:rPr>
                      <a:t>120.6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 formatCode="0.0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  <c:pt idx="101">
                  <c:v>120.7</c:v>
                </c:pt>
                <c:pt idx="102">
                  <c:v>121.3</c:v>
                </c:pt>
                <c:pt idx="103">
                  <c:v>121.3</c:v>
                </c:pt>
                <c:pt idx="104">
                  <c:v>120.6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62321104"/>
        <c:axId val="-962320016"/>
      </c:lineChart>
      <c:catAx>
        <c:axId val="-962321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62320016"/>
        <c:crosses val="autoZero"/>
        <c:auto val="1"/>
        <c:lblAlgn val="ctr"/>
        <c:lblOffset val="100"/>
        <c:tickMarkSkip val="12"/>
        <c:noMultiLvlLbl val="0"/>
      </c:catAx>
      <c:valAx>
        <c:axId val="-962320016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6232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13"/>
          <c:w val="0.58277594437920999"/>
          <c:h val="8.4962352678888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0.2409</cdr:x>
      <cdr:y>0.20662</cdr:y>
    </cdr:from>
    <cdr:to>
      <cdr:x>0.41768</cdr:x>
      <cdr:y>0.29256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34768" y="717550"/>
          <a:ext cx="906124" cy="2984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69BE2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103.6</a:t>
          </a:r>
        </a:p>
      </cdr:txBody>
    </cdr:sp>
  </cdr:relSizeAnchor>
  <cdr:relSizeAnchor xmlns:cdr="http://schemas.openxmlformats.org/drawingml/2006/chartDrawing">
    <cdr:from>
      <cdr:x>0.26182</cdr:x>
      <cdr:y>0.27878</cdr:y>
    </cdr:from>
    <cdr:to>
      <cdr:x>0.31479</cdr:x>
      <cdr:y>0.38785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42021" y="968136"/>
          <a:ext cx="271510" cy="3787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0.04327</cdr:x>
      <cdr:y>0.39251</cdr:y>
    </cdr:from>
    <cdr:to>
      <cdr:x>0.95019</cdr:x>
      <cdr:y>0.39456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21800" y="1363107"/>
          <a:ext cx="4648618" cy="7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D4DFC-FD0D-4281-953B-877FC5EC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Żołynia Marcin</cp:lastModifiedBy>
  <cp:revision>2</cp:revision>
  <cp:lastPrinted>2018-10-18T12:29:00Z</cp:lastPrinted>
  <dcterms:created xsi:type="dcterms:W3CDTF">2018-10-19T07:35:00Z</dcterms:created>
  <dcterms:modified xsi:type="dcterms:W3CDTF">2018-10-19T07:35:00Z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