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51717" w14:textId="1E1EC06E" w:rsidR="00880AD4" w:rsidRPr="001A2CAB" w:rsidRDefault="00880AD4" w:rsidP="00074DD8">
      <w:pPr>
        <w:pStyle w:val="tytuinformacji"/>
        <w:rPr>
          <w:rFonts w:ascii="Fira Sans" w:hAnsi="Fira Sans" w:cs="Arial"/>
          <w:szCs w:val="40"/>
          <w:lang w:val="en-US"/>
        </w:rPr>
      </w:pPr>
      <w:bookmarkStart w:id="0" w:name="_GoBack"/>
      <w:r w:rsidRPr="001A2CAB">
        <w:rPr>
          <w:rFonts w:ascii="Fira Sans" w:hAnsi="Fira Sans" w:cs="Arial"/>
          <w:szCs w:val="40"/>
          <w:lang w:val="en-US"/>
        </w:rPr>
        <w:t xml:space="preserve">Flash estimate of Gross Domestic Product in the </w:t>
      </w:r>
      <w:r w:rsidR="0071633F">
        <w:rPr>
          <w:rFonts w:ascii="Fira Sans" w:hAnsi="Fira Sans" w:cs="Arial"/>
          <w:szCs w:val="40"/>
          <w:lang w:val="en-US"/>
        </w:rPr>
        <w:t>4</w:t>
      </w:r>
      <w:r w:rsidR="0071633F">
        <w:rPr>
          <w:rFonts w:ascii="Fira Sans" w:hAnsi="Fira Sans" w:cs="Arial"/>
          <w:szCs w:val="40"/>
          <w:vertAlign w:val="superscript"/>
          <w:lang w:val="en-US"/>
        </w:rPr>
        <w:t>th</w:t>
      </w:r>
      <w:r w:rsidRPr="001A2CAB">
        <w:rPr>
          <w:rFonts w:ascii="Fira Sans" w:hAnsi="Fira Sans" w:cs="Arial"/>
          <w:szCs w:val="40"/>
          <w:vertAlign w:val="superscript"/>
          <w:lang w:val="en-US"/>
        </w:rPr>
        <w:t xml:space="preserve"> </w:t>
      </w:r>
      <w:r w:rsidRPr="001A2CAB">
        <w:rPr>
          <w:rFonts w:ascii="Fira Sans" w:hAnsi="Fira Sans" w:cs="Arial"/>
          <w:szCs w:val="40"/>
          <w:lang w:val="en-US"/>
        </w:rPr>
        <w:t>quarter of 201</w:t>
      </w:r>
      <w:r w:rsidR="00096361" w:rsidRPr="001A2CAB">
        <w:rPr>
          <w:rFonts w:ascii="Fira Sans" w:hAnsi="Fira Sans" w:cs="Arial"/>
          <w:szCs w:val="40"/>
          <w:lang w:val="en-US"/>
        </w:rPr>
        <w:t>8</w:t>
      </w:r>
    </w:p>
    <w:bookmarkEnd w:id="0"/>
    <w:p w14:paraId="5F87F154" w14:textId="2B51EC19" w:rsidR="00393761" w:rsidRPr="00880AD4" w:rsidRDefault="00876E05" w:rsidP="00074DD8">
      <w:pPr>
        <w:pStyle w:val="tytuinformacji"/>
        <w:rPr>
          <w:sz w:val="32"/>
          <w:lang w:val="en-US"/>
        </w:rPr>
      </w:pPr>
      <w:r w:rsidRPr="00880AD4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3DE3B44">
                <wp:simplePos x="0" y="0"/>
                <wp:positionH relativeFrom="column">
                  <wp:posOffset>5292725</wp:posOffset>
                </wp:positionH>
                <wp:positionV relativeFrom="paragraph">
                  <wp:posOffset>352336</wp:posOffset>
                </wp:positionV>
                <wp:extent cx="1725295" cy="734060"/>
                <wp:effectExtent l="0" t="0" r="0" b="0"/>
                <wp:wrapTight wrapText="bothSides">
                  <wp:wrapPolygon edited="0">
                    <wp:start x="715" y="0"/>
                    <wp:lineTo x="715" y="20740"/>
                    <wp:lineTo x="20749" y="2074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3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648C" w14:textId="71D6C32E" w:rsidR="00880AD4" w:rsidRPr="006C0E1A" w:rsidRDefault="00A45A68" w:rsidP="006C0E1A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 p</w:t>
                            </w:r>
                            <w:r w:rsidR="006C0E1A" w:rsidRPr="006C0E1A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reliminary estimate 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GDP </w:t>
                            </w:r>
                            <w:r w:rsidR="006C0E1A" w:rsidRPr="006C0E1A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for 2018 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published</w:t>
                            </w:r>
                            <w:r w:rsidR="006C0E1A" w:rsidRPr="006C0E1A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on  January</w:t>
                            </w:r>
                            <w:r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31,</w:t>
                            </w:r>
                            <w:r w:rsidR="006C0E1A" w:rsidRPr="006C0E1A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2019 has not changed</w:t>
                            </w:r>
                          </w:p>
                          <w:p w14:paraId="5F87F21E" w14:textId="790FAA55" w:rsidR="00D616D2" w:rsidRPr="00880AD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6.75pt;margin-top:27.75pt;width:135.85pt;height:57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" filled="f" stroked="f">
                <v:textbox>
                  <w:txbxContent>
                    <w:p w14:paraId="344E648C" w14:textId="71D6C32E" w:rsidR="00880AD4" w:rsidRPr="006C0E1A" w:rsidRDefault="00A45A68" w:rsidP="006C0E1A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The p</w:t>
                      </w:r>
                      <w:r w:rsidR="006C0E1A" w:rsidRPr="006C0E1A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reliminary estimate 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GDP </w:t>
                      </w:r>
                      <w:r w:rsidR="006C0E1A" w:rsidRPr="006C0E1A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for 2018 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published</w:t>
                      </w:r>
                      <w:r w:rsidR="006C0E1A" w:rsidRPr="006C0E1A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on  January</w:t>
                      </w:r>
                      <w:r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31,</w:t>
                      </w:r>
                      <w:r w:rsidR="006C0E1A" w:rsidRPr="006C0E1A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2019 has not changed</w:t>
                      </w:r>
                    </w:p>
                    <w:p w14:paraId="5F87F21E" w14:textId="790FAA55" w:rsidR="00D616D2" w:rsidRPr="00880AD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7C4850B" w:rsidR="007A2DC1" w:rsidRPr="00074DD8" w:rsidRDefault="007A2DC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7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7C4850B" w:rsidR="007A2DC1" w:rsidRPr="00074DD8" w:rsidRDefault="007A2DC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2355BD75" w:rsidR="005916D7" w:rsidRPr="00880AD4" w:rsidRDefault="00880AD4" w:rsidP="00633014">
      <w:pPr>
        <w:pStyle w:val="LID"/>
        <w:rPr>
          <w:lang w:val="en-US"/>
        </w:rPr>
      </w:pPr>
      <w:r w:rsidRPr="00880AD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E0886FA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713B8095" w:rsidR="00933EC1" w:rsidRPr="00B66B19" w:rsidRDefault="00152E2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 w14:anchorId="5F87F230">
                                <v:shape id="_x0000_i1025" type="#_x0000_t75" style="width:29.25pt;height:28.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E09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956C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6E093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="00956C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</w:p>
                          <w:p w14:paraId="6F1E6B2A" w14:textId="5385ACA0" w:rsidR="00126B1F" w:rsidRPr="00880AD4" w:rsidRDefault="00126B1F" w:rsidP="00126B1F">
                            <w:pPr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880AD4">
                              <w:rPr>
                                <w:szCs w:val="19"/>
                                <w:lang w:val="en-US"/>
                              </w:rPr>
                              <w:t xml:space="preserve">GDP growth </w:t>
                            </w:r>
                            <w:r w:rsidR="00880AD4" w:rsidRPr="00880AD4">
                              <w:rPr>
                                <w:szCs w:val="19"/>
                                <w:lang w:val="en-US"/>
                              </w:rPr>
                              <w:t>i</w:t>
                            </w:r>
                            <w:r w:rsidR="00880AD4" w:rsidRP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n the </w:t>
                            </w:r>
                            <w:r w:rsidR="00956C93">
                              <w:rPr>
                                <w:lang w:val="en"/>
                              </w:rPr>
                              <w:t>4</w:t>
                            </w:r>
                            <w:r w:rsidR="00956C93">
                              <w:rPr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="00BC4E68">
                              <w:rPr>
                                <w:lang w:val="en"/>
                              </w:rPr>
                              <w:t xml:space="preserve"> </w:t>
                            </w:r>
                            <w:r w:rsidR="00880AD4" w:rsidRP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>quarter of 201</w:t>
                            </w:r>
                            <w:r w:rsidR="00096361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>8</w:t>
                            </w:r>
                            <w:r w:rsidR="00880AD4" w:rsidRP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 according</w:t>
                            </w:r>
                            <w:r w:rsid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 to </w:t>
                            </w:r>
                            <w:r w:rsidR="0089605F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>a</w:t>
                            </w:r>
                            <w:r w:rsidR="00880AD4">
                              <w:rPr>
                                <w:rFonts w:cs="Arial"/>
                                <w:szCs w:val="19"/>
                                <w:lang w:val="en-US"/>
                              </w:rPr>
                              <w:t xml:space="preserve"> flash estimate</w:t>
                            </w:r>
                          </w:p>
                          <w:p w14:paraId="5F87F21C" w14:textId="70304786" w:rsidR="00933EC1" w:rsidRPr="00880AD4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8" type="#_x0000_t202" style="position:absolute;margin-left:0;margin-top:6.55pt;width:2in;height:9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" fillcolor="#001d77" stroked="f">
                <v:textbox>
                  <w:txbxContent>
                    <w:p w14:paraId="5F87F21B" w14:textId="713B8095" w:rsidR="00933EC1" w:rsidRPr="00B66B19" w:rsidRDefault="001C423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4pt;height:28.9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E09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956C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6E093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="00956C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</w:p>
                    <w:p w14:paraId="6F1E6B2A" w14:textId="5385ACA0" w:rsidR="00126B1F" w:rsidRPr="00880AD4" w:rsidRDefault="00126B1F" w:rsidP="00126B1F">
                      <w:pPr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880AD4">
                        <w:rPr>
                          <w:szCs w:val="19"/>
                          <w:lang w:val="en-US"/>
                        </w:rPr>
                        <w:t xml:space="preserve">GDP growth </w:t>
                      </w:r>
                      <w:r w:rsidR="00880AD4" w:rsidRPr="00880AD4">
                        <w:rPr>
                          <w:szCs w:val="19"/>
                          <w:lang w:val="en-US"/>
                        </w:rPr>
                        <w:t>i</w:t>
                      </w:r>
                      <w:r w:rsidR="00880AD4" w:rsidRPr="00880AD4">
                        <w:rPr>
                          <w:rFonts w:cs="Arial"/>
                          <w:szCs w:val="19"/>
                          <w:lang w:val="en-US"/>
                        </w:rPr>
                        <w:t xml:space="preserve">n the </w:t>
                      </w:r>
                      <w:r w:rsidR="00956C93">
                        <w:rPr>
                          <w:lang w:val="en"/>
                        </w:rPr>
                        <w:t>4</w:t>
                      </w:r>
                      <w:r w:rsidR="00956C93">
                        <w:rPr>
                          <w:vertAlign w:val="superscript"/>
                          <w:lang w:val="en"/>
                        </w:rPr>
                        <w:t>th</w:t>
                      </w:r>
                      <w:r w:rsidR="00BC4E68">
                        <w:rPr>
                          <w:lang w:val="en"/>
                        </w:rPr>
                        <w:t xml:space="preserve"> </w:t>
                      </w:r>
                      <w:r w:rsidR="00880AD4" w:rsidRPr="00880AD4">
                        <w:rPr>
                          <w:rFonts w:cs="Arial"/>
                          <w:szCs w:val="19"/>
                          <w:lang w:val="en-US"/>
                        </w:rPr>
                        <w:t>quarter of 201</w:t>
                      </w:r>
                      <w:r w:rsidR="00096361">
                        <w:rPr>
                          <w:rFonts w:cs="Arial"/>
                          <w:szCs w:val="19"/>
                          <w:lang w:val="en-US"/>
                        </w:rPr>
                        <w:t>8</w:t>
                      </w:r>
                      <w:r w:rsidR="00880AD4" w:rsidRPr="00880AD4">
                        <w:rPr>
                          <w:rFonts w:cs="Arial"/>
                          <w:szCs w:val="19"/>
                          <w:lang w:val="en-US"/>
                        </w:rPr>
                        <w:t xml:space="preserve"> according</w:t>
                      </w:r>
                      <w:r w:rsidR="00880AD4">
                        <w:rPr>
                          <w:rFonts w:cs="Arial"/>
                          <w:szCs w:val="19"/>
                          <w:lang w:val="en-US"/>
                        </w:rPr>
                        <w:t xml:space="preserve"> to </w:t>
                      </w:r>
                      <w:r w:rsidR="0089605F">
                        <w:rPr>
                          <w:rFonts w:cs="Arial"/>
                          <w:szCs w:val="19"/>
                          <w:lang w:val="en-US"/>
                        </w:rPr>
                        <w:t>a</w:t>
                      </w:r>
                      <w:r w:rsidR="00880AD4">
                        <w:rPr>
                          <w:rFonts w:cs="Arial"/>
                          <w:szCs w:val="19"/>
                          <w:lang w:val="en-US"/>
                        </w:rPr>
                        <w:t xml:space="preserve"> flash estimate</w:t>
                      </w:r>
                    </w:p>
                    <w:p w14:paraId="5F87F21C" w14:textId="70304786" w:rsidR="00933EC1" w:rsidRPr="00880AD4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4A4" w:rsidRPr="00F514A4">
        <w:rPr>
          <w:lang w:val="en"/>
        </w:rPr>
        <w:t xml:space="preserve"> </w:t>
      </w:r>
      <w:r w:rsidR="00F514A4">
        <w:rPr>
          <w:lang w:val="en"/>
        </w:rPr>
        <w:t>According to</w:t>
      </w:r>
      <w:r w:rsidR="007F4994">
        <w:rPr>
          <w:lang w:val="en"/>
        </w:rPr>
        <w:t xml:space="preserve"> the</w:t>
      </w:r>
      <w:r w:rsidR="00F514A4">
        <w:rPr>
          <w:lang w:val="en"/>
        </w:rPr>
        <w:t xml:space="preserve"> flash estimate, gross domestic product (GDP) </w:t>
      </w:r>
      <w:r w:rsidR="00E43971">
        <w:rPr>
          <w:lang w:val="en"/>
        </w:rPr>
        <w:t xml:space="preserve">in volume terms </w:t>
      </w:r>
      <w:r w:rsidR="00F514A4">
        <w:rPr>
          <w:lang w:val="en"/>
        </w:rPr>
        <w:t xml:space="preserve">seasonally </w:t>
      </w:r>
      <w:r w:rsidR="00E43971">
        <w:rPr>
          <w:lang w:val="en"/>
        </w:rPr>
        <w:t>unadjusted</w:t>
      </w:r>
      <w:r w:rsidR="0089605F" w:rsidRPr="0089605F">
        <w:rPr>
          <w:lang w:val="en"/>
        </w:rPr>
        <w:t xml:space="preserve"> </w:t>
      </w:r>
      <w:r w:rsidR="0089605F">
        <w:rPr>
          <w:lang w:val="en"/>
        </w:rPr>
        <w:t xml:space="preserve">was higher by </w:t>
      </w:r>
      <w:r w:rsidR="0071633F">
        <w:rPr>
          <w:lang w:val="en"/>
        </w:rPr>
        <w:t>4.9</w:t>
      </w:r>
      <w:r w:rsidR="0089605F">
        <w:rPr>
          <w:lang w:val="en"/>
        </w:rPr>
        <w:t>%</w:t>
      </w:r>
      <w:r w:rsidR="00E43971">
        <w:rPr>
          <w:lang w:val="en"/>
        </w:rPr>
        <w:t xml:space="preserve"> </w:t>
      </w:r>
      <w:r w:rsidR="00F514A4">
        <w:rPr>
          <w:lang w:val="en"/>
        </w:rPr>
        <w:t xml:space="preserve">in the </w:t>
      </w:r>
      <w:r w:rsidR="0071633F">
        <w:rPr>
          <w:lang w:val="en"/>
        </w:rPr>
        <w:t>4</w:t>
      </w:r>
      <w:r w:rsidR="0071633F">
        <w:rPr>
          <w:vertAlign w:val="superscript"/>
          <w:lang w:val="en"/>
        </w:rPr>
        <w:t>th</w:t>
      </w:r>
      <w:r w:rsidR="00E43971">
        <w:rPr>
          <w:lang w:val="en"/>
        </w:rPr>
        <w:t xml:space="preserve"> </w:t>
      </w:r>
      <w:r w:rsidR="00F514A4">
        <w:rPr>
          <w:lang w:val="en"/>
        </w:rPr>
        <w:t>quarter of 201</w:t>
      </w:r>
      <w:r w:rsidR="00096361">
        <w:rPr>
          <w:lang w:val="en"/>
        </w:rPr>
        <w:t>8</w:t>
      </w:r>
      <w:r w:rsidR="00F514A4">
        <w:rPr>
          <w:lang w:val="en"/>
        </w:rPr>
        <w:t xml:space="preserve"> </w:t>
      </w:r>
      <w:r w:rsidR="007F4994">
        <w:rPr>
          <w:lang w:val="en"/>
        </w:rPr>
        <w:t xml:space="preserve">year-to-year against </w:t>
      </w:r>
      <w:r w:rsidR="00E733DB">
        <w:rPr>
          <w:lang w:val="en"/>
        </w:rPr>
        <w:t>5.</w:t>
      </w:r>
      <w:r w:rsidR="00956C93">
        <w:rPr>
          <w:lang w:val="en"/>
        </w:rPr>
        <w:t>0</w:t>
      </w:r>
      <w:r w:rsidR="007F4994">
        <w:rPr>
          <w:lang w:val="en"/>
        </w:rPr>
        <w:t>% in the corresponding period of 2017.</w:t>
      </w:r>
    </w:p>
    <w:p w14:paraId="5F87F156" w14:textId="5654DEC0" w:rsidR="00003437" w:rsidRPr="00880AD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B655E96" w14:textId="30605087" w:rsidR="002E0C25" w:rsidRPr="00880AD4" w:rsidRDefault="002E0C25" w:rsidP="002E0C25">
      <w:pPr>
        <w:rPr>
          <w:lang w:val="en-US" w:eastAsia="pl-PL"/>
        </w:rPr>
      </w:pPr>
    </w:p>
    <w:p w14:paraId="0DFC8567" w14:textId="00698C19" w:rsidR="008D34C9" w:rsidRDefault="008D34C9" w:rsidP="00074DD8">
      <w:pPr>
        <w:pStyle w:val="Nagwek1"/>
        <w:rPr>
          <w:shd w:val="clear" w:color="auto" w:fill="FFFFFF"/>
          <w:lang w:val="en-US"/>
        </w:rPr>
      </w:pPr>
    </w:p>
    <w:p w14:paraId="52731C98" w14:textId="1BFA9DCD" w:rsidR="006E0939" w:rsidRDefault="006E0939" w:rsidP="00E733DB">
      <w:pPr>
        <w:rPr>
          <w:rFonts w:cs="Arial"/>
          <w:color w:val="000000" w:themeColor="text1"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 xml:space="preserve">The data is preliminary and can be subject to revision, in accordance with the revision policy of quarterly national accounts, in the first “regular” estimate of GDP for the </w:t>
      </w:r>
      <w:r w:rsidR="00956C93">
        <w:rPr>
          <w:rFonts w:cs="Arial"/>
          <w:color w:val="000000" w:themeColor="text1"/>
          <w:szCs w:val="19"/>
          <w:lang w:val="en-US"/>
        </w:rPr>
        <w:t>fourth</w:t>
      </w:r>
      <w:r w:rsidRPr="00941C94">
        <w:rPr>
          <w:rFonts w:cs="Arial"/>
          <w:color w:val="000000" w:themeColor="text1"/>
          <w:szCs w:val="19"/>
          <w:lang w:val="en-US"/>
        </w:rPr>
        <w:t xml:space="preserve"> quarter of 201</w:t>
      </w:r>
      <w:r>
        <w:rPr>
          <w:rFonts w:cs="Arial"/>
          <w:color w:val="000000" w:themeColor="text1"/>
          <w:szCs w:val="19"/>
          <w:lang w:val="en-US"/>
        </w:rPr>
        <w:t>8</w:t>
      </w:r>
      <w:r w:rsidRPr="00941C94">
        <w:rPr>
          <w:rFonts w:cs="Arial"/>
          <w:color w:val="000000" w:themeColor="text1"/>
          <w:szCs w:val="19"/>
          <w:lang w:val="en-US"/>
        </w:rPr>
        <w:t xml:space="preserve"> which will be released on </w:t>
      </w:r>
      <w:r w:rsidR="00956C93">
        <w:rPr>
          <w:rFonts w:cs="Arial"/>
          <w:color w:val="000000" w:themeColor="text1"/>
          <w:szCs w:val="19"/>
          <w:lang w:val="en-US"/>
        </w:rPr>
        <w:t>February</w:t>
      </w:r>
      <w:r w:rsidRPr="00941C94">
        <w:rPr>
          <w:rFonts w:cs="Arial"/>
          <w:color w:val="000000" w:themeColor="text1"/>
          <w:szCs w:val="19"/>
          <w:lang w:val="en-US"/>
        </w:rPr>
        <w:t xml:space="preserve"> </w:t>
      </w:r>
      <w:r w:rsidR="00956C93">
        <w:rPr>
          <w:rFonts w:cs="Arial"/>
          <w:color w:val="000000" w:themeColor="text1"/>
          <w:szCs w:val="19"/>
          <w:lang w:val="en-US"/>
        </w:rPr>
        <w:t>28</w:t>
      </w:r>
      <w:r w:rsidRPr="00941C94">
        <w:rPr>
          <w:rFonts w:cs="Arial"/>
          <w:color w:val="000000" w:themeColor="text1"/>
          <w:szCs w:val="19"/>
          <w:lang w:val="en-US"/>
        </w:rPr>
        <w:t>, 2018</w:t>
      </w:r>
      <w:r>
        <w:rPr>
          <w:rFonts w:cs="Arial"/>
          <w:color w:val="000000" w:themeColor="text1"/>
          <w:szCs w:val="19"/>
          <w:lang w:val="en-US"/>
        </w:rPr>
        <w:t>.</w:t>
      </w:r>
    </w:p>
    <w:p w14:paraId="2DB0C98E" w14:textId="644B57BF" w:rsidR="00880AD4" w:rsidRDefault="00880AD4" w:rsidP="00E733DB">
      <w:pPr>
        <w:rPr>
          <w:rFonts w:cs="Arial"/>
          <w:color w:val="000000" w:themeColor="text1"/>
          <w:szCs w:val="19"/>
          <w:lang w:val="en-US"/>
        </w:rPr>
      </w:pPr>
      <w:r w:rsidRPr="006E0939">
        <w:rPr>
          <w:rFonts w:cs="Arial"/>
          <w:color w:val="000000" w:themeColor="text1"/>
          <w:szCs w:val="19"/>
          <w:lang w:val="en-US"/>
        </w:rPr>
        <w:t xml:space="preserve">In the </w:t>
      </w:r>
      <w:r w:rsidR="00956C93">
        <w:rPr>
          <w:rFonts w:cs="Arial"/>
          <w:color w:val="000000" w:themeColor="text1"/>
          <w:szCs w:val="19"/>
          <w:lang w:val="en-US"/>
        </w:rPr>
        <w:t>4</w:t>
      </w:r>
      <w:r w:rsidR="00956C93">
        <w:rPr>
          <w:rFonts w:cs="Arial"/>
          <w:color w:val="000000" w:themeColor="text1"/>
          <w:szCs w:val="19"/>
          <w:vertAlign w:val="superscript"/>
          <w:lang w:val="en-US"/>
        </w:rPr>
        <w:t>th</w:t>
      </w:r>
      <w:r w:rsidRPr="006E093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6E0939">
        <w:rPr>
          <w:rFonts w:cs="Arial"/>
          <w:color w:val="000000" w:themeColor="text1"/>
          <w:szCs w:val="19"/>
          <w:lang w:val="en-US"/>
        </w:rPr>
        <w:t>quarter of 201</w:t>
      </w:r>
      <w:r w:rsidR="00096361" w:rsidRPr="006E0939">
        <w:rPr>
          <w:rFonts w:cs="Arial"/>
          <w:color w:val="000000" w:themeColor="text1"/>
          <w:szCs w:val="19"/>
          <w:lang w:val="en-US"/>
        </w:rPr>
        <w:t>8</w:t>
      </w:r>
      <w:r w:rsidRPr="006E0939">
        <w:rPr>
          <w:rFonts w:cs="Arial"/>
          <w:color w:val="000000" w:themeColor="text1"/>
          <w:szCs w:val="19"/>
          <w:lang w:val="en-US"/>
        </w:rPr>
        <w:t xml:space="preserve"> seasonally adjusted GDP (constant prices, reference year 2010) was higher by </w:t>
      </w:r>
      <w:r w:rsidR="00956C93">
        <w:rPr>
          <w:rFonts w:cs="Arial"/>
          <w:b/>
          <w:color w:val="000000" w:themeColor="text1"/>
          <w:szCs w:val="19"/>
          <w:lang w:val="en-US"/>
        </w:rPr>
        <w:t>0.5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than in the previous quarter and </w:t>
      </w:r>
      <w:r w:rsidR="00956C93">
        <w:rPr>
          <w:rFonts w:cs="Arial"/>
          <w:b/>
          <w:color w:val="000000" w:themeColor="text1"/>
          <w:szCs w:val="19"/>
          <w:lang w:val="en-US"/>
        </w:rPr>
        <w:t>4.6</w:t>
      </w:r>
      <w:r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Pr="006E0939">
        <w:rPr>
          <w:rFonts w:cs="Arial"/>
          <w:color w:val="000000" w:themeColor="text1"/>
          <w:szCs w:val="19"/>
          <w:lang w:val="en-US"/>
        </w:rPr>
        <w:t xml:space="preserve"> higher than in the </w:t>
      </w:r>
      <w:r w:rsidR="00956C93">
        <w:rPr>
          <w:rFonts w:cs="Arial"/>
          <w:color w:val="000000" w:themeColor="text1"/>
          <w:szCs w:val="19"/>
          <w:lang w:val="en-US"/>
        </w:rPr>
        <w:t>4</w:t>
      </w:r>
      <w:r w:rsidR="00956C93">
        <w:rPr>
          <w:rFonts w:cs="Arial"/>
          <w:color w:val="000000" w:themeColor="text1"/>
          <w:szCs w:val="19"/>
          <w:vertAlign w:val="superscript"/>
          <w:lang w:val="en-US"/>
        </w:rPr>
        <w:t>th</w:t>
      </w:r>
      <w:r w:rsidR="006E0939" w:rsidRPr="006E0939">
        <w:rPr>
          <w:rFonts w:cs="Arial"/>
          <w:color w:val="000000" w:themeColor="text1"/>
          <w:szCs w:val="19"/>
          <w:vertAlign w:val="superscript"/>
          <w:lang w:val="en-US"/>
        </w:rPr>
        <w:t xml:space="preserve"> </w:t>
      </w:r>
      <w:r w:rsidRPr="006E0939">
        <w:rPr>
          <w:rFonts w:cs="Arial"/>
          <w:color w:val="000000" w:themeColor="text1"/>
          <w:szCs w:val="19"/>
          <w:lang w:val="en-US"/>
        </w:rPr>
        <w:t>quarter of the previous year.</w:t>
      </w:r>
    </w:p>
    <w:p w14:paraId="07CDDE1B" w14:textId="04D55699" w:rsidR="00943CD7" w:rsidRDefault="00E733DB" w:rsidP="00E733DB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S</w:t>
      </w:r>
      <w:r w:rsidR="00880AD4" w:rsidRPr="006E0939">
        <w:rPr>
          <w:rFonts w:cs="Arial"/>
          <w:color w:val="000000" w:themeColor="text1"/>
          <w:szCs w:val="19"/>
          <w:lang w:val="en-US"/>
        </w:rPr>
        <w:t xml:space="preserve">easonally unadjusted GDP (constant average prices of the previous year) was higher by </w:t>
      </w:r>
      <w:r w:rsidR="001501D5">
        <w:rPr>
          <w:rFonts w:cs="Arial"/>
          <w:color w:val="000000" w:themeColor="text1"/>
          <w:szCs w:val="19"/>
          <w:lang w:val="en-US"/>
        </w:rPr>
        <w:br/>
      </w:r>
      <w:r w:rsidR="00956C93">
        <w:rPr>
          <w:rFonts w:cs="Arial"/>
          <w:b/>
          <w:color w:val="000000" w:themeColor="text1"/>
          <w:szCs w:val="19"/>
          <w:lang w:val="en-US"/>
        </w:rPr>
        <w:t>4.9</w:t>
      </w:r>
      <w:r w:rsidR="00880AD4" w:rsidRPr="00111EC2">
        <w:rPr>
          <w:rFonts w:cs="Arial"/>
          <w:b/>
          <w:color w:val="000000" w:themeColor="text1"/>
          <w:szCs w:val="19"/>
          <w:lang w:val="en-US"/>
        </w:rPr>
        <w:t>%</w:t>
      </w:r>
      <w:r w:rsidR="00880AD4" w:rsidRPr="006E0939">
        <w:rPr>
          <w:rFonts w:cs="Arial"/>
          <w:color w:val="000000" w:themeColor="text1"/>
          <w:szCs w:val="19"/>
          <w:lang w:val="en-US"/>
        </w:rPr>
        <w:t xml:space="preserve"> than in the corresponding quarter of the previous year.</w:t>
      </w:r>
    </w:p>
    <w:p w14:paraId="33400021" w14:textId="03CCE55A" w:rsidR="00335B3A" w:rsidRDefault="006E0939" w:rsidP="00943CD7">
      <w:pPr>
        <w:tabs>
          <w:tab w:val="left" w:pos="284"/>
        </w:tabs>
        <w:rPr>
          <w:b/>
          <w:color w:val="001D77"/>
          <w:szCs w:val="19"/>
          <w:lang w:val="en-US"/>
        </w:rPr>
      </w:pPr>
      <w:r w:rsidRPr="00096361">
        <w:rPr>
          <w:b/>
          <w:noProof/>
          <w:color w:val="001D77"/>
          <w:spacing w:val="-2"/>
          <w:szCs w:val="19"/>
          <w:lang w:val="en-US"/>
        </w:rPr>
        <w:t>Table 1</w:t>
      </w:r>
      <w:r w:rsidR="00761152">
        <w:rPr>
          <w:b/>
          <w:noProof/>
          <w:color w:val="001D77"/>
          <w:spacing w:val="-2"/>
          <w:szCs w:val="19"/>
          <w:lang w:val="en-US"/>
        </w:rPr>
        <w:t>.</w:t>
      </w:r>
      <w:r w:rsidRPr="00096361">
        <w:rPr>
          <w:b/>
          <w:noProof/>
          <w:color w:val="001D77"/>
          <w:spacing w:val="-2"/>
          <w:szCs w:val="19"/>
          <w:lang w:val="en-US"/>
        </w:rPr>
        <w:t xml:space="preserve"> </w:t>
      </w:r>
      <w:r w:rsidRPr="00096361">
        <w:rPr>
          <w:b/>
          <w:color w:val="001D77"/>
          <w:szCs w:val="19"/>
          <w:lang w:val="en-US"/>
        </w:rPr>
        <w:t>Seasonally adjusted GDP; constant prices, reference year 2010</w:t>
      </w:r>
    </w:p>
    <w:p w14:paraId="4B8A7CC4" w14:textId="66875A93" w:rsidR="00335B3A" w:rsidRDefault="0056083F" w:rsidP="00335B3A">
      <w:pPr>
        <w:tabs>
          <w:tab w:val="left" w:pos="284"/>
        </w:tabs>
        <w:rPr>
          <w:b/>
          <w:color w:val="001D77"/>
          <w:szCs w:val="19"/>
          <w:lang w:val="en-US"/>
        </w:rPr>
      </w:pPr>
      <w:r w:rsidRPr="00A334DB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7B965CD2" wp14:editId="2A9CD190">
                <wp:simplePos x="0" y="0"/>
                <wp:positionH relativeFrom="page">
                  <wp:posOffset>5782418</wp:posOffset>
                </wp:positionH>
                <wp:positionV relativeFrom="paragraph">
                  <wp:posOffset>367289</wp:posOffset>
                </wp:positionV>
                <wp:extent cx="1778000" cy="1177925"/>
                <wp:effectExtent l="0" t="0" r="0" b="3175"/>
                <wp:wrapTight wrapText="bothSides">
                  <wp:wrapPolygon edited="0">
                    <wp:start x="694" y="0"/>
                    <wp:lineTo x="694" y="21309"/>
                    <wp:lineTo x="20829" y="21309"/>
                    <wp:lineTo x="20829" y="0"/>
                    <wp:lineTo x="694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7439" w14:textId="79C644CB" w:rsidR="006E0939" w:rsidRPr="0016104F" w:rsidRDefault="006E0939" w:rsidP="0016104F">
                            <w:pPr>
                              <w:spacing w:before="0" w:after="0"/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Seasonal adjustment procedure cause</w:t>
                            </w:r>
                            <w:r w:rsidR="00B3705D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revisions to GDP growth rates </w:t>
                            </w:r>
                            <w:r w:rsidR="00B3705D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previous periods resulted from updating </w:t>
                            </w:r>
                            <w:r w:rsidR="00111EC2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B3705D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time series </w:t>
                            </w:r>
                            <w:r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when </w:t>
                            </w:r>
                            <w:r w:rsidR="00B3705D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new </w:t>
                            </w:r>
                            <w:r w:rsidR="00111EC2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observation,</w:t>
                            </w:r>
                            <w:r w:rsidR="00B3705D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i.e. </w:t>
                            </w:r>
                            <w:r w:rsidR="0073040E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="00B3705D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2018 </w:t>
                            </w:r>
                            <w:r w:rsidR="00111EC2" w:rsidRP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was added</w:t>
                            </w:r>
                            <w:r w:rsidR="008430FF">
                              <w:rPr>
                                <w:rFonts w:cs="Arial"/>
                                <w:bCs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585C0E4C" w14:textId="77777777" w:rsidR="0016104F" w:rsidRPr="00C31967" w:rsidRDefault="0016104F" w:rsidP="006E093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Cs w:val="19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5CD2" id="Pole tekstowe 4" o:spid="_x0000_s1029" type="#_x0000_t202" style="position:absolute;margin-left:455.3pt;margin-top:28.9pt;width:140pt;height:92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" filled="f" stroked="f">
                <v:textbox>
                  <w:txbxContent>
                    <w:p w14:paraId="1BA77439" w14:textId="79C644CB" w:rsidR="006E0939" w:rsidRPr="0016104F" w:rsidRDefault="006E0939" w:rsidP="0016104F">
                      <w:pPr>
                        <w:spacing w:before="0" w:after="0"/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Seasonal adjustment procedure cause</w:t>
                      </w:r>
                      <w:r w:rsidR="00B3705D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revisions to GDP growth rates </w:t>
                      </w:r>
                      <w:r w:rsidR="00B3705D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previous periods resulted from updating </w:t>
                      </w:r>
                      <w:r w:rsidR="00111EC2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B3705D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time series </w:t>
                      </w:r>
                      <w:r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when </w:t>
                      </w:r>
                      <w:r w:rsidR="00B3705D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new </w:t>
                      </w:r>
                      <w:r w:rsidR="00111EC2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observation,</w:t>
                      </w:r>
                      <w:r w:rsidR="00B3705D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i.e. </w:t>
                      </w:r>
                      <w:r w:rsidR="0073040E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4</w:t>
                      </w:r>
                      <w:r w:rsidR="00B3705D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2018 </w:t>
                      </w:r>
                      <w:r w:rsidR="00111EC2" w:rsidRP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>was added</w:t>
                      </w:r>
                      <w:r w:rsidR="008430FF">
                        <w:rPr>
                          <w:rFonts w:cs="Arial"/>
                          <w:bCs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585C0E4C" w14:textId="77777777" w:rsidR="0016104F" w:rsidRPr="00C31967" w:rsidRDefault="0016104F" w:rsidP="006E093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Cs w:val="19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547"/>
        <w:gridCol w:w="548"/>
        <w:gridCol w:w="548"/>
        <w:gridCol w:w="548"/>
        <w:gridCol w:w="547"/>
        <w:gridCol w:w="548"/>
        <w:gridCol w:w="548"/>
        <w:gridCol w:w="548"/>
        <w:gridCol w:w="547"/>
        <w:gridCol w:w="548"/>
        <w:gridCol w:w="548"/>
        <w:gridCol w:w="548"/>
      </w:tblGrid>
      <w:tr w:rsidR="00123DC1" w:rsidRPr="00761152" w14:paraId="5F037A16" w14:textId="57844482" w:rsidTr="0073040E">
        <w:trPr>
          <w:trHeight w:val="207"/>
        </w:trPr>
        <w:tc>
          <w:tcPr>
            <w:tcW w:w="1361" w:type="dxa"/>
            <w:vMerge w:val="restart"/>
            <w:shd w:val="clear" w:color="auto" w:fill="auto"/>
            <w:noWrap/>
            <w:vAlign w:val="center"/>
            <w:hideMark/>
          </w:tcPr>
          <w:p w14:paraId="7F1361FB" w14:textId="333D1DF5" w:rsidR="00123DC1" w:rsidRPr="00761152" w:rsidRDefault="00123DC1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191" w:type="dxa"/>
            <w:gridSpan w:val="4"/>
            <w:shd w:val="clear" w:color="auto" w:fill="auto"/>
            <w:noWrap/>
            <w:vAlign w:val="bottom"/>
            <w:hideMark/>
          </w:tcPr>
          <w:p w14:paraId="25A2CBDA" w14:textId="77777777" w:rsidR="00123DC1" w:rsidRPr="00761152" w:rsidRDefault="00123DC1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2016</w:t>
            </w:r>
          </w:p>
        </w:tc>
        <w:tc>
          <w:tcPr>
            <w:tcW w:w="2191" w:type="dxa"/>
            <w:gridSpan w:val="4"/>
            <w:shd w:val="clear" w:color="auto" w:fill="auto"/>
            <w:noWrap/>
            <w:vAlign w:val="bottom"/>
            <w:hideMark/>
          </w:tcPr>
          <w:p w14:paraId="717332CC" w14:textId="77777777" w:rsidR="00123DC1" w:rsidRPr="00761152" w:rsidRDefault="00123DC1" w:rsidP="003E78D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2017</w:t>
            </w:r>
          </w:p>
        </w:tc>
        <w:tc>
          <w:tcPr>
            <w:tcW w:w="2191" w:type="dxa"/>
            <w:gridSpan w:val="4"/>
            <w:shd w:val="clear" w:color="auto" w:fill="auto"/>
            <w:noWrap/>
            <w:vAlign w:val="bottom"/>
            <w:hideMark/>
          </w:tcPr>
          <w:p w14:paraId="08450399" w14:textId="78B4E622" w:rsidR="00123DC1" w:rsidRPr="00761152" w:rsidRDefault="00123DC1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2018</w:t>
            </w:r>
          </w:p>
        </w:tc>
      </w:tr>
      <w:tr w:rsidR="00123DC1" w:rsidRPr="00761152" w14:paraId="63BA32F6" w14:textId="5AA7CC49" w:rsidTr="0073040E">
        <w:trPr>
          <w:trHeight w:val="207"/>
        </w:trPr>
        <w:tc>
          <w:tcPr>
            <w:tcW w:w="1361" w:type="dxa"/>
            <w:vMerge/>
            <w:vAlign w:val="center"/>
            <w:hideMark/>
          </w:tcPr>
          <w:p w14:paraId="236F8937" w14:textId="77777777" w:rsidR="00123DC1" w:rsidRPr="00761152" w:rsidRDefault="00123DC1" w:rsidP="003246D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08EFDA0D" w14:textId="5D784A69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748CDABE" w14:textId="1F307D65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5AB0A9CD" w14:textId="26C17315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66F0433" w14:textId="59681FBC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C00F37E" w14:textId="441E82C4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B89EFE2" w14:textId="3B061E7C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5C4730A" w14:textId="5A8300EF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C7E1A7A" w14:textId="7E2CFEF1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1CCA9DFA" w14:textId="10EF3773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48" w:type="dxa"/>
          </w:tcPr>
          <w:p w14:paraId="241B49A0" w14:textId="58B21C34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48" w:type="dxa"/>
            <w:vAlign w:val="bottom"/>
          </w:tcPr>
          <w:p w14:paraId="45E455BE" w14:textId="63EAD5E9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48" w:type="dxa"/>
          </w:tcPr>
          <w:p w14:paraId="72550633" w14:textId="73AC8D2B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123DC1" w:rsidRPr="00761152" w14:paraId="34E8248F" w14:textId="42DBD221" w:rsidTr="0073040E">
        <w:trPr>
          <w:trHeight w:val="207"/>
        </w:trPr>
        <w:tc>
          <w:tcPr>
            <w:tcW w:w="1361" w:type="dxa"/>
            <w:vMerge/>
            <w:vAlign w:val="center"/>
            <w:hideMark/>
          </w:tcPr>
          <w:p w14:paraId="7941F881" w14:textId="77777777" w:rsidR="00123DC1" w:rsidRPr="00761152" w:rsidRDefault="00123DC1" w:rsidP="003246D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573" w:type="dxa"/>
            <w:gridSpan w:val="12"/>
            <w:shd w:val="clear" w:color="auto" w:fill="auto"/>
            <w:noWrap/>
            <w:vAlign w:val="center"/>
            <w:hideMark/>
          </w:tcPr>
          <w:p w14:paraId="061922B8" w14:textId="069413C1" w:rsidR="00123DC1" w:rsidRPr="0076115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D827C9" w:rsidRPr="00E9792B" w14:paraId="2E9C831C" w14:textId="0D55A172" w:rsidTr="0073040E">
        <w:trPr>
          <w:trHeight w:val="498"/>
        </w:trPr>
        <w:tc>
          <w:tcPr>
            <w:tcW w:w="1361" w:type="dxa"/>
            <w:shd w:val="clear" w:color="auto" w:fill="auto"/>
            <w:vAlign w:val="center"/>
            <w:hideMark/>
          </w:tcPr>
          <w:p w14:paraId="48CF58A4" w14:textId="2ED9F708" w:rsidR="00D827C9" w:rsidRPr="00246C1E" w:rsidRDefault="00D827C9" w:rsidP="00165FC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 of 3</w:t>
            </w:r>
            <w:r w:rsidR="00165FC9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165FC9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2018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5886B7C" w14:textId="3876CB18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.9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D906111" w14:textId="5E5A360F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6E8AE07" w14:textId="2AC20C98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7692F44" w14:textId="0649C63A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9470CAF" w14:textId="3DABEF9F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5BE6C45" w14:textId="14997100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54C4C9D" w14:textId="17BE7CC4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B23E9B2" w14:textId="064D1BD0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BC91027" w14:textId="00EAE5CE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8" w:type="dxa"/>
            <w:vAlign w:val="center"/>
          </w:tcPr>
          <w:p w14:paraId="7B7D94BC" w14:textId="6DB36148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101.1</w:t>
            </w:r>
          </w:p>
        </w:tc>
        <w:tc>
          <w:tcPr>
            <w:tcW w:w="548" w:type="dxa"/>
            <w:vAlign w:val="center"/>
          </w:tcPr>
          <w:p w14:paraId="1BBFF812" w14:textId="65669D42" w:rsidR="00D827C9" w:rsidRPr="00E9792B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101.7</w:t>
            </w:r>
          </w:p>
        </w:tc>
        <w:tc>
          <w:tcPr>
            <w:tcW w:w="548" w:type="dxa"/>
          </w:tcPr>
          <w:p w14:paraId="67166208" w14:textId="77777777" w:rsidR="00D827C9" w:rsidRDefault="00D827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14:paraId="291F5986" w14:textId="60BBB727" w:rsidR="00165FC9" w:rsidRDefault="00165FC9" w:rsidP="00165F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123DC1" w:rsidRPr="00E9792B" w14:paraId="13B1FFED" w14:textId="32BA2B9E" w:rsidTr="0073040E">
        <w:trPr>
          <w:trHeight w:val="488"/>
        </w:trPr>
        <w:tc>
          <w:tcPr>
            <w:tcW w:w="1361" w:type="dxa"/>
            <w:shd w:val="clear" w:color="auto" w:fill="auto"/>
            <w:vAlign w:val="center"/>
            <w:hideMark/>
          </w:tcPr>
          <w:p w14:paraId="455EA855" w14:textId="16B24F42" w:rsidR="00123DC1" w:rsidRPr="00246C1E" w:rsidRDefault="00123DC1" w:rsidP="00384C9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 xml:space="preserve">GDP growth rate of 14 </w:t>
            </w:r>
            <w:r w:rsidR="00165FC9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 xml:space="preserve">February </w:t>
            </w:r>
            <w:r w:rsidRPr="00246C1E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>201</w:t>
            </w:r>
            <w:r w:rsidR="00384C9F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B6C9294" w14:textId="28C08BCD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99.</w:t>
            </w:r>
            <w:r w:rsidR="00165FC9"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F401F77" w14:textId="1EB4E37D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0A04010F" w14:textId="26AD2E91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100.2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6A9546B" w14:textId="4AE98CCE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102.</w:t>
            </w:r>
            <w:r w:rsidR="00165FC9"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9188103" w14:textId="2A107724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165FC9"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C1A1864" w14:textId="1B269C91" w:rsidR="00123DC1" w:rsidRPr="00384C9F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100.9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026BF66" w14:textId="4B594556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165FC9"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9896454" w14:textId="5334B9A4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165FC9" w:rsidRPr="00384C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6DAADCD" w14:textId="51A948D4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101.</w:t>
            </w:r>
            <w:r w:rsidR="00165FC9"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8" w:type="dxa"/>
            <w:vAlign w:val="center"/>
          </w:tcPr>
          <w:p w14:paraId="6E4A6FA8" w14:textId="6DD0E439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101.</w:t>
            </w:r>
            <w:r w:rsidR="00165FC9"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vAlign w:val="center"/>
          </w:tcPr>
          <w:p w14:paraId="7C20DC57" w14:textId="2F913C84" w:rsidR="00123DC1" w:rsidRPr="00384C9F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101.</w:t>
            </w:r>
            <w:r w:rsidR="00165FC9"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8" w:type="dxa"/>
          </w:tcPr>
          <w:p w14:paraId="237F5616" w14:textId="77777777" w:rsidR="00165FC9" w:rsidRPr="00384C9F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</w:p>
          <w:p w14:paraId="2B28203F" w14:textId="71CB68C6" w:rsidR="00123DC1" w:rsidRPr="00384C9F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384C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100.5</w:t>
            </w:r>
          </w:p>
        </w:tc>
      </w:tr>
      <w:tr w:rsidR="00123DC1" w:rsidRPr="00E9792B" w14:paraId="097954C4" w14:textId="3D69CE2E" w:rsidTr="0073040E">
        <w:trPr>
          <w:trHeight w:val="303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EB3E690" w14:textId="47A1D84C" w:rsidR="00123DC1" w:rsidRPr="00246C1E" w:rsidRDefault="00123DC1" w:rsidP="003246D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6A0F662" w14:textId="4D0311E5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818DFCD" w14:textId="2E27E044" w:rsidR="00123DC1" w:rsidRPr="00E9792B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D4E78EA" w14:textId="14BE6E5B" w:rsidR="00123DC1" w:rsidRPr="00E9792B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68180C0" w14:textId="7DD6D456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="00123DC1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1351420" w14:textId="423D140D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C51E950" w14:textId="29E77A71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D708C29" w14:textId="2D5FC99A" w:rsidR="00123DC1" w:rsidRPr="00E9792B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165FC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1BDE287" w14:textId="17639BF5" w:rsidR="00123DC1" w:rsidRPr="00E9792B" w:rsidRDefault="00123DC1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CA82298" w14:textId="0DBC8736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vAlign w:val="center"/>
          </w:tcPr>
          <w:p w14:paraId="1943FAFC" w14:textId="3A00E1ED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0.1</w:t>
            </w:r>
          </w:p>
        </w:tc>
        <w:tc>
          <w:tcPr>
            <w:tcW w:w="548" w:type="dxa"/>
            <w:vAlign w:val="center"/>
          </w:tcPr>
          <w:p w14:paraId="60006040" w14:textId="372AD435" w:rsidR="00123DC1" w:rsidRPr="00E9792B" w:rsidRDefault="00165FC9" w:rsidP="00165F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-0.1</w:t>
            </w:r>
          </w:p>
        </w:tc>
        <w:tc>
          <w:tcPr>
            <w:tcW w:w="548" w:type="dxa"/>
          </w:tcPr>
          <w:p w14:paraId="1F178485" w14:textId="41F6A975" w:rsidR="00123DC1" w:rsidRDefault="00165FC9" w:rsidP="00165FC9">
            <w:pPr>
              <w:spacing w:before="6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123DC1" w:rsidRPr="00121F6D" w14:paraId="587622FC" w14:textId="64439291" w:rsidTr="0073040E">
        <w:trPr>
          <w:trHeight w:val="228"/>
        </w:trPr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EB58AB2" w14:textId="77777777" w:rsidR="00123DC1" w:rsidRPr="00E9792B" w:rsidRDefault="00123DC1" w:rsidP="003246D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73" w:type="dxa"/>
            <w:gridSpan w:val="12"/>
            <w:shd w:val="clear" w:color="auto" w:fill="auto"/>
            <w:noWrap/>
            <w:vAlign w:val="bottom"/>
            <w:hideMark/>
          </w:tcPr>
          <w:p w14:paraId="0F5AC3FB" w14:textId="37933354" w:rsidR="00123DC1" w:rsidRPr="003246D2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D827C9" w:rsidRPr="00E9792B" w14:paraId="52B91A81" w14:textId="281D3EF7" w:rsidTr="0073040E">
        <w:trPr>
          <w:trHeight w:val="478"/>
        </w:trPr>
        <w:tc>
          <w:tcPr>
            <w:tcW w:w="1361" w:type="dxa"/>
            <w:shd w:val="clear" w:color="auto" w:fill="auto"/>
            <w:vAlign w:val="center"/>
            <w:hideMark/>
          </w:tcPr>
          <w:p w14:paraId="4728FC8E" w14:textId="26D4F22A" w:rsidR="00D827C9" w:rsidRPr="00246C1E" w:rsidRDefault="00D827C9" w:rsidP="00384C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GDP growth rate of 30 </w:t>
            </w:r>
            <w:r w:rsidR="00384C9F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2018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A6DB9B7" w14:textId="27D5B7E5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.9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E7A6B10" w14:textId="0F69C166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96A0687" w14:textId="4781505B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38927FB" w14:textId="2E04EE48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FCFB834" w14:textId="49BBBDE6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EDA6B91" w14:textId="0399027D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C5DA139" w14:textId="66316DA7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EFED1CF" w14:textId="2977C7B4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.6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0C3E4B1" w14:textId="55D02662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vAlign w:val="center"/>
          </w:tcPr>
          <w:p w14:paraId="162922C2" w14:textId="72D345FE" w:rsidR="00D827C9" w:rsidRPr="00E9792B" w:rsidRDefault="00D827C9" w:rsidP="00D827C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.2</w:t>
            </w:r>
          </w:p>
        </w:tc>
        <w:tc>
          <w:tcPr>
            <w:tcW w:w="548" w:type="dxa"/>
            <w:vAlign w:val="center"/>
          </w:tcPr>
          <w:p w14:paraId="432738C1" w14:textId="2D87DAF3" w:rsidR="00D827C9" w:rsidRPr="00E9792B" w:rsidRDefault="00D827C9" w:rsidP="00D827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105.7</w:t>
            </w:r>
          </w:p>
        </w:tc>
        <w:tc>
          <w:tcPr>
            <w:tcW w:w="548" w:type="dxa"/>
          </w:tcPr>
          <w:p w14:paraId="2615722B" w14:textId="77777777" w:rsidR="00D827C9" w:rsidRDefault="00D827C9" w:rsidP="00D827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14:paraId="050547DA" w14:textId="1FC9AB7F" w:rsidR="00384C9F" w:rsidRDefault="00384C9F" w:rsidP="00D827C9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123DC1" w:rsidRPr="00E9792B" w14:paraId="306325E2" w14:textId="36A21990" w:rsidTr="0073040E">
        <w:trPr>
          <w:trHeight w:val="447"/>
        </w:trPr>
        <w:tc>
          <w:tcPr>
            <w:tcW w:w="1361" w:type="dxa"/>
            <w:shd w:val="clear" w:color="auto" w:fill="auto"/>
            <w:vAlign w:val="center"/>
            <w:hideMark/>
          </w:tcPr>
          <w:p w14:paraId="223AB143" w14:textId="38CD4F8C" w:rsidR="00123DC1" w:rsidRPr="00246C1E" w:rsidRDefault="00123DC1" w:rsidP="00384C9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 xml:space="preserve">GDP growth rate of 14 </w:t>
            </w:r>
            <w:r w:rsidR="00384C9F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 xml:space="preserve">February </w:t>
            </w:r>
            <w:r w:rsidRPr="00246C1E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>201</w:t>
            </w:r>
            <w:r w:rsidR="00384C9F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0AF2E7B" w14:textId="75281E1B" w:rsidR="00123DC1" w:rsidRPr="00C87D9F" w:rsidRDefault="00123DC1" w:rsidP="00132FA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102.9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B97080B" w14:textId="745312C5" w:rsidR="00123DC1" w:rsidRPr="00C87D9F" w:rsidRDefault="00123DC1" w:rsidP="00132FA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103.5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0C1C3BEE" w14:textId="5CF29785" w:rsidR="00123DC1" w:rsidRPr="00C87D9F" w:rsidRDefault="00123DC1" w:rsidP="00132FA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102.5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233DA33" w14:textId="3C69F383" w:rsidR="00123DC1" w:rsidRPr="00C87D9F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103.</w:t>
            </w:r>
            <w:r w:rsidR="00C87D9F"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A46ADF9" w14:textId="3D71B2C6" w:rsidR="00123DC1" w:rsidRPr="00C87D9F" w:rsidRDefault="00123DC1" w:rsidP="00132FA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48CDBF5" w14:textId="466E05B6" w:rsidR="00123DC1" w:rsidRPr="00C87D9F" w:rsidRDefault="00123DC1" w:rsidP="00132FA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104.4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ADF302E" w14:textId="39674E4D" w:rsidR="00123DC1" w:rsidRPr="00C87D9F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105.</w:t>
            </w:r>
            <w:r w:rsidR="00C87D9F"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F4816F3" w14:textId="2FC2098C" w:rsidR="00123DC1" w:rsidRPr="00C87D9F" w:rsidRDefault="00123DC1" w:rsidP="00132FAC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BA531A2" w14:textId="346508F6" w:rsidR="00123DC1" w:rsidRPr="00C87D9F" w:rsidRDefault="00123DC1" w:rsidP="003246D2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105.0</w:t>
            </w:r>
          </w:p>
        </w:tc>
        <w:tc>
          <w:tcPr>
            <w:tcW w:w="548" w:type="dxa"/>
            <w:vAlign w:val="center"/>
          </w:tcPr>
          <w:p w14:paraId="7B6DE705" w14:textId="1B0A4B20" w:rsidR="00123DC1" w:rsidRPr="00C87D9F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105.</w:t>
            </w:r>
            <w:r w:rsidR="00C87D9F"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vAlign w:val="center"/>
          </w:tcPr>
          <w:p w14:paraId="5D3409A7" w14:textId="532F97D0" w:rsidR="00123DC1" w:rsidRPr="00C87D9F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105.</w:t>
            </w:r>
            <w:r w:rsidR="00C87D9F"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48" w:type="dxa"/>
          </w:tcPr>
          <w:p w14:paraId="220EFA4B" w14:textId="77777777" w:rsidR="00C87D9F" w:rsidRPr="00C87D9F" w:rsidRDefault="00C87D9F" w:rsidP="00385926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</w:p>
          <w:p w14:paraId="03BB78F7" w14:textId="489F79F5" w:rsidR="00123DC1" w:rsidRPr="00C87D9F" w:rsidRDefault="00C87D9F" w:rsidP="00E11DD3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104</w:t>
            </w:r>
            <w:r w:rsidR="00E11DD3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.</w:t>
            </w:r>
            <w:r w:rsidRPr="00C87D9F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123DC1" w:rsidRPr="00E9792B" w14:paraId="5687783D" w14:textId="4A1C526E" w:rsidTr="0073040E">
        <w:trPr>
          <w:trHeight w:val="303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66B11D40" w14:textId="5893A9A1" w:rsidR="00123DC1" w:rsidRPr="00E9792B" w:rsidRDefault="00123DC1" w:rsidP="003246D2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3BC0B66" w14:textId="70192990" w:rsidR="00123DC1" w:rsidRPr="00E9792B" w:rsidRDefault="00123DC1" w:rsidP="0026429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00E1827" w14:textId="6A40567C" w:rsidR="00123DC1" w:rsidRPr="00E9792B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87D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7C170AD" w14:textId="4A6C03C9" w:rsidR="00123DC1" w:rsidRPr="00E9792B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87D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30C74E3" w14:textId="38F65F4B" w:rsidR="00123DC1" w:rsidRPr="00E9792B" w:rsidRDefault="00123DC1" w:rsidP="00264291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.1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FED12B6" w14:textId="23CC67ED" w:rsidR="00123DC1" w:rsidRPr="00E9792B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87D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4F3BFAF" w14:textId="78C084E5" w:rsidR="00123DC1" w:rsidRPr="00E9792B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87D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60D883F" w14:textId="55768E46" w:rsidR="00123DC1" w:rsidRPr="00E9792B" w:rsidRDefault="00C87D9F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030B37A" w14:textId="316FCDA0" w:rsidR="00123DC1" w:rsidRPr="00E9792B" w:rsidRDefault="00123DC1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="00C87D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76219F3" w14:textId="27C58161" w:rsidR="00123DC1" w:rsidRPr="00E9792B" w:rsidRDefault="00123DC1" w:rsidP="003246D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vAlign w:val="center"/>
          </w:tcPr>
          <w:p w14:paraId="498A55D2" w14:textId="5FB9BE21" w:rsidR="00123DC1" w:rsidRPr="00E9792B" w:rsidRDefault="00C87D9F" w:rsidP="00C87D9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123DC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48" w:type="dxa"/>
            <w:vAlign w:val="center"/>
          </w:tcPr>
          <w:p w14:paraId="5B0B2B42" w14:textId="73BFCF0E" w:rsidR="00123DC1" w:rsidRPr="00E9792B" w:rsidRDefault="00123DC1" w:rsidP="003246D2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C87D9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0.1</w:t>
            </w:r>
          </w:p>
        </w:tc>
        <w:tc>
          <w:tcPr>
            <w:tcW w:w="548" w:type="dxa"/>
          </w:tcPr>
          <w:p w14:paraId="3B93105E" w14:textId="1CA12111" w:rsidR="00123DC1" w:rsidRDefault="00384C9F" w:rsidP="00384C9F">
            <w:pPr>
              <w:spacing w:before="6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73B8A0EB" w14:textId="2F049305" w:rsidR="006E0939" w:rsidRPr="00096361" w:rsidRDefault="006E0939" w:rsidP="00943CD7">
      <w:pPr>
        <w:tabs>
          <w:tab w:val="left" w:pos="284"/>
        </w:tabs>
        <w:spacing w:before="240" w:line="240" w:lineRule="atLeast"/>
        <w:rPr>
          <w:b/>
          <w:color w:val="001D77"/>
          <w:szCs w:val="19"/>
          <w:lang w:val="en-US"/>
        </w:rPr>
      </w:pPr>
      <w:r w:rsidRPr="00096361">
        <w:rPr>
          <w:b/>
          <w:noProof/>
          <w:color w:val="001D77"/>
          <w:spacing w:val="-2"/>
          <w:szCs w:val="19"/>
          <w:lang w:val="en-US"/>
        </w:rPr>
        <w:t>Table</w:t>
      </w:r>
      <w:r w:rsidR="00BB34F3">
        <w:rPr>
          <w:b/>
          <w:noProof/>
          <w:color w:val="001D77"/>
          <w:spacing w:val="-2"/>
          <w:szCs w:val="19"/>
          <w:lang w:val="en-US"/>
        </w:rPr>
        <w:t xml:space="preserve"> 2</w:t>
      </w:r>
      <w:r w:rsidR="00761152">
        <w:rPr>
          <w:b/>
          <w:noProof/>
          <w:color w:val="001D77"/>
          <w:spacing w:val="-2"/>
          <w:szCs w:val="19"/>
          <w:lang w:val="en-US"/>
        </w:rPr>
        <w:t>.</w:t>
      </w:r>
      <w:r w:rsidRPr="00096361">
        <w:rPr>
          <w:b/>
          <w:noProof/>
          <w:color w:val="001D77"/>
          <w:spacing w:val="-2"/>
          <w:szCs w:val="19"/>
          <w:lang w:val="en-US"/>
        </w:rPr>
        <w:t xml:space="preserve"> </w:t>
      </w:r>
      <w:r w:rsidRPr="00096361">
        <w:rPr>
          <w:b/>
          <w:color w:val="001D77"/>
          <w:szCs w:val="19"/>
          <w:lang w:val="en-US"/>
        </w:rPr>
        <w:t xml:space="preserve">Seasonally </w:t>
      </w:r>
      <w:r w:rsidR="00BB34F3">
        <w:rPr>
          <w:b/>
          <w:color w:val="001D77"/>
          <w:szCs w:val="19"/>
          <w:lang w:val="en-US"/>
        </w:rPr>
        <w:t>un</w:t>
      </w:r>
      <w:r w:rsidRPr="00096361">
        <w:rPr>
          <w:b/>
          <w:color w:val="001D77"/>
          <w:szCs w:val="19"/>
          <w:lang w:val="en-US"/>
        </w:rPr>
        <w:t xml:space="preserve">adjusted GDP; constant </w:t>
      </w:r>
      <w:r w:rsidR="00BB34F3">
        <w:rPr>
          <w:b/>
          <w:color w:val="001D77"/>
          <w:szCs w:val="19"/>
          <w:lang w:val="en-US"/>
        </w:rPr>
        <w:t>average prices of the previous year</w:t>
      </w:r>
    </w:p>
    <w:p w14:paraId="3C62A4EB" w14:textId="77777777" w:rsidR="006E0939" w:rsidRDefault="006E0939" w:rsidP="006E0939">
      <w:pPr>
        <w:rPr>
          <w:b/>
          <w:noProof/>
          <w:spacing w:val="-2"/>
          <w:szCs w:val="19"/>
          <w:lang w:val="en-US"/>
        </w:rPr>
      </w:pPr>
    </w:p>
    <w:tbl>
      <w:tblPr>
        <w:tblpPr w:leftFromText="142" w:rightFromText="142" w:vertAnchor="text" w:horzAnchor="margin" w:tblpY="-44"/>
        <w:tblW w:w="0" w:type="auto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1"/>
        <w:gridCol w:w="547"/>
        <w:gridCol w:w="548"/>
        <w:gridCol w:w="548"/>
        <w:gridCol w:w="548"/>
        <w:gridCol w:w="547"/>
        <w:gridCol w:w="548"/>
        <w:gridCol w:w="548"/>
        <w:gridCol w:w="548"/>
        <w:gridCol w:w="547"/>
        <w:gridCol w:w="548"/>
        <w:gridCol w:w="548"/>
        <w:gridCol w:w="548"/>
      </w:tblGrid>
      <w:tr w:rsidR="00307453" w:rsidRPr="00761152" w14:paraId="00530439" w14:textId="61C3D81B" w:rsidTr="00307453">
        <w:trPr>
          <w:trHeight w:val="207"/>
        </w:trPr>
        <w:tc>
          <w:tcPr>
            <w:tcW w:w="1361" w:type="dxa"/>
            <w:vMerge w:val="restart"/>
            <w:shd w:val="clear" w:color="auto" w:fill="auto"/>
            <w:noWrap/>
            <w:vAlign w:val="center"/>
            <w:hideMark/>
          </w:tcPr>
          <w:p w14:paraId="47AEC200" w14:textId="5B565B67" w:rsidR="00307453" w:rsidRPr="00761152" w:rsidRDefault="00307453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2191" w:type="dxa"/>
            <w:gridSpan w:val="4"/>
            <w:shd w:val="clear" w:color="auto" w:fill="auto"/>
            <w:noWrap/>
            <w:vAlign w:val="bottom"/>
            <w:hideMark/>
          </w:tcPr>
          <w:p w14:paraId="165564A0" w14:textId="77777777" w:rsidR="00307453" w:rsidRPr="00761152" w:rsidRDefault="00307453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2016</w:t>
            </w:r>
          </w:p>
        </w:tc>
        <w:tc>
          <w:tcPr>
            <w:tcW w:w="2191" w:type="dxa"/>
            <w:gridSpan w:val="4"/>
            <w:shd w:val="clear" w:color="auto" w:fill="auto"/>
            <w:noWrap/>
            <w:vAlign w:val="bottom"/>
            <w:hideMark/>
          </w:tcPr>
          <w:p w14:paraId="650213CE" w14:textId="77777777" w:rsidR="00307453" w:rsidRPr="00761152" w:rsidRDefault="00307453" w:rsidP="003E78D8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2017</w:t>
            </w:r>
          </w:p>
        </w:tc>
        <w:tc>
          <w:tcPr>
            <w:tcW w:w="2191" w:type="dxa"/>
            <w:gridSpan w:val="4"/>
            <w:shd w:val="clear" w:color="auto" w:fill="auto"/>
            <w:noWrap/>
            <w:vAlign w:val="bottom"/>
            <w:hideMark/>
          </w:tcPr>
          <w:p w14:paraId="314679BF" w14:textId="12268216" w:rsidR="00307453" w:rsidRPr="00761152" w:rsidRDefault="00307453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2018</w:t>
            </w:r>
          </w:p>
        </w:tc>
      </w:tr>
      <w:tr w:rsidR="0073040E" w:rsidRPr="0073040E" w14:paraId="5DDF1C3C" w14:textId="77B96A7A" w:rsidTr="00307453">
        <w:trPr>
          <w:trHeight w:val="207"/>
        </w:trPr>
        <w:tc>
          <w:tcPr>
            <w:tcW w:w="1361" w:type="dxa"/>
            <w:vMerge/>
            <w:vAlign w:val="center"/>
            <w:hideMark/>
          </w:tcPr>
          <w:p w14:paraId="0BD5B4E2" w14:textId="77777777" w:rsidR="0073040E" w:rsidRPr="00761152" w:rsidRDefault="0073040E" w:rsidP="000A1B0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20890218" w14:textId="78EC4EDF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43221938" w14:textId="79493D69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0E2E4104" w14:textId="058115BD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1F80F326" w14:textId="5A3ED54F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30FCB13A" w14:textId="467690D0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927CF4A" w14:textId="5013AD02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37484631" w14:textId="5E796FA9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14:paraId="6AB98663" w14:textId="4BC7431C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14:paraId="6A6573D5" w14:textId="11C5F232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548" w:type="dxa"/>
          </w:tcPr>
          <w:p w14:paraId="5119937C" w14:textId="170FB1AB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548" w:type="dxa"/>
            <w:vAlign w:val="bottom"/>
          </w:tcPr>
          <w:p w14:paraId="5D3BE578" w14:textId="677AE999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548" w:type="dxa"/>
          </w:tcPr>
          <w:p w14:paraId="1F36BF36" w14:textId="40348BC0" w:rsidR="0073040E" w:rsidRPr="00761152" w:rsidRDefault="0073040E" w:rsidP="000A1B0B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73040E" w:rsidRPr="00121F6D" w14:paraId="29CB3EC6" w14:textId="12523BE2" w:rsidTr="00307453">
        <w:trPr>
          <w:trHeight w:val="207"/>
        </w:trPr>
        <w:tc>
          <w:tcPr>
            <w:tcW w:w="1361" w:type="dxa"/>
            <w:vMerge/>
            <w:vAlign w:val="center"/>
            <w:hideMark/>
          </w:tcPr>
          <w:p w14:paraId="534B1C5D" w14:textId="77777777" w:rsidR="0073040E" w:rsidRPr="00761152" w:rsidRDefault="0073040E" w:rsidP="003E78D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6573" w:type="dxa"/>
            <w:gridSpan w:val="12"/>
            <w:shd w:val="clear" w:color="auto" w:fill="auto"/>
            <w:noWrap/>
            <w:vAlign w:val="center"/>
            <w:hideMark/>
          </w:tcPr>
          <w:p w14:paraId="77D00897" w14:textId="4BD5F738" w:rsidR="0073040E" w:rsidRPr="003246D2" w:rsidRDefault="0073040E" w:rsidP="003E78D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corresponding period of the previous year = 100</w:t>
            </w:r>
          </w:p>
        </w:tc>
      </w:tr>
      <w:tr w:rsidR="00D827C9" w:rsidRPr="00E9792B" w14:paraId="4373ED84" w14:textId="02E6919B" w:rsidTr="00307453">
        <w:trPr>
          <w:trHeight w:val="498"/>
        </w:trPr>
        <w:tc>
          <w:tcPr>
            <w:tcW w:w="1361" w:type="dxa"/>
            <w:shd w:val="clear" w:color="auto" w:fill="auto"/>
            <w:vAlign w:val="center"/>
            <w:hideMark/>
          </w:tcPr>
          <w:p w14:paraId="753408B2" w14:textId="3E50448C" w:rsidR="00D827C9" w:rsidRPr="00761152" w:rsidRDefault="00D827C9" w:rsidP="00384C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 of 3</w:t>
            </w:r>
            <w:r w:rsidR="00384C9F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384C9F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246C1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2018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83E7B8A" w14:textId="561DBD47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4016461C" w14:textId="060F3027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18C6602" w14:textId="7C33BFD7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102.8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232194A" w14:textId="690CE7CB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102.8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7011F6D" w14:textId="44663264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11F4FAB" w14:textId="0CC79007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940405E" w14:textId="477282A7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0F2298A" w14:textId="37C2A1E0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105.0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53099B5" w14:textId="73651B79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548" w:type="dxa"/>
            <w:vAlign w:val="center"/>
          </w:tcPr>
          <w:p w14:paraId="048570ED" w14:textId="7746F481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548" w:type="dxa"/>
            <w:vAlign w:val="center"/>
          </w:tcPr>
          <w:p w14:paraId="0E49E21B" w14:textId="579EEEFD" w:rsidR="00D827C9" w:rsidRPr="00E9792B" w:rsidRDefault="00D827C9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548" w:type="dxa"/>
          </w:tcPr>
          <w:p w14:paraId="63206ED4" w14:textId="77777777" w:rsidR="00D827C9" w:rsidRDefault="00D827C9" w:rsidP="00F218D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  <w:p w14:paraId="626C8773" w14:textId="6E48ADF4" w:rsidR="00F218DD" w:rsidRDefault="00F218DD" w:rsidP="00F218D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  <w:tr w:rsidR="0073040E" w:rsidRPr="00E9792B" w14:paraId="50192E15" w14:textId="7895440F" w:rsidTr="00307453">
        <w:trPr>
          <w:trHeight w:val="488"/>
        </w:trPr>
        <w:tc>
          <w:tcPr>
            <w:tcW w:w="1361" w:type="dxa"/>
            <w:shd w:val="clear" w:color="auto" w:fill="auto"/>
            <w:vAlign w:val="center"/>
            <w:hideMark/>
          </w:tcPr>
          <w:p w14:paraId="516BB446" w14:textId="7191FB13" w:rsidR="0073040E" w:rsidRPr="00761152" w:rsidRDefault="0073040E" w:rsidP="00384C9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246C1E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 xml:space="preserve">GDP growth rate of 14 </w:t>
            </w:r>
            <w:r w:rsidR="00384C9F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 xml:space="preserve">February </w:t>
            </w:r>
            <w:r w:rsidRPr="00246C1E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>201</w:t>
            </w:r>
            <w:r w:rsidR="00384C9F">
              <w:rPr>
                <w:rFonts w:eastAsia="Times New Roman" w:cs="Calibri"/>
                <w:b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BEFBAAC" w14:textId="58AFE454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103.1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6D918C6" w14:textId="5297320B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103.4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19837EC" w14:textId="5B58DA85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102.8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77A64A53" w14:textId="4B88E064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102.8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17E3A14" w14:textId="1494C139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286E8B6" w14:textId="53D55816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104.2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2C9A409F" w14:textId="76217850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105.4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4ADD793" w14:textId="235968E7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105.0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C33E4A4" w14:textId="5E976EFB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548" w:type="dxa"/>
            <w:vAlign w:val="center"/>
          </w:tcPr>
          <w:p w14:paraId="3DD730EF" w14:textId="1D958BF1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548" w:type="dxa"/>
            <w:vAlign w:val="center"/>
          </w:tcPr>
          <w:p w14:paraId="7074E8F0" w14:textId="114EF46D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548" w:type="dxa"/>
          </w:tcPr>
          <w:p w14:paraId="08C9DAA2" w14:textId="77777777" w:rsidR="0073040E" w:rsidRPr="00F218DD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</w:p>
          <w:p w14:paraId="1160D8E8" w14:textId="42D51D31" w:rsidR="00F218DD" w:rsidRPr="00F218DD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</w:pPr>
            <w:r w:rsidRPr="00F218D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104.9</w:t>
            </w:r>
          </w:p>
        </w:tc>
      </w:tr>
      <w:tr w:rsidR="0073040E" w:rsidRPr="00E9792B" w14:paraId="3B0E2245" w14:textId="4B6DEDA9" w:rsidTr="00307453">
        <w:trPr>
          <w:trHeight w:val="303"/>
        </w:trPr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109AEDF" w14:textId="60E2EB0F" w:rsidR="0073040E" w:rsidRPr="00E9792B" w:rsidRDefault="0073040E" w:rsidP="003E78D8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246C1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Differences</w:t>
            </w:r>
            <w:proofErr w:type="spellEnd"/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B8699A6" w14:textId="31E83A01" w:rsidR="0073040E" w:rsidRPr="00E9792B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5C139DE" w14:textId="4AD8126A" w:rsidR="0073040E" w:rsidRPr="00E9792B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0D5B4D8" w14:textId="4EC95ABD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118788FB" w14:textId="3FECFD40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79EB5BD" w14:textId="2F693218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3EAEE21C" w14:textId="0E82110E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56252CD4" w14:textId="3D4E45C6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14:paraId="6B35A6FE" w14:textId="31E1FCAB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4544049" w14:textId="312F9BFA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  <w:vAlign w:val="center"/>
          </w:tcPr>
          <w:p w14:paraId="2F32D41D" w14:textId="0B36227E" w:rsidR="0073040E" w:rsidRPr="00E9792B" w:rsidRDefault="0073040E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548" w:type="dxa"/>
            <w:vAlign w:val="center"/>
          </w:tcPr>
          <w:p w14:paraId="4C001ABA" w14:textId="5876DD9B" w:rsidR="0073040E" w:rsidRPr="00E9792B" w:rsidRDefault="00F218DD" w:rsidP="00F218DD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.0</w:t>
            </w:r>
          </w:p>
        </w:tc>
        <w:tc>
          <w:tcPr>
            <w:tcW w:w="548" w:type="dxa"/>
          </w:tcPr>
          <w:p w14:paraId="53433AC5" w14:textId="75465BE7" w:rsidR="0073040E" w:rsidRDefault="00F218DD" w:rsidP="00F218DD">
            <w:pPr>
              <w:spacing w:before="6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</w:tr>
    </w:tbl>
    <w:p w14:paraId="28457C99" w14:textId="77777777" w:rsidR="00761152" w:rsidRDefault="00761152" w:rsidP="00761152">
      <w:pPr>
        <w:jc w:val="center"/>
        <w:rPr>
          <w:b/>
          <w:noProof/>
          <w:color w:val="001D77"/>
          <w:spacing w:val="-2"/>
          <w:sz w:val="16"/>
          <w:szCs w:val="16"/>
        </w:rPr>
      </w:pPr>
    </w:p>
    <w:p w14:paraId="68930BFD" w14:textId="21EA4051" w:rsidR="00120854" w:rsidRPr="00120854" w:rsidRDefault="001860D6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>
        <w:rPr>
          <w:lang w:val="en-US"/>
        </w:rPr>
        <w:lastRenderedPageBreak/>
        <w:t xml:space="preserve"> </w:t>
      </w:r>
      <w:r w:rsidR="00120854" w:rsidRPr="00120854">
        <w:rPr>
          <w:lang w:val="en-US"/>
        </w:rPr>
        <w:t>Graph</w:t>
      </w:r>
      <w:r w:rsidR="008D34C9" w:rsidRPr="00120854">
        <w:rPr>
          <w:lang w:val="en-US"/>
        </w:rPr>
        <w:t xml:space="preserve"> 1</w:t>
      </w:r>
      <w:r w:rsidR="008D34C9" w:rsidRPr="00120854">
        <w:rPr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Gross domestic product</w:t>
      </w:r>
      <w:r w:rsidR="00120854">
        <w:rPr>
          <w:bCs/>
          <w:shd w:val="clear" w:color="auto" w:fill="FFFFFF"/>
          <w:lang w:val="en-US"/>
        </w:rPr>
        <w:t xml:space="preserve"> </w:t>
      </w:r>
      <w:r w:rsidR="00120854" w:rsidRPr="00120854">
        <w:rPr>
          <w:bCs/>
          <w:shd w:val="clear" w:color="auto" w:fill="FFFFFF"/>
          <w:lang w:val="en-US"/>
        </w:rPr>
        <w:t>volume growth rate</w:t>
      </w:r>
      <w:r w:rsidR="00DC0F87">
        <w:rPr>
          <w:bCs/>
          <w:shd w:val="clear" w:color="auto" w:fill="FFFFFF"/>
          <w:lang w:val="en-US"/>
        </w:rPr>
        <w:t>,</w:t>
      </w:r>
      <w:r w:rsidR="00BC4E68">
        <w:rPr>
          <w:bCs/>
          <w:shd w:val="clear" w:color="auto" w:fill="FFFFFF"/>
          <w:lang w:val="en-US"/>
        </w:rPr>
        <w:br/>
      </w:r>
      <w:r w:rsidR="00DC0F87">
        <w:rPr>
          <w:bCs/>
          <w:shd w:val="clear" w:color="auto" w:fill="FFFFFF"/>
          <w:lang w:val="en-US"/>
        </w:rPr>
        <w:t>c</w:t>
      </w:r>
      <w:r w:rsidR="00120854" w:rsidRPr="00120854">
        <w:rPr>
          <w:bCs/>
          <w:shd w:val="clear" w:color="auto" w:fill="FFFFFF"/>
          <w:lang w:val="en-US"/>
        </w:rPr>
        <w:t>orresponding period of the previous year = 100</w:t>
      </w:r>
    </w:p>
    <w:p w14:paraId="48B8DF9E" w14:textId="7D2FDEFE" w:rsidR="006E5BAE" w:rsidRDefault="00943CD7" w:rsidP="00120854">
      <w:pPr>
        <w:pStyle w:val="tytuwykresu"/>
        <w:spacing w:before="240"/>
        <w:ind w:left="709" w:hanging="709"/>
        <w:rPr>
          <w:lang w:val="en-US"/>
        </w:rPr>
      </w:pPr>
      <w:r w:rsidRPr="00943CD7">
        <w:rPr>
          <w:noProof/>
          <w:lang w:eastAsia="pl-PL"/>
        </w:rPr>
        <w:drawing>
          <wp:anchor distT="0" distB="0" distL="114300" distR="114300" simplePos="0" relativeHeight="251761664" behindDoc="0" locked="0" layoutInCell="1" allowOverlap="1" wp14:anchorId="434DB3B9" wp14:editId="688596B5">
            <wp:simplePos x="0" y="0"/>
            <wp:positionH relativeFrom="column">
              <wp:posOffset>135899</wp:posOffset>
            </wp:positionH>
            <wp:positionV relativeFrom="paragraph">
              <wp:posOffset>180340</wp:posOffset>
            </wp:positionV>
            <wp:extent cx="4604400" cy="2718000"/>
            <wp:effectExtent l="0" t="0" r="5715" b="635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400" cy="27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4D31F" w14:textId="28631BD7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46D857EE" w14:textId="4B1B1CCC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74B21B07" w14:textId="3F4BCE68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6FC3D17A" w14:textId="779919AF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464831ED" w14:textId="41770BCA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5AB02DA2" w14:textId="75E1B0FD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33D38634" w14:textId="26B898E1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54D05760" w14:textId="4855FBD1" w:rsidR="00A2722D" w:rsidRDefault="00A2722D" w:rsidP="00120854">
      <w:pPr>
        <w:pStyle w:val="tytuwykresu"/>
        <w:spacing w:before="240"/>
        <w:ind w:left="709" w:hanging="709"/>
        <w:rPr>
          <w:lang w:val="en-US"/>
        </w:rPr>
      </w:pPr>
    </w:p>
    <w:p w14:paraId="220D1AEE" w14:textId="037EAD60" w:rsidR="00341181" w:rsidRDefault="00341181" w:rsidP="00120854">
      <w:pPr>
        <w:pStyle w:val="tytuwykresu"/>
        <w:spacing w:before="240"/>
        <w:ind w:left="709" w:hanging="709"/>
        <w:rPr>
          <w:lang w:val="en-US"/>
        </w:rPr>
      </w:pPr>
    </w:p>
    <w:p w14:paraId="3B90BB93" w14:textId="5D2AFA23" w:rsidR="00120854" w:rsidRDefault="00120854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120854">
        <w:rPr>
          <w:lang w:val="en-US"/>
        </w:rPr>
        <w:t>Graph</w:t>
      </w:r>
      <w:r w:rsidR="00470CEE" w:rsidRPr="00120854">
        <w:rPr>
          <w:lang w:val="en-US"/>
        </w:rPr>
        <w:t xml:space="preserve"> 2</w:t>
      </w:r>
      <w:r w:rsidR="00470CEE" w:rsidRPr="00120854"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Gross domestic product</w:t>
      </w:r>
      <w:r w:rsidR="00121F6D">
        <w:rPr>
          <w:bCs/>
          <w:shd w:val="clear" w:color="auto" w:fill="FFFFFF"/>
          <w:lang w:val="en-US"/>
        </w:rPr>
        <w:t>,</w:t>
      </w:r>
      <w:r w:rsidRPr="00120854">
        <w:rPr>
          <w:bCs/>
          <w:shd w:val="clear" w:color="auto" w:fill="FFFFFF"/>
          <w:lang w:val="en-US"/>
        </w:rPr>
        <w:t xml:space="preserve"> seasonally adjusted</w:t>
      </w:r>
      <w:r>
        <w:rPr>
          <w:shd w:val="clear" w:color="auto" w:fill="FFFFFF"/>
          <w:lang w:val="en-US"/>
        </w:rPr>
        <w:t xml:space="preserve"> </w:t>
      </w:r>
      <w:r w:rsidRPr="00120854">
        <w:rPr>
          <w:bCs/>
          <w:shd w:val="clear" w:color="auto" w:fill="FFFFFF"/>
          <w:lang w:val="en-US"/>
        </w:rPr>
        <w:t>volume growth rate</w:t>
      </w:r>
      <w:r w:rsidR="00DC0F87">
        <w:rPr>
          <w:bCs/>
          <w:shd w:val="clear" w:color="auto" w:fill="FFFFFF"/>
          <w:lang w:val="en-US"/>
        </w:rPr>
        <w:t>,</w:t>
      </w:r>
      <w:r>
        <w:rPr>
          <w:bCs/>
          <w:shd w:val="clear" w:color="auto" w:fill="FFFFFF"/>
          <w:lang w:val="en-US"/>
        </w:rPr>
        <w:br/>
      </w:r>
      <w:r w:rsidRPr="00120854">
        <w:rPr>
          <w:bCs/>
          <w:shd w:val="clear" w:color="auto" w:fill="FFFFFF"/>
          <w:lang w:val="en-US"/>
        </w:rPr>
        <w:t>the previous quarter = 100</w:t>
      </w:r>
    </w:p>
    <w:p w14:paraId="7CE783B4" w14:textId="60419B71" w:rsidR="00640778" w:rsidRDefault="00943CD7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  <w:r w:rsidRPr="00943CD7">
        <w:rPr>
          <w:noProof/>
          <w:lang w:eastAsia="pl-PL"/>
        </w:rPr>
        <w:drawing>
          <wp:anchor distT="0" distB="0" distL="114300" distR="114300" simplePos="0" relativeHeight="251762688" behindDoc="0" locked="0" layoutInCell="1" allowOverlap="1" wp14:anchorId="5AE7AB51" wp14:editId="02749CD5">
            <wp:simplePos x="0" y="0"/>
            <wp:positionH relativeFrom="column">
              <wp:posOffset>-90152</wp:posOffset>
            </wp:positionH>
            <wp:positionV relativeFrom="paragraph">
              <wp:posOffset>186073</wp:posOffset>
            </wp:positionV>
            <wp:extent cx="4874895" cy="2511425"/>
            <wp:effectExtent l="0" t="0" r="1905" b="3175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251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329B39" w14:textId="1D264569" w:rsidR="00640778" w:rsidRDefault="00640778" w:rsidP="00120854">
      <w:pPr>
        <w:pStyle w:val="tytuwykresu"/>
        <w:spacing w:before="240"/>
        <w:ind w:left="709" w:hanging="709"/>
        <w:rPr>
          <w:bCs/>
          <w:shd w:val="clear" w:color="auto" w:fill="FFFFFF"/>
          <w:lang w:val="en-US"/>
        </w:rPr>
      </w:pPr>
    </w:p>
    <w:p w14:paraId="4C7226F1" w14:textId="1130C4CE" w:rsidR="00B119FA" w:rsidRPr="00120854" w:rsidRDefault="00A60DAB" w:rsidP="00E76D26">
      <w:pPr>
        <w:rPr>
          <w:sz w:val="18"/>
          <w:lang w:val="en-US"/>
        </w:rPr>
        <w:sectPr w:rsidR="00B119FA" w:rsidRPr="00120854" w:rsidSect="00943CD7">
          <w:headerReference w:type="default" r:id="rId15"/>
          <w:headerReference w:type="first" r:id="rId16"/>
          <w:pgSz w:w="11906" w:h="16838"/>
          <w:pgMar w:top="206" w:right="3119" w:bottom="720" w:left="720" w:header="284" w:footer="397" w:gutter="0"/>
          <w:cols w:space="708"/>
          <w:titlePg/>
          <w:docGrid w:linePitch="360"/>
        </w:sect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16FACBC9">
                <wp:simplePos x="0" y="0"/>
                <wp:positionH relativeFrom="column">
                  <wp:posOffset>5265225</wp:posOffset>
                </wp:positionH>
                <wp:positionV relativeFrom="paragraph">
                  <wp:posOffset>335905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0" w14:textId="77777777"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4.6pt;margin-top:26.4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" filled="f" stroked="f">
                <v:textbox>
                  <w:txbxContent>
                    <w:p w14:paraId="5F87F220" w14:textId="77777777"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2B0022" w14:textId="77777777" w:rsidR="00FD37CD" w:rsidRPr="00120854" w:rsidRDefault="00FD37CD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40533C" w14:paraId="5F87F1E1" w14:textId="77777777" w:rsidTr="00E23337">
        <w:trPr>
          <w:trHeight w:val="1912"/>
        </w:trPr>
        <w:tc>
          <w:tcPr>
            <w:tcW w:w="4379" w:type="dxa"/>
          </w:tcPr>
          <w:p w14:paraId="488413D6" w14:textId="77777777" w:rsidR="0049634C" w:rsidRPr="006C7AC8" w:rsidRDefault="0049634C" w:rsidP="0049634C">
            <w:pPr>
              <w:spacing w:before="0" w:after="0" w:line="276" w:lineRule="auto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Prepared by :</w:t>
            </w:r>
          </w:p>
          <w:p w14:paraId="0DF9C8D8" w14:textId="77777777" w:rsidR="0049634C" w:rsidRPr="006C7AC8" w:rsidRDefault="0049634C" w:rsidP="0049634C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14:paraId="5F87F1DB" w14:textId="6F6A7DA5" w:rsidR="000470AA" w:rsidRPr="008F3638" w:rsidRDefault="0049634C" w:rsidP="0049634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proofErr w:type="spellStart"/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Ms</w:t>
            </w:r>
            <w:proofErr w:type="spellEnd"/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 Irmina </w:t>
            </w:r>
            <w:proofErr w:type="spellStart"/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Cerling</w:t>
            </w:r>
            <w:proofErr w:type="spellEnd"/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FD0C1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608 38 32</w:t>
            </w:r>
          </w:p>
          <w:p w14:paraId="5F87F1DC" w14:textId="5818102E"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D0C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FD0C1E" w:rsidRPr="00037937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14:paraId="273114B8" w14:textId="77777777" w:rsidR="0049634C" w:rsidRPr="006C7AC8" w:rsidRDefault="0049634C" w:rsidP="0049634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Dissemination :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Pr="00726EEF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The Spokesperson for the President of the Statistics Poland</w:t>
            </w:r>
            <w:r w:rsidRPr="00726EEF">
              <w:rPr>
                <w:rFonts w:ascii="Fira Sans" w:hAnsi="Fira Sans" w:cs="Arial"/>
                <w:b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20F49EB4" w14:textId="6363217E" w:rsidR="0049634C" w:rsidRPr="006C7AC8" w:rsidRDefault="0040533C" w:rsidP="0049634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 xml:space="preserve">Ms </w:t>
            </w:r>
            <w:r w:rsidR="0049634C"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>Karolina Dawidziuk</w:t>
            </w:r>
          </w:p>
          <w:p w14:paraId="5F87F1DF" w14:textId="3666ED6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89605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5F87F1E0" w14:textId="77777777" w:rsidR="000470AA" w:rsidRPr="00121F6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121F6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Pr="00121F6D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5F87F1E2" w14:textId="77777777" w:rsidR="000470AA" w:rsidRPr="00121F6D" w:rsidRDefault="000470AA" w:rsidP="000470AA">
      <w:pPr>
        <w:rPr>
          <w:sz w:val="20"/>
        </w:rPr>
      </w:pPr>
    </w:p>
    <w:p w14:paraId="5F87F1E3" w14:textId="77777777" w:rsidR="000470AA" w:rsidRPr="00121F6D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EBD5445" w14:textId="77777777" w:rsidR="0049634C" w:rsidRPr="006C7AC8" w:rsidRDefault="0049634C" w:rsidP="0049634C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10568F38" w14:textId="30788C9E" w:rsidR="0049634C" w:rsidRPr="006C7AC8" w:rsidRDefault="0049634C" w:rsidP="0049634C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tel.: +48 22 608 34 91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.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+48 22 608 38 04 </w:t>
            </w:r>
          </w:p>
          <w:p w14:paraId="63C11B01" w14:textId="60D7E156" w:rsidR="0049634C" w:rsidRPr="006C7AC8" w:rsidRDefault="0049634C" w:rsidP="0049634C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fax: +48 22 608 38 86 </w:t>
            </w:r>
          </w:p>
          <w:p w14:paraId="5F87F1E7" w14:textId="3C015975" w:rsidR="000470AA" w:rsidRPr="0038292F" w:rsidRDefault="0049634C" w:rsidP="0049634C">
            <w:pPr>
              <w:rPr>
                <w:sz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9" w:history="1">
              <w:r w:rsidRPr="0049634C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obslugaprasowa@stat.gov.p</w:t>
              </w:r>
            </w:hyperlink>
            <w:r w:rsidRPr="003E3C51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14:paraId="5F87F1E8" w14:textId="77777777"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71EEAC02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5F87F205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2B5D95E" w14:textId="77777777" w:rsidR="0049634C" w:rsidRPr="00E118FF" w:rsidRDefault="0049634C" w:rsidP="0049634C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14:paraId="000E909D" w14:textId="26C6A8B4" w:rsidR="00FD2225" w:rsidRPr="00A858D3" w:rsidRDefault="001C423F" w:rsidP="00FD22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Gross Domestic Product in the 3</w:t>
                            </w:r>
                            <w:r w:rsidRPr="001C423F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quarter of 2018. Preliminary estimate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  <w:tblCaption w:val="Quarterly national accounts Table"/>
                            </w:tblPr>
                            <w:tblGrid>
                              <w:gridCol w:w="81"/>
                              <w:gridCol w:w="81"/>
                            </w:tblGrid>
                            <w:tr w:rsidR="0049634C" w:rsidRPr="00D827C9" w14:paraId="7C7495AE" w14:textId="77777777" w:rsidTr="002A586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DD65F8D" w14:textId="77777777" w:rsidR="0049634C" w:rsidRPr="00912AEB" w:rsidRDefault="0049634C" w:rsidP="0049634C">
                                  <w:pPr>
                                    <w:spacing w:before="0"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41C4AF5" w14:textId="77777777" w:rsidR="0049634C" w:rsidRPr="00912AEB" w:rsidRDefault="0049634C" w:rsidP="0049634C">
                                  <w:pP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9F3E02" w14:textId="77777777" w:rsidR="0049634C" w:rsidRPr="00912AEB" w:rsidRDefault="0049634C" w:rsidP="0049634C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14:paraId="3B1A87B4" w14:textId="77777777" w:rsidR="0049634C" w:rsidRPr="00912AEB" w:rsidRDefault="00152E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14:paraId="03D4C7FB" w14:textId="77777777" w:rsidR="0049634C" w:rsidRPr="00912AEB" w:rsidRDefault="0049634C" w:rsidP="0049634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15089585" w14:textId="77777777" w:rsidR="0049634C" w:rsidRPr="00DC467F" w:rsidRDefault="0049634C" w:rsidP="0049634C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14:paraId="055CBEAD" w14:textId="77777777" w:rsidR="0049634C" w:rsidRPr="00912AEB" w:rsidRDefault="00152E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14:paraId="520B9E88" w14:textId="77777777" w:rsidR="0049634C" w:rsidRDefault="00152E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14:paraId="22CD9D47" w14:textId="77777777" w:rsidR="0049634C" w:rsidRPr="00685457" w:rsidRDefault="00152E2C" w:rsidP="0049634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49634C" w:rsidRPr="0011419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14:paraId="5F87F22F" w14:textId="77777777"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20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5F87F221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2B5D95E" w14:textId="77777777" w:rsidR="0049634C" w:rsidRPr="00E118FF" w:rsidRDefault="0049634C" w:rsidP="0049634C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14:paraId="000E909D" w14:textId="26C6A8B4" w:rsidR="00FD2225" w:rsidRPr="00A858D3" w:rsidRDefault="001C423F" w:rsidP="00FD22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Gross Domestic Product in the 3</w:t>
                      </w:r>
                      <w:r w:rsidRPr="001C423F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quarter of 2018. Preliminary estimate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  <w:tblCaption w:val="Quarterly national accounts Table"/>
                      </w:tblPr>
                      <w:tblGrid>
                        <w:gridCol w:w="81"/>
                        <w:gridCol w:w="81"/>
                      </w:tblGrid>
                      <w:tr w:rsidR="0049634C" w:rsidRPr="00D827C9" w14:paraId="7C7495AE" w14:textId="77777777" w:rsidTr="002A586E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DD65F8D" w14:textId="77777777" w:rsidR="0049634C" w:rsidRPr="00912AEB" w:rsidRDefault="0049634C" w:rsidP="0049634C">
                            <w:pPr>
                              <w:spacing w:before="0"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41C4AF5" w14:textId="77777777" w:rsidR="0049634C" w:rsidRPr="00912AEB" w:rsidRDefault="0049634C" w:rsidP="0049634C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F9F3E02" w14:textId="77777777" w:rsidR="0049634C" w:rsidRPr="00912AEB" w:rsidRDefault="0049634C" w:rsidP="0049634C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14:paraId="3B1A87B4" w14:textId="77777777" w:rsidR="0049634C" w:rsidRPr="00912AEB" w:rsidRDefault="00152E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14:paraId="03D4C7FB" w14:textId="77777777" w:rsidR="0049634C" w:rsidRPr="00912AEB" w:rsidRDefault="0049634C" w:rsidP="0049634C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15089585" w14:textId="77777777" w:rsidR="0049634C" w:rsidRPr="00DC467F" w:rsidRDefault="0049634C" w:rsidP="0049634C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14:paraId="055CBEAD" w14:textId="77777777" w:rsidR="0049634C" w:rsidRPr="00912AEB" w:rsidRDefault="00152E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14:paraId="520B9E88" w14:textId="77777777" w:rsidR="0049634C" w:rsidRDefault="00152E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14:paraId="22CD9D47" w14:textId="77777777" w:rsidR="0049634C" w:rsidRPr="00685457" w:rsidRDefault="00152E2C" w:rsidP="0049634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49634C" w:rsidRPr="0011419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14:paraId="5F87F22F" w14:textId="77777777"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98BC4" w14:textId="77777777" w:rsidR="00152E2C" w:rsidRDefault="00152E2C" w:rsidP="000662E2">
      <w:pPr>
        <w:spacing w:after="0" w:line="240" w:lineRule="auto"/>
      </w:pPr>
      <w:r>
        <w:separator/>
      </w:r>
    </w:p>
  </w:endnote>
  <w:endnote w:type="continuationSeparator" w:id="0">
    <w:p w14:paraId="629ECE00" w14:textId="77777777" w:rsidR="00152E2C" w:rsidRDefault="00152E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FA4A9" w14:textId="77777777" w:rsidR="00152E2C" w:rsidRDefault="00152E2C" w:rsidP="000662E2">
      <w:pPr>
        <w:spacing w:after="0" w:line="240" w:lineRule="auto"/>
      </w:pPr>
      <w:r>
        <w:separator/>
      </w:r>
    </w:p>
  </w:footnote>
  <w:footnote w:type="continuationSeparator" w:id="0">
    <w:p w14:paraId="1B14F7BD" w14:textId="77777777" w:rsidR="00152E2C" w:rsidRDefault="00152E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72BE7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6F3E3D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" fillcolor="#d9d9d9" stroked="f" strokeweight="1pt"/>
          </w:pict>
        </mc:Fallback>
      </mc:AlternateContent>
    </w:r>
  </w:p>
  <w:p w14:paraId="5F87F20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1F201" w14:textId="2AD28FFE" w:rsidR="00126B1F" w:rsidRDefault="0071633F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6CC6206">
              <wp:simplePos x="0" y="0"/>
              <wp:positionH relativeFrom="page">
                <wp:posOffset>5692864</wp:posOffset>
              </wp:positionH>
              <wp:positionV relativeFrom="paragraph">
                <wp:posOffset>567690</wp:posOffset>
              </wp:positionV>
              <wp:extent cx="1871980" cy="23290530"/>
              <wp:effectExtent l="0" t="0" r="0" b="7620"/>
              <wp:wrapTight wrapText="bothSides">
                <wp:wrapPolygon edited="0">
                  <wp:start x="0" y="0"/>
                  <wp:lineTo x="0" y="21589"/>
                  <wp:lineTo x="21322" y="21589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29053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2C9C9" id="Prostokąt 10" o:spid="_x0000_s1026" style="position:absolute;margin-left:448.25pt;margin-top:44.7pt;width:147.4pt;height:1833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" fillcolor="#d8d8d8 [2732]" stroked="f" strokeweight="1pt"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5F28568" wp14:editId="4074189C">
          <wp:extent cx="1867535" cy="701675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6B1F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C16CC6B">
              <wp:simplePos x="0" y="0"/>
              <wp:positionH relativeFrom="page">
                <wp:align>right</wp:align>
              </wp:positionH>
              <wp:positionV relativeFrom="paragraph">
                <wp:posOffset>212090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1297E99" w14:textId="77777777" w:rsidR="00AB5406" w:rsidRPr="003C6C8D" w:rsidRDefault="00AB5406" w:rsidP="00AB5406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Style w:val="shorttext"/>
                              <w:lang w:val="en"/>
                            </w:rPr>
                            <w:t>Signal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111.05pt;margin-top:16.7pt;width:162.25pt;height:28.15pt;flip:x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1297E99" w14:textId="77777777" w:rsidR="00AB5406" w:rsidRPr="003C6C8D" w:rsidRDefault="00AB5406" w:rsidP="00AB5406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Style w:val="shorttext"/>
                        <w:lang w:val="en"/>
                      </w:rPr>
                      <w:t>Signal information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F87F20D" w14:textId="1FD8D291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3A1C468B" w:rsidR="00F37172" w:rsidRPr="00C97596" w:rsidRDefault="00F222A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1633F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71633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3A1C468B" w:rsidR="00F37172" w:rsidRPr="00C97596" w:rsidRDefault="00F222A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1633F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71633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607CC5" w:rsidRDefault="00607CC5">
    <w:pPr>
      <w:pStyle w:val="Nagwek"/>
    </w:pPr>
  </w:p>
  <w:p w14:paraId="5F87F20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772"/>
    <w:rsid w:val="0000709F"/>
    <w:rsid w:val="000108B8"/>
    <w:rsid w:val="000152F5"/>
    <w:rsid w:val="00031CED"/>
    <w:rsid w:val="0004582E"/>
    <w:rsid w:val="000470AA"/>
    <w:rsid w:val="00057CA1"/>
    <w:rsid w:val="00062FB3"/>
    <w:rsid w:val="000662E2"/>
    <w:rsid w:val="00066883"/>
    <w:rsid w:val="00074DD8"/>
    <w:rsid w:val="000772ED"/>
    <w:rsid w:val="000806F7"/>
    <w:rsid w:val="0009213C"/>
    <w:rsid w:val="00094689"/>
    <w:rsid w:val="00096361"/>
    <w:rsid w:val="000A1539"/>
    <w:rsid w:val="000A1B0B"/>
    <w:rsid w:val="000B0727"/>
    <w:rsid w:val="000C135D"/>
    <w:rsid w:val="000C23E1"/>
    <w:rsid w:val="000D1D43"/>
    <w:rsid w:val="000D225C"/>
    <w:rsid w:val="000D2A5C"/>
    <w:rsid w:val="000E0918"/>
    <w:rsid w:val="000E421C"/>
    <w:rsid w:val="000E6618"/>
    <w:rsid w:val="001011C3"/>
    <w:rsid w:val="001036E7"/>
    <w:rsid w:val="001073D2"/>
    <w:rsid w:val="00110D87"/>
    <w:rsid w:val="00111EC2"/>
    <w:rsid w:val="00114DB9"/>
    <w:rsid w:val="00116087"/>
    <w:rsid w:val="0011642E"/>
    <w:rsid w:val="00120854"/>
    <w:rsid w:val="00121F6D"/>
    <w:rsid w:val="00123DC1"/>
    <w:rsid w:val="00126B1F"/>
    <w:rsid w:val="00130296"/>
    <w:rsid w:val="00131434"/>
    <w:rsid w:val="00132FAC"/>
    <w:rsid w:val="001423B6"/>
    <w:rsid w:val="001448A7"/>
    <w:rsid w:val="00146621"/>
    <w:rsid w:val="001501D5"/>
    <w:rsid w:val="00152273"/>
    <w:rsid w:val="00152E2C"/>
    <w:rsid w:val="001542BB"/>
    <w:rsid w:val="0016104F"/>
    <w:rsid w:val="00162325"/>
    <w:rsid w:val="00165FC9"/>
    <w:rsid w:val="00185EB3"/>
    <w:rsid w:val="001860D6"/>
    <w:rsid w:val="001951DA"/>
    <w:rsid w:val="001A2CAB"/>
    <w:rsid w:val="001B4C58"/>
    <w:rsid w:val="001B6F2F"/>
    <w:rsid w:val="001C3269"/>
    <w:rsid w:val="001C423F"/>
    <w:rsid w:val="001C4607"/>
    <w:rsid w:val="001D1DB4"/>
    <w:rsid w:val="00216218"/>
    <w:rsid w:val="00225B24"/>
    <w:rsid w:val="00246C1E"/>
    <w:rsid w:val="00253FB1"/>
    <w:rsid w:val="002574F9"/>
    <w:rsid w:val="00264291"/>
    <w:rsid w:val="00276811"/>
    <w:rsid w:val="00282699"/>
    <w:rsid w:val="0029186C"/>
    <w:rsid w:val="002926DF"/>
    <w:rsid w:val="00296697"/>
    <w:rsid w:val="002B0472"/>
    <w:rsid w:val="002B2C6F"/>
    <w:rsid w:val="002B3970"/>
    <w:rsid w:val="002B6B12"/>
    <w:rsid w:val="002C1740"/>
    <w:rsid w:val="002E0C25"/>
    <w:rsid w:val="002E6140"/>
    <w:rsid w:val="002E6985"/>
    <w:rsid w:val="002E71B6"/>
    <w:rsid w:val="002F77C8"/>
    <w:rsid w:val="00302435"/>
    <w:rsid w:val="00304F22"/>
    <w:rsid w:val="00306C7C"/>
    <w:rsid w:val="00307453"/>
    <w:rsid w:val="00322EDD"/>
    <w:rsid w:val="003246D2"/>
    <w:rsid w:val="00332320"/>
    <w:rsid w:val="003344B0"/>
    <w:rsid w:val="00335B3A"/>
    <w:rsid w:val="0034013D"/>
    <w:rsid w:val="00341181"/>
    <w:rsid w:val="00347D72"/>
    <w:rsid w:val="00357611"/>
    <w:rsid w:val="00367237"/>
    <w:rsid w:val="0037077F"/>
    <w:rsid w:val="00373882"/>
    <w:rsid w:val="0038292F"/>
    <w:rsid w:val="003843DB"/>
    <w:rsid w:val="00384C9F"/>
    <w:rsid w:val="00385926"/>
    <w:rsid w:val="00393761"/>
    <w:rsid w:val="00397D18"/>
    <w:rsid w:val="003A1B36"/>
    <w:rsid w:val="003B1454"/>
    <w:rsid w:val="003B3AD7"/>
    <w:rsid w:val="003B741A"/>
    <w:rsid w:val="003C59E0"/>
    <w:rsid w:val="003C634A"/>
    <w:rsid w:val="003C6C8D"/>
    <w:rsid w:val="003D4F95"/>
    <w:rsid w:val="003D5114"/>
    <w:rsid w:val="003D5F42"/>
    <w:rsid w:val="003D60A9"/>
    <w:rsid w:val="003F1A75"/>
    <w:rsid w:val="003F4C97"/>
    <w:rsid w:val="003F7FE6"/>
    <w:rsid w:val="00400193"/>
    <w:rsid w:val="0040533C"/>
    <w:rsid w:val="00414369"/>
    <w:rsid w:val="00417F49"/>
    <w:rsid w:val="004212E7"/>
    <w:rsid w:val="0042446D"/>
    <w:rsid w:val="00427BF8"/>
    <w:rsid w:val="00431C02"/>
    <w:rsid w:val="00437395"/>
    <w:rsid w:val="00440C51"/>
    <w:rsid w:val="00445047"/>
    <w:rsid w:val="004479C0"/>
    <w:rsid w:val="00463E39"/>
    <w:rsid w:val="004657FC"/>
    <w:rsid w:val="00470CEE"/>
    <w:rsid w:val="00471179"/>
    <w:rsid w:val="004733F6"/>
    <w:rsid w:val="00474E69"/>
    <w:rsid w:val="0048305B"/>
    <w:rsid w:val="0049158F"/>
    <w:rsid w:val="004916D2"/>
    <w:rsid w:val="0049578A"/>
    <w:rsid w:val="0049621B"/>
    <w:rsid w:val="0049634C"/>
    <w:rsid w:val="004C1895"/>
    <w:rsid w:val="004C4E39"/>
    <w:rsid w:val="004C6D40"/>
    <w:rsid w:val="004C7BD0"/>
    <w:rsid w:val="004D37DF"/>
    <w:rsid w:val="004D7B8F"/>
    <w:rsid w:val="004F0C3C"/>
    <w:rsid w:val="004F63FC"/>
    <w:rsid w:val="005026F8"/>
    <w:rsid w:val="0050356E"/>
    <w:rsid w:val="00505A92"/>
    <w:rsid w:val="005203F1"/>
    <w:rsid w:val="00521BC3"/>
    <w:rsid w:val="00533632"/>
    <w:rsid w:val="005402B7"/>
    <w:rsid w:val="0054251F"/>
    <w:rsid w:val="00543743"/>
    <w:rsid w:val="00550618"/>
    <w:rsid w:val="005520D8"/>
    <w:rsid w:val="00556CF1"/>
    <w:rsid w:val="0056083F"/>
    <w:rsid w:val="005762A7"/>
    <w:rsid w:val="00586228"/>
    <w:rsid w:val="005916D7"/>
    <w:rsid w:val="005A698C"/>
    <w:rsid w:val="005C49AF"/>
    <w:rsid w:val="005D2A63"/>
    <w:rsid w:val="005E0799"/>
    <w:rsid w:val="005F5A80"/>
    <w:rsid w:val="006044FF"/>
    <w:rsid w:val="00607CC5"/>
    <w:rsid w:val="00616189"/>
    <w:rsid w:val="00633014"/>
    <w:rsid w:val="0063437B"/>
    <w:rsid w:val="00640778"/>
    <w:rsid w:val="0065389A"/>
    <w:rsid w:val="006673CA"/>
    <w:rsid w:val="00667B4A"/>
    <w:rsid w:val="00667ED0"/>
    <w:rsid w:val="00673C26"/>
    <w:rsid w:val="006812AF"/>
    <w:rsid w:val="0068327D"/>
    <w:rsid w:val="00690893"/>
    <w:rsid w:val="00694AF0"/>
    <w:rsid w:val="00695E23"/>
    <w:rsid w:val="006B0E9E"/>
    <w:rsid w:val="006B18B5"/>
    <w:rsid w:val="006B5AE4"/>
    <w:rsid w:val="006C0E1A"/>
    <w:rsid w:val="006C514A"/>
    <w:rsid w:val="006D4054"/>
    <w:rsid w:val="006D49AB"/>
    <w:rsid w:val="006E02EC"/>
    <w:rsid w:val="006E0939"/>
    <w:rsid w:val="006E25C2"/>
    <w:rsid w:val="006E5BAE"/>
    <w:rsid w:val="00700BD6"/>
    <w:rsid w:val="0071633F"/>
    <w:rsid w:val="007211B1"/>
    <w:rsid w:val="00726EEF"/>
    <w:rsid w:val="00727807"/>
    <w:rsid w:val="0073040E"/>
    <w:rsid w:val="00746187"/>
    <w:rsid w:val="00747BF9"/>
    <w:rsid w:val="00761152"/>
    <w:rsid w:val="0076254F"/>
    <w:rsid w:val="007801F5"/>
    <w:rsid w:val="00783CA4"/>
    <w:rsid w:val="007842FB"/>
    <w:rsid w:val="00786124"/>
    <w:rsid w:val="0079514B"/>
    <w:rsid w:val="00796140"/>
    <w:rsid w:val="007A2DC1"/>
    <w:rsid w:val="007A4EF4"/>
    <w:rsid w:val="007C2125"/>
    <w:rsid w:val="007C3FC5"/>
    <w:rsid w:val="007C5AEF"/>
    <w:rsid w:val="007D3319"/>
    <w:rsid w:val="007D335D"/>
    <w:rsid w:val="007D3903"/>
    <w:rsid w:val="007D544C"/>
    <w:rsid w:val="007E3314"/>
    <w:rsid w:val="007E46AC"/>
    <w:rsid w:val="007E4B03"/>
    <w:rsid w:val="007F324B"/>
    <w:rsid w:val="007F4994"/>
    <w:rsid w:val="0080553C"/>
    <w:rsid w:val="00805B46"/>
    <w:rsid w:val="00821DD3"/>
    <w:rsid w:val="00824B72"/>
    <w:rsid w:val="00825DC2"/>
    <w:rsid w:val="00831695"/>
    <w:rsid w:val="00834AD3"/>
    <w:rsid w:val="008430FF"/>
    <w:rsid w:val="00843795"/>
    <w:rsid w:val="00847F0F"/>
    <w:rsid w:val="00852448"/>
    <w:rsid w:val="00876E05"/>
    <w:rsid w:val="00880AD4"/>
    <w:rsid w:val="0088258A"/>
    <w:rsid w:val="00886332"/>
    <w:rsid w:val="00886C7C"/>
    <w:rsid w:val="0089605F"/>
    <w:rsid w:val="008A26D9"/>
    <w:rsid w:val="008B5A4B"/>
    <w:rsid w:val="008C0C29"/>
    <w:rsid w:val="008D093C"/>
    <w:rsid w:val="008D34C9"/>
    <w:rsid w:val="008E60E4"/>
    <w:rsid w:val="008F069B"/>
    <w:rsid w:val="008F3638"/>
    <w:rsid w:val="008F6F31"/>
    <w:rsid w:val="008F74DF"/>
    <w:rsid w:val="009127BA"/>
    <w:rsid w:val="00914AE2"/>
    <w:rsid w:val="009227A6"/>
    <w:rsid w:val="00927B26"/>
    <w:rsid w:val="00933EC1"/>
    <w:rsid w:val="00941C94"/>
    <w:rsid w:val="00943CD7"/>
    <w:rsid w:val="009530DB"/>
    <w:rsid w:val="00953676"/>
    <w:rsid w:val="00955F64"/>
    <w:rsid w:val="00956C93"/>
    <w:rsid w:val="009705EE"/>
    <w:rsid w:val="00977927"/>
    <w:rsid w:val="0098135C"/>
    <w:rsid w:val="0098156A"/>
    <w:rsid w:val="00991BAC"/>
    <w:rsid w:val="009A08F7"/>
    <w:rsid w:val="009A6EA0"/>
    <w:rsid w:val="009C09B5"/>
    <w:rsid w:val="009C1335"/>
    <w:rsid w:val="009C1AB2"/>
    <w:rsid w:val="009C7251"/>
    <w:rsid w:val="009D3D99"/>
    <w:rsid w:val="009E2E91"/>
    <w:rsid w:val="009E4A64"/>
    <w:rsid w:val="00A01279"/>
    <w:rsid w:val="00A139F5"/>
    <w:rsid w:val="00A26B26"/>
    <w:rsid w:val="00A2722D"/>
    <w:rsid w:val="00A32A01"/>
    <w:rsid w:val="00A334DB"/>
    <w:rsid w:val="00A365F4"/>
    <w:rsid w:val="00A45A68"/>
    <w:rsid w:val="00A47D80"/>
    <w:rsid w:val="00A53132"/>
    <w:rsid w:val="00A563F2"/>
    <w:rsid w:val="00A566E8"/>
    <w:rsid w:val="00A60DAB"/>
    <w:rsid w:val="00A67688"/>
    <w:rsid w:val="00A810F9"/>
    <w:rsid w:val="00A8372D"/>
    <w:rsid w:val="00A858D3"/>
    <w:rsid w:val="00A86ECC"/>
    <w:rsid w:val="00A86FCC"/>
    <w:rsid w:val="00A91D37"/>
    <w:rsid w:val="00AA710D"/>
    <w:rsid w:val="00AB317B"/>
    <w:rsid w:val="00AB5406"/>
    <w:rsid w:val="00AB6D25"/>
    <w:rsid w:val="00AC6A4B"/>
    <w:rsid w:val="00AE2D4B"/>
    <w:rsid w:val="00AE4F99"/>
    <w:rsid w:val="00AF74BD"/>
    <w:rsid w:val="00B119FA"/>
    <w:rsid w:val="00B14952"/>
    <w:rsid w:val="00B17305"/>
    <w:rsid w:val="00B31E5A"/>
    <w:rsid w:val="00B3705D"/>
    <w:rsid w:val="00B6357D"/>
    <w:rsid w:val="00B653AB"/>
    <w:rsid w:val="00B65F9E"/>
    <w:rsid w:val="00B66B19"/>
    <w:rsid w:val="00B914E9"/>
    <w:rsid w:val="00B956EE"/>
    <w:rsid w:val="00BA2679"/>
    <w:rsid w:val="00BA2BA1"/>
    <w:rsid w:val="00BA5630"/>
    <w:rsid w:val="00BB18E8"/>
    <w:rsid w:val="00BB34F3"/>
    <w:rsid w:val="00BB4F09"/>
    <w:rsid w:val="00BC4E68"/>
    <w:rsid w:val="00BD3D40"/>
    <w:rsid w:val="00BD4E33"/>
    <w:rsid w:val="00C030DE"/>
    <w:rsid w:val="00C22105"/>
    <w:rsid w:val="00C244B6"/>
    <w:rsid w:val="00C31967"/>
    <w:rsid w:val="00C3702F"/>
    <w:rsid w:val="00C6453E"/>
    <w:rsid w:val="00C64A37"/>
    <w:rsid w:val="00C64DD8"/>
    <w:rsid w:val="00C7158E"/>
    <w:rsid w:val="00C7250B"/>
    <w:rsid w:val="00C7346B"/>
    <w:rsid w:val="00C77C0E"/>
    <w:rsid w:val="00C87D9F"/>
    <w:rsid w:val="00C91687"/>
    <w:rsid w:val="00C924A8"/>
    <w:rsid w:val="00C945FE"/>
    <w:rsid w:val="00C96FAA"/>
    <w:rsid w:val="00C97A04"/>
    <w:rsid w:val="00CA107B"/>
    <w:rsid w:val="00CA484D"/>
    <w:rsid w:val="00CB53BC"/>
    <w:rsid w:val="00CC739E"/>
    <w:rsid w:val="00CD58B7"/>
    <w:rsid w:val="00CE0973"/>
    <w:rsid w:val="00CF4099"/>
    <w:rsid w:val="00D00796"/>
    <w:rsid w:val="00D226AD"/>
    <w:rsid w:val="00D261A2"/>
    <w:rsid w:val="00D34EC5"/>
    <w:rsid w:val="00D54A72"/>
    <w:rsid w:val="00D616D2"/>
    <w:rsid w:val="00D63B5F"/>
    <w:rsid w:val="00D70EF7"/>
    <w:rsid w:val="00D778D5"/>
    <w:rsid w:val="00D827C9"/>
    <w:rsid w:val="00D8397C"/>
    <w:rsid w:val="00D94EED"/>
    <w:rsid w:val="00D96026"/>
    <w:rsid w:val="00DA7C1C"/>
    <w:rsid w:val="00DB09A4"/>
    <w:rsid w:val="00DB147A"/>
    <w:rsid w:val="00DB1B7A"/>
    <w:rsid w:val="00DB24F1"/>
    <w:rsid w:val="00DB42D7"/>
    <w:rsid w:val="00DB562E"/>
    <w:rsid w:val="00DC01A5"/>
    <w:rsid w:val="00DC0F87"/>
    <w:rsid w:val="00DC6708"/>
    <w:rsid w:val="00DD0680"/>
    <w:rsid w:val="00DF2B37"/>
    <w:rsid w:val="00E01436"/>
    <w:rsid w:val="00E045BD"/>
    <w:rsid w:val="00E11DD3"/>
    <w:rsid w:val="00E14C3C"/>
    <w:rsid w:val="00E17B77"/>
    <w:rsid w:val="00E23337"/>
    <w:rsid w:val="00E259EA"/>
    <w:rsid w:val="00E25FC7"/>
    <w:rsid w:val="00E32061"/>
    <w:rsid w:val="00E42FF9"/>
    <w:rsid w:val="00E43971"/>
    <w:rsid w:val="00E4714C"/>
    <w:rsid w:val="00E51AEB"/>
    <w:rsid w:val="00E522A7"/>
    <w:rsid w:val="00E54452"/>
    <w:rsid w:val="00E6298C"/>
    <w:rsid w:val="00E664C5"/>
    <w:rsid w:val="00E671A2"/>
    <w:rsid w:val="00E733DB"/>
    <w:rsid w:val="00E76D26"/>
    <w:rsid w:val="00E82CD8"/>
    <w:rsid w:val="00EB1390"/>
    <w:rsid w:val="00EB2C71"/>
    <w:rsid w:val="00EB4340"/>
    <w:rsid w:val="00EB556D"/>
    <w:rsid w:val="00EB55A0"/>
    <w:rsid w:val="00EB5A7D"/>
    <w:rsid w:val="00ED3432"/>
    <w:rsid w:val="00ED55C0"/>
    <w:rsid w:val="00ED682B"/>
    <w:rsid w:val="00EE41D5"/>
    <w:rsid w:val="00F037A4"/>
    <w:rsid w:val="00F218DD"/>
    <w:rsid w:val="00F222AF"/>
    <w:rsid w:val="00F27C8F"/>
    <w:rsid w:val="00F32749"/>
    <w:rsid w:val="00F37172"/>
    <w:rsid w:val="00F4477E"/>
    <w:rsid w:val="00F44911"/>
    <w:rsid w:val="00F514A4"/>
    <w:rsid w:val="00F5393E"/>
    <w:rsid w:val="00F67D8F"/>
    <w:rsid w:val="00F728FF"/>
    <w:rsid w:val="00F802BE"/>
    <w:rsid w:val="00F86024"/>
    <w:rsid w:val="00F8611A"/>
    <w:rsid w:val="00F92945"/>
    <w:rsid w:val="00FA10DC"/>
    <w:rsid w:val="00FA5128"/>
    <w:rsid w:val="00FB42D4"/>
    <w:rsid w:val="00FB5906"/>
    <w:rsid w:val="00FB762F"/>
    <w:rsid w:val="00FC2AED"/>
    <w:rsid w:val="00FD0C1E"/>
    <w:rsid w:val="00FD2225"/>
    <w:rsid w:val="00FD37CD"/>
    <w:rsid w:val="00FD5EA7"/>
    <w:rsid w:val="00FD5F28"/>
    <w:rsid w:val="00FF1FB2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30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8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AB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en/metainformations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i.cerling@stat.gov.pl" TargetMode="External"/><Relationship Id="rId25" Type="http://schemas.openxmlformats.org/officeDocument/2006/relationships/hyperlink" Target="http://stat.gov.pl/en/metainformations/glossary/terms-used-in-official-statistics/563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56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metainformations/glossary/terms-used-in-official-statistics/364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waid.stat.gov.pl/EN/SitePagesDBW/RachunkiNarodowe.aspx" TargetMode="External"/><Relationship Id="rId28" Type="http://schemas.openxmlformats.org/officeDocument/2006/relationships/hyperlink" Target="http://stat.gov.pl/en/metainformations/glossary/terms-used-in-official-statistics/364,ter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8.png"/><Relationship Id="rId27" Type="http://schemas.openxmlformats.org/officeDocument/2006/relationships/hyperlink" Target="http://swaid.stat.gov.pl/EN/SitePagesDBW/RachunkiNarodowe.aspx" TargetMode="External"/><Relationship Id="rId30" Type="http://schemas.openxmlformats.org/officeDocument/2006/relationships/hyperlink" Target="http://stat.gov.pl/en/metainformations/glossary/terms-used-in-official-statistics/6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ECDF6-C65C-4FA2-8B12-C5C0CBBB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Koniecki Krzysztof</dc:creator>
  <cp:keywords/>
  <dc:description/>
  <cp:lastModifiedBy>Żołynia Marcin</cp:lastModifiedBy>
  <cp:revision>2</cp:revision>
  <cp:lastPrinted>2019-02-13T13:46:00Z</cp:lastPrinted>
  <dcterms:created xsi:type="dcterms:W3CDTF">2019-02-14T08:43:00Z</dcterms:created>
  <dcterms:modified xsi:type="dcterms:W3CDTF">2019-02-14T08:43:00Z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