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FF2C0B" w:rsidRDefault="00DB472B" w:rsidP="00074DD8">
      <w:pPr>
        <w:pStyle w:val="tytuinformacji"/>
        <w:rPr>
          <w:szCs w:val="40"/>
          <w:shd w:val="clear" w:color="auto" w:fill="FFFFFF"/>
          <w:lang w:val="en-US"/>
        </w:rPr>
      </w:pPr>
      <w:r w:rsidRPr="00FF2C0B">
        <w:rPr>
          <w:rFonts w:cs="Arial"/>
          <w:lang w:val="en-US"/>
        </w:rPr>
        <w:t>R</w:t>
      </w:r>
      <w:r w:rsidR="000A3BE8" w:rsidRPr="00FF2C0B">
        <w:rPr>
          <w:rFonts w:cs="Arial"/>
          <w:lang w:val="en-US"/>
        </w:rPr>
        <w:t xml:space="preserve">etail sales </w:t>
      </w:r>
      <w:r w:rsidR="00B71522" w:rsidRPr="00FF2C0B">
        <w:rPr>
          <w:rFonts w:cs="Arial"/>
          <w:lang w:val="en-US"/>
        </w:rPr>
        <w:t xml:space="preserve">index </w:t>
      </w:r>
      <w:r w:rsidR="005934DA" w:rsidRPr="00FF2C0B">
        <w:rPr>
          <w:rFonts w:cs="Arial"/>
          <w:lang w:val="en-US"/>
        </w:rPr>
        <w:t>–</w:t>
      </w:r>
      <w:r w:rsidR="00B71522" w:rsidRPr="00FF2C0B">
        <w:rPr>
          <w:rFonts w:cs="Arial"/>
          <w:lang w:val="en-US"/>
        </w:rPr>
        <w:t xml:space="preserve"> </w:t>
      </w:r>
      <w:r w:rsidR="004A08CE" w:rsidRPr="00FF2C0B">
        <w:rPr>
          <w:rFonts w:cs="Arial"/>
          <w:lang w:val="en-US"/>
        </w:rPr>
        <w:t>January</w:t>
      </w:r>
      <w:r w:rsidR="005934DA" w:rsidRPr="00FF2C0B">
        <w:rPr>
          <w:rFonts w:cs="Arial"/>
          <w:lang w:val="en-US"/>
        </w:rPr>
        <w:t xml:space="preserve"> </w:t>
      </w:r>
      <w:r w:rsidR="00D13520" w:rsidRPr="00FF2C0B">
        <w:rPr>
          <w:rFonts w:cs="Arial"/>
          <w:szCs w:val="40"/>
          <w:lang w:val="en-US"/>
        </w:rPr>
        <w:t>201</w:t>
      </w:r>
      <w:r w:rsidR="004A08CE" w:rsidRPr="00FF2C0B">
        <w:rPr>
          <w:rFonts w:cs="Arial"/>
          <w:szCs w:val="40"/>
          <w:lang w:val="en-US"/>
        </w:rPr>
        <w:t>9</w:t>
      </w:r>
    </w:p>
    <w:p w:rsidR="00393761" w:rsidRPr="000A3BE8" w:rsidRDefault="00C5455E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<v:textbox>
              <w:txbxContent>
                <w:p w:rsidR="00234F14" w:rsidRPr="00995BE7" w:rsidRDefault="00234F14" w:rsidP="00074DD8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In January 2019, the growth rate of </w:t>
                  </w:r>
                  <w:r w:rsidRPr="00995BE7">
                    <w:rPr>
                      <w:lang w:val="en-US"/>
                    </w:rPr>
                    <w:t xml:space="preserve">retail sales </w:t>
                  </w:r>
                  <w:r>
                    <w:rPr>
                      <w:lang w:val="en-US"/>
                    </w:rPr>
                    <w:t>at</w:t>
                  </w:r>
                  <w:r w:rsidRPr="00995BE7">
                    <w:rPr>
                      <w:lang w:val="en-US"/>
                    </w:rPr>
                    <w:t xml:space="preserve"> constant prices </w:t>
                  </w:r>
                  <w:r>
                    <w:rPr>
                      <w:lang w:val="en-US"/>
                    </w:rPr>
                    <w:t xml:space="preserve">y/y was higher by 1.3 </w:t>
                  </w:r>
                  <w:r w:rsidRPr="00515342">
                    <w:rPr>
                      <w:lang w:val="en-US"/>
                    </w:rPr>
                    <w:t>pp</w:t>
                  </w:r>
                  <w:r>
                    <w:rPr>
                      <w:lang w:val="en-US"/>
                    </w:rPr>
                    <w:t xml:space="preserve"> than in December 2018</w:t>
                  </w:r>
                </w:p>
              </w:txbxContent>
            </v:textbox>
            <w10:wrap type="tight"/>
          </v:shape>
        </w:pict>
      </w:r>
    </w:p>
    <w:p w:rsidR="005737E1" w:rsidRPr="00FA130D" w:rsidRDefault="00C5455E" w:rsidP="00FA130D">
      <w:pPr>
        <w:pStyle w:val="LID"/>
        <w:rPr>
          <w:lang w:val="en-US"/>
        </w:rPr>
      </w:pPr>
      <w:r>
        <w:pict>
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>
              <w:txbxContent>
                <w:p w:rsidR="00234F14" w:rsidRPr="0006357B" w:rsidRDefault="00234F14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42900" cy="333375"/>
                        <wp:effectExtent l="0" t="0" r="0" b="9525"/>
                        <wp:docPr id="4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357B">
                    <w:rPr>
                      <w:noProof/>
                      <w:color w:val="001D77"/>
                      <w:lang w:val="en-US" w:eastAsia="pl-PL"/>
                    </w:rPr>
                    <w:t xml:space="preserve"> </w:t>
                  </w:r>
                  <w:r w:rsidRPr="0006357B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10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5</w:t>
                  </w:r>
                  <w:r w:rsidRPr="0006357B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.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2</w:t>
                  </w:r>
                </w:p>
                <w:p w:rsidR="00234F14" w:rsidRPr="00D13520" w:rsidRDefault="00234F14" w:rsidP="009B5393">
                  <w:pPr>
                    <w:pStyle w:val="tekstnaniebieskimtle"/>
                    <w:jc w:val="center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>
                    <w:rPr>
                      <w:lang w:val="en-US"/>
                    </w:rPr>
                    <w:t>Retail sales index y/y</w:t>
                  </w:r>
                </w:p>
              </w:txbxContent>
            </v:textbox>
            <w10:wrap type="square" anchorx="margin"/>
          </v:shape>
        </w:pict>
      </w:r>
      <w:r w:rsidR="003910EE" w:rsidRPr="003910EE">
        <w:rPr>
          <w:rFonts w:cs="Arial"/>
          <w:lang w:val="en-US"/>
        </w:rPr>
        <w:t xml:space="preserve">In </w:t>
      </w:r>
      <w:r w:rsidR="00543644">
        <w:rPr>
          <w:rFonts w:cs="Arial"/>
          <w:lang w:val="en-US"/>
        </w:rPr>
        <w:t>January</w:t>
      </w:r>
      <w:r w:rsidR="007D794B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201</w:t>
      </w:r>
      <w:r w:rsidR="00543644">
        <w:rPr>
          <w:rFonts w:cs="Arial"/>
          <w:lang w:val="en-US"/>
        </w:rPr>
        <w:t>9</w:t>
      </w:r>
      <w:r w:rsidR="003910EE" w:rsidRPr="003910EE">
        <w:rPr>
          <w:rFonts w:cs="Arial"/>
          <w:lang w:val="en-US"/>
        </w:rPr>
        <w:t xml:space="preserve">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F077CC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constant prices</w:t>
      </w:r>
      <w:r w:rsidR="0002661D">
        <w:rPr>
          <w:rStyle w:val="Odwoanieprzypisudolnego"/>
          <w:rFonts w:cs="Arial"/>
          <w:lang w:val="en-US"/>
        </w:rPr>
        <w:footnoteReference w:id="2"/>
      </w:r>
      <w:r w:rsidR="00517462">
        <w:rPr>
          <w:rFonts w:cs="Arial"/>
          <w:lang w:val="en-US"/>
        </w:rPr>
        <w:t xml:space="preserve"> were</w:t>
      </w:r>
      <w:r w:rsidR="001A40AB">
        <w:rPr>
          <w:rFonts w:cs="Arial"/>
          <w:lang w:val="en-US"/>
        </w:rPr>
        <w:t xml:space="preserve"> by </w:t>
      </w:r>
      <w:r w:rsidR="00360F78">
        <w:rPr>
          <w:rFonts w:cs="Arial"/>
          <w:lang w:val="en-US"/>
        </w:rPr>
        <w:t>5</w:t>
      </w:r>
      <w:r w:rsidR="001A40AB">
        <w:rPr>
          <w:rFonts w:cs="Arial"/>
          <w:lang w:val="en-US"/>
        </w:rPr>
        <w:t>.</w:t>
      </w:r>
      <w:r w:rsidR="00360F78">
        <w:rPr>
          <w:rFonts w:cs="Arial"/>
          <w:lang w:val="en-US"/>
        </w:rPr>
        <w:t>2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 xml:space="preserve">higher than the year before (against a growth of </w:t>
      </w:r>
      <w:r w:rsidR="00487227">
        <w:rPr>
          <w:rFonts w:cs="Arial"/>
          <w:lang w:val="en-US"/>
        </w:rPr>
        <w:t>7</w:t>
      </w:r>
      <w:r w:rsidR="008A0000">
        <w:rPr>
          <w:rFonts w:cs="Arial"/>
          <w:lang w:val="en-US"/>
        </w:rPr>
        <w:t>.</w:t>
      </w:r>
      <w:r w:rsidR="00487227">
        <w:rPr>
          <w:rFonts w:cs="Arial"/>
          <w:lang w:val="en-US"/>
        </w:rPr>
        <w:t>7</w:t>
      </w:r>
      <w:r w:rsidR="004B784E">
        <w:rPr>
          <w:rFonts w:cs="Arial"/>
          <w:lang w:val="en-US"/>
        </w:rPr>
        <w:t>% in</w:t>
      </w:r>
      <w:r w:rsidR="004F07EA">
        <w:rPr>
          <w:rFonts w:cs="Arial"/>
          <w:lang w:val="en-US"/>
        </w:rPr>
        <w:t xml:space="preserve"> </w:t>
      </w:r>
      <w:r w:rsidR="00487227">
        <w:rPr>
          <w:rFonts w:cs="Arial"/>
          <w:lang w:val="en-US"/>
        </w:rPr>
        <w:t>January</w:t>
      </w:r>
      <w:r w:rsidR="004B784E">
        <w:rPr>
          <w:rFonts w:cs="Arial"/>
          <w:lang w:val="en-US"/>
        </w:rPr>
        <w:t xml:space="preserve"> 201</w:t>
      </w:r>
      <w:r w:rsidR="00724031">
        <w:rPr>
          <w:rFonts w:cs="Arial"/>
          <w:lang w:val="en-US"/>
        </w:rPr>
        <w:t>8</w:t>
      </w:r>
      <w:r w:rsidR="004B784E">
        <w:rPr>
          <w:rFonts w:cs="Arial"/>
          <w:lang w:val="en-US"/>
        </w:rPr>
        <w:t>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2B5519">
        <w:rPr>
          <w:lang w:val="en-US"/>
        </w:rPr>
        <w:t xml:space="preserve">Compared with </w:t>
      </w:r>
      <w:r w:rsidR="00AC5E9B">
        <w:rPr>
          <w:lang w:val="en-US"/>
        </w:rPr>
        <w:t>December</w:t>
      </w:r>
      <w:r w:rsidR="002B5519">
        <w:rPr>
          <w:lang w:val="en-US"/>
        </w:rPr>
        <w:t xml:space="preserve"> </w:t>
      </w:r>
      <w:r w:rsidR="00EA5ED1">
        <w:rPr>
          <w:lang w:val="en-US"/>
        </w:rPr>
        <w:t xml:space="preserve">2018 </w:t>
      </w:r>
      <w:r w:rsidR="002B5519">
        <w:rPr>
          <w:lang w:val="en-US"/>
        </w:rPr>
        <w:t>retai</w:t>
      </w:r>
      <w:r w:rsidR="00120842">
        <w:rPr>
          <w:lang w:val="en-US"/>
        </w:rPr>
        <w:t>l</w:t>
      </w:r>
      <w:r w:rsidR="002B5519">
        <w:rPr>
          <w:lang w:val="en-US"/>
        </w:rPr>
        <w:t xml:space="preserve"> sales </w:t>
      </w:r>
      <w:r w:rsidR="00AC5E9B">
        <w:rPr>
          <w:lang w:val="en-US"/>
        </w:rPr>
        <w:t>de</w:t>
      </w:r>
      <w:r w:rsidR="002B5519">
        <w:rPr>
          <w:lang w:val="en-US"/>
        </w:rPr>
        <w:t xml:space="preserve">creased by </w:t>
      </w:r>
      <w:r w:rsidR="00EA5ED1">
        <w:rPr>
          <w:lang w:val="en-US"/>
        </w:rPr>
        <w:t>1</w:t>
      </w:r>
      <w:r w:rsidR="00AC5E9B">
        <w:rPr>
          <w:lang w:val="en-US"/>
        </w:rPr>
        <w:t>8</w:t>
      </w:r>
      <w:r w:rsidR="002B5519">
        <w:rPr>
          <w:lang w:val="en-US"/>
        </w:rPr>
        <w:t>.</w:t>
      </w:r>
      <w:r w:rsidR="00AC5E9B">
        <w:rPr>
          <w:lang w:val="en-US"/>
        </w:rPr>
        <w:t>9</w:t>
      </w:r>
      <w:r w:rsidR="002B5519">
        <w:rPr>
          <w:lang w:val="en-US"/>
        </w:rPr>
        <w:t>%.</w:t>
      </w:r>
    </w:p>
    <w:p w:rsidR="002D294F" w:rsidRDefault="002D294F" w:rsidP="00074DD8">
      <w:pPr>
        <w:pStyle w:val="Nagwek1"/>
        <w:rPr>
          <w:lang w:val="en-US"/>
        </w:rPr>
      </w:pPr>
    </w:p>
    <w:p w:rsidR="00417691" w:rsidRDefault="00417691" w:rsidP="00074DD8">
      <w:pPr>
        <w:pStyle w:val="Nagwek1"/>
        <w:rPr>
          <w:lang w:val="en-US"/>
        </w:rPr>
      </w:pPr>
    </w:p>
    <w:p w:rsidR="00C22105" w:rsidRPr="00EF2DFF" w:rsidRDefault="00C5455E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w:pict>
          <v:shape id="_x0000_s1028" type="#_x0000_t202" style="position:absolute;margin-left:411pt;margin-top:9.2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" filled="f" stroked="f">
            <v:textbox>
              <w:txbxContent>
                <w:p w:rsidR="00234F14" w:rsidRPr="007725C8" w:rsidRDefault="00234F14" w:rsidP="00074DD8">
                  <w:pPr>
                    <w:pStyle w:val="tekstzboku"/>
                    <w:rPr>
                      <w:lang w:val="en-US"/>
                    </w:rPr>
                  </w:pPr>
                  <w:r w:rsidRPr="007725C8">
                    <w:rPr>
                      <w:rFonts w:cs="Arial"/>
                      <w:lang w:val="en-US"/>
                    </w:rPr>
                    <w:t xml:space="preserve">In </w:t>
                  </w:r>
                  <w:r>
                    <w:rPr>
                      <w:rFonts w:cs="Arial"/>
                      <w:lang w:val="en-US"/>
                    </w:rPr>
                    <w:t>January 2019 the</w:t>
                  </w:r>
                  <w:r w:rsidRPr="007725C8">
                    <w:rPr>
                      <w:rFonts w:cs="Arial"/>
                      <w:lang w:val="en-US"/>
                    </w:rPr>
                    <w:t xml:space="preserve"> </w:t>
                  </w:r>
                  <w:r>
                    <w:rPr>
                      <w:rFonts w:cs="Arial"/>
                      <w:lang w:val="en-US"/>
                    </w:rPr>
                    <w:t xml:space="preserve">increase in retail sales </w:t>
                  </w:r>
                  <w:r w:rsidRPr="007725C8">
                    <w:rPr>
                      <w:rFonts w:cs="Arial"/>
                      <w:lang w:val="en-US"/>
                    </w:rPr>
                    <w:t xml:space="preserve">at constant prices </w:t>
                  </w:r>
                  <w:r>
                    <w:rPr>
                      <w:rFonts w:cs="Arial"/>
                      <w:lang w:val="en-US"/>
                    </w:rPr>
                    <w:t>per annum was recorded in the majority of groups.</w:t>
                  </w:r>
                </w:p>
                <w:p w:rsidR="00234F14" w:rsidRPr="007725C8" w:rsidRDefault="00234F14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EF2DFF" w:rsidRPr="00EF2DFF">
        <w:rPr>
          <w:lang w:val="en-US"/>
        </w:rPr>
        <w:t>Retail sales of goods by type of enterprise activity</w:t>
      </w:r>
    </w:p>
    <w:p w:rsidR="008A0000" w:rsidRPr="006D4F6E" w:rsidRDefault="00794E5F" w:rsidP="00D40D4C">
      <w:pPr>
        <w:spacing w:before="0" w:after="0" w:line="240" w:lineRule="atLeast"/>
        <w:rPr>
          <w:rFonts w:cs="Arial"/>
          <w:color w:val="000000"/>
          <w:szCs w:val="19"/>
          <w:lang w:val="en-US"/>
        </w:rPr>
      </w:pPr>
      <w:r w:rsidRPr="00794E5F">
        <w:rPr>
          <w:rFonts w:cs="Arial"/>
          <w:lang w:val="en-US"/>
        </w:rPr>
        <w:t>Among the groups with a significa</w:t>
      </w:r>
      <w:r w:rsidR="009759D1">
        <w:rPr>
          <w:rFonts w:cs="Arial"/>
          <w:lang w:val="en-US"/>
        </w:rPr>
        <w:t xml:space="preserve">nt share in total retail sales </w:t>
      </w:r>
      <w:r w:rsidR="00D47ADD">
        <w:rPr>
          <w:rFonts w:cs="Arial"/>
          <w:lang w:val="en-US"/>
        </w:rPr>
        <w:t xml:space="preserve">the </w:t>
      </w:r>
      <w:r w:rsidRPr="00794E5F">
        <w:rPr>
          <w:rFonts w:cs="Arial"/>
          <w:lang w:val="en-US"/>
        </w:rPr>
        <w:t>high</w:t>
      </w:r>
      <w:r w:rsidR="00927D8B">
        <w:rPr>
          <w:rFonts w:cs="Arial"/>
          <w:lang w:val="en-US"/>
        </w:rPr>
        <w:t>e</w:t>
      </w:r>
      <w:r w:rsidR="00D47ADD">
        <w:rPr>
          <w:rFonts w:cs="Arial"/>
          <w:lang w:val="en-US"/>
        </w:rPr>
        <w:t>st</w:t>
      </w:r>
      <w:r w:rsidR="00927D8B">
        <w:rPr>
          <w:rFonts w:cs="Arial"/>
          <w:lang w:val="en-US"/>
        </w:rPr>
        <w:t xml:space="preserve"> </w:t>
      </w:r>
      <w:r w:rsidRPr="00794E5F">
        <w:rPr>
          <w:rFonts w:cs="Arial"/>
          <w:lang w:val="en-US"/>
        </w:rPr>
        <w:t xml:space="preserve">increase in </w:t>
      </w:r>
      <w:r w:rsidR="00D712A6">
        <w:rPr>
          <w:rFonts w:cs="Arial"/>
          <w:lang w:val="en-US"/>
        </w:rPr>
        <w:t>January</w:t>
      </w:r>
      <w:r w:rsidR="00EC2A8F">
        <w:rPr>
          <w:rFonts w:cs="Arial"/>
          <w:lang w:val="en-US"/>
        </w:rPr>
        <w:t xml:space="preserve"> </w:t>
      </w:r>
      <w:r w:rsidRPr="00794E5F">
        <w:rPr>
          <w:rFonts w:cs="Arial"/>
          <w:lang w:val="en-US"/>
        </w:rPr>
        <w:t>201</w:t>
      </w:r>
      <w:r w:rsidR="00D712A6">
        <w:rPr>
          <w:rFonts w:cs="Arial"/>
          <w:lang w:val="en-US"/>
        </w:rPr>
        <w:t>9</w:t>
      </w:r>
      <w:r w:rsidRPr="00794E5F">
        <w:rPr>
          <w:rFonts w:cs="Arial"/>
          <w:lang w:val="en-US"/>
        </w:rPr>
        <w:t xml:space="preserve"> compared to the </w:t>
      </w:r>
      <w:r>
        <w:rPr>
          <w:rFonts w:cs="Arial"/>
          <w:lang w:val="en-US"/>
        </w:rPr>
        <w:t xml:space="preserve">corresponding period of </w:t>
      </w:r>
      <w:r w:rsidR="00D47ADD">
        <w:rPr>
          <w:rFonts w:cs="Arial"/>
          <w:lang w:val="en-US"/>
        </w:rPr>
        <w:t>201</w:t>
      </w:r>
      <w:r w:rsidR="00E919B9">
        <w:rPr>
          <w:rFonts w:cs="Arial"/>
          <w:lang w:val="en-US"/>
        </w:rPr>
        <w:t>8</w:t>
      </w:r>
      <w:r>
        <w:rPr>
          <w:rFonts w:cs="Arial"/>
          <w:lang w:val="en-US"/>
        </w:rPr>
        <w:t xml:space="preserve">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673952">
        <w:rPr>
          <w:rFonts w:cs="Arial"/>
          <w:lang w:val="en-US"/>
        </w:rPr>
        <w:t xml:space="preserve"> enterprises</w:t>
      </w:r>
      <w:r w:rsidR="00B55A9D">
        <w:rPr>
          <w:rFonts w:cs="Arial"/>
          <w:lang w:val="en-US"/>
        </w:rPr>
        <w:t xml:space="preserve"> </w:t>
      </w:r>
      <w:r w:rsidR="009503D5">
        <w:rPr>
          <w:rFonts w:cs="Arial"/>
          <w:lang w:val="en-US"/>
        </w:rPr>
        <w:t>trading in</w:t>
      </w:r>
      <w:r w:rsidR="009503D5" w:rsidRPr="009503D5">
        <w:rPr>
          <w:rFonts w:cs="Arial"/>
          <w:lang w:val="en-US"/>
        </w:rPr>
        <w:t xml:space="preserve"> </w:t>
      </w:r>
      <w:r w:rsidR="009503D5">
        <w:rPr>
          <w:rFonts w:cs="Arial"/>
          <w:lang w:val="en-US"/>
        </w:rPr>
        <w:t>solid, liquid and gaseous fuels</w:t>
      </w:r>
      <w:r w:rsidR="00B55A9D">
        <w:rPr>
          <w:rFonts w:cs="Arial"/>
          <w:lang w:val="en-US"/>
        </w:rPr>
        <w:t>”</w:t>
      </w:r>
      <w:r w:rsidR="00B55A9D" w:rsidRPr="00B55A9D">
        <w:rPr>
          <w:rFonts w:cs="Arial"/>
          <w:lang w:val="en-US"/>
        </w:rPr>
        <w:t xml:space="preserve"> </w:t>
      </w:r>
      <w:r w:rsidR="00B55A9D">
        <w:rPr>
          <w:rFonts w:cs="Arial"/>
          <w:lang w:val="en-US"/>
        </w:rPr>
        <w:t xml:space="preserve">(by </w:t>
      </w:r>
      <w:r w:rsidR="00D358FC">
        <w:rPr>
          <w:rFonts w:cs="Arial"/>
          <w:lang w:val="en-US"/>
        </w:rPr>
        <w:t>6</w:t>
      </w:r>
      <w:r w:rsidR="00B55A9D">
        <w:rPr>
          <w:rFonts w:cs="Arial"/>
          <w:lang w:val="en-US"/>
        </w:rPr>
        <w:t>.</w:t>
      </w:r>
      <w:r w:rsidR="00D358FC">
        <w:rPr>
          <w:rFonts w:cs="Arial"/>
          <w:lang w:val="en-US"/>
        </w:rPr>
        <w:t>0</w:t>
      </w:r>
      <w:r w:rsidR="00B55A9D">
        <w:rPr>
          <w:rFonts w:cs="Arial"/>
          <w:lang w:val="en-US"/>
        </w:rPr>
        <w:t>% against a</w:t>
      </w:r>
      <w:r w:rsidR="00D905A6">
        <w:rPr>
          <w:rFonts w:cs="Arial"/>
          <w:lang w:val="en-US"/>
        </w:rPr>
        <w:t xml:space="preserve">n </w:t>
      </w:r>
      <w:r w:rsidR="00D358FC">
        <w:rPr>
          <w:rFonts w:cs="Arial"/>
          <w:lang w:val="en-US"/>
        </w:rPr>
        <w:t>in</w:t>
      </w:r>
      <w:r w:rsidR="00D47ADD">
        <w:rPr>
          <w:rFonts w:cs="Arial"/>
          <w:lang w:val="en-US"/>
        </w:rPr>
        <w:t>crease</w:t>
      </w:r>
      <w:r w:rsidR="00B55A9D">
        <w:rPr>
          <w:rFonts w:cs="Arial"/>
          <w:lang w:val="en-US"/>
        </w:rPr>
        <w:t xml:space="preserve"> of </w:t>
      </w:r>
      <w:r w:rsidR="00D47ADD">
        <w:rPr>
          <w:rFonts w:cs="Arial"/>
          <w:lang w:val="en-US"/>
        </w:rPr>
        <w:t>1</w:t>
      </w:r>
      <w:r w:rsidR="00B55A9D">
        <w:rPr>
          <w:rFonts w:cs="Arial"/>
          <w:lang w:val="en-US"/>
        </w:rPr>
        <w:t>.</w:t>
      </w:r>
      <w:r w:rsidR="00D358FC">
        <w:rPr>
          <w:rFonts w:cs="Arial"/>
          <w:lang w:val="en-US"/>
        </w:rPr>
        <w:t>2</w:t>
      </w:r>
      <w:r w:rsidR="00B55A9D">
        <w:rPr>
          <w:rFonts w:cs="Arial"/>
          <w:lang w:val="en-US"/>
        </w:rPr>
        <w:t>% the year before)</w:t>
      </w:r>
      <w:r w:rsidR="000D41A5">
        <w:rPr>
          <w:rFonts w:cs="Arial"/>
          <w:lang w:val="en-US"/>
        </w:rPr>
        <w:t>.</w:t>
      </w:r>
      <w:r w:rsidR="00732240">
        <w:rPr>
          <w:rFonts w:cs="Arial"/>
          <w:lang w:val="en-US"/>
        </w:rPr>
        <w:t xml:space="preserve"> </w:t>
      </w:r>
      <w:r w:rsidR="00ED0FE6">
        <w:rPr>
          <w:rFonts w:cs="Arial"/>
          <w:lang w:val="en-US"/>
        </w:rPr>
        <w:t>Increased sal</w:t>
      </w:r>
      <w:r w:rsidR="00D905A6">
        <w:rPr>
          <w:rFonts w:cs="Arial"/>
          <w:lang w:val="en-US"/>
        </w:rPr>
        <w:t>es were also recorded in units selling</w:t>
      </w:r>
      <w:r w:rsidR="00ED0FE6">
        <w:rPr>
          <w:rFonts w:cs="Arial"/>
          <w:lang w:val="en-US"/>
        </w:rPr>
        <w:t xml:space="preserve"> </w:t>
      </w:r>
      <w:r w:rsidR="00D905A6">
        <w:rPr>
          <w:rFonts w:cs="Arial"/>
          <w:color w:val="000000"/>
          <w:szCs w:val="19"/>
          <w:lang w:val="en-US"/>
        </w:rPr>
        <w:t>food, beverages and tobacco products (by 5.2</w:t>
      </w:r>
      <w:r w:rsidR="006933E5">
        <w:rPr>
          <w:rFonts w:cs="Arial"/>
          <w:color w:val="000000"/>
          <w:szCs w:val="19"/>
          <w:lang w:val="en-US"/>
        </w:rPr>
        <w:t xml:space="preserve">%) and entities conducting </w:t>
      </w:r>
      <w:r w:rsidR="003D66FE">
        <w:rPr>
          <w:rFonts w:cs="Arial"/>
          <w:lang w:val="en-US"/>
        </w:rPr>
        <w:t xml:space="preserve">other retail sales in non-specialized stores (by </w:t>
      </w:r>
      <w:r w:rsidR="00CC4EBF">
        <w:rPr>
          <w:rFonts w:cs="Arial"/>
          <w:lang w:val="en-US"/>
        </w:rPr>
        <w:t>4</w:t>
      </w:r>
      <w:r w:rsidR="003D66FE">
        <w:rPr>
          <w:rFonts w:cs="Arial"/>
          <w:lang w:val="en-US"/>
        </w:rPr>
        <w:t>.</w:t>
      </w:r>
      <w:r w:rsidR="00CC4EBF">
        <w:rPr>
          <w:rFonts w:cs="Arial"/>
          <w:lang w:val="en-US"/>
        </w:rPr>
        <w:t>6</w:t>
      </w:r>
      <w:r w:rsidR="003D66FE">
        <w:rPr>
          <w:rFonts w:cs="Arial"/>
          <w:lang w:val="en-US"/>
        </w:rPr>
        <w:t>%)</w:t>
      </w:r>
      <w:r w:rsidR="00ED0FE6">
        <w:rPr>
          <w:rFonts w:cs="Arial"/>
          <w:lang w:val="en-US"/>
        </w:rPr>
        <w:t xml:space="preserve"> </w:t>
      </w:r>
      <w:r w:rsidR="00927D8B">
        <w:rPr>
          <w:rFonts w:cs="Arial"/>
          <w:lang w:val="en-US"/>
        </w:rPr>
        <w:t xml:space="preserve">as well as </w:t>
      </w:r>
      <w:r w:rsidR="00732240">
        <w:rPr>
          <w:rFonts w:cs="Arial"/>
          <w:lang w:val="en-US"/>
        </w:rPr>
        <w:t>by</w:t>
      </w:r>
      <w:r w:rsidR="00732240" w:rsidRPr="00441551">
        <w:rPr>
          <w:rFonts w:cs="Arial"/>
          <w:lang w:val="en-US"/>
        </w:rPr>
        <w:t xml:space="preserve"> </w:t>
      </w:r>
      <w:r w:rsidR="00544B7F">
        <w:rPr>
          <w:rFonts w:cs="Arial"/>
          <w:lang w:val="en-US"/>
        </w:rPr>
        <w:t>units</w:t>
      </w:r>
      <w:r w:rsidR="00732240">
        <w:rPr>
          <w:rFonts w:cs="Arial"/>
          <w:lang w:val="en-US"/>
        </w:rPr>
        <w:t xml:space="preserve"> </w:t>
      </w:r>
      <w:r w:rsidR="00544B7F">
        <w:rPr>
          <w:rFonts w:cs="Arial"/>
          <w:lang w:val="en-US"/>
        </w:rPr>
        <w:t>from group “others” (by</w:t>
      </w:r>
      <w:r w:rsidR="00ED0FE6">
        <w:rPr>
          <w:rFonts w:cs="Arial"/>
          <w:lang w:val="en-US"/>
        </w:rPr>
        <w:t xml:space="preserve"> </w:t>
      </w:r>
      <w:r w:rsidR="00544B7F">
        <w:rPr>
          <w:rFonts w:cs="Arial"/>
          <w:lang w:val="en-US"/>
        </w:rPr>
        <w:t>4</w:t>
      </w:r>
      <w:r w:rsidR="00ED0FE6">
        <w:rPr>
          <w:rFonts w:cs="Arial"/>
          <w:lang w:val="en-US"/>
        </w:rPr>
        <w:t>.</w:t>
      </w:r>
      <w:r w:rsidR="00544B7F">
        <w:rPr>
          <w:rFonts w:cs="Arial"/>
          <w:lang w:val="en-US"/>
        </w:rPr>
        <w:t>0</w:t>
      </w:r>
      <w:r w:rsidR="00ED0FE6">
        <w:rPr>
          <w:rFonts w:cs="Arial"/>
          <w:lang w:val="en-US"/>
        </w:rPr>
        <w:t>%)</w:t>
      </w:r>
      <w:r w:rsidR="005930FD">
        <w:rPr>
          <w:rFonts w:cs="Arial"/>
          <w:lang w:val="en-US"/>
        </w:rPr>
        <w:t>.</w:t>
      </w:r>
      <w:r w:rsidR="00927D8B">
        <w:rPr>
          <w:rFonts w:cs="Arial"/>
          <w:lang w:val="en-US"/>
        </w:rPr>
        <w:t xml:space="preserve"> </w:t>
      </w:r>
      <w:r w:rsidR="00516EB5">
        <w:rPr>
          <w:rFonts w:cs="Arial"/>
          <w:lang w:val="en-US"/>
        </w:rPr>
        <w:t xml:space="preserve">Within groups with a lower share in total retail sales </w:t>
      </w:r>
      <w:r w:rsidR="003E43B9">
        <w:rPr>
          <w:rFonts w:cs="Arial"/>
          <w:lang w:val="en-US"/>
        </w:rPr>
        <w:t>high</w:t>
      </w:r>
      <w:r w:rsidR="00D31A0D">
        <w:rPr>
          <w:rFonts w:cs="Arial"/>
          <w:lang w:val="en-US"/>
        </w:rPr>
        <w:t>e</w:t>
      </w:r>
      <w:r w:rsidR="004E3939">
        <w:rPr>
          <w:rFonts w:cs="Arial"/>
          <w:lang w:val="en-US"/>
        </w:rPr>
        <w:t xml:space="preserve">r than average increase </w:t>
      </w:r>
      <w:r w:rsidR="003E43B9">
        <w:rPr>
          <w:rFonts w:cs="Arial"/>
          <w:lang w:val="en-US"/>
        </w:rPr>
        <w:t xml:space="preserve"> was </w:t>
      </w:r>
      <w:r w:rsidR="008A6013">
        <w:rPr>
          <w:rFonts w:cs="Arial"/>
          <w:lang w:val="en-US"/>
        </w:rPr>
        <w:t>reported</w:t>
      </w:r>
      <w:r w:rsidR="003E43B9">
        <w:rPr>
          <w:rFonts w:cs="Arial"/>
          <w:lang w:val="en-US"/>
        </w:rPr>
        <w:t xml:space="preserve"> by units</w:t>
      </w:r>
      <w:r w:rsidR="00D31A0D">
        <w:rPr>
          <w:rFonts w:cs="Arial"/>
          <w:lang w:val="en-US"/>
        </w:rPr>
        <w:t xml:space="preserve"> from group</w:t>
      </w:r>
      <w:r w:rsidR="004E3939">
        <w:rPr>
          <w:rFonts w:cs="Arial"/>
          <w:lang w:val="en-US"/>
        </w:rPr>
        <w:t>s</w:t>
      </w:r>
      <w:r w:rsidR="007E7787">
        <w:rPr>
          <w:rFonts w:cs="Arial"/>
          <w:lang w:val="en-US"/>
        </w:rPr>
        <w:t>:</w:t>
      </w:r>
      <w:r w:rsidR="00DA60DA" w:rsidRPr="00DA60DA">
        <w:rPr>
          <w:rFonts w:cs="Arial"/>
          <w:lang w:val="en-US"/>
        </w:rPr>
        <w:t xml:space="preserve"> </w:t>
      </w:r>
      <w:r w:rsidR="004F62F7">
        <w:rPr>
          <w:rFonts w:cs="Arial"/>
          <w:lang w:val="en-US"/>
        </w:rPr>
        <w:t>“furniture, radio, TV and household appliances”</w:t>
      </w:r>
      <w:r w:rsidR="00273988">
        <w:rPr>
          <w:rFonts w:cs="Arial"/>
          <w:lang w:val="en-US"/>
        </w:rPr>
        <w:t xml:space="preserve"> (by </w:t>
      </w:r>
      <w:r w:rsidR="004E3939">
        <w:rPr>
          <w:rFonts w:cs="Arial"/>
          <w:lang w:val="en-US"/>
        </w:rPr>
        <w:t>10</w:t>
      </w:r>
      <w:r w:rsidR="00273988">
        <w:rPr>
          <w:rFonts w:cs="Arial"/>
          <w:lang w:val="en-US"/>
        </w:rPr>
        <w:t>.</w:t>
      </w:r>
      <w:r w:rsidR="004E3939">
        <w:rPr>
          <w:rFonts w:cs="Arial"/>
          <w:lang w:val="en-US"/>
        </w:rPr>
        <w:t>5</w:t>
      </w:r>
      <w:r w:rsidR="0087330E">
        <w:rPr>
          <w:rFonts w:cs="Arial"/>
          <w:lang w:val="en-US"/>
        </w:rPr>
        <w:t xml:space="preserve">%); “pharmaceuticals, cosmetics, orthopaedic equipment” (by </w:t>
      </w:r>
      <w:r w:rsidR="00C33ECF">
        <w:rPr>
          <w:rFonts w:cs="Arial"/>
          <w:lang w:val="en-US"/>
        </w:rPr>
        <w:t>10.1%).</w:t>
      </w:r>
      <w:r w:rsidR="00074B04">
        <w:rPr>
          <w:rFonts w:cs="Arial"/>
          <w:color w:val="000000"/>
          <w:szCs w:val="19"/>
          <w:lang w:val="en-US"/>
        </w:rPr>
        <w:t xml:space="preserve">The drop in retail sales was noted by </w:t>
      </w:r>
      <w:r w:rsidR="00C33ECF">
        <w:rPr>
          <w:rFonts w:cs="Arial"/>
          <w:color w:val="000000"/>
          <w:szCs w:val="19"/>
          <w:lang w:val="en-US"/>
        </w:rPr>
        <w:t>units trading</w:t>
      </w:r>
      <w:r w:rsidR="00807778">
        <w:rPr>
          <w:rFonts w:cs="Arial"/>
          <w:color w:val="000000"/>
          <w:szCs w:val="19"/>
          <w:lang w:val="en-US"/>
        </w:rPr>
        <w:t xml:space="preserve"> </w:t>
      </w:r>
      <w:r w:rsidR="00C33ECF">
        <w:rPr>
          <w:rFonts w:cs="Arial"/>
          <w:color w:val="000000"/>
          <w:szCs w:val="19"/>
          <w:lang w:val="en-US"/>
        </w:rPr>
        <w:t xml:space="preserve">in </w:t>
      </w:r>
      <w:r w:rsidR="00544B7F">
        <w:rPr>
          <w:rFonts w:cs="Arial"/>
          <w:lang w:val="en-US"/>
        </w:rPr>
        <w:t xml:space="preserve">motor vehicles, motorcycles, parts (by </w:t>
      </w:r>
      <w:r w:rsidR="00C33ECF">
        <w:rPr>
          <w:rFonts w:cs="Arial"/>
          <w:lang w:val="en-US"/>
        </w:rPr>
        <w:t>0</w:t>
      </w:r>
      <w:r w:rsidR="00544B7F">
        <w:rPr>
          <w:rFonts w:cs="Arial"/>
          <w:lang w:val="en-US"/>
        </w:rPr>
        <w:t>.</w:t>
      </w:r>
      <w:r w:rsidR="00C33ECF">
        <w:rPr>
          <w:rFonts w:cs="Arial"/>
          <w:lang w:val="en-US"/>
        </w:rPr>
        <w:t>9</w:t>
      </w:r>
      <w:r w:rsidR="00544B7F">
        <w:rPr>
          <w:rFonts w:cs="Arial"/>
          <w:lang w:val="en-US"/>
        </w:rPr>
        <w:t>%</w:t>
      </w:r>
      <w:r w:rsidR="00C33ECF">
        <w:rPr>
          <w:rFonts w:cs="Arial"/>
          <w:lang w:val="en-US"/>
        </w:rPr>
        <w:t xml:space="preserve"> against an increase </w:t>
      </w:r>
      <w:r w:rsidR="004D7764">
        <w:rPr>
          <w:rFonts w:cs="Arial"/>
          <w:lang w:val="en-US"/>
        </w:rPr>
        <w:t>of</w:t>
      </w:r>
      <w:r w:rsidR="00C33ECF">
        <w:rPr>
          <w:rFonts w:cs="Arial"/>
          <w:lang w:val="en-US"/>
        </w:rPr>
        <w:t xml:space="preserve"> 18.1% the year before</w:t>
      </w:r>
      <w:r w:rsidR="00544B7F">
        <w:rPr>
          <w:rFonts w:cs="Arial"/>
          <w:lang w:val="en-US"/>
        </w:rPr>
        <w:t>)</w:t>
      </w:r>
      <w:r w:rsidR="00C33ECF">
        <w:rPr>
          <w:rFonts w:cs="Arial"/>
          <w:lang w:val="en-US"/>
        </w:rPr>
        <w:t>.</w:t>
      </w:r>
    </w:p>
    <w:p w:rsidR="00E80C30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760B21" w:rsidRPr="00350F8C" w:rsidRDefault="000B0A71" w:rsidP="00350F8C">
      <w:pPr>
        <w:pStyle w:val="tytuwykresu"/>
        <w:rPr>
          <w:shd w:val="clear" w:color="auto" w:fill="FFFFFF"/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4562475</wp:posOffset>
            </wp:positionV>
            <wp:extent cx="5118735" cy="2748915"/>
            <wp:effectExtent l="0" t="0" r="5715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0822E2" w:rsidRDefault="000822E2" w:rsidP="00A808AA">
      <w:pPr>
        <w:pStyle w:val="Nagwek1"/>
        <w:rPr>
          <w:rFonts w:cs="Arial"/>
          <w:b/>
          <w:color w:val="auto"/>
          <w:lang w:val="en-US"/>
        </w:rPr>
      </w:pPr>
    </w:p>
    <w:p w:rsidR="00A808AA" w:rsidRDefault="00C5455E" w:rsidP="00A808AA">
      <w:pPr>
        <w:pStyle w:val="Nagwek1"/>
        <w:rPr>
          <w:rFonts w:cs="Arial"/>
          <w:b/>
          <w:color w:val="auto"/>
          <w:lang w:val="en-US"/>
        </w:rPr>
      </w:pPr>
      <w:r>
        <w:rPr>
          <w:b/>
          <w:noProof/>
          <w:color w:val="auto"/>
          <w:szCs w:val="19"/>
        </w:rPr>
        <w:pict>
          <v:shape id="Pole tekstowe 7" o:spid="_x0000_s1029" type="#_x0000_t202" style="position:absolute;margin-left:445.6pt;margin-top:19.35pt;width:143.85pt;height:96.65pt;z-index:-251570176;visibility:visible;mso-wrap-distance-left:9pt;mso-wrap-distance-top:3.6pt;mso-wrap-distance-right:9pt;mso-wrap-distance-bottom:3.6pt;mso-position-horizontal:absolute;mso-position-horizontal-relative:page;mso-position-vertical:absolute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" filled="f" stroked="f">
            <v:textbox>
              <w:txbxContent>
                <w:p w:rsidR="00234F14" w:rsidRPr="00F1392B" w:rsidRDefault="00234F14" w:rsidP="002931E3">
                  <w:pPr>
                    <w:spacing w:after="0"/>
                    <w:ind w:right="4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In January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</w:t>
                  </w:r>
                  <w:r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201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9</w:t>
                  </w:r>
                  <w:r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the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percentage share of group “ food, beverages and tobacco products” in total </w:t>
                  </w:r>
                  <w:r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retail sales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(current prices) amo</w:t>
                  </w:r>
                  <w:r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unted to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25.4</w:t>
                  </w:r>
                </w:p>
              </w:txbxContent>
            </v:textbox>
            <w10:wrap type="tight" anchorx="page"/>
          </v:shape>
        </w:pict>
      </w:r>
      <w:r w:rsidR="00A808AA" w:rsidRPr="005C123C">
        <w:rPr>
          <w:rFonts w:cs="Arial"/>
          <w:b/>
          <w:color w:val="auto"/>
          <w:lang w:val="en-US"/>
        </w:rPr>
        <w:t xml:space="preserve">Table 1. </w:t>
      </w:r>
      <w:r w:rsidR="00865207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</w:t>
      </w:r>
    </w:p>
    <w:tbl>
      <w:tblPr>
        <w:tblW w:w="8051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162"/>
        <w:gridCol w:w="1162"/>
        <w:gridCol w:w="1162"/>
        <w:gridCol w:w="1162"/>
      </w:tblGrid>
      <w:tr w:rsidR="00CC2703" w:rsidRPr="00382DAE" w:rsidTr="00CC2703">
        <w:trPr>
          <w:cantSplit/>
          <w:trHeight w:val="340"/>
        </w:trPr>
        <w:tc>
          <w:tcPr>
            <w:tcW w:w="3403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CC2703" w:rsidRPr="00760B21" w:rsidRDefault="00CC2703" w:rsidP="00234F14">
            <w:pPr>
              <w:spacing w:before="240" w:line="240" w:lineRule="atLeast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760B21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  <w:hideMark/>
          </w:tcPr>
          <w:p w:rsidR="00CC2703" w:rsidRPr="00760B21" w:rsidRDefault="00CC2703" w:rsidP="00234F14">
            <w:pPr>
              <w:spacing w:after="0" w:line="240" w:lineRule="atLeast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  <w:lang w:val="en-GB"/>
              </w:rPr>
              <w:t>Constant prices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C2703" w:rsidRPr="00760B21" w:rsidRDefault="00CC2703" w:rsidP="00234F14">
            <w:pPr>
              <w:spacing w:after="0" w:line="240" w:lineRule="atLeast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  <w:lang w:val="en-GB"/>
              </w:rPr>
              <w:t>Current prices</w:t>
            </w:r>
          </w:p>
        </w:tc>
      </w:tr>
      <w:tr w:rsidR="00CC2703" w:rsidRPr="00382DAE" w:rsidTr="00CC2703">
        <w:trPr>
          <w:cantSplit/>
          <w:trHeight w:val="340"/>
        </w:trPr>
        <w:tc>
          <w:tcPr>
            <w:tcW w:w="3403" w:type="dxa"/>
            <w:vMerge/>
            <w:shd w:val="clear" w:color="auto" w:fill="auto"/>
            <w:vAlign w:val="center"/>
          </w:tcPr>
          <w:p w:rsidR="00CC2703" w:rsidRPr="00760B21" w:rsidRDefault="00CC2703" w:rsidP="00234F14">
            <w:pPr>
              <w:spacing w:before="24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C2703" w:rsidRPr="00760B21" w:rsidRDefault="00CC2703" w:rsidP="00E73BFB">
            <w:pPr>
              <w:spacing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E73BFB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2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C2703" w:rsidRPr="00760B21" w:rsidRDefault="00CC2703" w:rsidP="00E73BFB">
            <w:pPr>
              <w:spacing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E73BFB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C2703" w:rsidRPr="00382DAE" w:rsidTr="00CC2703">
        <w:trPr>
          <w:trHeight w:val="340"/>
        </w:trPr>
        <w:tc>
          <w:tcPr>
            <w:tcW w:w="3403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CC2703" w:rsidRPr="00760B21" w:rsidRDefault="00CC2703" w:rsidP="00234F14">
            <w:pPr>
              <w:spacing w:line="240" w:lineRule="atLeas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CC2703" w:rsidRPr="00760B21" w:rsidRDefault="00CC2703" w:rsidP="00E73BFB">
            <w:pPr>
              <w:spacing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</w:rPr>
              <w:t>XII 201</w:t>
            </w:r>
            <w:r w:rsidR="00E73BFB">
              <w:rPr>
                <w:rFonts w:cs="Arial"/>
                <w:color w:val="000000"/>
                <w:sz w:val="16"/>
                <w:szCs w:val="16"/>
              </w:rPr>
              <w:t>8</w:t>
            </w:r>
            <w:r w:rsidRPr="00760B21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C2703" w:rsidRPr="00760B21" w:rsidRDefault="00CC2703" w:rsidP="00E73BFB">
            <w:pPr>
              <w:spacing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E73BFB">
              <w:rPr>
                <w:rFonts w:cs="Arial"/>
                <w:color w:val="000000"/>
                <w:sz w:val="16"/>
                <w:szCs w:val="16"/>
              </w:rPr>
              <w:t>8</w:t>
            </w:r>
            <w:r w:rsidRPr="00760B21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C2703" w:rsidRPr="00760B21" w:rsidRDefault="00CC2703" w:rsidP="00E73BFB">
            <w:pPr>
              <w:spacing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</w:rPr>
              <w:t>XII 201</w:t>
            </w:r>
            <w:r w:rsidR="00E73BFB">
              <w:rPr>
                <w:rFonts w:cs="Arial"/>
                <w:color w:val="000000"/>
                <w:sz w:val="16"/>
                <w:szCs w:val="16"/>
              </w:rPr>
              <w:t>8</w:t>
            </w:r>
            <w:r w:rsidRPr="00760B21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6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C2703" w:rsidRPr="00760B21" w:rsidRDefault="00CC2703" w:rsidP="00234F14">
            <w:pPr>
              <w:spacing w:after="0" w:line="240" w:lineRule="atLeas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</w:rPr>
              <w:t>I 201</w:t>
            </w:r>
            <w:r w:rsidR="00E73BFB">
              <w:rPr>
                <w:rFonts w:cs="Arial"/>
                <w:color w:val="000000"/>
                <w:sz w:val="16"/>
                <w:szCs w:val="16"/>
              </w:rPr>
              <w:t>8</w:t>
            </w:r>
            <w:r w:rsidRPr="00760B21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EE236C" w:rsidRPr="00382DAE" w:rsidTr="00CC2703">
        <w:trPr>
          <w:trHeight w:val="369"/>
        </w:trPr>
        <w:tc>
          <w:tcPr>
            <w:tcW w:w="340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81.</w:t>
            </w:r>
            <w:r w:rsidR="00EE236C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105.</w:t>
            </w:r>
            <w:r w:rsidR="00EE236C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80.</w:t>
            </w:r>
            <w:r w:rsidR="00EE236C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EE236C"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EE236C" w:rsidRPr="00382DAE" w:rsidTr="00CC2703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ind w:firstLine="176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EE236C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EE236C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EE236C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EE236C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E236C" w:rsidRPr="00382DAE" w:rsidTr="00CC2703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bookmarkStart w:id="0" w:name="OLE_LINK1"/>
            <w:r w:rsidRPr="00760B21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  <w:bookmarkEnd w:id="0"/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EE236C" w:rsidRPr="00543644" w:rsidTr="00CC2703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>Sol</w:t>
            </w:r>
            <w:r>
              <w:rPr>
                <w:rFonts w:cs="Arial"/>
                <w:sz w:val="16"/>
                <w:szCs w:val="16"/>
                <w:lang w:val="en-US"/>
              </w:rPr>
              <w:t>i</w:t>
            </w:r>
            <w:r w:rsidRPr="00760B21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EE236C" w:rsidRPr="00543644" w:rsidTr="00CC2703">
        <w:trPr>
          <w:trHeight w:val="369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EE236C" w:rsidRPr="00543644" w:rsidTr="00CC2703">
        <w:trPr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>Other retail sales in non-specialized stores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EE236C" w:rsidRPr="00382DAE" w:rsidTr="00CC2703">
        <w:trPr>
          <w:cantSplit/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760B21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760B21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EE236C" w:rsidRPr="00382DAE" w:rsidTr="00CC2703">
        <w:trPr>
          <w:cantSplit/>
          <w:trHeight w:val="424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EE236C" w:rsidRPr="00543644" w:rsidTr="00CC2703">
        <w:trPr>
          <w:cantSplit/>
          <w:trHeight w:val="370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EE236C" w:rsidRPr="00543644" w:rsidTr="00CC2703">
        <w:trPr>
          <w:cantSplit/>
          <w:trHeight w:val="567"/>
        </w:trPr>
        <w:tc>
          <w:tcPr>
            <w:tcW w:w="3403" w:type="dxa"/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EE236C" w:rsidRPr="00382DAE" w:rsidTr="00CC2703">
        <w:trPr>
          <w:cantSplit/>
          <w:trHeight w:val="369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EE236C" w:rsidRPr="00760B21" w:rsidRDefault="00EE236C" w:rsidP="00EE236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760B21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bottom w:val="nil"/>
            </w:tcBorders>
            <w:shd w:val="clear" w:color="auto" w:fill="auto"/>
            <w:vAlign w:val="center"/>
          </w:tcPr>
          <w:p w:rsidR="00EE236C" w:rsidRPr="00374327" w:rsidRDefault="00A77CEE" w:rsidP="00EE236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EE236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</w:tbl>
    <w:p w:rsidR="0024278E" w:rsidRDefault="0024278E" w:rsidP="0024278E">
      <w:pPr>
        <w:rPr>
          <w:lang w:val="en-US" w:eastAsia="pl-PL"/>
        </w:rPr>
      </w:pPr>
    </w:p>
    <w:p w:rsidR="00C15AD6" w:rsidRDefault="008C6D41" w:rsidP="00B25EE8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D169D6">
        <w:rPr>
          <w:shd w:val="clear" w:color="auto" w:fill="FFFFFF"/>
          <w:lang w:val="en-US"/>
        </w:rPr>
        <w:t xml:space="preserve">January </w:t>
      </w:r>
      <w:r w:rsidR="00C15AD6" w:rsidRPr="00C15AD6">
        <w:rPr>
          <w:shd w:val="clear" w:color="auto" w:fill="FFFFFF"/>
          <w:lang w:val="en-US"/>
        </w:rPr>
        <w:t>201</w:t>
      </w:r>
      <w:r w:rsidR="00D169D6">
        <w:rPr>
          <w:shd w:val="clear" w:color="auto" w:fill="FFFFFF"/>
          <w:lang w:val="en-US"/>
        </w:rPr>
        <w:t>9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CC2703" w:rsidRDefault="00CC2703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5275580</wp:posOffset>
            </wp:positionV>
            <wp:extent cx="5125720" cy="3472815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CC2703" w:rsidRDefault="00CC2703" w:rsidP="00B25EE8">
      <w:pPr>
        <w:pStyle w:val="tytuwykresu"/>
        <w:rPr>
          <w:shd w:val="clear" w:color="auto" w:fill="FFFFFF"/>
          <w:lang w:val="en-US"/>
        </w:rPr>
      </w:pPr>
    </w:p>
    <w:p w:rsidR="00CC2703" w:rsidRDefault="00CC2703" w:rsidP="00B25EE8">
      <w:pPr>
        <w:pStyle w:val="tytuwykresu"/>
        <w:rPr>
          <w:shd w:val="clear" w:color="auto" w:fill="FFFFFF"/>
          <w:lang w:val="en-US"/>
        </w:rPr>
      </w:pPr>
    </w:p>
    <w:p w:rsidR="00CC2703" w:rsidRDefault="00CC2703" w:rsidP="00B25EE8">
      <w:pPr>
        <w:pStyle w:val="tytuwykresu"/>
        <w:rPr>
          <w:shd w:val="clear" w:color="auto" w:fill="FFFFFF"/>
          <w:lang w:val="en-US"/>
        </w:rPr>
      </w:pPr>
    </w:p>
    <w:p w:rsidR="00003C03" w:rsidRPr="00476467" w:rsidRDefault="00C5455E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noProof/>
          <w:szCs w:val="23"/>
          <w:lang w:eastAsia="pl-PL"/>
        </w:rPr>
        <w:lastRenderedPageBreak/>
        <w:pict>
          <v:shape id="Text Box 10" o:spid="_x0000_s1041" type="#_x0000_t202" style="position:absolute;margin-left:9.9pt;margin-top:4.85pt;width:139.25pt;height:88.65pt;z-index:251759616;visibility:visible;mso-wrap-distance-left:9pt;mso-wrap-distance-top:0;mso-wrap-distance-right:9pt;mso-wrap-distance-bottom:0;mso-position-horizontal:absolute;mso-position-horizontal-relative:right-margin-area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aXuQ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" filled="f" stroked="f">
            <v:textbox>
              <w:txbxContent>
                <w:p w:rsidR="00784CC1" w:rsidRPr="00784CC1" w:rsidRDefault="00784CC1" w:rsidP="00784CC1">
                  <w:pPr>
                    <w:pStyle w:val="tytuwykresu"/>
                    <w:rPr>
                      <w:color w:val="001D77"/>
                      <w:lang w:val="en-US"/>
                    </w:rPr>
                  </w:pPr>
                  <w:r w:rsidRPr="001E236B">
                    <w:rPr>
                      <w:b w:val="0"/>
                      <w:color w:val="001D77"/>
                      <w:lang w:val="en-US"/>
                    </w:rPr>
                    <w:t xml:space="preserve">In </w:t>
                  </w:r>
                  <w:r>
                    <w:rPr>
                      <w:b w:val="0"/>
                      <w:color w:val="001D77"/>
                      <w:lang w:val="en-US"/>
                    </w:rPr>
                    <w:t xml:space="preserve">January 2019, there was an increase of 0.8% in retail sales </w:t>
                  </w:r>
                  <w:r w:rsidRPr="001E236B">
                    <w:rPr>
                      <w:b w:val="0"/>
                      <w:color w:val="001D77"/>
                      <w:lang w:val="en-US"/>
                    </w:rPr>
                    <w:t>seasonally adjusted</w:t>
                  </w:r>
                  <w:r>
                    <w:rPr>
                      <w:b w:val="0"/>
                      <w:color w:val="001D77"/>
                      <w:lang w:val="en-US"/>
                    </w:rPr>
                    <w:t xml:space="preserve"> in comparison with December </w:t>
                  </w:r>
                  <w:r w:rsidR="002931E3">
                    <w:rPr>
                      <w:b w:val="0"/>
                      <w:color w:val="001D77"/>
                      <w:lang w:val="en-US"/>
                    </w:rPr>
                    <w:t>2018</w:t>
                  </w:r>
                </w:p>
              </w:txbxContent>
            </v:textbox>
            <w10:wrap anchorx="margin"/>
          </v:shape>
        </w:pic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Pr="00EC1228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1B3F52">
        <w:rPr>
          <w:szCs w:val="23"/>
          <w:lang w:val="en-US"/>
        </w:rPr>
        <w:t xml:space="preserve">January </w:t>
      </w:r>
      <w:r w:rsidRPr="00B04BBF">
        <w:rPr>
          <w:szCs w:val="23"/>
          <w:lang w:val="en-US"/>
        </w:rPr>
        <w:t>201</w:t>
      </w:r>
      <w:r w:rsidR="001B3F52">
        <w:rPr>
          <w:szCs w:val="23"/>
          <w:lang w:val="en-US"/>
        </w:rPr>
        <w:t>9</w:t>
      </w:r>
      <w:r w:rsidRPr="00B04BBF">
        <w:rPr>
          <w:szCs w:val="23"/>
          <w:lang w:val="en-US"/>
        </w:rPr>
        <w:t xml:space="preserve"> </w:t>
      </w:r>
      <w:r w:rsidR="00EC1228">
        <w:rPr>
          <w:szCs w:val="23"/>
          <w:lang w:val="en-US"/>
        </w:rPr>
        <w:t xml:space="preserve">were by </w:t>
      </w:r>
      <w:r w:rsidR="00756C3F">
        <w:rPr>
          <w:szCs w:val="23"/>
          <w:lang w:val="en-US"/>
        </w:rPr>
        <w:t>0</w:t>
      </w:r>
      <w:r w:rsidR="00EC1228">
        <w:rPr>
          <w:szCs w:val="23"/>
          <w:lang w:val="en-US"/>
        </w:rPr>
        <w:t>.</w:t>
      </w:r>
      <w:r w:rsidR="001B3F52">
        <w:rPr>
          <w:szCs w:val="23"/>
          <w:lang w:val="en-US"/>
        </w:rPr>
        <w:t>8</w:t>
      </w:r>
      <w:r w:rsidR="00EC1228">
        <w:rPr>
          <w:szCs w:val="23"/>
          <w:lang w:val="en-US"/>
        </w:rPr>
        <w:t xml:space="preserve">% </w:t>
      </w:r>
      <w:r w:rsidR="003100C8">
        <w:rPr>
          <w:szCs w:val="23"/>
          <w:lang w:val="en-US"/>
        </w:rPr>
        <w:t xml:space="preserve">higher </w:t>
      </w:r>
      <w:r w:rsidR="00EC1228">
        <w:rPr>
          <w:szCs w:val="23"/>
          <w:lang w:val="en-US"/>
        </w:rPr>
        <w:t xml:space="preserve">in comparison to </w:t>
      </w:r>
      <w:r w:rsidR="001B3F52">
        <w:rPr>
          <w:szCs w:val="23"/>
          <w:lang w:val="en-US"/>
        </w:rPr>
        <w:t>December</w:t>
      </w:r>
      <w:r w:rsidR="00756C3F">
        <w:rPr>
          <w:szCs w:val="23"/>
          <w:lang w:val="en-US"/>
        </w:rPr>
        <w:t xml:space="preserve"> 2018</w:t>
      </w:r>
      <w:r w:rsidRPr="00EC1228">
        <w:rPr>
          <w:szCs w:val="23"/>
          <w:lang w:val="en-US"/>
        </w:rPr>
        <w:t>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234F14">
        <w:rPr>
          <w:noProof/>
          <w:color w:val="001D77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1A75DF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1A75DF" w:rsidRDefault="001A75DF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0470AA" w:rsidRPr="0006357B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="00FF2C0B">
              <w:rPr>
                <w:rFonts w:cs="Arial"/>
                <w:color w:val="000000" w:themeColor="text1"/>
                <w:sz w:val="20"/>
                <w:lang w:val="fi-FI"/>
              </w:rPr>
              <w:t xml:space="preserve">+48 </w:t>
            </w: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</w:t>
            </w:r>
            <w:r w:rsidRPr="00FF2C0B">
              <w:rPr>
                <w:rFonts w:cs="Arial"/>
                <w:b/>
                <w:color w:val="auto"/>
                <w:sz w:val="20"/>
                <w:szCs w:val="20"/>
                <w:lang w:val="de-AT"/>
              </w:rPr>
              <w:t xml:space="preserve">ail: </w:t>
            </w:r>
            <w:hyperlink r:id="rId19" w:history="1">
              <w:r w:rsidR="00017FFE" w:rsidRPr="00FF2C0B">
                <w:rPr>
                  <w:rStyle w:val="Hipercze"/>
                  <w:rFonts w:cstheme="majorBidi"/>
                  <w:color w:val="auto"/>
                  <w:lang w:val="de-AT"/>
                </w:rPr>
                <w:t>j</w:t>
              </w:r>
              <w:r w:rsidR="00017FFE" w:rsidRPr="00FF2C0B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382DAE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br/>
            </w:r>
            <w:r w:rsidR="00382DAE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="00FF2C0B">
              <w:rPr>
                <w:rFonts w:cs="Arial"/>
                <w:color w:val="000000" w:themeColor="text1"/>
                <w:sz w:val="20"/>
              </w:rPr>
              <w:t>+</w:t>
            </w:r>
            <w:r w:rsidR="00FF2C0B">
              <w:rPr>
                <w:rFonts w:cs="Arial"/>
                <w:color w:val="000000" w:themeColor="text1"/>
                <w:sz w:val="20"/>
                <w:lang w:val="fi-FI"/>
              </w:rPr>
              <w:t xml:space="preserve">48 </w:t>
            </w: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22 608 3475,</w:t>
            </w:r>
            <w:r w:rsidR="00FF2C0B">
              <w:rPr>
                <w:rFonts w:cs="Arial"/>
                <w:color w:val="000000" w:themeColor="text1"/>
                <w:sz w:val="20"/>
                <w:lang w:val="fi-FI"/>
              </w:rPr>
              <w:t xml:space="preserve"> +48</w:t>
            </w: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 xml:space="preserve">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Pr="00B04BBF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tbl>
      <w:tblPr>
        <w:tblStyle w:val="Tabela-Siatka"/>
        <w:tblpPr w:leftFromText="141" w:rightFromText="141" w:vertAnchor="text" w:horzAnchor="margin" w:tblpY="15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FF2C0B" w:rsidRPr="0095396F" w:rsidTr="00FF2C0B">
        <w:trPr>
          <w:trHeight w:val="610"/>
        </w:trPr>
        <w:tc>
          <w:tcPr>
            <w:tcW w:w="2721" w:type="pct"/>
            <w:vMerge w:val="restart"/>
            <w:vAlign w:val="center"/>
          </w:tcPr>
          <w:p w:rsidR="00FF2C0B" w:rsidRPr="00B04BBF" w:rsidRDefault="00FF2C0B" w:rsidP="00FF2C0B">
            <w:pPr>
              <w:rPr>
                <w:rFonts w:asciiTheme="majorHAnsi" w:hAnsiTheme="majorHAnsi"/>
                <w:b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>Press Office</w:t>
            </w:r>
          </w:p>
          <w:p w:rsidR="00FF2C0B" w:rsidRPr="00B04BBF" w:rsidRDefault="00FF2C0B" w:rsidP="00FF2C0B">
            <w:pPr>
              <w:rPr>
                <w:rFonts w:asciiTheme="majorHAnsi" w:hAnsiTheme="majorHAnsi"/>
                <w:sz w:val="20"/>
                <w:lang w:val="en-US"/>
              </w:rPr>
            </w:pPr>
            <w:r>
              <w:rPr>
                <w:rFonts w:asciiTheme="majorHAnsi" w:hAnsiTheme="majorHAnsi"/>
                <w:b/>
                <w:sz w:val="20"/>
                <w:lang w:val="en-US"/>
              </w:rPr>
              <w:t>T</w:t>
            </w: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 xml:space="preserve">el.: </w:t>
            </w:r>
            <w:r>
              <w:rPr>
                <w:rFonts w:asciiTheme="majorHAnsi" w:hAnsiTheme="majorHAnsi"/>
                <w:sz w:val="20"/>
                <w:lang w:val="en-US"/>
              </w:rPr>
              <w:t>+48 22 608 34 91, +48 22</w:t>
            </w:r>
            <w:r w:rsidRPr="00B04BBF">
              <w:rPr>
                <w:rFonts w:asciiTheme="majorHAnsi" w:hAnsiTheme="majorHAnsi"/>
                <w:sz w:val="20"/>
                <w:lang w:val="en-US"/>
              </w:rPr>
              <w:t xml:space="preserve"> 608 38 04 </w:t>
            </w:r>
          </w:p>
          <w:p w:rsidR="00FF2C0B" w:rsidRPr="0095396F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e</w:t>
            </w:r>
            <w:r w:rsidRPr="00FF2C0B">
              <w:rPr>
                <w:rFonts w:asciiTheme="majorHAnsi" w:hAnsiTheme="majorHAnsi"/>
                <w:b/>
                <w:sz w:val="20"/>
                <w:lang w:val="en-US"/>
              </w:rPr>
              <w:t xml:space="preserve">-mail: </w:t>
            </w:r>
            <w:hyperlink r:id="rId21" w:history="1">
              <w:r w:rsidRPr="00FF2C0B">
                <w:rPr>
                  <w:rStyle w:val="Hipercze"/>
                  <w:rFonts w:asciiTheme="majorHAnsi" w:hAnsiTheme="majorHAnsi"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89DAC1E" wp14:editId="13E0D7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FF2C0B" w:rsidRPr="0095396F" w:rsidTr="00FF2C0B">
        <w:trPr>
          <w:trHeight w:val="436"/>
        </w:trPr>
        <w:tc>
          <w:tcPr>
            <w:tcW w:w="2721" w:type="pct"/>
            <w:vMerge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3BB636B" wp14:editId="36E1D61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FF2C0B" w:rsidRPr="0095396F" w:rsidTr="00FF2C0B">
        <w:trPr>
          <w:trHeight w:val="436"/>
        </w:trPr>
        <w:tc>
          <w:tcPr>
            <w:tcW w:w="2721" w:type="pct"/>
            <w:vMerge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10DFF300" wp14:editId="7A7A000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F2C0B" w:rsidRPr="0095396F" w:rsidRDefault="00FF2C0B" w:rsidP="00FF2C0B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@GlownyUrzadStatystyczny</w:t>
            </w:r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D261A2" w:rsidRPr="0095396F" w:rsidRDefault="00FF2C0B" w:rsidP="00E76D26">
      <w:pPr>
        <w:rPr>
          <w:rFonts w:asciiTheme="majorHAnsi" w:hAnsiTheme="majorHAnsi"/>
          <w:sz w:val="18"/>
        </w:rPr>
      </w:pPr>
      <w:bookmarkStart w:id="1" w:name="_GoBack"/>
      <w:bookmarkEnd w:id="1"/>
      <w:r>
        <w:rPr>
          <w:rFonts w:asciiTheme="majorHAnsi" w:hAnsiTheme="majorHAnsi"/>
          <w:noProof/>
          <w:sz w:val="18"/>
          <w:lang w:eastAsia="pl-PL"/>
        </w:rPr>
        <w:pict>
          <v:shape id="_x0000_s1031" type="#_x0000_t202" style="position:absolute;margin-left:1.5pt;margin-top:79pt;width:429.7pt;height:252.8pt;z-index:251691008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<v:textbox style="mso-next-textbox:#_x0000_s1031">
              <w:txbxContent>
                <w:p w:rsidR="00234F14" w:rsidRDefault="00234F14" w:rsidP="00AB6D25">
                  <w:pPr>
                    <w:rPr>
                      <w:b/>
                    </w:rPr>
                  </w:pPr>
                </w:p>
                <w:p w:rsidR="00234F14" w:rsidRPr="00B04BBF" w:rsidRDefault="00234F14" w:rsidP="00AB6D25">
                  <w:pPr>
                    <w:rPr>
                      <w:b/>
                      <w:lang w:val="en-US"/>
                    </w:rPr>
                  </w:pPr>
                  <w:r w:rsidRPr="00B04BBF">
                    <w:rPr>
                      <w:b/>
                      <w:lang w:val="en-US"/>
                    </w:rPr>
                    <w:t>Related studies</w:t>
                  </w:r>
                </w:p>
                <w:p w:rsidR="00234F14" w:rsidRPr="00D44934" w:rsidRDefault="00234F14" w:rsidP="00AB6D25">
                  <w:pPr>
                    <w:rPr>
                      <w:rStyle w:val="Hipercze"/>
                      <w:rFonts w:cstheme="minorBidi"/>
                      <w:highlight w:val="yellow"/>
                      <w:lang w:val="en-US"/>
                    </w:rPr>
                  </w:pPr>
                  <w:r w:rsidRPr="00D44934">
                    <w:rPr>
                      <w:color w:val="0000FF"/>
                      <w:highlight w:val="yellow"/>
                    </w:rPr>
                    <w:fldChar w:fldCharType="begin"/>
                  </w:r>
                  <w:r w:rsidRPr="007E7787">
                    <w:rPr>
                      <w:color w:val="0000FF"/>
                      <w:highlight w:val="yellow"/>
                      <w:lang w:val="en-US"/>
                    </w:rPr>
                    <w:instrText>HYPERLINK "http://stat.gov.pl/en/topics/prices-trade/trade/internal-market-in-2017,7,16.html"</w:instrText>
                  </w:r>
                  <w:r w:rsidRPr="00D44934">
                    <w:rPr>
                      <w:color w:val="0000FF"/>
                      <w:highlight w:val="yellow"/>
                    </w:rPr>
                    <w:fldChar w:fldCharType="separate"/>
                  </w:r>
                  <w:r w:rsidRPr="00D44934">
                    <w:rPr>
                      <w:rStyle w:val="Hipercze"/>
                      <w:rFonts w:cstheme="minorBidi"/>
                      <w:lang w:val="en-US"/>
                    </w:rPr>
                    <w:t>Internal market in 2017 r.</w:t>
                  </w:r>
                </w:p>
                <w:p w:rsidR="00234F14" w:rsidRPr="00BD3C6A" w:rsidRDefault="00234F14" w:rsidP="00AB6D25">
                  <w:pPr>
                    <w:rPr>
                      <w:b/>
                      <w:color w:val="001D77"/>
                      <w:szCs w:val="24"/>
                      <w:lang w:val="en-US"/>
                    </w:rPr>
                  </w:pPr>
                  <w:r w:rsidRPr="00D44934">
                    <w:rPr>
                      <w:color w:val="0000FF"/>
                      <w:highlight w:val="yellow"/>
                    </w:rPr>
                    <w:fldChar w:fldCharType="end"/>
                  </w:r>
                </w:p>
                <w:p w:rsidR="00234F14" w:rsidRPr="00BD3C6A" w:rsidRDefault="00234F14" w:rsidP="00AB6D25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BD3C6A">
                    <w:rPr>
                      <w:b/>
                      <w:color w:val="000000" w:themeColor="text1"/>
                      <w:szCs w:val="24"/>
                      <w:lang w:val="en-US"/>
                    </w:rPr>
                    <w:t>Subject available in databases</w:t>
                  </w:r>
                </w:p>
                <w:p w:rsidR="00234F14" w:rsidRPr="00BD3C6A" w:rsidRDefault="00234F14" w:rsidP="00AB6D25">
                  <w:pPr>
                    <w:rPr>
                      <w:rStyle w:val="Hipercze"/>
                      <w:rFonts w:cstheme="minorBidi"/>
                      <w:szCs w:val="24"/>
                      <w:lang w:val="en-US"/>
                    </w:rPr>
                  </w:pPr>
                  <w:r>
                    <w:rPr>
                      <w:szCs w:val="24"/>
                    </w:rPr>
                    <w:fldChar w:fldCharType="begin"/>
                  </w:r>
                  <w:r w:rsidRPr="00BD3C6A">
                    <w:rPr>
                      <w:szCs w:val="24"/>
                      <w:lang w:val="en-US"/>
                    </w:rPr>
                    <w:instrText>HYPERLINK "http://swaid.stat.gov.pl/EN/SitePagesDBW/HandelUslugi.aspx"</w:instrText>
                  </w:r>
                  <w:r>
                    <w:rPr>
                      <w:szCs w:val="24"/>
                    </w:rPr>
                    <w:fldChar w:fldCharType="separate"/>
                  </w:r>
                  <w:r>
                    <w:rPr>
                      <w:rStyle w:val="Hipercze"/>
                      <w:rFonts w:cstheme="minorBidi"/>
                      <w:szCs w:val="24"/>
                      <w:lang w:val="en-US"/>
                    </w:rPr>
                    <w:t>Knowledge Databa</w:t>
                  </w:r>
                  <w:r w:rsidRPr="00BD3C6A">
                    <w:rPr>
                      <w:rStyle w:val="Hipercze"/>
                      <w:rFonts w:cstheme="minorBidi"/>
                      <w:szCs w:val="24"/>
                      <w:lang w:val="en-US"/>
                    </w:rPr>
                    <w:t>ses – Trade and S</w:t>
                  </w:r>
                  <w:r>
                    <w:rPr>
                      <w:rStyle w:val="Hipercze"/>
                      <w:rFonts w:cstheme="minorBidi"/>
                      <w:szCs w:val="24"/>
                      <w:lang w:val="en-US"/>
                    </w:rPr>
                    <w:t>ervices</w:t>
                  </w:r>
                </w:p>
                <w:p w:rsidR="00234F14" w:rsidRPr="00BD3C6A" w:rsidRDefault="00234F14" w:rsidP="00AB6D25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>
                    <w:rPr>
                      <w:szCs w:val="24"/>
                    </w:rPr>
                    <w:fldChar w:fldCharType="end"/>
                  </w:r>
                  <w:hyperlink r:id="rId25" w:history="1">
                    <w:r w:rsidRPr="00DB2744">
                      <w:rPr>
                        <w:rStyle w:val="Hipercze"/>
                        <w:rFonts w:cstheme="minorBidi"/>
                        <w:szCs w:val="24"/>
                        <w:lang w:val="en-US"/>
                      </w:rPr>
                      <w:t>Macroeconomic Data Bank</w:t>
                    </w:r>
                  </w:hyperlink>
                </w:p>
                <w:p w:rsidR="00234F14" w:rsidRPr="001A75DF" w:rsidRDefault="00234F14" w:rsidP="00AB6D25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1A75DF">
                    <w:rPr>
                      <w:b/>
                      <w:color w:val="000000" w:themeColor="text1"/>
                      <w:szCs w:val="24"/>
                      <w:lang w:val="en-US"/>
                    </w:rPr>
                    <w:t xml:space="preserve">Important concepts available </w:t>
                  </w:r>
                  <w:r>
                    <w:rPr>
                      <w:b/>
                      <w:color w:val="000000" w:themeColor="text1"/>
                      <w:szCs w:val="24"/>
                      <w:lang w:val="en-US"/>
                    </w:rPr>
                    <w:t>i</w:t>
                  </w:r>
                  <w:r w:rsidRPr="001A75DF">
                    <w:rPr>
                      <w:b/>
                      <w:color w:val="000000" w:themeColor="text1"/>
                      <w:szCs w:val="24"/>
                      <w:lang w:val="en-US"/>
                    </w:rPr>
                    <w:t>n t</w:t>
                  </w:r>
                  <w:r>
                    <w:rPr>
                      <w:b/>
                      <w:color w:val="000000" w:themeColor="text1"/>
                      <w:szCs w:val="24"/>
                      <w:lang w:val="en-US"/>
                    </w:rPr>
                    <w:t>he dictionary</w:t>
                  </w:r>
                </w:p>
                <w:p w:rsidR="00234F14" w:rsidRPr="00BD3C6A" w:rsidRDefault="00234F14" w:rsidP="00AB6D25">
                  <w:pPr>
                    <w:rPr>
                      <w:rStyle w:val="Hipercze"/>
                      <w:rFonts w:cstheme="minorBidi"/>
                      <w:szCs w:val="24"/>
                      <w:lang w:val="en-US"/>
                    </w:rPr>
                  </w:pPr>
                  <w:r>
                    <w:rPr>
                      <w:szCs w:val="24"/>
                    </w:rPr>
                    <w:fldChar w:fldCharType="begin"/>
                  </w:r>
                  <w:r w:rsidRPr="00BD3C6A">
                    <w:rPr>
                      <w:szCs w:val="24"/>
                      <w:lang w:val="en-US"/>
                    </w:rPr>
                    <w:instrText>HYPERLINK "http://stat.gov.pl/en/metainformations/glossary/terms-used-in-official-statistics/473,term.html"</w:instrText>
                  </w:r>
                  <w:r>
                    <w:rPr>
                      <w:szCs w:val="24"/>
                    </w:rPr>
                    <w:fldChar w:fldCharType="separate"/>
                  </w:r>
                  <w:r w:rsidRPr="00BD3C6A">
                    <w:rPr>
                      <w:rStyle w:val="Hipercze"/>
                      <w:rFonts w:cstheme="minorBidi"/>
                      <w:szCs w:val="24"/>
                      <w:lang w:val="en-US"/>
                    </w:rPr>
                    <w:t>Retail sales of g</w:t>
                  </w:r>
                  <w:r>
                    <w:rPr>
                      <w:rStyle w:val="Hipercze"/>
                      <w:rFonts w:cstheme="minorBidi"/>
                      <w:szCs w:val="24"/>
                      <w:lang w:val="en-US"/>
                    </w:rPr>
                    <w:t>oods</w:t>
                  </w:r>
                </w:p>
                <w:p w:rsidR="00234F14" w:rsidRPr="003D7F37" w:rsidRDefault="00234F14" w:rsidP="00AB6D25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r>
                    <w:rPr>
                      <w:szCs w:val="24"/>
                    </w:rPr>
                    <w:fldChar w:fldCharType="end"/>
                  </w:r>
                </w:p>
              </w:txbxContent>
            </v:textbox>
            <w10:wrap type="square" anchorx="margin"/>
          </v:shape>
        </w:pict>
      </w:r>
    </w:p>
    <w:sectPr w:rsidR="00D261A2" w:rsidRPr="0095396F" w:rsidSect="006A2E6E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55E" w:rsidRDefault="00C5455E" w:rsidP="000662E2">
      <w:pPr>
        <w:spacing w:after="0" w:line="240" w:lineRule="auto"/>
      </w:pPr>
      <w:r>
        <w:separator/>
      </w:r>
    </w:p>
  </w:endnote>
  <w:endnote w:type="continuationSeparator" w:id="0">
    <w:p w:rsidR="00C5455E" w:rsidRDefault="00C545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E845DA4-7314-4EF7-BEAD-E9773A74E2A0}"/>
    <w:embedBold r:id="rId2" w:fontKey="{6C268FF4-E53B-4DCF-BBD2-1FD099B3BC9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86037D6-7A33-482E-AAD1-F3B0CB23EA7A}"/>
    <w:embedBold r:id="rId4" w:fontKey="{DB08E886-F920-4D92-9605-2173FE2671E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9E7AA0A-30AC-41BA-ADFE-FA206C48D9AD}"/>
    <w:embedBold r:id="rId6" w:fontKey="{24BF963D-1B8E-45D2-8994-C716491DDB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4A9CFC2-3BD0-44C6-AECC-3E12A57AA6FA}"/>
    <w:embedBold r:id="rId8" w:fontKey="{12C4179C-9E44-4149-B2E4-3725F81CAB82}"/>
    <w:embedItalic r:id="rId9" w:fontKey="{E3F97B54-3C35-440F-A9FB-B850189A33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5042B61-D3DB-43AB-8184-53290D48166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6B1F986-8012-4D19-8F75-8578D5D3AF5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234F14" w:rsidRDefault="00515342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F2C0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34F14" w:rsidRDefault="00234F14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234F14" w:rsidRDefault="00515342" w:rsidP="002A6115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F2C0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4F14" w:rsidRDefault="00234F14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55E" w:rsidRDefault="00C5455E" w:rsidP="000662E2">
      <w:pPr>
        <w:spacing w:after="0" w:line="240" w:lineRule="auto"/>
      </w:pPr>
      <w:r>
        <w:separator/>
      </w:r>
    </w:p>
  </w:footnote>
  <w:footnote w:type="continuationSeparator" w:id="0">
    <w:p w:rsidR="00C5455E" w:rsidRDefault="00C5455E" w:rsidP="000662E2">
      <w:pPr>
        <w:spacing w:after="0" w:line="240" w:lineRule="auto"/>
      </w:pPr>
      <w:r>
        <w:continuationSeparator/>
      </w:r>
    </w:p>
  </w:footnote>
  <w:footnote w:id="1">
    <w:p w:rsidR="00234F14" w:rsidRPr="00C134FB" w:rsidRDefault="00234F14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234F14" w:rsidRDefault="00234F1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2661D">
        <w:rPr>
          <w:sz w:val="16"/>
          <w:szCs w:val="16"/>
        </w:rPr>
        <w:t>Pre</w:t>
      </w:r>
      <w:r>
        <w:rPr>
          <w:sz w:val="16"/>
          <w:szCs w:val="16"/>
        </w:rPr>
        <w:t>liminary data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C5455E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234F14" w:rsidRDefault="00234F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C5455E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234F14" w:rsidRPr="003C6C8D" w:rsidRDefault="00234F1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NEWS RELEASES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left:0;text-align:left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<v:path arrowok="t"/>
          <w10:wrap type="tight"/>
        </v:rect>
      </w:pict>
    </w:r>
    <w:r w:rsidR="00234F14">
      <w:rPr>
        <w:noProof/>
        <w:lang w:eastAsia="pl-PL"/>
      </w:rPr>
      <w:t xml:space="preserve">      </w:t>
    </w:r>
    <w:r w:rsidR="00234F14">
      <w:rPr>
        <w:noProof/>
        <w:lang w:eastAsia="pl-PL"/>
      </w:rPr>
      <w:drawing>
        <wp:inline distT="0" distB="0" distL="0" distR="0">
          <wp:extent cx="2096203" cy="720000"/>
          <wp:effectExtent l="19050" t="0" r="0" b="0"/>
          <wp:docPr id="13" name="Obraz 3" descr="C:\Users\rudzinskas\AppData\Local\Microsoft\Windows\INetCache\Content.Outlook\KB4DOR7T\Logo Statistics 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udzinskas\AppData\Local\Microsoft\Windows\INetCache\Content.Outlook\KB4DOR7T\Logo Statistics 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20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4F14" w:rsidRDefault="00C5455E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3.2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AL&#10;4Fa43gAAAAoBAAAPAAAAAAAAAAAAAAAAAGoEAABkcnMvZG93bnJldi54bWxQSwUGAAAAAAQABADz&#10;AAAAdQUAAAAA&#10;" filled="f" stroked="f">
          <v:textbox style="mso-next-textbox:#_x0000_s2049">
            <w:txbxContent>
              <w:p w:rsidR="00234F14" w:rsidRPr="00C97596" w:rsidRDefault="00234F14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 xml:space="preserve">21.02.2019 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234F14">
    <w:pPr>
      <w:pStyle w:val="Nagwek"/>
    </w:pPr>
  </w:p>
  <w:p w:rsidR="00234F14" w:rsidRDefault="00234F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12B"/>
    <w:rsid w:val="00001C5B"/>
    <w:rsid w:val="00003437"/>
    <w:rsid w:val="00003C03"/>
    <w:rsid w:val="0000709F"/>
    <w:rsid w:val="0000713E"/>
    <w:rsid w:val="000102CC"/>
    <w:rsid w:val="000108B8"/>
    <w:rsid w:val="00011564"/>
    <w:rsid w:val="000144A9"/>
    <w:rsid w:val="000152F5"/>
    <w:rsid w:val="000177BB"/>
    <w:rsid w:val="00017FFE"/>
    <w:rsid w:val="0002125E"/>
    <w:rsid w:val="00022097"/>
    <w:rsid w:val="000224B2"/>
    <w:rsid w:val="00023A16"/>
    <w:rsid w:val="00023B31"/>
    <w:rsid w:val="00023F0B"/>
    <w:rsid w:val="00024D94"/>
    <w:rsid w:val="000253FE"/>
    <w:rsid w:val="0002661D"/>
    <w:rsid w:val="00027020"/>
    <w:rsid w:val="00027951"/>
    <w:rsid w:val="00027E78"/>
    <w:rsid w:val="00030A9C"/>
    <w:rsid w:val="00036905"/>
    <w:rsid w:val="00037E75"/>
    <w:rsid w:val="00040525"/>
    <w:rsid w:val="000419AC"/>
    <w:rsid w:val="00042386"/>
    <w:rsid w:val="00043D31"/>
    <w:rsid w:val="0004582E"/>
    <w:rsid w:val="000470AA"/>
    <w:rsid w:val="00047453"/>
    <w:rsid w:val="00052608"/>
    <w:rsid w:val="000533D9"/>
    <w:rsid w:val="0005785E"/>
    <w:rsid w:val="00057CA1"/>
    <w:rsid w:val="00057EC2"/>
    <w:rsid w:val="00061FE0"/>
    <w:rsid w:val="0006357B"/>
    <w:rsid w:val="000662E2"/>
    <w:rsid w:val="00066883"/>
    <w:rsid w:val="00067082"/>
    <w:rsid w:val="000724CD"/>
    <w:rsid w:val="00074B04"/>
    <w:rsid w:val="00074DD8"/>
    <w:rsid w:val="00075004"/>
    <w:rsid w:val="00077890"/>
    <w:rsid w:val="000806F7"/>
    <w:rsid w:val="000822E2"/>
    <w:rsid w:val="00093F25"/>
    <w:rsid w:val="00094047"/>
    <w:rsid w:val="000A1B55"/>
    <w:rsid w:val="000A3BE8"/>
    <w:rsid w:val="000A50BE"/>
    <w:rsid w:val="000A7A67"/>
    <w:rsid w:val="000B0727"/>
    <w:rsid w:val="000B0A71"/>
    <w:rsid w:val="000B6DA7"/>
    <w:rsid w:val="000B73BD"/>
    <w:rsid w:val="000B7472"/>
    <w:rsid w:val="000C0D4D"/>
    <w:rsid w:val="000C135D"/>
    <w:rsid w:val="000C3D76"/>
    <w:rsid w:val="000D15A6"/>
    <w:rsid w:val="000D1D43"/>
    <w:rsid w:val="000D225C"/>
    <w:rsid w:val="000D2A5C"/>
    <w:rsid w:val="000D2DA9"/>
    <w:rsid w:val="000D2DD3"/>
    <w:rsid w:val="000D41A5"/>
    <w:rsid w:val="000D5EE9"/>
    <w:rsid w:val="000D724E"/>
    <w:rsid w:val="000D7994"/>
    <w:rsid w:val="000E0918"/>
    <w:rsid w:val="000E2DD1"/>
    <w:rsid w:val="000E65E0"/>
    <w:rsid w:val="000F2FDE"/>
    <w:rsid w:val="000F303C"/>
    <w:rsid w:val="000F4AAC"/>
    <w:rsid w:val="001011C3"/>
    <w:rsid w:val="001017E9"/>
    <w:rsid w:val="00105B75"/>
    <w:rsid w:val="0010694A"/>
    <w:rsid w:val="00110D87"/>
    <w:rsid w:val="001119E5"/>
    <w:rsid w:val="001139F5"/>
    <w:rsid w:val="00114DB9"/>
    <w:rsid w:val="00114FBC"/>
    <w:rsid w:val="00116087"/>
    <w:rsid w:val="00120842"/>
    <w:rsid w:val="0012679F"/>
    <w:rsid w:val="001267F4"/>
    <w:rsid w:val="00130296"/>
    <w:rsid w:val="001304EC"/>
    <w:rsid w:val="0013057C"/>
    <w:rsid w:val="00130AB2"/>
    <w:rsid w:val="0013237E"/>
    <w:rsid w:val="00134242"/>
    <w:rsid w:val="00135671"/>
    <w:rsid w:val="00135D92"/>
    <w:rsid w:val="001409E1"/>
    <w:rsid w:val="001423B6"/>
    <w:rsid w:val="00144241"/>
    <w:rsid w:val="001448A7"/>
    <w:rsid w:val="0014543F"/>
    <w:rsid w:val="00146621"/>
    <w:rsid w:val="001520A2"/>
    <w:rsid w:val="00152273"/>
    <w:rsid w:val="001544CF"/>
    <w:rsid w:val="00154726"/>
    <w:rsid w:val="00154EC0"/>
    <w:rsid w:val="00161DA5"/>
    <w:rsid w:val="00161F52"/>
    <w:rsid w:val="00162325"/>
    <w:rsid w:val="0016514E"/>
    <w:rsid w:val="00165563"/>
    <w:rsid w:val="001677B4"/>
    <w:rsid w:val="001720A2"/>
    <w:rsid w:val="001774A2"/>
    <w:rsid w:val="0018456B"/>
    <w:rsid w:val="001851A5"/>
    <w:rsid w:val="00186719"/>
    <w:rsid w:val="001905F6"/>
    <w:rsid w:val="00191E3E"/>
    <w:rsid w:val="001951DA"/>
    <w:rsid w:val="001A0434"/>
    <w:rsid w:val="001A1119"/>
    <w:rsid w:val="001A2810"/>
    <w:rsid w:val="001A40AB"/>
    <w:rsid w:val="001A41A6"/>
    <w:rsid w:val="001A75DF"/>
    <w:rsid w:val="001B3F52"/>
    <w:rsid w:val="001B532C"/>
    <w:rsid w:val="001B69A2"/>
    <w:rsid w:val="001C190A"/>
    <w:rsid w:val="001C3269"/>
    <w:rsid w:val="001C5DE2"/>
    <w:rsid w:val="001C6028"/>
    <w:rsid w:val="001C6976"/>
    <w:rsid w:val="001C70AF"/>
    <w:rsid w:val="001C7489"/>
    <w:rsid w:val="001D1DB4"/>
    <w:rsid w:val="001E1400"/>
    <w:rsid w:val="001E236B"/>
    <w:rsid w:val="001E5351"/>
    <w:rsid w:val="001F1289"/>
    <w:rsid w:val="001F2800"/>
    <w:rsid w:val="001F340B"/>
    <w:rsid w:val="001F48BB"/>
    <w:rsid w:val="001F67FE"/>
    <w:rsid w:val="001F7F8B"/>
    <w:rsid w:val="002023E9"/>
    <w:rsid w:val="00203B23"/>
    <w:rsid w:val="00203BEC"/>
    <w:rsid w:val="00207A39"/>
    <w:rsid w:val="00211A7E"/>
    <w:rsid w:val="00216030"/>
    <w:rsid w:val="002220B7"/>
    <w:rsid w:val="0022314B"/>
    <w:rsid w:val="00223EBE"/>
    <w:rsid w:val="00226FE1"/>
    <w:rsid w:val="002314F1"/>
    <w:rsid w:val="0023240E"/>
    <w:rsid w:val="00234335"/>
    <w:rsid w:val="00234F14"/>
    <w:rsid w:val="00235EE9"/>
    <w:rsid w:val="00236B7C"/>
    <w:rsid w:val="00240FAB"/>
    <w:rsid w:val="00241406"/>
    <w:rsid w:val="0024278E"/>
    <w:rsid w:val="00244DBF"/>
    <w:rsid w:val="00244E7F"/>
    <w:rsid w:val="00246B7F"/>
    <w:rsid w:val="00247E0C"/>
    <w:rsid w:val="0025169D"/>
    <w:rsid w:val="00251F38"/>
    <w:rsid w:val="0025463B"/>
    <w:rsid w:val="00256D58"/>
    <w:rsid w:val="00256FB9"/>
    <w:rsid w:val="002574F9"/>
    <w:rsid w:val="00257C56"/>
    <w:rsid w:val="00260774"/>
    <w:rsid w:val="0026573E"/>
    <w:rsid w:val="00267029"/>
    <w:rsid w:val="00270DDC"/>
    <w:rsid w:val="00272D53"/>
    <w:rsid w:val="00273988"/>
    <w:rsid w:val="00274C17"/>
    <w:rsid w:val="00276811"/>
    <w:rsid w:val="00282699"/>
    <w:rsid w:val="00282E90"/>
    <w:rsid w:val="00287DE4"/>
    <w:rsid w:val="0029139F"/>
    <w:rsid w:val="002926DF"/>
    <w:rsid w:val="00292C7A"/>
    <w:rsid w:val="002931E3"/>
    <w:rsid w:val="002958BB"/>
    <w:rsid w:val="00296697"/>
    <w:rsid w:val="002A0B31"/>
    <w:rsid w:val="002A1289"/>
    <w:rsid w:val="002A6115"/>
    <w:rsid w:val="002A6CE2"/>
    <w:rsid w:val="002A7CB1"/>
    <w:rsid w:val="002B0472"/>
    <w:rsid w:val="002B1E50"/>
    <w:rsid w:val="002B2088"/>
    <w:rsid w:val="002B5519"/>
    <w:rsid w:val="002B6B12"/>
    <w:rsid w:val="002C11BE"/>
    <w:rsid w:val="002D15C6"/>
    <w:rsid w:val="002D20E5"/>
    <w:rsid w:val="002D294F"/>
    <w:rsid w:val="002D3A7B"/>
    <w:rsid w:val="002D675F"/>
    <w:rsid w:val="002E35C0"/>
    <w:rsid w:val="002E4A43"/>
    <w:rsid w:val="002E55FE"/>
    <w:rsid w:val="002E6140"/>
    <w:rsid w:val="002E6985"/>
    <w:rsid w:val="002E7047"/>
    <w:rsid w:val="002E71B6"/>
    <w:rsid w:val="002E77DC"/>
    <w:rsid w:val="002F03B0"/>
    <w:rsid w:val="002F0D7C"/>
    <w:rsid w:val="002F23DD"/>
    <w:rsid w:val="002F3499"/>
    <w:rsid w:val="002F52E1"/>
    <w:rsid w:val="002F5558"/>
    <w:rsid w:val="002F6175"/>
    <w:rsid w:val="002F65F8"/>
    <w:rsid w:val="002F6DB4"/>
    <w:rsid w:val="002F7112"/>
    <w:rsid w:val="002F734C"/>
    <w:rsid w:val="002F77C8"/>
    <w:rsid w:val="003016A4"/>
    <w:rsid w:val="00302C83"/>
    <w:rsid w:val="00302E37"/>
    <w:rsid w:val="0030382E"/>
    <w:rsid w:val="00303C59"/>
    <w:rsid w:val="00304F22"/>
    <w:rsid w:val="00305290"/>
    <w:rsid w:val="00306C7C"/>
    <w:rsid w:val="003100C8"/>
    <w:rsid w:val="003112E7"/>
    <w:rsid w:val="003140EB"/>
    <w:rsid w:val="00320FEE"/>
    <w:rsid w:val="00322EDD"/>
    <w:rsid w:val="0032343F"/>
    <w:rsid w:val="0033011E"/>
    <w:rsid w:val="0033026E"/>
    <w:rsid w:val="00332320"/>
    <w:rsid w:val="00333012"/>
    <w:rsid w:val="00336650"/>
    <w:rsid w:val="00336951"/>
    <w:rsid w:val="0034323F"/>
    <w:rsid w:val="0034354B"/>
    <w:rsid w:val="003448B9"/>
    <w:rsid w:val="00346B95"/>
    <w:rsid w:val="00347D72"/>
    <w:rsid w:val="00350F8C"/>
    <w:rsid w:val="00354DE7"/>
    <w:rsid w:val="00354FEE"/>
    <w:rsid w:val="00357611"/>
    <w:rsid w:val="00360F78"/>
    <w:rsid w:val="00363527"/>
    <w:rsid w:val="00364D74"/>
    <w:rsid w:val="00367237"/>
    <w:rsid w:val="0037077F"/>
    <w:rsid w:val="00371E29"/>
    <w:rsid w:val="00372956"/>
    <w:rsid w:val="00372EDD"/>
    <w:rsid w:val="00373882"/>
    <w:rsid w:val="00374D5D"/>
    <w:rsid w:val="00375B9E"/>
    <w:rsid w:val="00382DAE"/>
    <w:rsid w:val="00383530"/>
    <w:rsid w:val="003843DB"/>
    <w:rsid w:val="00384413"/>
    <w:rsid w:val="00387793"/>
    <w:rsid w:val="003910EE"/>
    <w:rsid w:val="0039111A"/>
    <w:rsid w:val="00393761"/>
    <w:rsid w:val="003939CD"/>
    <w:rsid w:val="00397D18"/>
    <w:rsid w:val="003A1B36"/>
    <w:rsid w:val="003A2CCA"/>
    <w:rsid w:val="003A3245"/>
    <w:rsid w:val="003A5DC3"/>
    <w:rsid w:val="003A623B"/>
    <w:rsid w:val="003A772B"/>
    <w:rsid w:val="003B0DCF"/>
    <w:rsid w:val="003B1454"/>
    <w:rsid w:val="003B1FBC"/>
    <w:rsid w:val="003B3445"/>
    <w:rsid w:val="003B39CC"/>
    <w:rsid w:val="003B4DDA"/>
    <w:rsid w:val="003B4F36"/>
    <w:rsid w:val="003B58A4"/>
    <w:rsid w:val="003C2CAA"/>
    <w:rsid w:val="003C4268"/>
    <w:rsid w:val="003C59E0"/>
    <w:rsid w:val="003C64DF"/>
    <w:rsid w:val="003C6C8D"/>
    <w:rsid w:val="003D0C16"/>
    <w:rsid w:val="003D0E78"/>
    <w:rsid w:val="003D215D"/>
    <w:rsid w:val="003D2FEA"/>
    <w:rsid w:val="003D453D"/>
    <w:rsid w:val="003D45E7"/>
    <w:rsid w:val="003D4F95"/>
    <w:rsid w:val="003D5F42"/>
    <w:rsid w:val="003D60A9"/>
    <w:rsid w:val="003D66FE"/>
    <w:rsid w:val="003D7F37"/>
    <w:rsid w:val="003E2006"/>
    <w:rsid w:val="003E43B9"/>
    <w:rsid w:val="003E6106"/>
    <w:rsid w:val="003E697C"/>
    <w:rsid w:val="003E7F1A"/>
    <w:rsid w:val="003F025A"/>
    <w:rsid w:val="003F1527"/>
    <w:rsid w:val="003F4C97"/>
    <w:rsid w:val="003F6B2D"/>
    <w:rsid w:val="003F7FE6"/>
    <w:rsid w:val="00400193"/>
    <w:rsid w:val="00401667"/>
    <w:rsid w:val="00402D9F"/>
    <w:rsid w:val="004078E9"/>
    <w:rsid w:val="00407D2F"/>
    <w:rsid w:val="004125DE"/>
    <w:rsid w:val="00412CCC"/>
    <w:rsid w:val="004136AB"/>
    <w:rsid w:val="00415861"/>
    <w:rsid w:val="00416ABA"/>
    <w:rsid w:val="00416D57"/>
    <w:rsid w:val="004174ED"/>
    <w:rsid w:val="00417691"/>
    <w:rsid w:val="00417EC4"/>
    <w:rsid w:val="004212E7"/>
    <w:rsid w:val="00422795"/>
    <w:rsid w:val="0042446D"/>
    <w:rsid w:val="00427BF8"/>
    <w:rsid w:val="00431113"/>
    <w:rsid w:val="00431C02"/>
    <w:rsid w:val="00437395"/>
    <w:rsid w:val="004403C3"/>
    <w:rsid w:val="00441551"/>
    <w:rsid w:val="00442D2F"/>
    <w:rsid w:val="00445047"/>
    <w:rsid w:val="00453AF6"/>
    <w:rsid w:val="00454107"/>
    <w:rsid w:val="004565DC"/>
    <w:rsid w:val="00460334"/>
    <w:rsid w:val="00461BD2"/>
    <w:rsid w:val="00463E39"/>
    <w:rsid w:val="004648F3"/>
    <w:rsid w:val="004657FC"/>
    <w:rsid w:val="00467693"/>
    <w:rsid w:val="004733F6"/>
    <w:rsid w:val="00474E69"/>
    <w:rsid w:val="00476467"/>
    <w:rsid w:val="00477731"/>
    <w:rsid w:val="00481107"/>
    <w:rsid w:val="00482240"/>
    <w:rsid w:val="00483FCF"/>
    <w:rsid w:val="00485CB8"/>
    <w:rsid w:val="00487227"/>
    <w:rsid w:val="00487462"/>
    <w:rsid w:val="00490822"/>
    <w:rsid w:val="00494F1B"/>
    <w:rsid w:val="004954A5"/>
    <w:rsid w:val="00495553"/>
    <w:rsid w:val="0049621B"/>
    <w:rsid w:val="004A08CE"/>
    <w:rsid w:val="004B015C"/>
    <w:rsid w:val="004B06B1"/>
    <w:rsid w:val="004B0B9B"/>
    <w:rsid w:val="004B3267"/>
    <w:rsid w:val="004B339C"/>
    <w:rsid w:val="004B784E"/>
    <w:rsid w:val="004C1895"/>
    <w:rsid w:val="004C1AB5"/>
    <w:rsid w:val="004C43FA"/>
    <w:rsid w:val="004C6D40"/>
    <w:rsid w:val="004C79A0"/>
    <w:rsid w:val="004D00AF"/>
    <w:rsid w:val="004D10CF"/>
    <w:rsid w:val="004D279F"/>
    <w:rsid w:val="004D2F24"/>
    <w:rsid w:val="004D3DDA"/>
    <w:rsid w:val="004D7764"/>
    <w:rsid w:val="004D7A79"/>
    <w:rsid w:val="004E18EB"/>
    <w:rsid w:val="004E2013"/>
    <w:rsid w:val="004E3939"/>
    <w:rsid w:val="004F07EA"/>
    <w:rsid w:val="004F0B03"/>
    <w:rsid w:val="004F0C3C"/>
    <w:rsid w:val="004F62F7"/>
    <w:rsid w:val="004F63FC"/>
    <w:rsid w:val="004F6F05"/>
    <w:rsid w:val="00500B1E"/>
    <w:rsid w:val="00501958"/>
    <w:rsid w:val="00504AEE"/>
    <w:rsid w:val="00505A92"/>
    <w:rsid w:val="0050683B"/>
    <w:rsid w:val="00510AB6"/>
    <w:rsid w:val="005152A6"/>
    <w:rsid w:val="00515342"/>
    <w:rsid w:val="00516EB5"/>
    <w:rsid w:val="00517462"/>
    <w:rsid w:val="00517C73"/>
    <w:rsid w:val="005203F1"/>
    <w:rsid w:val="00521BC3"/>
    <w:rsid w:val="0052329F"/>
    <w:rsid w:val="0052593D"/>
    <w:rsid w:val="00527DC0"/>
    <w:rsid w:val="00531C2B"/>
    <w:rsid w:val="00532FEB"/>
    <w:rsid w:val="00533632"/>
    <w:rsid w:val="005355D3"/>
    <w:rsid w:val="00537E68"/>
    <w:rsid w:val="0054251F"/>
    <w:rsid w:val="00542783"/>
    <w:rsid w:val="00543644"/>
    <w:rsid w:val="00544B7F"/>
    <w:rsid w:val="0054669A"/>
    <w:rsid w:val="00546B2B"/>
    <w:rsid w:val="005475B5"/>
    <w:rsid w:val="00547E59"/>
    <w:rsid w:val="00550618"/>
    <w:rsid w:val="00551B16"/>
    <w:rsid w:val="005520D8"/>
    <w:rsid w:val="00553CDF"/>
    <w:rsid w:val="0055613F"/>
    <w:rsid w:val="00556CF1"/>
    <w:rsid w:val="00561B17"/>
    <w:rsid w:val="005646A7"/>
    <w:rsid w:val="005657B8"/>
    <w:rsid w:val="005737E1"/>
    <w:rsid w:val="005762A7"/>
    <w:rsid w:val="005773DF"/>
    <w:rsid w:val="00581100"/>
    <w:rsid w:val="0058303B"/>
    <w:rsid w:val="00583B4A"/>
    <w:rsid w:val="00583BAB"/>
    <w:rsid w:val="005913C1"/>
    <w:rsid w:val="005916D7"/>
    <w:rsid w:val="0059242E"/>
    <w:rsid w:val="00592B0A"/>
    <w:rsid w:val="005930FD"/>
    <w:rsid w:val="005934DA"/>
    <w:rsid w:val="00593E15"/>
    <w:rsid w:val="0059405C"/>
    <w:rsid w:val="0059478D"/>
    <w:rsid w:val="00594BAD"/>
    <w:rsid w:val="00594FB6"/>
    <w:rsid w:val="00596CBA"/>
    <w:rsid w:val="005A1306"/>
    <w:rsid w:val="005A1593"/>
    <w:rsid w:val="005A1B40"/>
    <w:rsid w:val="005A1B7C"/>
    <w:rsid w:val="005A1C45"/>
    <w:rsid w:val="005A289C"/>
    <w:rsid w:val="005A64AF"/>
    <w:rsid w:val="005A698C"/>
    <w:rsid w:val="005B07C6"/>
    <w:rsid w:val="005B23AA"/>
    <w:rsid w:val="005B3C18"/>
    <w:rsid w:val="005B3CB4"/>
    <w:rsid w:val="005B6AAA"/>
    <w:rsid w:val="005C08E7"/>
    <w:rsid w:val="005C123C"/>
    <w:rsid w:val="005C16C6"/>
    <w:rsid w:val="005C267A"/>
    <w:rsid w:val="005C5F08"/>
    <w:rsid w:val="005C6163"/>
    <w:rsid w:val="005C65AA"/>
    <w:rsid w:val="005D5852"/>
    <w:rsid w:val="005D661C"/>
    <w:rsid w:val="005E0799"/>
    <w:rsid w:val="005E47E1"/>
    <w:rsid w:val="005E5BF4"/>
    <w:rsid w:val="005F271E"/>
    <w:rsid w:val="005F290E"/>
    <w:rsid w:val="005F5A80"/>
    <w:rsid w:val="005F7959"/>
    <w:rsid w:val="00601025"/>
    <w:rsid w:val="006044FF"/>
    <w:rsid w:val="006060DA"/>
    <w:rsid w:val="00607CC5"/>
    <w:rsid w:val="0061003A"/>
    <w:rsid w:val="00612EB8"/>
    <w:rsid w:val="00615B0C"/>
    <w:rsid w:val="00616B93"/>
    <w:rsid w:val="00620F8B"/>
    <w:rsid w:val="00621AA8"/>
    <w:rsid w:val="00625251"/>
    <w:rsid w:val="00625C03"/>
    <w:rsid w:val="00633014"/>
    <w:rsid w:val="0063317D"/>
    <w:rsid w:val="00633ED3"/>
    <w:rsid w:val="0063437B"/>
    <w:rsid w:val="0063586B"/>
    <w:rsid w:val="00641B30"/>
    <w:rsid w:val="0064353E"/>
    <w:rsid w:val="00645152"/>
    <w:rsid w:val="00645483"/>
    <w:rsid w:val="00647B92"/>
    <w:rsid w:val="00647CCE"/>
    <w:rsid w:val="006534EB"/>
    <w:rsid w:val="006554F9"/>
    <w:rsid w:val="00656373"/>
    <w:rsid w:val="0066247D"/>
    <w:rsid w:val="00665416"/>
    <w:rsid w:val="006673CA"/>
    <w:rsid w:val="00670AB4"/>
    <w:rsid w:val="00670CC3"/>
    <w:rsid w:val="00671189"/>
    <w:rsid w:val="0067185B"/>
    <w:rsid w:val="00673952"/>
    <w:rsid w:val="00673C26"/>
    <w:rsid w:val="0067424B"/>
    <w:rsid w:val="00677D27"/>
    <w:rsid w:val="006803F9"/>
    <w:rsid w:val="006812AF"/>
    <w:rsid w:val="0068259D"/>
    <w:rsid w:val="006831C9"/>
    <w:rsid w:val="0068327D"/>
    <w:rsid w:val="006841AE"/>
    <w:rsid w:val="00685C1C"/>
    <w:rsid w:val="00690C99"/>
    <w:rsid w:val="006933E5"/>
    <w:rsid w:val="00693617"/>
    <w:rsid w:val="00694AF0"/>
    <w:rsid w:val="006A2E6E"/>
    <w:rsid w:val="006A3DA0"/>
    <w:rsid w:val="006A45D9"/>
    <w:rsid w:val="006A5E06"/>
    <w:rsid w:val="006B0E9E"/>
    <w:rsid w:val="006B3156"/>
    <w:rsid w:val="006B5AE4"/>
    <w:rsid w:val="006B723D"/>
    <w:rsid w:val="006C2BD1"/>
    <w:rsid w:val="006C52E6"/>
    <w:rsid w:val="006C623C"/>
    <w:rsid w:val="006C6913"/>
    <w:rsid w:val="006D4054"/>
    <w:rsid w:val="006D4F6E"/>
    <w:rsid w:val="006D50ED"/>
    <w:rsid w:val="006E02EC"/>
    <w:rsid w:val="006E309F"/>
    <w:rsid w:val="006F24EA"/>
    <w:rsid w:val="006F2ACE"/>
    <w:rsid w:val="006F4664"/>
    <w:rsid w:val="007014FE"/>
    <w:rsid w:val="00705927"/>
    <w:rsid w:val="007076D2"/>
    <w:rsid w:val="00711D2E"/>
    <w:rsid w:val="00720176"/>
    <w:rsid w:val="007211B1"/>
    <w:rsid w:val="00721863"/>
    <w:rsid w:val="00721B78"/>
    <w:rsid w:val="00724031"/>
    <w:rsid w:val="00725494"/>
    <w:rsid w:val="00730A13"/>
    <w:rsid w:val="00732240"/>
    <w:rsid w:val="00732EA2"/>
    <w:rsid w:val="0074044A"/>
    <w:rsid w:val="00741508"/>
    <w:rsid w:val="00745877"/>
    <w:rsid w:val="00745C66"/>
    <w:rsid w:val="00746187"/>
    <w:rsid w:val="00753F1D"/>
    <w:rsid w:val="00755578"/>
    <w:rsid w:val="007555D7"/>
    <w:rsid w:val="00756C3F"/>
    <w:rsid w:val="00760B21"/>
    <w:rsid w:val="0076254F"/>
    <w:rsid w:val="00763E85"/>
    <w:rsid w:val="00763EC8"/>
    <w:rsid w:val="00764539"/>
    <w:rsid w:val="0076486B"/>
    <w:rsid w:val="00765F4D"/>
    <w:rsid w:val="00771CC0"/>
    <w:rsid w:val="007725C8"/>
    <w:rsid w:val="00772DC4"/>
    <w:rsid w:val="00777720"/>
    <w:rsid w:val="007801F5"/>
    <w:rsid w:val="00781D6D"/>
    <w:rsid w:val="00783CA4"/>
    <w:rsid w:val="007842FB"/>
    <w:rsid w:val="00784C30"/>
    <w:rsid w:val="00784CC1"/>
    <w:rsid w:val="007858C2"/>
    <w:rsid w:val="00786124"/>
    <w:rsid w:val="00786B8E"/>
    <w:rsid w:val="00787441"/>
    <w:rsid w:val="007918B0"/>
    <w:rsid w:val="007931A1"/>
    <w:rsid w:val="00793A95"/>
    <w:rsid w:val="00794E5F"/>
    <w:rsid w:val="0079514B"/>
    <w:rsid w:val="0079524F"/>
    <w:rsid w:val="00797F9C"/>
    <w:rsid w:val="007A1453"/>
    <w:rsid w:val="007A2DC1"/>
    <w:rsid w:val="007B099F"/>
    <w:rsid w:val="007B0EB1"/>
    <w:rsid w:val="007B1231"/>
    <w:rsid w:val="007B2FB4"/>
    <w:rsid w:val="007B41C0"/>
    <w:rsid w:val="007B68C0"/>
    <w:rsid w:val="007C15C9"/>
    <w:rsid w:val="007C51B2"/>
    <w:rsid w:val="007C59C8"/>
    <w:rsid w:val="007C5BA5"/>
    <w:rsid w:val="007C7266"/>
    <w:rsid w:val="007C7794"/>
    <w:rsid w:val="007D3319"/>
    <w:rsid w:val="007D335D"/>
    <w:rsid w:val="007D794B"/>
    <w:rsid w:val="007E1D0B"/>
    <w:rsid w:val="007E2657"/>
    <w:rsid w:val="007E3314"/>
    <w:rsid w:val="007E38FF"/>
    <w:rsid w:val="007E3FFE"/>
    <w:rsid w:val="007E4B03"/>
    <w:rsid w:val="007E4CF8"/>
    <w:rsid w:val="007E5B95"/>
    <w:rsid w:val="007E7787"/>
    <w:rsid w:val="007F29B4"/>
    <w:rsid w:val="007F324B"/>
    <w:rsid w:val="007F42A2"/>
    <w:rsid w:val="00803A45"/>
    <w:rsid w:val="0080553C"/>
    <w:rsid w:val="00805B46"/>
    <w:rsid w:val="00807304"/>
    <w:rsid w:val="00807778"/>
    <w:rsid w:val="00810B88"/>
    <w:rsid w:val="00812F42"/>
    <w:rsid w:val="00813116"/>
    <w:rsid w:val="00814BE7"/>
    <w:rsid w:val="00815153"/>
    <w:rsid w:val="0081569C"/>
    <w:rsid w:val="00817424"/>
    <w:rsid w:val="00817AC7"/>
    <w:rsid w:val="00820BD5"/>
    <w:rsid w:val="00822C1F"/>
    <w:rsid w:val="0082503A"/>
    <w:rsid w:val="00825DC2"/>
    <w:rsid w:val="008271F3"/>
    <w:rsid w:val="008319E7"/>
    <w:rsid w:val="00834AD3"/>
    <w:rsid w:val="0083678A"/>
    <w:rsid w:val="008419A3"/>
    <w:rsid w:val="008428D9"/>
    <w:rsid w:val="00842A59"/>
    <w:rsid w:val="00842B88"/>
    <w:rsid w:val="008434C0"/>
    <w:rsid w:val="00843795"/>
    <w:rsid w:val="00846527"/>
    <w:rsid w:val="00847F0F"/>
    <w:rsid w:val="00850631"/>
    <w:rsid w:val="00851C48"/>
    <w:rsid w:val="00852448"/>
    <w:rsid w:val="00853114"/>
    <w:rsid w:val="00861BC5"/>
    <w:rsid w:val="0086323C"/>
    <w:rsid w:val="00864E18"/>
    <w:rsid w:val="00865207"/>
    <w:rsid w:val="0087330E"/>
    <w:rsid w:val="00873A3A"/>
    <w:rsid w:val="008762CD"/>
    <w:rsid w:val="00876DCE"/>
    <w:rsid w:val="0088258A"/>
    <w:rsid w:val="00884C17"/>
    <w:rsid w:val="00886332"/>
    <w:rsid w:val="00886419"/>
    <w:rsid w:val="008872DA"/>
    <w:rsid w:val="00890A96"/>
    <w:rsid w:val="008A0000"/>
    <w:rsid w:val="008A21F1"/>
    <w:rsid w:val="008A26D9"/>
    <w:rsid w:val="008A2F9C"/>
    <w:rsid w:val="008A4988"/>
    <w:rsid w:val="008A6013"/>
    <w:rsid w:val="008B12C7"/>
    <w:rsid w:val="008B6D65"/>
    <w:rsid w:val="008B79E9"/>
    <w:rsid w:val="008C0C29"/>
    <w:rsid w:val="008C515A"/>
    <w:rsid w:val="008C6710"/>
    <w:rsid w:val="008C6D41"/>
    <w:rsid w:val="008D0655"/>
    <w:rsid w:val="008D2F44"/>
    <w:rsid w:val="008D63C7"/>
    <w:rsid w:val="008E1132"/>
    <w:rsid w:val="008E1252"/>
    <w:rsid w:val="008E2039"/>
    <w:rsid w:val="008E3B1D"/>
    <w:rsid w:val="008E3DD5"/>
    <w:rsid w:val="008E446C"/>
    <w:rsid w:val="008E67A0"/>
    <w:rsid w:val="008E7833"/>
    <w:rsid w:val="008F3638"/>
    <w:rsid w:val="008F3A69"/>
    <w:rsid w:val="008F6816"/>
    <w:rsid w:val="008F6C12"/>
    <w:rsid w:val="008F6F31"/>
    <w:rsid w:val="008F74DF"/>
    <w:rsid w:val="009005CA"/>
    <w:rsid w:val="00902074"/>
    <w:rsid w:val="00902E2A"/>
    <w:rsid w:val="00905508"/>
    <w:rsid w:val="0090676D"/>
    <w:rsid w:val="00906A45"/>
    <w:rsid w:val="00911738"/>
    <w:rsid w:val="009127BA"/>
    <w:rsid w:val="00914EA8"/>
    <w:rsid w:val="00914F25"/>
    <w:rsid w:val="00915A7F"/>
    <w:rsid w:val="00916918"/>
    <w:rsid w:val="00916F58"/>
    <w:rsid w:val="009227A6"/>
    <w:rsid w:val="009229A1"/>
    <w:rsid w:val="00927D8B"/>
    <w:rsid w:val="00933EC1"/>
    <w:rsid w:val="00935ABA"/>
    <w:rsid w:val="00942379"/>
    <w:rsid w:val="00942C04"/>
    <w:rsid w:val="00944824"/>
    <w:rsid w:val="009448E3"/>
    <w:rsid w:val="00945071"/>
    <w:rsid w:val="009503D5"/>
    <w:rsid w:val="009530DB"/>
    <w:rsid w:val="00953676"/>
    <w:rsid w:val="0095396F"/>
    <w:rsid w:val="0095590B"/>
    <w:rsid w:val="0096306A"/>
    <w:rsid w:val="009705EE"/>
    <w:rsid w:val="00970ADF"/>
    <w:rsid w:val="00971A76"/>
    <w:rsid w:val="00974EBD"/>
    <w:rsid w:val="00975286"/>
    <w:rsid w:val="009759D1"/>
    <w:rsid w:val="00976445"/>
    <w:rsid w:val="0097722C"/>
    <w:rsid w:val="00977904"/>
    <w:rsid w:val="00977927"/>
    <w:rsid w:val="009802B5"/>
    <w:rsid w:val="0098135C"/>
    <w:rsid w:val="0098156A"/>
    <w:rsid w:val="009870C3"/>
    <w:rsid w:val="009902B2"/>
    <w:rsid w:val="009910D3"/>
    <w:rsid w:val="00991BAC"/>
    <w:rsid w:val="00994688"/>
    <w:rsid w:val="00995BE7"/>
    <w:rsid w:val="009961E3"/>
    <w:rsid w:val="009965E9"/>
    <w:rsid w:val="009A2292"/>
    <w:rsid w:val="009A24EB"/>
    <w:rsid w:val="009A55B6"/>
    <w:rsid w:val="009A6EA0"/>
    <w:rsid w:val="009A71B2"/>
    <w:rsid w:val="009B202F"/>
    <w:rsid w:val="009B247E"/>
    <w:rsid w:val="009B5393"/>
    <w:rsid w:val="009B6DEA"/>
    <w:rsid w:val="009C007C"/>
    <w:rsid w:val="009C0A9C"/>
    <w:rsid w:val="009C1335"/>
    <w:rsid w:val="009C1AB2"/>
    <w:rsid w:val="009C302C"/>
    <w:rsid w:val="009C33FC"/>
    <w:rsid w:val="009C51B2"/>
    <w:rsid w:val="009C5DA1"/>
    <w:rsid w:val="009C6ACB"/>
    <w:rsid w:val="009C7251"/>
    <w:rsid w:val="009E0945"/>
    <w:rsid w:val="009E2303"/>
    <w:rsid w:val="009E2E91"/>
    <w:rsid w:val="009E7870"/>
    <w:rsid w:val="009F6196"/>
    <w:rsid w:val="00A00D73"/>
    <w:rsid w:val="00A026C5"/>
    <w:rsid w:val="00A03287"/>
    <w:rsid w:val="00A032BF"/>
    <w:rsid w:val="00A05E54"/>
    <w:rsid w:val="00A139F5"/>
    <w:rsid w:val="00A20624"/>
    <w:rsid w:val="00A22F2A"/>
    <w:rsid w:val="00A2458F"/>
    <w:rsid w:val="00A24A6A"/>
    <w:rsid w:val="00A24F88"/>
    <w:rsid w:val="00A3096D"/>
    <w:rsid w:val="00A31E77"/>
    <w:rsid w:val="00A32B77"/>
    <w:rsid w:val="00A33D31"/>
    <w:rsid w:val="00A33EEB"/>
    <w:rsid w:val="00A365F4"/>
    <w:rsid w:val="00A36E5B"/>
    <w:rsid w:val="00A41DE0"/>
    <w:rsid w:val="00A427F7"/>
    <w:rsid w:val="00A42BED"/>
    <w:rsid w:val="00A44B7F"/>
    <w:rsid w:val="00A472B0"/>
    <w:rsid w:val="00A47D80"/>
    <w:rsid w:val="00A51E80"/>
    <w:rsid w:val="00A528C0"/>
    <w:rsid w:val="00A53132"/>
    <w:rsid w:val="00A55519"/>
    <w:rsid w:val="00A563F2"/>
    <w:rsid w:val="00A566E8"/>
    <w:rsid w:val="00A70EEE"/>
    <w:rsid w:val="00A732A9"/>
    <w:rsid w:val="00A7333E"/>
    <w:rsid w:val="00A74775"/>
    <w:rsid w:val="00A74948"/>
    <w:rsid w:val="00A7496F"/>
    <w:rsid w:val="00A761BB"/>
    <w:rsid w:val="00A770D7"/>
    <w:rsid w:val="00A77CEE"/>
    <w:rsid w:val="00A808AA"/>
    <w:rsid w:val="00A810F9"/>
    <w:rsid w:val="00A86B9F"/>
    <w:rsid w:val="00A86ECC"/>
    <w:rsid w:val="00A86FCC"/>
    <w:rsid w:val="00A93FE5"/>
    <w:rsid w:val="00A95F26"/>
    <w:rsid w:val="00A97F4D"/>
    <w:rsid w:val="00AA5DDE"/>
    <w:rsid w:val="00AA710D"/>
    <w:rsid w:val="00AB1115"/>
    <w:rsid w:val="00AB6D25"/>
    <w:rsid w:val="00AB6F24"/>
    <w:rsid w:val="00AC05B3"/>
    <w:rsid w:val="00AC36C2"/>
    <w:rsid w:val="00AC5132"/>
    <w:rsid w:val="00AC5552"/>
    <w:rsid w:val="00AC5E9B"/>
    <w:rsid w:val="00AC64CB"/>
    <w:rsid w:val="00AC750F"/>
    <w:rsid w:val="00AD1021"/>
    <w:rsid w:val="00AD1D71"/>
    <w:rsid w:val="00AD2499"/>
    <w:rsid w:val="00AD662C"/>
    <w:rsid w:val="00AD7066"/>
    <w:rsid w:val="00AE09BA"/>
    <w:rsid w:val="00AE1E5F"/>
    <w:rsid w:val="00AE271B"/>
    <w:rsid w:val="00AE2D4B"/>
    <w:rsid w:val="00AE4F99"/>
    <w:rsid w:val="00AE554B"/>
    <w:rsid w:val="00AF04BF"/>
    <w:rsid w:val="00AF11C3"/>
    <w:rsid w:val="00AF14F1"/>
    <w:rsid w:val="00AF3882"/>
    <w:rsid w:val="00AF411A"/>
    <w:rsid w:val="00AF5980"/>
    <w:rsid w:val="00AF6D09"/>
    <w:rsid w:val="00B00BC3"/>
    <w:rsid w:val="00B04BBF"/>
    <w:rsid w:val="00B060B5"/>
    <w:rsid w:val="00B077B2"/>
    <w:rsid w:val="00B14952"/>
    <w:rsid w:val="00B16A63"/>
    <w:rsid w:val="00B17BA0"/>
    <w:rsid w:val="00B25EE8"/>
    <w:rsid w:val="00B2761E"/>
    <w:rsid w:val="00B31E5A"/>
    <w:rsid w:val="00B34829"/>
    <w:rsid w:val="00B45617"/>
    <w:rsid w:val="00B5106E"/>
    <w:rsid w:val="00B527F7"/>
    <w:rsid w:val="00B5309C"/>
    <w:rsid w:val="00B531BA"/>
    <w:rsid w:val="00B55A9D"/>
    <w:rsid w:val="00B55AA0"/>
    <w:rsid w:val="00B56ABD"/>
    <w:rsid w:val="00B60212"/>
    <w:rsid w:val="00B60390"/>
    <w:rsid w:val="00B61195"/>
    <w:rsid w:val="00B6394E"/>
    <w:rsid w:val="00B653AB"/>
    <w:rsid w:val="00B65F9E"/>
    <w:rsid w:val="00B66B19"/>
    <w:rsid w:val="00B701E8"/>
    <w:rsid w:val="00B70FBB"/>
    <w:rsid w:val="00B71522"/>
    <w:rsid w:val="00B811F7"/>
    <w:rsid w:val="00B82AF5"/>
    <w:rsid w:val="00B83883"/>
    <w:rsid w:val="00B86890"/>
    <w:rsid w:val="00B90AB8"/>
    <w:rsid w:val="00B914E9"/>
    <w:rsid w:val="00B9173B"/>
    <w:rsid w:val="00B9185A"/>
    <w:rsid w:val="00B956EE"/>
    <w:rsid w:val="00B95A02"/>
    <w:rsid w:val="00BA1810"/>
    <w:rsid w:val="00BA1D09"/>
    <w:rsid w:val="00BA2BA1"/>
    <w:rsid w:val="00BA38B6"/>
    <w:rsid w:val="00BA5243"/>
    <w:rsid w:val="00BA6601"/>
    <w:rsid w:val="00BB3136"/>
    <w:rsid w:val="00BB4F09"/>
    <w:rsid w:val="00BC0F74"/>
    <w:rsid w:val="00BC16A0"/>
    <w:rsid w:val="00BC530B"/>
    <w:rsid w:val="00BC5419"/>
    <w:rsid w:val="00BD363F"/>
    <w:rsid w:val="00BD3C6A"/>
    <w:rsid w:val="00BD407C"/>
    <w:rsid w:val="00BD4E33"/>
    <w:rsid w:val="00BD7328"/>
    <w:rsid w:val="00BD7EF1"/>
    <w:rsid w:val="00BE3BE6"/>
    <w:rsid w:val="00BE45DB"/>
    <w:rsid w:val="00BF1A84"/>
    <w:rsid w:val="00BF2ECA"/>
    <w:rsid w:val="00BF6029"/>
    <w:rsid w:val="00C02359"/>
    <w:rsid w:val="00C030DE"/>
    <w:rsid w:val="00C0433A"/>
    <w:rsid w:val="00C04F3E"/>
    <w:rsid w:val="00C0668D"/>
    <w:rsid w:val="00C0693C"/>
    <w:rsid w:val="00C07AC3"/>
    <w:rsid w:val="00C121A6"/>
    <w:rsid w:val="00C12385"/>
    <w:rsid w:val="00C134FB"/>
    <w:rsid w:val="00C15AD6"/>
    <w:rsid w:val="00C174CC"/>
    <w:rsid w:val="00C21E78"/>
    <w:rsid w:val="00C22105"/>
    <w:rsid w:val="00C244B6"/>
    <w:rsid w:val="00C27703"/>
    <w:rsid w:val="00C30EA5"/>
    <w:rsid w:val="00C3272C"/>
    <w:rsid w:val="00C33ECF"/>
    <w:rsid w:val="00C34A75"/>
    <w:rsid w:val="00C359D6"/>
    <w:rsid w:val="00C3702F"/>
    <w:rsid w:val="00C37AB7"/>
    <w:rsid w:val="00C43FF6"/>
    <w:rsid w:val="00C4563B"/>
    <w:rsid w:val="00C45CB2"/>
    <w:rsid w:val="00C472CE"/>
    <w:rsid w:val="00C5455E"/>
    <w:rsid w:val="00C555AC"/>
    <w:rsid w:val="00C62D38"/>
    <w:rsid w:val="00C6472A"/>
    <w:rsid w:val="00C64A37"/>
    <w:rsid w:val="00C652C1"/>
    <w:rsid w:val="00C7158E"/>
    <w:rsid w:val="00C7250B"/>
    <w:rsid w:val="00C7346B"/>
    <w:rsid w:val="00C742AC"/>
    <w:rsid w:val="00C75A34"/>
    <w:rsid w:val="00C77C0E"/>
    <w:rsid w:val="00C80CE7"/>
    <w:rsid w:val="00C82B1B"/>
    <w:rsid w:val="00C84FE4"/>
    <w:rsid w:val="00C851E2"/>
    <w:rsid w:val="00C91283"/>
    <w:rsid w:val="00C91687"/>
    <w:rsid w:val="00C924A8"/>
    <w:rsid w:val="00C93246"/>
    <w:rsid w:val="00C945FE"/>
    <w:rsid w:val="00C946C0"/>
    <w:rsid w:val="00C96FAA"/>
    <w:rsid w:val="00C97A04"/>
    <w:rsid w:val="00CA107B"/>
    <w:rsid w:val="00CA484D"/>
    <w:rsid w:val="00CA5570"/>
    <w:rsid w:val="00CA5A66"/>
    <w:rsid w:val="00CB3B4E"/>
    <w:rsid w:val="00CC2703"/>
    <w:rsid w:val="00CC4EBF"/>
    <w:rsid w:val="00CC51E9"/>
    <w:rsid w:val="00CC739E"/>
    <w:rsid w:val="00CD19F3"/>
    <w:rsid w:val="00CD37C7"/>
    <w:rsid w:val="00CD58B7"/>
    <w:rsid w:val="00CE11A4"/>
    <w:rsid w:val="00CE196D"/>
    <w:rsid w:val="00CE40E1"/>
    <w:rsid w:val="00CE5BBD"/>
    <w:rsid w:val="00CF4099"/>
    <w:rsid w:val="00CF7D75"/>
    <w:rsid w:val="00D00796"/>
    <w:rsid w:val="00D02B78"/>
    <w:rsid w:val="00D04C40"/>
    <w:rsid w:val="00D10DB1"/>
    <w:rsid w:val="00D10F4B"/>
    <w:rsid w:val="00D1161C"/>
    <w:rsid w:val="00D13520"/>
    <w:rsid w:val="00D169D6"/>
    <w:rsid w:val="00D22D27"/>
    <w:rsid w:val="00D23C64"/>
    <w:rsid w:val="00D243EB"/>
    <w:rsid w:val="00D249F5"/>
    <w:rsid w:val="00D261A2"/>
    <w:rsid w:val="00D31A0D"/>
    <w:rsid w:val="00D3472C"/>
    <w:rsid w:val="00D358DF"/>
    <w:rsid w:val="00D358FC"/>
    <w:rsid w:val="00D40D4C"/>
    <w:rsid w:val="00D42D11"/>
    <w:rsid w:val="00D44934"/>
    <w:rsid w:val="00D46101"/>
    <w:rsid w:val="00D47112"/>
    <w:rsid w:val="00D47ADD"/>
    <w:rsid w:val="00D47B00"/>
    <w:rsid w:val="00D509E1"/>
    <w:rsid w:val="00D52DF0"/>
    <w:rsid w:val="00D53A39"/>
    <w:rsid w:val="00D54090"/>
    <w:rsid w:val="00D54751"/>
    <w:rsid w:val="00D54B31"/>
    <w:rsid w:val="00D554AF"/>
    <w:rsid w:val="00D600BA"/>
    <w:rsid w:val="00D6060F"/>
    <w:rsid w:val="00D616D2"/>
    <w:rsid w:val="00D63B5F"/>
    <w:rsid w:val="00D63B83"/>
    <w:rsid w:val="00D63D88"/>
    <w:rsid w:val="00D641C9"/>
    <w:rsid w:val="00D66513"/>
    <w:rsid w:val="00D70EF7"/>
    <w:rsid w:val="00D712A6"/>
    <w:rsid w:val="00D76AA4"/>
    <w:rsid w:val="00D77C69"/>
    <w:rsid w:val="00D81B83"/>
    <w:rsid w:val="00D83231"/>
    <w:rsid w:val="00D8397C"/>
    <w:rsid w:val="00D905A6"/>
    <w:rsid w:val="00D94EED"/>
    <w:rsid w:val="00D959B3"/>
    <w:rsid w:val="00D96026"/>
    <w:rsid w:val="00D96A97"/>
    <w:rsid w:val="00D96D81"/>
    <w:rsid w:val="00DA07A7"/>
    <w:rsid w:val="00DA3059"/>
    <w:rsid w:val="00DA4BAC"/>
    <w:rsid w:val="00DA5780"/>
    <w:rsid w:val="00DA60DA"/>
    <w:rsid w:val="00DA7C1C"/>
    <w:rsid w:val="00DB147A"/>
    <w:rsid w:val="00DB1B7A"/>
    <w:rsid w:val="00DB2744"/>
    <w:rsid w:val="00DB39C2"/>
    <w:rsid w:val="00DB472B"/>
    <w:rsid w:val="00DB562E"/>
    <w:rsid w:val="00DC0B7F"/>
    <w:rsid w:val="00DC370F"/>
    <w:rsid w:val="00DC6460"/>
    <w:rsid w:val="00DC6708"/>
    <w:rsid w:val="00DD4406"/>
    <w:rsid w:val="00DD67FB"/>
    <w:rsid w:val="00DE5572"/>
    <w:rsid w:val="00DE5656"/>
    <w:rsid w:val="00DE5E99"/>
    <w:rsid w:val="00DF60F9"/>
    <w:rsid w:val="00E0020E"/>
    <w:rsid w:val="00E01436"/>
    <w:rsid w:val="00E01656"/>
    <w:rsid w:val="00E0171F"/>
    <w:rsid w:val="00E042B9"/>
    <w:rsid w:val="00E045BD"/>
    <w:rsid w:val="00E04B9B"/>
    <w:rsid w:val="00E16D89"/>
    <w:rsid w:val="00E17B77"/>
    <w:rsid w:val="00E21D84"/>
    <w:rsid w:val="00E23337"/>
    <w:rsid w:val="00E24BC3"/>
    <w:rsid w:val="00E24EFD"/>
    <w:rsid w:val="00E259EA"/>
    <w:rsid w:val="00E300C0"/>
    <w:rsid w:val="00E31581"/>
    <w:rsid w:val="00E32061"/>
    <w:rsid w:val="00E32920"/>
    <w:rsid w:val="00E332D8"/>
    <w:rsid w:val="00E37890"/>
    <w:rsid w:val="00E37D56"/>
    <w:rsid w:val="00E401D2"/>
    <w:rsid w:val="00E40C72"/>
    <w:rsid w:val="00E41E94"/>
    <w:rsid w:val="00E42FF9"/>
    <w:rsid w:val="00E4714C"/>
    <w:rsid w:val="00E51AEB"/>
    <w:rsid w:val="00E522A7"/>
    <w:rsid w:val="00E54452"/>
    <w:rsid w:val="00E57382"/>
    <w:rsid w:val="00E608B3"/>
    <w:rsid w:val="00E64FFD"/>
    <w:rsid w:val="00E658E6"/>
    <w:rsid w:val="00E664C5"/>
    <w:rsid w:val="00E671A2"/>
    <w:rsid w:val="00E70CE9"/>
    <w:rsid w:val="00E73BFB"/>
    <w:rsid w:val="00E746E2"/>
    <w:rsid w:val="00E75939"/>
    <w:rsid w:val="00E76D26"/>
    <w:rsid w:val="00E77E61"/>
    <w:rsid w:val="00E80C30"/>
    <w:rsid w:val="00E8695A"/>
    <w:rsid w:val="00E878E5"/>
    <w:rsid w:val="00E87E1C"/>
    <w:rsid w:val="00E919B9"/>
    <w:rsid w:val="00E92A1D"/>
    <w:rsid w:val="00E960C2"/>
    <w:rsid w:val="00EA349F"/>
    <w:rsid w:val="00EA4F91"/>
    <w:rsid w:val="00EA5ED1"/>
    <w:rsid w:val="00EA739E"/>
    <w:rsid w:val="00EB1390"/>
    <w:rsid w:val="00EB2C71"/>
    <w:rsid w:val="00EB34FA"/>
    <w:rsid w:val="00EB4340"/>
    <w:rsid w:val="00EB556D"/>
    <w:rsid w:val="00EB5A7D"/>
    <w:rsid w:val="00EB7899"/>
    <w:rsid w:val="00EB7EBE"/>
    <w:rsid w:val="00EC1228"/>
    <w:rsid w:val="00EC25EA"/>
    <w:rsid w:val="00EC2A8F"/>
    <w:rsid w:val="00EC4173"/>
    <w:rsid w:val="00ED0FE6"/>
    <w:rsid w:val="00ED19CD"/>
    <w:rsid w:val="00ED1B54"/>
    <w:rsid w:val="00ED2115"/>
    <w:rsid w:val="00ED421C"/>
    <w:rsid w:val="00ED4F74"/>
    <w:rsid w:val="00ED55C0"/>
    <w:rsid w:val="00ED682B"/>
    <w:rsid w:val="00ED6F67"/>
    <w:rsid w:val="00ED7B43"/>
    <w:rsid w:val="00EE0D77"/>
    <w:rsid w:val="00EE236C"/>
    <w:rsid w:val="00EE2CF0"/>
    <w:rsid w:val="00EE41D5"/>
    <w:rsid w:val="00EE49D9"/>
    <w:rsid w:val="00EE5AEB"/>
    <w:rsid w:val="00EE62E0"/>
    <w:rsid w:val="00EF2DFF"/>
    <w:rsid w:val="00EF6DD1"/>
    <w:rsid w:val="00EF7090"/>
    <w:rsid w:val="00F005D6"/>
    <w:rsid w:val="00F01839"/>
    <w:rsid w:val="00F0229B"/>
    <w:rsid w:val="00F02C7A"/>
    <w:rsid w:val="00F037A4"/>
    <w:rsid w:val="00F04A2A"/>
    <w:rsid w:val="00F077CC"/>
    <w:rsid w:val="00F10A47"/>
    <w:rsid w:val="00F1392B"/>
    <w:rsid w:val="00F14457"/>
    <w:rsid w:val="00F148BD"/>
    <w:rsid w:val="00F15EA9"/>
    <w:rsid w:val="00F164F5"/>
    <w:rsid w:val="00F16A95"/>
    <w:rsid w:val="00F20495"/>
    <w:rsid w:val="00F235F4"/>
    <w:rsid w:val="00F23B32"/>
    <w:rsid w:val="00F27C8F"/>
    <w:rsid w:val="00F32749"/>
    <w:rsid w:val="00F3441A"/>
    <w:rsid w:val="00F356A7"/>
    <w:rsid w:val="00F37172"/>
    <w:rsid w:val="00F40D11"/>
    <w:rsid w:val="00F4477E"/>
    <w:rsid w:val="00F447F2"/>
    <w:rsid w:val="00F50437"/>
    <w:rsid w:val="00F50CE6"/>
    <w:rsid w:val="00F51051"/>
    <w:rsid w:val="00F516C0"/>
    <w:rsid w:val="00F53FB1"/>
    <w:rsid w:val="00F54238"/>
    <w:rsid w:val="00F55A9A"/>
    <w:rsid w:val="00F67BEC"/>
    <w:rsid w:val="00F67D8F"/>
    <w:rsid w:val="00F71D73"/>
    <w:rsid w:val="00F73993"/>
    <w:rsid w:val="00F802BE"/>
    <w:rsid w:val="00F816DD"/>
    <w:rsid w:val="00F8204F"/>
    <w:rsid w:val="00F83ECB"/>
    <w:rsid w:val="00F8499A"/>
    <w:rsid w:val="00F84C9E"/>
    <w:rsid w:val="00F85DC4"/>
    <w:rsid w:val="00F86024"/>
    <w:rsid w:val="00F8611A"/>
    <w:rsid w:val="00F9418E"/>
    <w:rsid w:val="00F9456C"/>
    <w:rsid w:val="00FA130D"/>
    <w:rsid w:val="00FA5128"/>
    <w:rsid w:val="00FA65EC"/>
    <w:rsid w:val="00FB16B7"/>
    <w:rsid w:val="00FB277F"/>
    <w:rsid w:val="00FB42D4"/>
    <w:rsid w:val="00FB4EB4"/>
    <w:rsid w:val="00FB5906"/>
    <w:rsid w:val="00FB5917"/>
    <w:rsid w:val="00FB762F"/>
    <w:rsid w:val="00FB7FAA"/>
    <w:rsid w:val="00FC2AED"/>
    <w:rsid w:val="00FC61A2"/>
    <w:rsid w:val="00FD103C"/>
    <w:rsid w:val="00FD131F"/>
    <w:rsid w:val="00FD5EA7"/>
    <w:rsid w:val="00FD640D"/>
    <w:rsid w:val="00FD7191"/>
    <w:rsid w:val="00FE163A"/>
    <w:rsid w:val="00FE1C40"/>
    <w:rsid w:val="00FE2DA3"/>
    <w:rsid w:val="00FF1AF5"/>
    <w:rsid w:val="00FF2C0B"/>
    <w:rsid w:val="00FF47C4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01853FD-6DB4-4E6E-9F62-D75E8281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rzeczni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j.biernat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49E-2"/>
          <c:y val="2.0202020202020211E-2"/>
          <c:w val="0.93325015595757954"/>
          <c:h val="0.757950907545011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Arkusz1!$B$65:$C$101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Arkusz1!$D$65:$D$101</c:f>
              <c:numCache>
                <c:formatCode>General</c:formatCode>
                <c:ptCount val="37"/>
                <c:pt idx="0" formatCode="0.0">
                  <c:v>103.2</c:v>
                </c:pt>
                <c:pt idx="1">
                  <c:v>106.2</c:v>
                </c:pt>
                <c:pt idx="2">
                  <c:v>103</c:v>
                </c:pt>
                <c:pt idx="3">
                  <c:v>105.5</c:v>
                </c:pt>
                <c:pt idx="4">
                  <c:v>104.3</c:v>
                </c:pt>
                <c:pt idx="5">
                  <c:v>106.5</c:v>
                </c:pt>
                <c:pt idx="6">
                  <c:v>104.4</c:v>
                </c:pt>
                <c:pt idx="7">
                  <c:v>107.8</c:v>
                </c:pt>
                <c:pt idx="8">
                  <c:v>106.3</c:v>
                </c:pt>
                <c:pt idx="9">
                  <c:v>104.6</c:v>
                </c:pt>
                <c:pt idx="10">
                  <c:v>107.4</c:v>
                </c:pt>
                <c:pt idx="11">
                  <c:v>106.1</c:v>
                </c:pt>
                <c:pt idx="12">
                  <c:v>109.5</c:v>
                </c:pt>
                <c:pt idx="13">
                  <c:v>105.2</c:v>
                </c:pt>
                <c:pt idx="14">
                  <c:v>107.9</c:v>
                </c:pt>
                <c:pt idx="15">
                  <c:v>106.7</c:v>
                </c:pt>
                <c:pt idx="16">
                  <c:v>107.4</c:v>
                </c:pt>
                <c:pt idx="17">
                  <c:v>105.8</c:v>
                </c:pt>
                <c:pt idx="18">
                  <c:v>106.8</c:v>
                </c:pt>
                <c:pt idx="19">
                  <c:v>106.9</c:v>
                </c:pt>
                <c:pt idx="20">
                  <c:v>107.5</c:v>
                </c:pt>
                <c:pt idx="21">
                  <c:v>107.1</c:v>
                </c:pt>
                <c:pt idx="22">
                  <c:v>108.8</c:v>
                </c:pt>
                <c:pt idx="23">
                  <c:v>105.2</c:v>
                </c:pt>
                <c:pt idx="24">
                  <c:v>107.7</c:v>
                </c:pt>
                <c:pt idx="25">
                  <c:v>107.7</c:v>
                </c:pt>
                <c:pt idx="26">
                  <c:v>108.8</c:v>
                </c:pt>
                <c:pt idx="27">
                  <c:v>104</c:v>
                </c:pt>
                <c:pt idx="28">
                  <c:v>106.1</c:v>
                </c:pt>
                <c:pt idx="29">
                  <c:v>108.2</c:v>
                </c:pt>
                <c:pt idx="30">
                  <c:v>107.1</c:v>
                </c:pt>
                <c:pt idx="31">
                  <c:v>106.7</c:v>
                </c:pt>
                <c:pt idx="32">
                  <c:v>103.6</c:v>
                </c:pt>
                <c:pt idx="33">
                  <c:v>107.8</c:v>
                </c:pt>
                <c:pt idx="34">
                  <c:v>106.9</c:v>
                </c:pt>
                <c:pt idx="35">
                  <c:v>103.9</c:v>
                </c:pt>
                <c:pt idx="36">
                  <c:v>105.2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784766720"/>
        <c:axId val="-1784768896"/>
      </c:barChart>
      <c:catAx>
        <c:axId val="-1784766720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78476889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784768896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784766720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556050662150885E-2"/>
          <c:y val="1.8415032185705262E-2"/>
          <c:w val="0.90746450357941544"/>
          <c:h val="0.661978776866843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99.1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904364655111873E-3"/>
                  <c:y val="-3.4135132450188095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106.0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72943508424183E-2"/>
                      <c:h val="4.9734869263119395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3645699472153441E-3"/>
                  <c:y val="3.7310971765646423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105.2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6032557377300505E-4"/>
                  <c:y val="-1.6366549902600627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104.6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524281466798801E-2"/>
                      <c:h val="4.9734869263119402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5.1387902577589093E-4"/>
                  <c:y val="9.7203565407313671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110.1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0705071677735046E-4"/>
                  <c:y val="8.9123664807944005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103.0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646995934229734E-3"/>
                  <c:y val="3.9417590628927834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110.5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009910802775013E-2"/>
                      <c:h val="4.9734869263119402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6.3675126111094847E-4"/>
                  <c:y val="7.1601618903328196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102.7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683860999040135E-3"/>
                  <c:y val="-4.1907933477596714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104.0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83250743310208E-2"/>
                      <c:h val="4.9734869263119395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1.4588466376058548E-3"/>
                  <c:y val="6.825029651146152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rodz_dział_miesiąc!$BE$4:$BE$12</c:f>
              <c:numCache>
                <c:formatCode>0.0</c:formatCode>
                <c:ptCount val="9"/>
                <c:pt idx="0">
                  <c:v>99.1</c:v>
                </c:pt>
                <c:pt idx="1">
                  <c:v>106</c:v>
                </c:pt>
                <c:pt idx="2">
                  <c:v>105.2</c:v>
                </c:pt>
                <c:pt idx="3">
                  <c:v>104.6</c:v>
                </c:pt>
                <c:pt idx="4">
                  <c:v>110.1</c:v>
                </c:pt>
                <c:pt idx="5">
                  <c:v>103</c:v>
                </c:pt>
                <c:pt idx="6">
                  <c:v>110.5</c:v>
                </c:pt>
                <c:pt idx="7">
                  <c:v>102.7</c:v>
                </c:pt>
                <c:pt idx="8">
                  <c:v>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784761824"/>
        <c:axId val="-1784775968"/>
      </c:barChart>
      <c:catAx>
        <c:axId val="-1784761824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1784775968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-1784775968"/>
        <c:scaling>
          <c:orientation val="minMax"/>
          <c:max val="115"/>
          <c:min val="9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1784761824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47E-2"/>
          <c:y val="6.7454676273573919E-2"/>
          <c:w val="0.91693229961766676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unadjusted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84"/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001D77"/>
                        </a:solidFill>
                      </a:rPr>
                      <a:t>113.6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'Wykresy (ang)'!$B$2:$B$97</c:f>
              <c:numCache>
                <c:formatCode>General</c:formatCode>
                <c:ptCount val="96"/>
                <c:pt idx="0">
                  <c:v>79.2</c:v>
                </c:pt>
                <c:pt idx="1">
                  <c:v>79.900000000000006</c:v>
                </c:pt>
                <c:pt idx="2">
                  <c:v>92</c:v>
                </c:pt>
                <c:pt idx="3">
                  <c:v>89.1</c:v>
                </c:pt>
                <c:pt idx="4">
                  <c:v>89.8</c:v>
                </c:pt>
                <c:pt idx="5">
                  <c:v>90</c:v>
                </c:pt>
                <c:pt idx="6">
                  <c:v>91.9</c:v>
                </c:pt>
                <c:pt idx="7">
                  <c:v>92.3</c:v>
                </c:pt>
                <c:pt idx="8">
                  <c:v>90.8</c:v>
                </c:pt>
                <c:pt idx="9">
                  <c:v>94.1</c:v>
                </c:pt>
                <c:pt idx="10">
                  <c:v>88.4</c:v>
                </c:pt>
                <c:pt idx="11">
                  <c:v>102.1</c:v>
                </c:pt>
                <c:pt idx="12">
                  <c:v>80.900000000000006</c:v>
                </c:pt>
                <c:pt idx="13">
                  <c:v>78.900000000000006</c:v>
                </c:pt>
                <c:pt idx="14">
                  <c:v>92.1</c:v>
                </c:pt>
                <c:pt idx="15">
                  <c:v>89.1</c:v>
                </c:pt>
                <c:pt idx="16">
                  <c:v>90.8</c:v>
                </c:pt>
                <c:pt idx="17">
                  <c:v>92.3</c:v>
                </c:pt>
                <c:pt idx="18">
                  <c:v>95.7</c:v>
                </c:pt>
                <c:pt idx="19">
                  <c:v>95.5</c:v>
                </c:pt>
                <c:pt idx="20">
                  <c:v>94.4</c:v>
                </c:pt>
                <c:pt idx="21">
                  <c:v>97.5</c:v>
                </c:pt>
                <c:pt idx="22">
                  <c:v>91.9</c:v>
                </c:pt>
                <c:pt idx="23">
                  <c:v>108</c:v>
                </c:pt>
                <c:pt idx="24">
                  <c:v>84.9</c:v>
                </c:pt>
                <c:pt idx="25">
                  <c:v>84.5</c:v>
                </c:pt>
                <c:pt idx="26">
                  <c:v>95</c:v>
                </c:pt>
                <c:pt idx="27">
                  <c:v>97.2</c:v>
                </c:pt>
                <c:pt idx="28">
                  <c:v>94.7</c:v>
                </c:pt>
                <c:pt idx="29">
                  <c:v>94</c:v>
                </c:pt>
                <c:pt idx="30">
                  <c:v>98.9</c:v>
                </c:pt>
                <c:pt idx="31">
                  <c:v>98.5</c:v>
                </c:pt>
                <c:pt idx="32">
                  <c:v>97.5</c:v>
                </c:pt>
                <c:pt idx="33">
                  <c:v>101.4</c:v>
                </c:pt>
                <c:pt idx="34">
                  <c:v>93.5</c:v>
                </c:pt>
                <c:pt idx="35">
                  <c:v>112.7</c:v>
                </c:pt>
                <c:pt idx="36">
                  <c:v>87.8</c:v>
                </c:pt>
                <c:pt idx="37">
                  <c:v>86.4</c:v>
                </c:pt>
                <c:pt idx="38">
                  <c:v>101.1</c:v>
                </c:pt>
                <c:pt idx="39">
                  <c:v>98.5</c:v>
                </c:pt>
                <c:pt idx="40">
                  <c:v>99</c:v>
                </c:pt>
                <c:pt idx="41">
                  <c:v>100</c:v>
                </c:pt>
                <c:pt idx="42">
                  <c:v>102.3</c:v>
                </c:pt>
                <c:pt idx="43">
                  <c:v>100.4</c:v>
                </c:pt>
                <c:pt idx="44">
                  <c:v>100.3</c:v>
                </c:pt>
                <c:pt idx="45">
                  <c:v>105</c:v>
                </c:pt>
                <c:pt idx="46">
                  <c:v>98.8</c:v>
                </c:pt>
                <c:pt idx="47">
                  <c:v>120.6</c:v>
                </c:pt>
                <c:pt idx="48">
                  <c:v>90.6</c:v>
                </c:pt>
                <c:pt idx="49">
                  <c:v>91.7</c:v>
                </c:pt>
                <c:pt idx="50">
                  <c:v>104.1</c:v>
                </c:pt>
                <c:pt idx="51">
                  <c:v>103.9</c:v>
                </c:pt>
                <c:pt idx="52">
                  <c:v>103.2</c:v>
                </c:pt>
                <c:pt idx="53">
                  <c:v>106.4</c:v>
                </c:pt>
                <c:pt idx="54">
                  <c:v>106.7</c:v>
                </c:pt>
                <c:pt idx="55">
                  <c:v>108.1</c:v>
                </c:pt>
                <c:pt idx="56">
                  <c:v>106.6</c:v>
                </c:pt>
                <c:pt idx="57">
                  <c:v>109.8</c:v>
                </c:pt>
                <c:pt idx="58">
                  <c:v>106.1</c:v>
                </c:pt>
                <c:pt idx="59">
                  <c:v>127.7</c:v>
                </c:pt>
                <c:pt idx="60">
                  <c:v>99.3</c:v>
                </c:pt>
                <c:pt idx="61">
                  <c:v>96.5</c:v>
                </c:pt>
                <c:pt idx="62">
                  <c:v>112.5</c:v>
                </c:pt>
                <c:pt idx="63">
                  <c:v>110.9</c:v>
                </c:pt>
                <c:pt idx="64">
                  <c:v>111</c:v>
                </c:pt>
                <c:pt idx="65">
                  <c:v>112.8</c:v>
                </c:pt>
                <c:pt idx="66">
                  <c:v>114.1</c:v>
                </c:pt>
                <c:pt idx="67">
                  <c:v>115.8</c:v>
                </c:pt>
                <c:pt idx="68">
                  <c:v>114.8</c:v>
                </c:pt>
                <c:pt idx="69">
                  <c:v>117.8</c:v>
                </c:pt>
                <c:pt idx="70">
                  <c:v>115.7</c:v>
                </c:pt>
                <c:pt idx="71">
                  <c:v>134.80000000000001</c:v>
                </c:pt>
                <c:pt idx="72">
                  <c:v>107.2</c:v>
                </c:pt>
                <c:pt idx="73">
                  <c:v>104.1</c:v>
                </c:pt>
                <c:pt idx="74">
                  <c:v>122.6</c:v>
                </c:pt>
                <c:pt idx="75">
                  <c:v>115.7</c:v>
                </c:pt>
                <c:pt idx="76">
                  <c:v>118</c:v>
                </c:pt>
                <c:pt idx="77">
                  <c:v>122.3</c:v>
                </c:pt>
                <c:pt idx="78">
                  <c:v>122.5</c:v>
                </c:pt>
                <c:pt idx="79">
                  <c:v>123.8</c:v>
                </c:pt>
                <c:pt idx="80">
                  <c:v>119.1</c:v>
                </c:pt>
                <c:pt idx="81">
                  <c:v>127.2</c:v>
                </c:pt>
                <c:pt idx="82">
                  <c:v>123.8</c:v>
                </c:pt>
                <c:pt idx="83">
                  <c:v>140.4</c:v>
                </c:pt>
                <c:pt idx="84">
                  <c:v>113.6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84"/>
              <c:tx>
                <c:rich>
                  <a:bodyPr/>
                  <a:lstStyle/>
                  <a:p>
                    <a:r>
                      <a:rPr lang="en-US"/>
                      <a:t>124.2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410809470683028E-2"/>
                      <c:h val="6.4864864864864868E-2"/>
                    </c:manualLayout>
                  </c15:layout>
                </c:ext>
              </c:extLst>
            </c:dLbl>
            <c:dLbl>
              <c:idx val="107"/>
              <c:layout>
                <c:manualLayout>
                  <c:x val="-2.7271600347093285E-2"/>
                  <c:y val="6.6924066924066924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latin typeface="Fira Sans" panose="020B0503050000020004" pitchFamily="34" charset="0"/>
                      </a:rPr>
                      <a:t>123.0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solidFill>
                      <a:srgbClr val="69BE28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'Wykresy (ang)'!$C$2:$C$97</c:f>
              <c:numCache>
                <c:formatCode>General</c:formatCode>
                <c:ptCount val="96"/>
                <c:pt idx="0">
                  <c:v>89.9</c:v>
                </c:pt>
                <c:pt idx="1">
                  <c:v>89.2</c:v>
                </c:pt>
                <c:pt idx="2">
                  <c:v>91</c:v>
                </c:pt>
                <c:pt idx="3">
                  <c:v>89.7</c:v>
                </c:pt>
                <c:pt idx="4">
                  <c:v>90.2</c:v>
                </c:pt>
                <c:pt idx="5">
                  <c:v>89.7</c:v>
                </c:pt>
                <c:pt idx="6">
                  <c:v>90.4</c:v>
                </c:pt>
                <c:pt idx="7">
                  <c:v>89.8</c:v>
                </c:pt>
                <c:pt idx="8">
                  <c:v>90.7</c:v>
                </c:pt>
                <c:pt idx="9">
                  <c:v>90</c:v>
                </c:pt>
                <c:pt idx="10">
                  <c:v>89.3</c:v>
                </c:pt>
                <c:pt idx="11">
                  <c:v>89.5</c:v>
                </c:pt>
                <c:pt idx="12">
                  <c:v>89.8</c:v>
                </c:pt>
                <c:pt idx="13">
                  <c:v>90.7</c:v>
                </c:pt>
                <c:pt idx="14">
                  <c:v>90.7</c:v>
                </c:pt>
                <c:pt idx="15">
                  <c:v>90</c:v>
                </c:pt>
                <c:pt idx="16">
                  <c:v>92.3</c:v>
                </c:pt>
                <c:pt idx="17">
                  <c:v>92.4</c:v>
                </c:pt>
                <c:pt idx="18">
                  <c:v>93.1</c:v>
                </c:pt>
                <c:pt idx="19">
                  <c:v>93.2</c:v>
                </c:pt>
                <c:pt idx="20">
                  <c:v>94.6</c:v>
                </c:pt>
                <c:pt idx="21">
                  <c:v>93.2</c:v>
                </c:pt>
                <c:pt idx="22">
                  <c:v>94.1</c:v>
                </c:pt>
                <c:pt idx="23">
                  <c:v>94.2</c:v>
                </c:pt>
                <c:pt idx="24">
                  <c:v>94.4</c:v>
                </c:pt>
                <c:pt idx="25">
                  <c:v>96.7</c:v>
                </c:pt>
                <c:pt idx="26">
                  <c:v>95.5</c:v>
                </c:pt>
                <c:pt idx="27">
                  <c:v>96.4</c:v>
                </c:pt>
                <c:pt idx="28">
                  <c:v>94.8</c:v>
                </c:pt>
                <c:pt idx="29">
                  <c:v>95.3</c:v>
                </c:pt>
                <c:pt idx="30">
                  <c:v>96.1</c:v>
                </c:pt>
                <c:pt idx="31">
                  <c:v>97.7</c:v>
                </c:pt>
                <c:pt idx="32">
                  <c:v>97</c:v>
                </c:pt>
                <c:pt idx="33">
                  <c:v>96.8</c:v>
                </c:pt>
                <c:pt idx="34">
                  <c:v>96.8</c:v>
                </c:pt>
                <c:pt idx="35">
                  <c:v>97.4</c:v>
                </c:pt>
                <c:pt idx="36">
                  <c:v>98</c:v>
                </c:pt>
                <c:pt idx="37">
                  <c:v>98.8</c:v>
                </c:pt>
                <c:pt idx="38">
                  <c:v>100.7</c:v>
                </c:pt>
                <c:pt idx="39">
                  <c:v>98.2</c:v>
                </c:pt>
                <c:pt idx="40">
                  <c:v>99.7</c:v>
                </c:pt>
                <c:pt idx="41">
                  <c:v>100.2</c:v>
                </c:pt>
                <c:pt idx="42">
                  <c:v>99.2</c:v>
                </c:pt>
                <c:pt idx="43">
                  <c:v>99.8</c:v>
                </c:pt>
                <c:pt idx="44">
                  <c:v>99.7</c:v>
                </c:pt>
                <c:pt idx="45">
                  <c:v>100.7</c:v>
                </c:pt>
                <c:pt idx="46">
                  <c:v>101.3</c:v>
                </c:pt>
                <c:pt idx="47">
                  <c:v>103.4</c:v>
                </c:pt>
                <c:pt idx="48">
                  <c:v>102.3</c:v>
                </c:pt>
                <c:pt idx="49">
                  <c:v>102</c:v>
                </c:pt>
                <c:pt idx="50">
                  <c:v>101.3</c:v>
                </c:pt>
                <c:pt idx="51">
                  <c:v>104.5</c:v>
                </c:pt>
                <c:pt idx="52">
                  <c:v>105.2</c:v>
                </c:pt>
                <c:pt idx="53">
                  <c:v>104.9</c:v>
                </c:pt>
                <c:pt idx="54">
                  <c:v>105.1</c:v>
                </c:pt>
                <c:pt idx="55">
                  <c:v>105.9</c:v>
                </c:pt>
                <c:pt idx="56">
                  <c:v>106</c:v>
                </c:pt>
                <c:pt idx="57">
                  <c:v>107.4</c:v>
                </c:pt>
                <c:pt idx="58">
                  <c:v>108.2</c:v>
                </c:pt>
                <c:pt idx="59">
                  <c:v>108</c:v>
                </c:pt>
                <c:pt idx="60">
                  <c:v>110.9</c:v>
                </c:pt>
                <c:pt idx="61">
                  <c:v>110.1</c:v>
                </c:pt>
                <c:pt idx="62">
                  <c:v>110.6</c:v>
                </c:pt>
                <c:pt idx="63">
                  <c:v>111.7</c:v>
                </c:pt>
                <c:pt idx="64">
                  <c:v>111.4</c:v>
                </c:pt>
                <c:pt idx="65">
                  <c:v>112.2</c:v>
                </c:pt>
                <c:pt idx="66">
                  <c:v>113.3</c:v>
                </c:pt>
                <c:pt idx="67">
                  <c:v>113.6</c:v>
                </c:pt>
                <c:pt idx="68">
                  <c:v>114.7</c:v>
                </c:pt>
                <c:pt idx="69">
                  <c:v>114.9</c:v>
                </c:pt>
                <c:pt idx="70">
                  <c:v>117.1</c:v>
                </c:pt>
                <c:pt idx="71">
                  <c:v>116.7</c:v>
                </c:pt>
                <c:pt idx="72">
                  <c:v>118.1</c:v>
                </c:pt>
                <c:pt idx="73">
                  <c:v>118.7</c:v>
                </c:pt>
                <c:pt idx="74">
                  <c:v>119.2</c:v>
                </c:pt>
                <c:pt idx="75">
                  <c:v>118.4</c:v>
                </c:pt>
                <c:pt idx="76">
                  <c:v>119.7</c:v>
                </c:pt>
                <c:pt idx="77">
                  <c:v>120.6</c:v>
                </c:pt>
                <c:pt idx="78">
                  <c:v>121.1</c:v>
                </c:pt>
                <c:pt idx="79">
                  <c:v>121.2</c:v>
                </c:pt>
                <c:pt idx="80">
                  <c:v>121</c:v>
                </c:pt>
                <c:pt idx="81">
                  <c:v>122.6</c:v>
                </c:pt>
                <c:pt idx="82">
                  <c:v>123.6</c:v>
                </c:pt>
                <c:pt idx="83">
                  <c:v>123.2</c:v>
                </c:pt>
                <c:pt idx="84">
                  <c:v>124.2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84763456"/>
        <c:axId val="-1784765632"/>
      </c:lineChart>
      <c:catAx>
        <c:axId val="-1784763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784765632"/>
        <c:crosses val="autoZero"/>
        <c:auto val="1"/>
        <c:lblAlgn val="ctr"/>
        <c:lblOffset val="100"/>
        <c:tickMarkSkip val="12"/>
        <c:noMultiLvlLbl val="0"/>
      </c:catAx>
      <c:valAx>
        <c:axId val="-1784765632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78476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35"/>
          <c:w val="0.58277594437920999"/>
          <c:h val="8.4962352678888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0.04495</cdr:x>
      <cdr:y>0.16171</cdr:y>
    </cdr:from>
    <cdr:to>
      <cdr:x>0.2402</cdr:x>
      <cdr:y>0.23842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230400" y="561600"/>
          <a:ext cx="1000800" cy="2664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105.2</a:t>
          </a:r>
        </a:p>
      </cdr:txBody>
    </cdr:sp>
  </cdr:relSizeAnchor>
  <cdr:relSizeAnchor xmlns:cdr="http://schemas.openxmlformats.org/drawingml/2006/chartDrawing">
    <cdr:from>
      <cdr:x>0.07577</cdr:x>
      <cdr:y>0.23966</cdr:y>
    </cdr:from>
    <cdr:to>
      <cdr:x>0.13144</cdr:x>
      <cdr:y>0.33429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388384" y="832312"/>
          <a:ext cx="285348" cy="32859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0.04731</cdr:x>
      <cdr:y>0.34654</cdr:y>
    </cdr:from>
    <cdr:to>
      <cdr:x>0.95423</cdr:x>
      <cdr:y>0.34859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42474" y="1203486"/>
          <a:ext cx="4648618" cy="711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DE2407-B4BC-4F08-87D7-10EE7112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433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Karczmarski Jacek</cp:lastModifiedBy>
  <cp:revision>73</cp:revision>
  <cp:lastPrinted>2019-02-19T16:17:00Z</cp:lastPrinted>
  <dcterms:created xsi:type="dcterms:W3CDTF">2019-01-21T13:26:00Z</dcterms:created>
  <dcterms:modified xsi:type="dcterms:W3CDTF">2019-02-20T13:52:00Z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