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074DD8">
      <w:pPr>
        <w:pStyle w:val="tytuinformacji"/>
        <w:rPr>
          <w:szCs w:val="40"/>
          <w:shd w:val="clear" w:color="auto" w:fill="FFFFFF"/>
          <w:lang w:val="en-US"/>
        </w:rPr>
      </w:pPr>
      <w:bookmarkStart w:id="0" w:name="_GoBack"/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B71522" w:rsidRPr="00FF2C0B">
        <w:rPr>
          <w:rFonts w:cs="Arial"/>
          <w:lang w:val="en-US"/>
        </w:rPr>
        <w:t xml:space="preserve"> </w:t>
      </w:r>
      <w:r w:rsidR="00AE5E84">
        <w:rPr>
          <w:rFonts w:cs="Arial"/>
          <w:lang w:val="en-US"/>
        </w:rPr>
        <w:t>February</w:t>
      </w:r>
      <w:r w:rsidR="005934DA" w:rsidRPr="00FF2C0B">
        <w:rPr>
          <w:rFonts w:cs="Arial"/>
          <w:lang w:val="en-US"/>
        </w:rPr>
        <w:t xml:space="preserve"> </w:t>
      </w:r>
      <w:r w:rsidR="00D13520" w:rsidRPr="00FF2C0B">
        <w:rPr>
          <w:rFonts w:cs="Arial"/>
          <w:szCs w:val="40"/>
          <w:lang w:val="en-US"/>
        </w:rPr>
        <w:t>201</w:t>
      </w:r>
      <w:r w:rsidR="004A08CE" w:rsidRPr="00FF2C0B">
        <w:rPr>
          <w:rFonts w:cs="Arial"/>
          <w:szCs w:val="40"/>
          <w:lang w:val="en-US"/>
        </w:rPr>
        <w:t>9</w:t>
      </w:r>
    </w:p>
    <w:bookmarkEnd w:id="0"/>
    <w:p w:rsidR="00393761" w:rsidRPr="000A3BE8" w:rsidRDefault="00A36564" w:rsidP="00074DD8">
      <w:pPr>
        <w:pStyle w:val="tytuinformacji"/>
        <w:rPr>
          <w:rFonts w:asciiTheme="majorHAnsi" w:hAnsiTheme="majorHAnsi"/>
          <w:sz w:val="32"/>
          <w:lang w:val="en-US"/>
        </w:rPr>
      </w:pPr>
      <w:r>
        <w:rPr>
          <w:rFonts w:asciiTheme="majorHAnsi" w:hAnsiTheme="majorHAnsi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245745</wp:posOffset>
                </wp:positionV>
                <wp:extent cx="1725295" cy="1095375"/>
                <wp:effectExtent l="0" t="0" r="0" b="0"/>
                <wp:wrapTight wrapText="bothSides">
                  <wp:wrapPolygon edited="0">
                    <wp:start x="715" y="0"/>
                    <wp:lineTo x="715" y="21037"/>
                    <wp:lineTo x="20749" y="21037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995BE7" w:rsidRDefault="00CB3D59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tlid-translation"/>
                                <w:lang w:val="en"/>
                              </w:rPr>
                              <w:t>The stable, over 5% growth rate of retail sales in constant prices y/y has been maintained since the beginning of this year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.35pt;width:135.85pt;height:86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" filled="f" stroked="f">
                <v:textbox>
                  <w:txbxContent>
                    <w:p w:rsidR="00234F14" w:rsidRPr="00995BE7" w:rsidRDefault="00CB3D59" w:rsidP="00074DD8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rStyle w:val="tlid-translation"/>
                          <w:lang w:val="en"/>
                        </w:rPr>
                        <w:t>The stable, over 5% growth rate of retail sales in constant prices y/y has been maintained since the beginning of this year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737E1" w:rsidRPr="00FA130D" w:rsidRDefault="00A36564" w:rsidP="00FA130D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Pr="000635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Pr="000635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FC415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6</w:t>
                            </w:r>
                          </w:p>
                          <w:p w:rsidR="00234F14" w:rsidRPr="00D13520" w:rsidRDefault="00234F14" w:rsidP="009B5393">
                            <w:pPr>
                              <w:pStyle w:val="tekstnaniebieskimtle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Retail sales index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Pr="000635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Pr="000635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FC415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</w:p>
                    <w:p w:rsidR="00234F14" w:rsidRPr="00D13520" w:rsidRDefault="00234F14" w:rsidP="009B5393">
                      <w:pPr>
                        <w:pStyle w:val="tekstnaniebieskimtle"/>
                        <w:jc w:val="center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Retail sales index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10EE" w:rsidRPr="003910EE">
        <w:rPr>
          <w:rFonts w:cs="Arial"/>
          <w:lang w:val="en-US"/>
        </w:rPr>
        <w:t xml:space="preserve">In </w:t>
      </w:r>
      <w:r w:rsidR="008378A2">
        <w:rPr>
          <w:rFonts w:cs="Arial"/>
          <w:lang w:val="en-US"/>
        </w:rPr>
        <w:t>February</w:t>
      </w:r>
      <w:r w:rsidR="007D794B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201</w:t>
      </w:r>
      <w:r w:rsidR="00543644">
        <w:rPr>
          <w:rFonts w:cs="Arial"/>
          <w:lang w:val="en-US"/>
        </w:rPr>
        <w:t>9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8911AC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by </w:t>
      </w:r>
      <w:r w:rsidR="00360F78">
        <w:rPr>
          <w:rFonts w:cs="Arial"/>
          <w:lang w:val="en-US"/>
        </w:rPr>
        <w:t>5</w:t>
      </w:r>
      <w:r w:rsidR="001A40AB">
        <w:rPr>
          <w:rFonts w:cs="Arial"/>
          <w:lang w:val="en-US"/>
        </w:rPr>
        <w:t>.</w:t>
      </w:r>
      <w:r w:rsidR="00BF6E53">
        <w:rPr>
          <w:rFonts w:cs="Arial"/>
          <w:lang w:val="en-US"/>
        </w:rPr>
        <w:t>6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 xml:space="preserve">higher than the year before (against a growth of </w:t>
      </w:r>
      <w:r w:rsidR="00487227">
        <w:rPr>
          <w:rFonts w:cs="Arial"/>
          <w:lang w:val="en-US"/>
        </w:rPr>
        <w:t>7</w:t>
      </w:r>
      <w:r w:rsidR="008A0000">
        <w:rPr>
          <w:rFonts w:cs="Arial"/>
          <w:lang w:val="en-US"/>
        </w:rPr>
        <w:t>.</w:t>
      </w:r>
      <w:r w:rsidR="00487227">
        <w:rPr>
          <w:rFonts w:cs="Arial"/>
          <w:lang w:val="en-US"/>
        </w:rPr>
        <w:t>7</w:t>
      </w:r>
      <w:r w:rsidR="004B784E">
        <w:rPr>
          <w:rFonts w:cs="Arial"/>
          <w:lang w:val="en-US"/>
        </w:rPr>
        <w:t>% in</w:t>
      </w:r>
      <w:r w:rsidR="00BF6E53">
        <w:rPr>
          <w:rFonts w:cs="Arial"/>
          <w:lang w:val="en-US"/>
        </w:rPr>
        <w:t xml:space="preserve"> February </w:t>
      </w:r>
      <w:r w:rsidR="004B784E">
        <w:rPr>
          <w:rFonts w:cs="Arial"/>
          <w:lang w:val="en-US"/>
        </w:rPr>
        <w:t>201</w:t>
      </w:r>
      <w:r w:rsidR="00724031">
        <w:rPr>
          <w:rFonts w:cs="Arial"/>
          <w:lang w:val="en-US"/>
        </w:rPr>
        <w:t>8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 xml:space="preserve">Compared with </w:t>
      </w:r>
      <w:r w:rsidR="00BF6E53">
        <w:rPr>
          <w:lang w:val="en-US"/>
        </w:rPr>
        <w:t>January</w:t>
      </w:r>
      <w:r w:rsidR="002B5519">
        <w:rPr>
          <w:lang w:val="en-US"/>
        </w:rPr>
        <w:t xml:space="preserve"> </w:t>
      </w:r>
      <w:r w:rsidR="00EA5ED1">
        <w:rPr>
          <w:lang w:val="en-US"/>
        </w:rPr>
        <w:t>201</w:t>
      </w:r>
      <w:r w:rsidR="00BF6E53">
        <w:rPr>
          <w:lang w:val="en-US"/>
        </w:rPr>
        <w:t>9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AC5E9B">
        <w:rPr>
          <w:lang w:val="en-US"/>
        </w:rPr>
        <w:t>de</w:t>
      </w:r>
      <w:r w:rsidR="002B5519">
        <w:rPr>
          <w:lang w:val="en-US"/>
        </w:rPr>
        <w:t xml:space="preserve">creased by </w:t>
      </w:r>
      <w:r w:rsidR="00BF6E53">
        <w:rPr>
          <w:lang w:val="en-US"/>
        </w:rPr>
        <w:t>3</w:t>
      </w:r>
      <w:r w:rsidR="002B5519">
        <w:rPr>
          <w:lang w:val="en-US"/>
        </w:rPr>
        <w:t>.</w:t>
      </w:r>
      <w:r w:rsidR="00BF6E53">
        <w:rPr>
          <w:lang w:val="en-US"/>
        </w:rPr>
        <w:t>2</w:t>
      </w:r>
      <w:r w:rsidR="002B5519">
        <w:rPr>
          <w:lang w:val="en-US"/>
        </w:rPr>
        <w:t>%.</w:t>
      </w:r>
    </w:p>
    <w:p w:rsidR="002D294F" w:rsidRDefault="002D294F" w:rsidP="00074DD8">
      <w:pPr>
        <w:pStyle w:val="Nagwek1"/>
        <w:rPr>
          <w:lang w:val="en-US"/>
        </w:rPr>
      </w:pPr>
    </w:p>
    <w:p w:rsidR="00417691" w:rsidRDefault="00417691" w:rsidP="00074DD8">
      <w:pPr>
        <w:pStyle w:val="Nagwek1"/>
        <w:rPr>
          <w:lang w:val="en-US"/>
        </w:rPr>
      </w:pPr>
    </w:p>
    <w:p w:rsidR="00C22105" w:rsidRPr="00EF2DFF" w:rsidRDefault="00A36564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117475</wp:posOffset>
                </wp:positionV>
                <wp:extent cx="1739265" cy="1228090"/>
                <wp:effectExtent l="0" t="0" r="0" b="0"/>
                <wp:wrapTight wrapText="bothSides">
                  <wp:wrapPolygon edited="0">
                    <wp:start x="710" y="0"/>
                    <wp:lineTo x="710" y="21109"/>
                    <wp:lineTo x="20819" y="21109"/>
                    <wp:lineTo x="20819" y="0"/>
                    <wp:lineTo x="710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265" cy="1228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7725C8" w:rsidRDefault="00234F14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090396">
                              <w:rPr>
                                <w:rFonts w:cs="Arial"/>
                                <w:lang w:val="en-US"/>
                              </w:rPr>
                              <w:t>Febru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ary 2019 the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increase in retail sales 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at constant prices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per annum was recorded in </w:t>
                            </w:r>
                            <w:r w:rsidR="0048324D">
                              <w:rPr>
                                <w:rFonts w:cs="Arial"/>
                                <w:lang w:val="en-US"/>
                              </w:rPr>
                              <w:t>all</w:t>
                            </w:r>
                            <w:r w:rsidR="00E5446B">
                              <w:rPr>
                                <w:rFonts w:cs="Arial"/>
                                <w:lang w:val="en-US"/>
                              </w:rPr>
                              <w:t xml:space="preserve"> groups</w:t>
                            </w:r>
                          </w:p>
                          <w:p w:rsidR="00234F14" w:rsidRPr="007725C8" w:rsidRDefault="00234F14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1pt;margin-top:9.25pt;width:136.95pt;height:96.7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" filled="f" stroked="f">
                <v:textbox>
                  <w:txbxContent>
                    <w:p w:rsidR="00234F14" w:rsidRPr="007725C8" w:rsidRDefault="00234F14" w:rsidP="00074DD8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090396">
                        <w:rPr>
                          <w:rFonts w:cs="Arial"/>
                          <w:lang w:val="en-US"/>
                        </w:rPr>
                        <w:t>Febru</w:t>
                      </w:r>
                      <w:r>
                        <w:rPr>
                          <w:rFonts w:cs="Arial"/>
                          <w:lang w:val="en-US"/>
                        </w:rPr>
                        <w:t>ary 2019 the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increase in retail sales 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at constant prices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per annum was recorded in </w:t>
                      </w:r>
                      <w:r w:rsidR="0048324D">
                        <w:rPr>
                          <w:rFonts w:cs="Arial"/>
                          <w:lang w:val="en-US"/>
                        </w:rPr>
                        <w:t>all</w:t>
                      </w:r>
                      <w:r w:rsidR="00E5446B">
                        <w:rPr>
                          <w:rFonts w:cs="Arial"/>
                          <w:lang w:val="en-US"/>
                        </w:rPr>
                        <w:t xml:space="preserve"> groups</w:t>
                      </w:r>
                    </w:p>
                    <w:p w:rsidR="00234F14" w:rsidRPr="007725C8" w:rsidRDefault="00234F14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8A0000" w:rsidRDefault="00794E5F" w:rsidP="00D40D4C">
      <w:pPr>
        <w:spacing w:before="0" w:after="0" w:line="240" w:lineRule="atLeast"/>
        <w:rPr>
          <w:rFonts w:cs="Arial"/>
          <w:lang w:val="en-US"/>
        </w:rPr>
      </w:pPr>
      <w:r w:rsidRPr="00794E5F">
        <w:rPr>
          <w:rFonts w:cs="Arial"/>
          <w:lang w:val="en-US"/>
        </w:rPr>
        <w:t>Among the groups with a significa</w:t>
      </w:r>
      <w:r w:rsidR="009759D1">
        <w:rPr>
          <w:rFonts w:cs="Arial"/>
          <w:lang w:val="en-US"/>
        </w:rPr>
        <w:t xml:space="preserve">nt share in total retail sales </w:t>
      </w:r>
      <w:r w:rsidR="00D47ADD">
        <w:rPr>
          <w:rFonts w:cs="Arial"/>
          <w:lang w:val="en-US"/>
        </w:rPr>
        <w:t xml:space="preserve">the </w:t>
      </w:r>
      <w:r w:rsidRPr="00794E5F">
        <w:rPr>
          <w:rFonts w:cs="Arial"/>
          <w:lang w:val="en-US"/>
        </w:rPr>
        <w:t>high</w:t>
      </w:r>
      <w:r w:rsidR="00927D8B">
        <w:rPr>
          <w:rFonts w:cs="Arial"/>
          <w:lang w:val="en-US"/>
        </w:rPr>
        <w:t>e</w:t>
      </w:r>
      <w:r w:rsidR="00D47ADD">
        <w:rPr>
          <w:rFonts w:cs="Arial"/>
          <w:lang w:val="en-US"/>
        </w:rPr>
        <w:t>st</w:t>
      </w:r>
      <w:r w:rsidR="00927D8B">
        <w:rPr>
          <w:rFonts w:cs="Arial"/>
          <w:lang w:val="en-US"/>
        </w:rPr>
        <w:t xml:space="preserve"> </w:t>
      </w:r>
      <w:r w:rsidRPr="00794E5F">
        <w:rPr>
          <w:rFonts w:cs="Arial"/>
          <w:lang w:val="en-US"/>
        </w:rPr>
        <w:t xml:space="preserve">increase in </w:t>
      </w:r>
      <w:r w:rsidR="005E1E61">
        <w:rPr>
          <w:rFonts w:cs="Arial"/>
          <w:lang w:val="en-US"/>
        </w:rPr>
        <w:t>Februa</w:t>
      </w:r>
      <w:r w:rsidR="00D712A6">
        <w:rPr>
          <w:rFonts w:cs="Arial"/>
          <w:lang w:val="en-US"/>
        </w:rPr>
        <w:t>ry</w:t>
      </w:r>
      <w:r w:rsidR="00EC2A8F">
        <w:rPr>
          <w:rFonts w:cs="Arial"/>
          <w:lang w:val="en-US"/>
        </w:rPr>
        <w:t xml:space="preserve"> </w:t>
      </w:r>
      <w:r w:rsidRPr="00794E5F">
        <w:rPr>
          <w:rFonts w:cs="Arial"/>
          <w:lang w:val="en-US"/>
        </w:rPr>
        <w:t>201</w:t>
      </w:r>
      <w:r w:rsidR="00D712A6">
        <w:rPr>
          <w:rFonts w:cs="Arial"/>
          <w:lang w:val="en-US"/>
        </w:rPr>
        <w:t>9</w:t>
      </w:r>
      <w:r w:rsidRPr="00794E5F">
        <w:rPr>
          <w:rFonts w:cs="Arial"/>
          <w:lang w:val="en-US"/>
        </w:rPr>
        <w:t xml:space="preserve"> compared to the </w:t>
      </w:r>
      <w:r>
        <w:rPr>
          <w:rFonts w:cs="Arial"/>
          <w:lang w:val="en-US"/>
        </w:rPr>
        <w:t xml:space="preserve">corresponding period of </w:t>
      </w:r>
      <w:r w:rsidR="00D47ADD">
        <w:rPr>
          <w:rFonts w:cs="Arial"/>
          <w:lang w:val="en-US"/>
        </w:rPr>
        <w:t>201</w:t>
      </w:r>
      <w:r w:rsidR="00E919B9">
        <w:rPr>
          <w:rFonts w:cs="Arial"/>
          <w:lang w:val="en-US"/>
        </w:rPr>
        <w:t>8</w:t>
      </w:r>
      <w:r>
        <w:rPr>
          <w:rFonts w:cs="Arial"/>
          <w:lang w:val="en-US"/>
        </w:rPr>
        <w:t xml:space="preserve"> </w:t>
      </w:r>
      <w:r w:rsidR="00E37890">
        <w:rPr>
          <w:rFonts w:cs="Arial"/>
          <w:lang w:val="en-US"/>
        </w:rPr>
        <w:t xml:space="preserve">(at constant prices) </w:t>
      </w:r>
      <w:r>
        <w:rPr>
          <w:rFonts w:cs="Arial"/>
          <w:lang w:val="en-US"/>
        </w:rPr>
        <w:t>was observed in</w:t>
      </w:r>
      <w:r w:rsidR="009C15D8">
        <w:rPr>
          <w:rFonts w:cs="Arial"/>
          <w:lang w:val="en-US"/>
        </w:rPr>
        <w:t> </w:t>
      </w:r>
      <w:r w:rsidR="00673952">
        <w:rPr>
          <w:rFonts w:cs="Arial"/>
          <w:lang w:val="en-US"/>
        </w:rPr>
        <w:t>enterprises</w:t>
      </w:r>
      <w:r w:rsidR="00426464" w:rsidRPr="00426464">
        <w:rPr>
          <w:rFonts w:cs="Arial"/>
          <w:color w:val="000000"/>
          <w:szCs w:val="19"/>
          <w:lang w:val="en-US"/>
        </w:rPr>
        <w:t xml:space="preserve"> </w:t>
      </w:r>
      <w:r w:rsidR="00426464">
        <w:rPr>
          <w:rFonts w:cs="Arial"/>
          <w:color w:val="000000"/>
          <w:szCs w:val="19"/>
          <w:lang w:val="en-US"/>
        </w:rPr>
        <w:t xml:space="preserve">conducting </w:t>
      </w:r>
      <w:r w:rsidR="00426464">
        <w:rPr>
          <w:rFonts w:cs="Arial"/>
          <w:lang w:val="en-US"/>
        </w:rPr>
        <w:t>other retail sales in non-specialized</w:t>
      </w:r>
      <w:r w:rsidR="00B55A9D">
        <w:rPr>
          <w:rFonts w:cs="Arial"/>
          <w:lang w:val="en-US"/>
        </w:rPr>
        <w:t xml:space="preserve"> </w:t>
      </w:r>
      <w:r w:rsidR="00426464">
        <w:rPr>
          <w:rFonts w:cs="Arial"/>
          <w:lang w:val="en-US"/>
        </w:rPr>
        <w:t xml:space="preserve">stores (by </w:t>
      </w:r>
      <w:r w:rsidR="008911AC">
        <w:rPr>
          <w:rFonts w:cs="Arial"/>
          <w:lang w:val="en-US"/>
        </w:rPr>
        <w:t>13.5</w:t>
      </w:r>
      <w:r w:rsidR="00426464">
        <w:rPr>
          <w:rFonts w:cs="Arial"/>
          <w:lang w:val="en-US"/>
        </w:rPr>
        <w:t>%</w:t>
      </w:r>
      <w:r w:rsidR="00910CA6">
        <w:rPr>
          <w:rFonts w:cs="Arial"/>
          <w:lang w:val="en-US"/>
        </w:rPr>
        <w:t xml:space="preserve"> </w:t>
      </w:r>
      <w:r w:rsidR="00B55A9D">
        <w:rPr>
          <w:rFonts w:cs="Arial"/>
          <w:lang w:val="en-US"/>
        </w:rPr>
        <w:t>against a</w:t>
      </w:r>
      <w:r w:rsidR="00D905A6">
        <w:rPr>
          <w:rFonts w:cs="Arial"/>
          <w:lang w:val="en-US"/>
        </w:rPr>
        <w:t xml:space="preserve">n </w:t>
      </w:r>
      <w:r w:rsidR="00D358FC">
        <w:rPr>
          <w:rFonts w:cs="Arial"/>
          <w:lang w:val="en-US"/>
        </w:rPr>
        <w:t>in</w:t>
      </w:r>
      <w:r w:rsidR="00D47ADD">
        <w:rPr>
          <w:rFonts w:cs="Arial"/>
          <w:lang w:val="en-US"/>
        </w:rPr>
        <w:t>crease</w:t>
      </w:r>
      <w:r w:rsidR="00B55A9D">
        <w:rPr>
          <w:rFonts w:cs="Arial"/>
          <w:lang w:val="en-US"/>
        </w:rPr>
        <w:t xml:space="preserve"> of </w:t>
      </w:r>
      <w:r w:rsidR="00910CA6">
        <w:rPr>
          <w:rFonts w:cs="Arial"/>
          <w:lang w:val="en-US"/>
        </w:rPr>
        <w:t>7</w:t>
      </w:r>
      <w:r w:rsidR="00B55A9D">
        <w:rPr>
          <w:rFonts w:cs="Arial"/>
          <w:lang w:val="en-US"/>
        </w:rPr>
        <w:t>.</w:t>
      </w:r>
      <w:r w:rsidR="00910CA6">
        <w:rPr>
          <w:rFonts w:cs="Arial"/>
          <w:lang w:val="en-US"/>
        </w:rPr>
        <w:t>9</w:t>
      </w:r>
      <w:r w:rsidR="00B55A9D">
        <w:rPr>
          <w:rFonts w:cs="Arial"/>
          <w:lang w:val="en-US"/>
        </w:rPr>
        <w:t>% the year before)</w:t>
      </w:r>
      <w:r w:rsidR="000D41A5">
        <w:rPr>
          <w:rFonts w:cs="Arial"/>
          <w:lang w:val="en-US"/>
        </w:rPr>
        <w:t>.</w:t>
      </w:r>
      <w:r w:rsidR="00732240">
        <w:rPr>
          <w:rFonts w:cs="Arial"/>
          <w:lang w:val="en-US"/>
        </w:rPr>
        <w:t xml:space="preserve"> </w:t>
      </w:r>
      <w:r w:rsidR="006B6B35">
        <w:rPr>
          <w:rFonts w:cs="Arial"/>
          <w:lang w:val="en-US"/>
        </w:rPr>
        <w:t>A substantial i</w:t>
      </w:r>
      <w:r w:rsidR="00A74967">
        <w:rPr>
          <w:rFonts w:cs="Arial"/>
          <w:lang w:val="en-US"/>
        </w:rPr>
        <w:t xml:space="preserve">ncrease in </w:t>
      </w:r>
      <w:r w:rsidR="00ED0FE6">
        <w:rPr>
          <w:rFonts w:cs="Arial"/>
          <w:lang w:val="en-US"/>
        </w:rPr>
        <w:t>sal</w:t>
      </w:r>
      <w:r w:rsidR="00D905A6">
        <w:rPr>
          <w:rFonts w:cs="Arial"/>
          <w:lang w:val="en-US"/>
        </w:rPr>
        <w:t>es w</w:t>
      </w:r>
      <w:r w:rsidR="00A74967">
        <w:rPr>
          <w:rFonts w:cs="Arial"/>
          <w:lang w:val="en-US"/>
        </w:rPr>
        <w:t>as</w:t>
      </w:r>
      <w:r w:rsidR="00D905A6">
        <w:rPr>
          <w:rFonts w:cs="Arial"/>
          <w:lang w:val="en-US"/>
        </w:rPr>
        <w:t xml:space="preserve"> also recorded in units </w:t>
      </w:r>
      <w:r w:rsidR="006B6B35">
        <w:rPr>
          <w:rFonts w:cs="Arial"/>
          <w:lang w:val="en-US"/>
        </w:rPr>
        <w:t>trading in</w:t>
      </w:r>
      <w:r w:rsidR="006B6B35" w:rsidRPr="006B6B35">
        <w:rPr>
          <w:rFonts w:cs="Arial"/>
          <w:lang w:val="en-US"/>
        </w:rPr>
        <w:t xml:space="preserve"> </w:t>
      </w:r>
      <w:r w:rsidR="006B6B35">
        <w:rPr>
          <w:rFonts w:cs="Arial"/>
          <w:lang w:val="en-US"/>
        </w:rPr>
        <w:t>motor vehicles, motorcycles, parts</w:t>
      </w:r>
      <w:r w:rsidR="000B2B68">
        <w:rPr>
          <w:rFonts w:cs="Arial"/>
          <w:lang w:val="en-US"/>
        </w:rPr>
        <w:t xml:space="preserve"> (by 5.0%)</w:t>
      </w:r>
      <w:r w:rsidR="006B6B35">
        <w:rPr>
          <w:rFonts w:cs="Arial"/>
          <w:lang w:val="en-US"/>
        </w:rPr>
        <w:t xml:space="preserve"> </w:t>
      </w:r>
      <w:r w:rsidR="00927D8B">
        <w:rPr>
          <w:rFonts w:cs="Arial"/>
          <w:lang w:val="en-US"/>
        </w:rPr>
        <w:t xml:space="preserve">as well as </w:t>
      </w:r>
      <w:r w:rsidR="00732240">
        <w:rPr>
          <w:rFonts w:cs="Arial"/>
          <w:lang w:val="en-US"/>
        </w:rPr>
        <w:t>by</w:t>
      </w:r>
      <w:r w:rsidR="00732240" w:rsidRPr="00441551">
        <w:rPr>
          <w:rFonts w:cs="Arial"/>
          <w:lang w:val="en-US"/>
        </w:rPr>
        <w:t xml:space="preserve"> </w:t>
      </w:r>
      <w:r w:rsidR="006B6B35">
        <w:rPr>
          <w:rFonts w:cs="Arial"/>
          <w:lang w:val="en-US"/>
        </w:rPr>
        <w:t>entities</w:t>
      </w:r>
      <w:r w:rsidR="00732240">
        <w:rPr>
          <w:rFonts w:cs="Arial"/>
          <w:lang w:val="en-US"/>
        </w:rPr>
        <w:t xml:space="preserve"> </w:t>
      </w:r>
      <w:r w:rsidR="00544B7F">
        <w:rPr>
          <w:rFonts w:cs="Arial"/>
          <w:lang w:val="en-US"/>
        </w:rPr>
        <w:t>from group “others” (by</w:t>
      </w:r>
      <w:r w:rsidR="00ED0FE6">
        <w:rPr>
          <w:rFonts w:cs="Arial"/>
          <w:lang w:val="en-US"/>
        </w:rPr>
        <w:t xml:space="preserve"> </w:t>
      </w:r>
      <w:r w:rsidR="00544B7F">
        <w:rPr>
          <w:rFonts w:cs="Arial"/>
          <w:lang w:val="en-US"/>
        </w:rPr>
        <w:t>4</w:t>
      </w:r>
      <w:r w:rsidR="00ED0FE6">
        <w:rPr>
          <w:rFonts w:cs="Arial"/>
          <w:lang w:val="en-US"/>
        </w:rPr>
        <w:t>.</w:t>
      </w:r>
      <w:r w:rsidR="000B2B68">
        <w:rPr>
          <w:rFonts w:cs="Arial"/>
          <w:lang w:val="en-US"/>
        </w:rPr>
        <w:t>7</w:t>
      </w:r>
      <w:r w:rsidR="00ED0FE6">
        <w:rPr>
          <w:rFonts w:cs="Arial"/>
          <w:lang w:val="en-US"/>
        </w:rPr>
        <w:t>%)</w:t>
      </w:r>
      <w:r w:rsidR="005930FD">
        <w:rPr>
          <w:rFonts w:cs="Arial"/>
          <w:lang w:val="en-US"/>
        </w:rPr>
        <w:t>.</w:t>
      </w:r>
      <w:r w:rsidR="00927D8B">
        <w:rPr>
          <w:rFonts w:cs="Arial"/>
          <w:lang w:val="en-US"/>
        </w:rPr>
        <w:t xml:space="preserve"> </w:t>
      </w:r>
      <w:r w:rsidR="00516EB5">
        <w:rPr>
          <w:rFonts w:cs="Arial"/>
          <w:lang w:val="en-US"/>
        </w:rPr>
        <w:t xml:space="preserve">Within groups with a lower share in total retail sales </w:t>
      </w:r>
      <w:r w:rsidR="003E43B9">
        <w:rPr>
          <w:rFonts w:cs="Arial"/>
          <w:lang w:val="en-US"/>
        </w:rPr>
        <w:t>high</w:t>
      </w:r>
      <w:r w:rsidR="00D31A0D">
        <w:rPr>
          <w:rFonts w:cs="Arial"/>
          <w:lang w:val="en-US"/>
        </w:rPr>
        <w:t>e</w:t>
      </w:r>
      <w:r w:rsidR="004E3939">
        <w:rPr>
          <w:rFonts w:cs="Arial"/>
          <w:lang w:val="en-US"/>
        </w:rPr>
        <w:t xml:space="preserve">r than average increase </w:t>
      </w:r>
      <w:r w:rsidR="003E43B9">
        <w:rPr>
          <w:rFonts w:cs="Arial"/>
          <w:lang w:val="en-US"/>
        </w:rPr>
        <w:t xml:space="preserve"> was </w:t>
      </w:r>
      <w:r w:rsidR="008A6013">
        <w:rPr>
          <w:rFonts w:cs="Arial"/>
          <w:lang w:val="en-US"/>
        </w:rPr>
        <w:t>reported</w:t>
      </w:r>
      <w:r w:rsidR="003E43B9">
        <w:rPr>
          <w:rFonts w:cs="Arial"/>
          <w:lang w:val="en-US"/>
        </w:rPr>
        <w:t xml:space="preserve"> by units</w:t>
      </w:r>
      <w:r w:rsidR="00D31A0D">
        <w:rPr>
          <w:rFonts w:cs="Arial"/>
          <w:lang w:val="en-US"/>
        </w:rPr>
        <w:t xml:space="preserve"> from group</w:t>
      </w:r>
      <w:r w:rsidR="004E3939">
        <w:rPr>
          <w:rFonts w:cs="Arial"/>
          <w:lang w:val="en-US"/>
        </w:rPr>
        <w:t>s</w:t>
      </w:r>
      <w:r w:rsidR="00DA60DA" w:rsidRPr="00DA60DA">
        <w:rPr>
          <w:rFonts w:cs="Arial"/>
          <w:lang w:val="en-US"/>
        </w:rPr>
        <w:t xml:space="preserve"> </w:t>
      </w:r>
      <w:r w:rsidR="004F62F7">
        <w:rPr>
          <w:rFonts w:cs="Arial"/>
          <w:lang w:val="en-US"/>
        </w:rPr>
        <w:t>“furniture, radio, TV and household appliances”</w:t>
      </w:r>
      <w:r w:rsidR="00273988">
        <w:rPr>
          <w:rFonts w:cs="Arial"/>
          <w:lang w:val="en-US"/>
        </w:rPr>
        <w:t xml:space="preserve"> (by </w:t>
      </w:r>
      <w:r w:rsidR="004E3939">
        <w:rPr>
          <w:rFonts w:cs="Arial"/>
          <w:lang w:val="en-US"/>
        </w:rPr>
        <w:t>1</w:t>
      </w:r>
      <w:r w:rsidR="00A256B0">
        <w:rPr>
          <w:rFonts w:cs="Arial"/>
          <w:lang w:val="en-US"/>
        </w:rPr>
        <w:t>3</w:t>
      </w:r>
      <w:r w:rsidR="00273988">
        <w:rPr>
          <w:rFonts w:cs="Arial"/>
          <w:lang w:val="en-US"/>
        </w:rPr>
        <w:t>.</w:t>
      </w:r>
      <w:r w:rsidR="00A256B0">
        <w:rPr>
          <w:rFonts w:cs="Arial"/>
          <w:lang w:val="en-US"/>
        </w:rPr>
        <w:t>8</w:t>
      </w:r>
      <w:r w:rsidR="004B22B0">
        <w:rPr>
          <w:rFonts w:cs="Arial"/>
          <w:lang w:val="en-US"/>
        </w:rPr>
        <w:t>%) and</w:t>
      </w:r>
      <w:r w:rsidR="0087330E">
        <w:rPr>
          <w:rFonts w:cs="Arial"/>
          <w:lang w:val="en-US"/>
        </w:rPr>
        <w:t xml:space="preserve"> “pharmaceuticals, cosmetics, orthopaedic equipment” (by </w:t>
      </w:r>
      <w:r w:rsidR="006923FB">
        <w:rPr>
          <w:rFonts w:cs="Arial"/>
          <w:lang w:val="en-US"/>
        </w:rPr>
        <w:t>8</w:t>
      </w:r>
      <w:r w:rsidR="00C33ECF">
        <w:rPr>
          <w:rFonts w:cs="Arial"/>
          <w:lang w:val="en-US"/>
        </w:rPr>
        <w:t>.</w:t>
      </w:r>
      <w:r w:rsidR="006923FB">
        <w:rPr>
          <w:rFonts w:cs="Arial"/>
          <w:lang w:val="en-US"/>
        </w:rPr>
        <w:t>2</w:t>
      </w:r>
      <w:r w:rsidR="00C33ECF">
        <w:rPr>
          <w:rFonts w:cs="Arial"/>
          <w:lang w:val="en-US"/>
        </w:rPr>
        <w:t>%).</w:t>
      </w:r>
    </w:p>
    <w:p w:rsidR="008E192F" w:rsidRPr="006D4F6E" w:rsidRDefault="008E192F" w:rsidP="00D40D4C">
      <w:pPr>
        <w:spacing w:before="0" w:after="0" w:line="240" w:lineRule="atLeast"/>
        <w:rPr>
          <w:rFonts w:cs="Arial"/>
          <w:color w:val="000000"/>
          <w:szCs w:val="19"/>
          <w:lang w:val="en-US"/>
        </w:rPr>
      </w:pPr>
      <w:r>
        <w:rPr>
          <w:rFonts w:cs="Arial"/>
          <w:lang w:val="en-US"/>
        </w:rPr>
        <w:t>In the period of January-February 2019</w:t>
      </w:r>
      <w:r>
        <w:rPr>
          <w:rStyle w:val="Odwoanieprzypisudolnego"/>
          <w:rFonts w:cs="Arial"/>
          <w:lang w:val="en-US"/>
        </w:rPr>
        <w:footnoteReference w:id="2"/>
      </w:r>
      <w:r w:rsidR="00211C83">
        <w:rPr>
          <w:rFonts w:cs="Arial"/>
          <w:lang w:val="en-US"/>
        </w:rPr>
        <w:t xml:space="preserve"> retail sales </w:t>
      </w:r>
      <w:r w:rsidR="00E5089A">
        <w:rPr>
          <w:rFonts w:cs="Arial"/>
          <w:lang w:val="en-US"/>
        </w:rPr>
        <w:t xml:space="preserve">y/y </w:t>
      </w:r>
      <w:r w:rsidR="00211C83">
        <w:rPr>
          <w:rFonts w:cs="Arial"/>
          <w:lang w:val="en-US"/>
        </w:rPr>
        <w:t>were by 5.4% higher (against a growth of 8.1% in 2018).</w:t>
      </w:r>
    </w:p>
    <w:p w:rsidR="00E80C30" w:rsidRDefault="008C6D41" w:rsidP="001A75DF">
      <w:pPr>
        <w:pStyle w:val="tytuwykresu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corresponding period of previous year=100</w:t>
      </w:r>
    </w:p>
    <w:p w:rsidR="00950137" w:rsidRDefault="00950137" w:rsidP="005B0AE8">
      <w:pPr>
        <w:pStyle w:val="tytuwykresu"/>
        <w:rPr>
          <w:rFonts w:cs="Arial"/>
          <w:b w:val="0"/>
          <w:lang w:val="en-US"/>
        </w:rPr>
      </w:pPr>
      <w:r w:rsidRPr="0095396F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43CE72C7" wp14:editId="621625A4">
            <wp:simplePos x="0" y="0"/>
            <wp:positionH relativeFrom="margin">
              <wp:posOffset>0</wp:posOffset>
            </wp:positionH>
            <wp:positionV relativeFrom="margin">
              <wp:posOffset>4458018</wp:posOffset>
            </wp:positionV>
            <wp:extent cx="5118735" cy="2748915"/>
            <wp:effectExtent l="0" t="0" r="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5B0AE8" w:rsidRPr="00B31CD7" w:rsidRDefault="00950137" w:rsidP="005B0AE8">
      <w:pPr>
        <w:pStyle w:val="tytuwykresu"/>
        <w:rPr>
          <w:rFonts w:cs="Arial"/>
          <w:b w:val="0"/>
          <w:sz w:val="16"/>
          <w:szCs w:val="16"/>
          <w:lang w:val="en-US"/>
        </w:rPr>
      </w:pPr>
      <w:r>
        <w:rPr>
          <w:rFonts w:cs="Arial"/>
          <w:b w:val="0"/>
          <w:sz w:val="16"/>
          <w:szCs w:val="16"/>
          <w:lang w:val="en-US"/>
        </w:rPr>
        <w:t>*</w:t>
      </w:r>
      <w:r w:rsidR="005B0AE8" w:rsidRPr="00B31CD7">
        <w:rPr>
          <w:rFonts w:cs="Arial"/>
          <w:b w:val="0"/>
          <w:sz w:val="16"/>
          <w:szCs w:val="16"/>
          <w:lang w:val="en-US"/>
        </w:rPr>
        <w:t>Data revised</w:t>
      </w:r>
    </w:p>
    <w:p w:rsidR="000822E2" w:rsidRDefault="000822E2" w:rsidP="005B0AE8">
      <w:pPr>
        <w:pStyle w:val="tytuwykresu"/>
        <w:rPr>
          <w:rFonts w:cs="Arial"/>
          <w:b w:val="0"/>
          <w:lang w:val="en-US"/>
        </w:rPr>
      </w:pPr>
    </w:p>
    <w:p w:rsidR="00A808AA" w:rsidRDefault="00A36564" w:rsidP="00A808AA">
      <w:pPr>
        <w:pStyle w:val="Nagwek1"/>
        <w:rPr>
          <w:rFonts w:cs="Arial"/>
          <w:b/>
          <w:color w:val="auto"/>
          <w:lang w:val="en-US"/>
        </w:rPr>
      </w:pPr>
      <w:r>
        <w:rPr>
          <w:b/>
          <w:noProof/>
          <w:color w:val="auto"/>
          <w:szCs w:val="19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>
                <wp:simplePos x="0" y="0"/>
                <wp:positionH relativeFrom="page">
                  <wp:posOffset>5659120</wp:posOffset>
                </wp:positionH>
                <wp:positionV relativeFrom="paragraph">
                  <wp:posOffset>428625</wp:posOffset>
                </wp:positionV>
                <wp:extent cx="1826895" cy="1044575"/>
                <wp:effectExtent l="0" t="0" r="0" b="3175"/>
                <wp:wrapTight wrapText="bothSides">
                  <wp:wrapPolygon edited="0">
                    <wp:start x="676" y="0"/>
                    <wp:lineTo x="676" y="21272"/>
                    <wp:lineTo x="20722" y="21272"/>
                    <wp:lineTo x="20722" y="0"/>
                    <wp:lineTo x="676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1044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F1392B" w:rsidRDefault="003F7B34" w:rsidP="002931E3">
                            <w:pPr>
                              <w:spacing w:after="0"/>
                              <w:ind w:right="4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the period of January-February 2019 the</w:t>
                            </w:r>
                            <w:r w:rsidR="00234F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34F14" w:rsidRPr="00F13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retail sales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index in</w:t>
                            </w:r>
                            <w:r w:rsidR="00234F14" w:rsidRPr="00F13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34F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onstant prices y/y</w:t>
                            </w:r>
                            <w:r w:rsidR="00234F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</w:t>
                            </w:r>
                            <w:r w:rsidR="00234F14" w:rsidRPr="00F1392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unted to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105.4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29" type="#_x0000_t202" style="position:absolute;margin-left:445.6pt;margin-top:33.75pt;width:143.85pt;height:82.2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" filled="f" stroked="f">
                <v:textbox>
                  <w:txbxContent>
                    <w:p w:rsidR="00234F14" w:rsidRPr="00F1392B" w:rsidRDefault="003F7B34" w:rsidP="002931E3">
                      <w:pPr>
                        <w:spacing w:after="0"/>
                        <w:ind w:right="4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the period of January-February 2019 the</w:t>
                      </w:r>
                      <w:r w:rsidR="00234F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34F14" w:rsidRPr="00F13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retail sales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index in</w:t>
                      </w:r>
                      <w:r w:rsidR="00234F14" w:rsidRPr="00F13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34F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onstant prices y/y</w:t>
                      </w:r>
                      <w:r w:rsidR="00234F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</w:t>
                      </w:r>
                      <w:r w:rsidR="00234F14" w:rsidRPr="00F1392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unted to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105.4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808AA" w:rsidRPr="005C123C">
        <w:rPr>
          <w:rFonts w:cs="Arial"/>
          <w:b/>
          <w:color w:val="auto"/>
          <w:lang w:val="en-US"/>
        </w:rPr>
        <w:t xml:space="preserve">Table 1. </w:t>
      </w:r>
      <w:r w:rsidR="00865207" w:rsidRPr="005C123C">
        <w:rPr>
          <w:rFonts w:cs="Arial"/>
          <w:b/>
          <w:color w:val="auto"/>
          <w:lang w:val="en-US"/>
        </w:rPr>
        <w:t>Index numbers</w:t>
      </w:r>
      <w:r w:rsidR="00A808AA" w:rsidRPr="005C123C">
        <w:rPr>
          <w:rFonts w:cs="Arial"/>
          <w:b/>
          <w:color w:val="auto"/>
          <w:lang w:val="en-US"/>
        </w:rPr>
        <w:t xml:space="preserve"> of retail sales </w:t>
      </w:r>
      <w:r w:rsidR="002E66CD">
        <w:rPr>
          <w:rFonts w:cs="Arial"/>
          <w:b/>
          <w:color w:val="auto"/>
          <w:lang w:val="en-US"/>
        </w:rPr>
        <w:t>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A11FCE" w:rsidRPr="0095396F" w:rsidTr="00DE6252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11FCE" w:rsidRPr="0095396F" w:rsidRDefault="00A11FCE" w:rsidP="00DE6252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1C190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A11FCE" w:rsidRPr="00851C48" w:rsidTr="00DE6252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A11FCE" w:rsidRPr="0095396F" w:rsidRDefault="00A11FCE" w:rsidP="00DE6252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11FCE" w:rsidRPr="00851C48" w:rsidRDefault="002347FD" w:rsidP="009151D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A11FCE">
              <w:rPr>
                <w:rFonts w:cs="Arial"/>
                <w:color w:val="000000"/>
                <w:sz w:val="16"/>
                <w:szCs w:val="16"/>
              </w:rPr>
              <w:t>I</w:t>
            </w:r>
            <w:r w:rsidR="00A11FCE" w:rsidRPr="00851C48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9151D1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A11FCE" w:rsidRPr="00851C48" w:rsidRDefault="00A11FCE" w:rsidP="00DB674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51C48">
              <w:rPr>
                <w:rFonts w:cs="Arial"/>
                <w:color w:val="000000"/>
                <w:sz w:val="16"/>
                <w:szCs w:val="16"/>
              </w:rPr>
              <w:t>I-</w:t>
            </w:r>
            <w:r w:rsidR="00DB6746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Pr="00851C48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DB6746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A11FCE" w:rsidRPr="002E35C0" w:rsidTr="00DE6252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A11FCE" w:rsidRPr="0095396F" w:rsidRDefault="00A11FCE" w:rsidP="00DE6252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A11FCE" w:rsidRPr="002E35C0" w:rsidRDefault="00A11FCE" w:rsidP="009151D1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E35C0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9151D1">
              <w:rPr>
                <w:rFonts w:cs="Arial"/>
                <w:color w:val="000000"/>
                <w:sz w:val="16"/>
                <w:szCs w:val="16"/>
              </w:rPr>
              <w:t xml:space="preserve">I </w:t>
            </w:r>
            <w:r w:rsidRPr="002E35C0">
              <w:rPr>
                <w:rFonts w:cs="Arial"/>
                <w:color w:val="000000"/>
                <w:sz w:val="16"/>
                <w:szCs w:val="16"/>
              </w:rPr>
              <w:t>201</w:t>
            </w:r>
            <w:r w:rsidR="009151D1">
              <w:rPr>
                <w:rFonts w:cs="Arial"/>
                <w:color w:val="000000"/>
                <w:sz w:val="16"/>
                <w:szCs w:val="16"/>
              </w:rPr>
              <w:t>9</w:t>
            </w:r>
            <w:r w:rsidRPr="002E35C0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11FCE" w:rsidRPr="002E35C0" w:rsidRDefault="009151D1" w:rsidP="008911A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A11FCE">
              <w:rPr>
                <w:rFonts w:cs="Arial"/>
                <w:color w:val="000000"/>
                <w:sz w:val="16"/>
                <w:szCs w:val="16"/>
              </w:rPr>
              <w:t>I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8911AC">
              <w:rPr>
                <w:rFonts w:cs="Arial"/>
                <w:color w:val="000000"/>
                <w:sz w:val="16"/>
                <w:szCs w:val="16"/>
              </w:rPr>
              <w:t>8</w:t>
            </w:r>
            <w:r w:rsidR="00A11FCE" w:rsidRPr="002E35C0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11FCE" w:rsidRPr="002E35C0" w:rsidRDefault="00A11FCE" w:rsidP="00DB674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E35C0">
              <w:rPr>
                <w:rFonts w:cs="Arial"/>
                <w:color w:val="000000"/>
                <w:sz w:val="16"/>
                <w:szCs w:val="16"/>
              </w:rPr>
              <w:t>I-</w:t>
            </w:r>
            <w:r w:rsidR="00DB6746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Pr="002E35C0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DB6746">
              <w:rPr>
                <w:rFonts w:cs="Arial"/>
                <w:color w:val="000000"/>
                <w:sz w:val="16"/>
                <w:szCs w:val="16"/>
              </w:rPr>
              <w:t>8</w:t>
            </w:r>
            <w:r w:rsidRPr="002E35C0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</w:tr>
      <w:tr w:rsidR="00500AB3" w:rsidRPr="0095396F" w:rsidTr="00DE6252">
        <w:trPr>
          <w:trHeight w:hRule="exact"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500AB3" w:rsidRPr="00382DAE" w:rsidRDefault="00500AB3" w:rsidP="00500AB3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00AB3" w:rsidRPr="00F156AE" w:rsidRDefault="00500AB3" w:rsidP="001329A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</w:t>
            </w:r>
            <w:r w:rsidR="001329A9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00AB3" w:rsidRPr="00F156AE" w:rsidRDefault="00500AB3" w:rsidP="00500AB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  <w:r w:rsidR="001329A9">
              <w:rPr>
                <w:rFonts w:cs="Arial"/>
                <w:b/>
                <w:bCs/>
                <w:color w:val="000000"/>
                <w:sz w:val="16"/>
                <w:szCs w:val="16"/>
              </w:rPr>
              <w:t>05.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500AB3" w:rsidRPr="00F156AE" w:rsidRDefault="001329A9" w:rsidP="00500AB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105.</w:t>
            </w:r>
            <w:r w:rsidR="00500AB3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500AB3" w:rsidRPr="0095396F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500AB3" w:rsidRPr="0095396F" w:rsidRDefault="00500AB3" w:rsidP="00500AB3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AB3" w:rsidRPr="00F156AE" w:rsidRDefault="00500AB3" w:rsidP="00500AB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0AB3" w:rsidRPr="00F156AE" w:rsidRDefault="00500AB3" w:rsidP="00500AB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0AB3" w:rsidRPr="00F156AE" w:rsidRDefault="00500AB3" w:rsidP="00500AB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00AB3" w:rsidRPr="00130AB2" w:rsidTr="00DE6252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500AB3" w:rsidRPr="00382DAE" w:rsidRDefault="00500AB3" w:rsidP="00500AB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AB3" w:rsidRPr="00F156AE" w:rsidRDefault="001329A9" w:rsidP="00500AB3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500AB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AB3" w:rsidRPr="00F156AE" w:rsidRDefault="001329A9" w:rsidP="00500AB3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500AB3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AB3" w:rsidRPr="00F156AE" w:rsidRDefault="001329A9" w:rsidP="00500AB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500AB3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00AB3" w:rsidRPr="00371E29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500AB3" w:rsidRPr="00382DAE" w:rsidRDefault="00500AB3" w:rsidP="00500AB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So</w:t>
            </w:r>
            <w:r>
              <w:rPr>
                <w:rFonts w:cs="Arial"/>
                <w:sz w:val="16"/>
                <w:szCs w:val="16"/>
                <w:lang w:val="en-US"/>
              </w:rPr>
              <w:t>li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AB3" w:rsidRPr="00F156AE" w:rsidRDefault="001329A9" w:rsidP="00500AB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</w:t>
            </w:r>
            <w:r w:rsidR="00500AB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AB3" w:rsidRPr="00F156AE" w:rsidRDefault="001329A9" w:rsidP="00500AB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500AB3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AB3" w:rsidRPr="00F156AE" w:rsidRDefault="001329A9" w:rsidP="00500AB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500AB3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500AB3" w:rsidRPr="00371E29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500AB3" w:rsidRPr="00382DAE" w:rsidRDefault="00500AB3" w:rsidP="00500AB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AB3" w:rsidRPr="00F156AE" w:rsidRDefault="001329A9" w:rsidP="00500AB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500AB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AB3" w:rsidRPr="00F156AE" w:rsidRDefault="001329A9" w:rsidP="00500AB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500AB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AB3" w:rsidRPr="00F156AE" w:rsidRDefault="001329A9" w:rsidP="00500AB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500AB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00AB3" w:rsidRPr="00371E29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500AB3" w:rsidRPr="00382DAE" w:rsidRDefault="00500AB3" w:rsidP="00500AB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Other retail sale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AB3" w:rsidRPr="00F156AE" w:rsidRDefault="001329A9" w:rsidP="00500AB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500AB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AB3" w:rsidRPr="00F156AE" w:rsidRDefault="001329A9" w:rsidP="00500AB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</w:t>
            </w:r>
            <w:r w:rsidR="00500AB3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AB3" w:rsidRPr="00F156AE" w:rsidRDefault="001329A9" w:rsidP="00500AB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500AB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00AB3" w:rsidRPr="00130AB2" w:rsidTr="00DE6252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500AB3" w:rsidRPr="00382DAE" w:rsidRDefault="00500AB3" w:rsidP="00500AB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382DAE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AB3" w:rsidRPr="00F156AE" w:rsidRDefault="001329A9" w:rsidP="00500AB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500AB3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AB3" w:rsidRPr="00F156AE" w:rsidRDefault="001329A9" w:rsidP="00500AB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500AB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AB3" w:rsidRPr="00F156AE" w:rsidRDefault="001329A9" w:rsidP="00500AB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500AB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500AB3" w:rsidRPr="00D358DF" w:rsidTr="00DE6252">
        <w:trPr>
          <w:cantSplit/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500AB3" w:rsidRPr="00130AB2" w:rsidRDefault="00500AB3" w:rsidP="00500AB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AB3" w:rsidRPr="00F156AE" w:rsidRDefault="001329A9" w:rsidP="00500AB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</w:t>
            </w:r>
            <w:r w:rsidR="00500AB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AB3" w:rsidRPr="00F156AE" w:rsidRDefault="001329A9" w:rsidP="00500AB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500AB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AB3" w:rsidRPr="00F156AE" w:rsidRDefault="001329A9" w:rsidP="00500AB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500AB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500AB3" w:rsidRPr="00D358DF" w:rsidTr="00DE6252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500AB3" w:rsidRPr="00382DAE" w:rsidRDefault="00500AB3" w:rsidP="00500AB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AB3" w:rsidRPr="00F156AE" w:rsidRDefault="001329A9" w:rsidP="00500AB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500AB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AB3" w:rsidRPr="00F156AE" w:rsidRDefault="001329A9" w:rsidP="00500AB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</w:t>
            </w:r>
            <w:r w:rsidR="00500AB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AB3" w:rsidRPr="00F156AE" w:rsidRDefault="001329A9" w:rsidP="00500AB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</w:t>
            </w:r>
            <w:r w:rsidR="00500AB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00AB3" w:rsidRPr="00371E29" w:rsidTr="00DE6252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500AB3" w:rsidRPr="00382DAE" w:rsidRDefault="00500AB3" w:rsidP="00500AB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AB3" w:rsidRPr="00F156AE" w:rsidRDefault="001329A9" w:rsidP="00500AB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</w:t>
            </w:r>
            <w:r w:rsidR="00500AB3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AB3" w:rsidRPr="00F156AE" w:rsidRDefault="001329A9" w:rsidP="00500AB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500AB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0AB3" w:rsidRPr="00F156AE" w:rsidRDefault="001329A9" w:rsidP="00500AB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500AB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500AB3" w:rsidRPr="0095396F" w:rsidTr="00DE6252">
        <w:trPr>
          <w:cantSplit/>
          <w:trHeight w:hRule="exact"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500AB3" w:rsidRPr="00382DAE" w:rsidRDefault="00500AB3" w:rsidP="00500AB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500AB3" w:rsidRPr="00F156AE" w:rsidRDefault="001329A9" w:rsidP="00500AB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500AB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500AB3" w:rsidRPr="00F156AE" w:rsidRDefault="001329A9" w:rsidP="00500AB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500AB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500AB3" w:rsidRPr="00F156AE" w:rsidRDefault="001329A9" w:rsidP="00500AB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500AB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</w:tbl>
    <w:p w:rsidR="00F54002" w:rsidRDefault="00F54002" w:rsidP="00F54002">
      <w:pPr>
        <w:rPr>
          <w:lang w:val="en-US" w:eastAsia="pl-PL"/>
        </w:rPr>
      </w:pPr>
    </w:p>
    <w:p w:rsidR="00A11FCE" w:rsidRPr="00A11FCE" w:rsidRDefault="00A11FCE" w:rsidP="00A11FCE">
      <w:pPr>
        <w:keepNext/>
        <w:spacing w:before="240" w:line="240" w:lineRule="auto"/>
        <w:outlineLvl w:val="0"/>
        <w:rPr>
          <w:rFonts w:ascii="Fira Sans SemiBold" w:eastAsia="Times New Roman" w:hAnsi="Fira Sans SemiBold" w:cs="Arial"/>
          <w:b/>
          <w:bCs/>
          <w:szCs w:val="24"/>
          <w:lang w:val="en-US" w:eastAsia="pl-PL"/>
        </w:rPr>
      </w:pPr>
      <w:r w:rsidRPr="00A11FCE">
        <w:rPr>
          <w:rFonts w:ascii="Fira Sans SemiBold" w:eastAsia="Times New Roman" w:hAnsi="Fira Sans SemiBold" w:cs="Arial"/>
          <w:b/>
          <w:bCs/>
          <w:szCs w:val="24"/>
          <w:lang w:val="en-US" w:eastAsia="pl-PL"/>
        </w:rPr>
        <w:t>Table 2. Index numbers of retail sales (current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A11FCE" w:rsidRPr="00A11FCE" w:rsidTr="00DE6252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11FCE" w:rsidRPr="00A11FCE" w:rsidRDefault="00A11FCE" w:rsidP="00A11FCE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A11FCE" w:rsidRPr="00A11FCE" w:rsidTr="00DE6252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A11FCE" w:rsidRPr="00A11FCE" w:rsidRDefault="00A11FCE" w:rsidP="00A11FCE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11FCE" w:rsidRPr="00A11FCE" w:rsidRDefault="002E551C" w:rsidP="00C928B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A11FCE" w:rsidRPr="00A11FCE">
              <w:rPr>
                <w:rFonts w:cs="Arial"/>
                <w:color w:val="000000"/>
                <w:sz w:val="16"/>
                <w:szCs w:val="16"/>
              </w:rPr>
              <w:t>I 201</w:t>
            </w:r>
            <w:r w:rsidR="00C928B7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A11FCE" w:rsidRPr="00A11FCE" w:rsidRDefault="00A11FCE" w:rsidP="00C928B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color w:val="000000"/>
                <w:sz w:val="16"/>
                <w:szCs w:val="16"/>
              </w:rPr>
              <w:t>I-</w:t>
            </w:r>
            <w:r w:rsidR="00C928B7">
              <w:rPr>
                <w:rFonts w:cs="Arial"/>
                <w:color w:val="000000"/>
                <w:sz w:val="16"/>
                <w:szCs w:val="16"/>
              </w:rPr>
              <w:t>I</w:t>
            </w:r>
            <w:r w:rsidRPr="00A11FCE">
              <w:rPr>
                <w:rFonts w:cs="Arial"/>
                <w:color w:val="000000"/>
                <w:sz w:val="16"/>
                <w:szCs w:val="16"/>
              </w:rPr>
              <w:t>I 201</w:t>
            </w:r>
            <w:r w:rsidR="00C928B7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A11FCE" w:rsidRPr="00A11FCE" w:rsidTr="00DE6252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A11FCE" w:rsidRPr="00A11FCE" w:rsidRDefault="00A11FCE" w:rsidP="00A11FCE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A11FCE" w:rsidRPr="00A11FCE" w:rsidRDefault="00C928B7" w:rsidP="00C928B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A11FCE" w:rsidRPr="00A11FCE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  <w:r w:rsidR="00A11FCE" w:rsidRPr="00A11FCE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11FCE" w:rsidRPr="00A11FCE" w:rsidRDefault="00C928B7" w:rsidP="00C928B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A11FCE" w:rsidRPr="00A11FCE">
              <w:rPr>
                <w:rFonts w:cs="Arial"/>
                <w:color w:val="000000"/>
                <w:sz w:val="16"/>
                <w:szCs w:val="16"/>
              </w:rPr>
              <w:t>I 201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  <w:r w:rsidR="00A11FCE" w:rsidRPr="00A11FCE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11FCE" w:rsidRPr="00A11FCE" w:rsidRDefault="00A11FCE" w:rsidP="0012399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color w:val="000000"/>
                <w:sz w:val="16"/>
                <w:szCs w:val="16"/>
              </w:rPr>
              <w:t>I-</w:t>
            </w:r>
            <w:r w:rsidR="00123990">
              <w:rPr>
                <w:rFonts w:cs="Arial"/>
                <w:color w:val="000000"/>
                <w:sz w:val="16"/>
                <w:szCs w:val="16"/>
              </w:rPr>
              <w:t>I</w:t>
            </w:r>
            <w:r w:rsidRPr="00A11FCE">
              <w:rPr>
                <w:rFonts w:cs="Arial"/>
                <w:color w:val="000000"/>
                <w:sz w:val="16"/>
                <w:szCs w:val="16"/>
              </w:rPr>
              <w:t>I 201</w:t>
            </w:r>
            <w:r w:rsidR="00123990">
              <w:rPr>
                <w:rFonts w:cs="Arial"/>
                <w:color w:val="000000"/>
                <w:sz w:val="16"/>
                <w:szCs w:val="16"/>
              </w:rPr>
              <w:t>8</w:t>
            </w:r>
            <w:r w:rsidRPr="00A11FCE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</w:tr>
      <w:tr w:rsidR="000B1191" w:rsidRPr="00A11FCE" w:rsidTr="00DE6252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0B1191" w:rsidRPr="00A11FCE" w:rsidRDefault="000B1191" w:rsidP="000B1191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B1191" w:rsidRPr="00DF0FFE" w:rsidRDefault="0076526C" w:rsidP="000B1191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96.</w:t>
            </w:r>
            <w:r w:rsidR="000B1191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B1191" w:rsidRPr="00DF0FFE" w:rsidRDefault="0076526C" w:rsidP="000B1191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106.</w:t>
            </w:r>
            <w:r w:rsidR="000B1191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B1191" w:rsidRPr="00DF0FFE" w:rsidRDefault="0076526C" w:rsidP="000B1191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106.</w:t>
            </w:r>
            <w:r w:rsidR="000B1191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B1191" w:rsidRPr="00A11FCE" w:rsidTr="00DE6252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0B1191" w:rsidRPr="00A11FCE" w:rsidRDefault="000B1191" w:rsidP="000B1191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191" w:rsidRPr="00DF0FFE" w:rsidRDefault="000B1191" w:rsidP="000B11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1191" w:rsidRPr="00DF0FFE" w:rsidRDefault="000B1191" w:rsidP="000B11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1191" w:rsidRPr="00DF0FFE" w:rsidRDefault="000B1191" w:rsidP="000B1191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B1191" w:rsidRPr="00A11FCE" w:rsidTr="00DE6252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0B1191" w:rsidRPr="00A11FCE" w:rsidRDefault="000B1191" w:rsidP="000B119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191" w:rsidRPr="00DF0FFE" w:rsidRDefault="0076526C" w:rsidP="000B1191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0B1191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191" w:rsidRPr="00DF0FFE" w:rsidRDefault="0076526C" w:rsidP="000B11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0B1191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191" w:rsidRPr="00DF0FFE" w:rsidRDefault="0076526C" w:rsidP="000B11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0B1191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B1191" w:rsidRPr="00A11FCE" w:rsidTr="00DE6252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0B1191" w:rsidRPr="00A11FCE" w:rsidRDefault="000B1191" w:rsidP="000B119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191" w:rsidRPr="00DF0FFE" w:rsidRDefault="0076526C" w:rsidP="000B11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</w:t>
            </w:r>
            <w:r w:rsidR="000B1191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191" w:rsidRPr="00DF0FFE" w:rsidRDefault="0076526C" w:rsidP="000B11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0B1191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191" w:rsidRPr="00DF0FFE" w:rsidRDefault="0076526C" w:rsidP="000B11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0B1191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0B1191" w:rsidRPr="00A11FCE" w:rsidTr="00DE6252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0B1191" w:rsidRPr="00A11FCE" w:rsidRDefault="000B1191" w:rsidP="000B119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191" w:rsidRPr="00DF0FFE" w:rsidRDefault="0076526C" w:rsidP="000B119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0B1191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191" w:rsidRPr="00DF0FFE" w:rsidRDefault="0076526C" w:rsidP="000B119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0B1191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191" w:rsidRPr="00DF0FFE" w:rsidRDefault="0076526C" w:rsidP="000B119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0B1191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0B1191" w:rsidRPr="00A11FCE" w:rsidTr="00DE6252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0B1191" w:rsidRPr="00A11FCE" w:rsidRDefault="000B1191" w:rsidP="000B119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191" w:rsidRPr="00DF0FFE" w:rsidRDefault="0076526C" w:rsidP="000B119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0B1191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191" w:rsidRPr="00DF0FFE" w:rsidRDefault="0076526C" w:rsidP="000B119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</w:t>
            </w:r>
            <w:r w:rsidR="000B1191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191" w:rsidRPr="00DF0FFE" w:rsidRDefault="0076526C" w:rsidP="000B1191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0B1191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B1191" w:rsidRPr="00A11FCE" w:rsidTr="00DE6252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0B1191" w:rsidRPr="00A11FCE" w:rsidRDefault="000B1191" w:rsidP="000B119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A11FCE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A11FCE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191" w:rsidRPr="00DF0FFE" w:rsidRDefault="0076526C" w:rsidP="000B11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0B1191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191" w:rsidRPr="00DF0FFE" w:rsidRDefault="0076526C" w:rsidP="000B11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0B1191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191" w:rsidRPr="00DF0FFE" w:rsidRDefault="0076526C" w:rsidP="000B11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0B1191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B1191" w:rsidRPr="00A11FCE" w:rsidTr="00DE6252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0B1191" w:rsidRPr="00A11FCE" w:rsidRDefault="000B1191" w:rsidP="000B119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191" w:rsidRPr="00DF0FFE" w:rsidRDefault="0076526C" w:rsidP="000B11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</w:t>
            </w:r>
            <w:r w:rsidR="000B1191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191" w:rsidRPr="00DF0FFE" w:rsidRDefault="0076526C" w:rsidP="000B11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0B1191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191" w:rsidRPr="00DF0FFE" w:rsidRDefault="0076526C" w:rsidP="000B11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0B1191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0B1191" w:rsidRPr="00A11FCE" w:rsidTr="00DE6252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0B1191" w:rsidRPr="00A11FCE" w:rsidRDefault="000B1191" w:rsidP="000B119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191" w:rsidRPr="00DF0FFE" w:rsidRDefault="0076526C" w:rsidP="000B11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0B1191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191" w:rsidRPr="00DF0FFE" w:rsidRDefault="0076526C" w:rsidP="0076526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</w:t>
            </w:r>
            <w:r w:rsidR="000B1191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191" w:rsidRPr="00DF0FFE" w:rsidRDefault="000B1191" w:rsidP="000B11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  <w:r w:rsidR="0076526C">
              <w:rPr>
                <w:rFonts w:cs="Arial"/>
                <w:color w:val="000000"/>
                <w:sz w:val="16"/>
                <w:szCs w:val="16"/>
              </w:rPr>
              <w:t>13.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0B1191" w:rsidRPr="00A11FCE" w:rsidTr="00DE6252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0B1191" w:rsidRPr="00A11FCE" w:rsidRDefault="000B1191" w:rsidP="000B119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191" w:rsidRPr="00DF0FFE" w:rsidRDefault="0076526C" w:rsidP="000B11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</w:t>
            </w:r>
            <w:r w:rsidR="000B1191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191" w:rsidRPr="00DF0FFE" w:rsidRDefault="0076526C" w:rsidP="000B11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0B1191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1191" w:rsidRPr="00DF0FFE" w:rsidRDefault="0076526C" w:rsidP="000B11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0B1191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0B1191" w:rsidRPr="00A11FCE" w:rsidTr="00DE6252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0B1191" w:rsidRPr="00A11FCE" w:rsidRDefault="000B1191" w:rsidP="000B1191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A11FCE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B1191" w:rsidRPr="00DF0FFE" w:rsidRDefault="0076526C" w:rsidP="000B11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0B1191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B1191" w:rsidRPr="00DF0FFE" w:rsidRDefault="0076526C" w:rsidP="000B11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0B1191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B1191" w:rsidRPr="00DF0FFE" w:rsidRDefault="0076526C" w:rsidP="000B1191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0B1191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</w:tbl>
    <w:p w:rsidR="00F54002" w:rsidRDefault="00F54002" w:rsidP="00F54002">
      <w:pPr>
        <w:rPr>
          <w:lang w:val="en-US" w:eastAsia="pl-PL"/>
        </w:rPr>
      </w:pPr>
    </w:p>
    <w:p w:rsidR="00F54002" w:rsidRDefault="00F54002" w:rsidP="00F54002">
      <w:pPr>
        <w:rPr>
          <w:lang w:val="en-US" w:eastAsia="pl-PL"/>
        </w:rPr>
      </w:pPr>
    </w:p>
    <w:p w:rsidR="00F54002" w:rsidRDefault="00F54002" w:rsidP="00F54002">
      <w:pPr>
        <w:rPr>
          <w:lang w:val="en-US" w:eastAsia="pl-PL"/>
        </w:rPr>
      </w:pPr>
    </w:p>
    <w:p w:rsidR="00A11FCE" w:rsidRDefault="00A11FCE" w:rsidP="00B25EE8">
      <w:pPr>
        <w:pStyle w:val="tytuwykresu"/>
        <w:rPr>
          <w:lang w:val="en-US"/>
        </w:rPr>
      </w:pPr>
    </w:p>
    <w:p w:rsidR="00C15AD6" w:rsidRDefault="008C6D41" w:rsidP="00B25EE8">
      <w:pPr>
        <w:pStyle w:val="tytuwykresu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8C6D41">
        <w:rPr>
          <w:lang w:val="en-US"/>
        </w:rPr>
        <w:t xml:space="preserve"> 2</w:t>
      </w:r>
      <w:r w:rsidR="00976445" w:rsidRPr="008C6D41">
        <w:rPr>
          <w:lang w:val="en-US"/>
        </w:rPr>
        <w:t>.</w:t>
      </w:r>
      <w:r w:rsidR="00B25EE8" w:rsidRPr="008C6D41">
        <w:rPr>
          <w:shd w:val="clear" w:color="auto" w:fill="FFFFFF"/>
          <w:lang w:val="en-US"/>
        </w:rPr>
        <w:t xml:space="preserve"> </w:t>
      </w:r>
      <w:r w:rsidR="00C15AD6" w:rsidRPr="00C15AD6">
        <w:rPr>
          <w:shd w:val="clear" w:color="auto" w:fill="FFFFFF"/>
          <w:lang w:val="en-US"/>
        </w:rPr>
        <w:t xml:space="preserve">Retail sales of goods in </w:t>
      </w:r>
      <w:r w:rsidR="006D76DD">
        <w:rPr>
          <w:shd w:val="clear" w:color="auto" w:fill="FFFFFF"/>
          <w:lang w:val="en-US"/>
        </w:rPr>
        <w:t>February</w:t>
      </w:r>
      <w:r w:rsidR="00D169D6">
        <w:rPr>
          <w:shd w:val="clear" w:color="auto" w:fill="FFFFFF"/>
          <w:lang w:val="en-US"/>
        </w:rPr>
        <w:t xml:space="preserve"> </w:t>
      </w:r>
      <w:r w:rsidR="00C15AD6" w:rsidRPr="00C15AD6">
        <w:rPr>
          <w:shd w:val="clear" w:color="auto" w:fill="FFFFFF"/>
          <w:lang w:val="en-US"/>
        </w:rPr>
        <w:t>201</w:t>
      </w:r>
      <w:r w:rsidR="00D169D6">
        <w:rPr>
          <w:shd w:val="clear" w:color="auto" w:fill="FFFFFF"/>
          <w:lang w:val="en-US"/>
        </w:rPr>
        <w:t>9</w:t>
      </w:r>
      <w:r w:rsidR="00C15AD6" w:rsidRPr="00C15AD6">
        <w:rPr>
          <w:rFonts w:cs="Arial"/>
          <w:b w:val="0"/>
          <w:lang w:val="en-US"/>
        </w:rPr>
        <w:t xml:space="preserve"> </w:t>
      </w:r>
      <w:r w:rsidR="00C15AD6" w:rsidRPr="00C15AD6">
        <w:rPr>
          <w:rFonts w:cs="Arial"/>
          <w:lang w:val="en-US"/>
        </w:rPr>
        <w:t xml:space="preserve">by type of enterprise activity </w:t>
      </w:r>
      <w:r w:rsidR="00C15AD6" w:rsidRPr="00C15AD6">
        <w:rPr>
          <w:shd w:val="clear" w:color="auto" w:fill="FFFFFF"/>
          <w:lang w:val="en-US"/>
        </w:rPr>
        <w:t xml:space="preserve">(constant prices) </w:t>
      </w:r>
      <w:r w:rsidR="00B25EE8" w:rsidRPr="00C15AD6">
        <w:rPr>
          <w:shd w:val="clear" w:color="auto" w:fill="FFFFFF"/>
          <w:lang w:val="en-US"/>
        </w:rPr>
        <w:t xml:space="preserve"> –</w:t>
      </w:r>
      <w:r w:rsidR="00C15AD6" w:rsidRPr="00C15AD6">
        <w:rPr>
          <w:shd w:val="clear" w:color="auto" w:fill="FFFFFF"/>
          <w:lang w:val="en-US"/>
        </w:rPr>
        <w:t xml:space="preserve"> corresponding period of previous year=100</w:t>
      </w:r>
    </w:p>
    <w:p w:rsidR="00CC2703" w:rsidRDefault="00C05255" w:rsidP="00B25EE8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65760" behindDoc="0" locked="0" layoutInCell="1" allowOverlap="1" wp14:anchorId="7475EADA" wp14:editId="6ABFA83A">
            <wp:simplePos x="0" y="0"/>
            <wp:positionH relativeFrom="margin">
              <wp:posOffset>0</wp:posOffset>
            </wp:positionH>
            <wp:positionV relativeFrom="margin">
              <wp:posOffset>1038225</wp:posOffset>
            </wp:positionV>
            <wp:extent cx="5125720" cy="347281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2B4664" w:rsidRDefault="002B4664" w:rsidP="00B25EE8">
      <w:pPr>
        <w:pStyle w:val="tytuwykresu"/>
        <w:rPr>
          <w:shd w:val="clear" w:color="auto" w:fill="FFFFFF"/>
          <w:lang w:val="en-US"/>
        </w:rPr>
      </w:pPr>
    </w:p>
    <w:p w:rsidR="00003C03" w:rsidRPr="00476467" w:rsidRDefault="00A36564" w:rsidP="00B04BBF">
      <w:pPr>
        <w:rPr>
          <w:rFonts w:ascii="Fira Sans SemiBold" w:hAnsi="Fira Sans SemiBold"/>
          <w:b/>
          <w:color w:val="001D77"/>
          <w:szCs w:val="23"/>
          <w:lang w:val="en-US"/>
        </w:rPr>
      </w:pPr>
      <w:r>
        <w:rPr>
          <w:noProof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rightMargin">
                  <wp:posOffset>111125</wp:posOffset>
                </wp:positionH>
                <wp:positionV relativeFrom="paragraph">
                  <wp:posOffset>81915</wp:posOffset>
                </wp:positionV>
                <wp:extent cx="1768475" cy="880745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75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CC1" w:rsidRPr="00784CC1" w:rsidRDefault="00784CC1" w:rsidP="00784CC1">
                            <w:pPr>
                              <w:pStyle w:val="tytuwykresu"/>
                              <w:rPr>
                                <w:color w:val="001D77"/>
                                <w:lang w:val="en-US"/>
                              </w:rPr>
                            </w:pPr>
                            <w:r w:rsidRPr="001E236B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In </w:t>
                            </w:r>
                            <w:r w:rsidR="00660CCA">
                              <w:rPr>
                                <w:b w:val="0"/>
                                <w:color w:val="001D77"/>
                                <w:lang w:val="en-US"/>
                              </w:rPr>
                              <w:t>February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2019, there was an increase of 0.8% in retail sales </w:t>
                            </w:r>
                            <w:r w:rsidRPr="001E236B">
                              <w:rPr>
                                <w:b w:val="0"/>
                                <w:color w:val="001D77"/>
                                <w:lang w:val="en-US"/>
                              </w:rPr>
                              <w:t>seasonally adjusted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in comparison with </w:t>
                            </w:r>
                            <w:r w:rsidR="00660CCA">
                              <w:rPr>
                                <w:b w:val="0"/>
                                <w:color w:val="001D77"/>
                                <w:lang w:val="en-US"/>
                              </w:rPr>
                              <w:t>January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 w:rsidR="002931E3">
                              <w:rPr>
                                <w:b w:val="0"/>
                                <w:color w:val="001D77"/>
                                <w:lang w:val="en-US"/>
                              </w:rPr>
                              <w:t>201</w:t>
                            </w:r>
                            <w:r w:rsidR="00660CCA">
                              <w:rPr>
                                <w:b w:val="0"/>
                                <w:color w:val="001D77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8.75pt;margin-top:6.45pt;width:139.25pt;height:69.35pt;z-index:2517596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" filled="f" stroked="f">
                <v:textbox>
                  <w:txbxContent>
                    <w:p w:rsidR="00784CC1" w:rsidRPr="00784CC1" w:rsidRDefault="00784CC1" w:rsidP="00784CC1">
                      <w:pPr>
                        <w:pStyle w:val="tytuwykresu"/>
                        <w:rPr>
                          <w:color w:val="001D77"/>
                          <w:lang w:val="en-US"/>
                        </w:rPr>
                      </w:pPr>
                      <w:r w:rsidRPr="001E236B">
                        <w:rPr>
                          <w:b w:val="0"/>
                          <w:color w:val="001D77"/>
                          <w:lang w:val="en-US"/>
                        </w:rPr>
                        <w:t xml:space="preserve">In </w:t>
                      </w:r>
                      <w:r w:rsidR="00660CCA">
                        <w:rPr>
                          <w:b w:val="0"/>
                          <w:color w:val="001D77"/>
                          <w:lang w:val="en-US"/>
                        </w:rPr>
                        <w:t>February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 2019, there was an increase of 0.8% in retail sales </w:t>
                      </w:r>
                      <w:r w:rsidRPr="001E236B">
                        <w:rPr>
                          <w:b w:val="0"/>
                          <w:color w:val="001D77"/>
                          <w:lang w:val="en-US"/>
                        </w:rPr>
                        <w:t>seasonally adjusted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 in comparison with </w:t>
                      </w:r>
                      <w:r w:rsidR="00660CCA">
                        <w:rPr>
                          <w:b w:val="0"/>
                          <w:color w:val="001D77"/>
                          <w:lang w:val="en-US"/>
                        </w:rPr>
                        <w:t>January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 w:rsidR="002931E3">
                        <w:rPr>
                          <w:b w:val="0"/>
                          <w:color w:val="001D77"/>
                          <w:lang w:val="en-US"/>
                        </w:rPr>
                        <w:t>201</w:t>
                      </w:r>
                      <w:r w:rsidR="00660CCA">
                        <w:rPr>
                          <w:b w:val="0"/>
                          <w:color w:val="001D77"/>
                          <w:lang w:val="en-US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3C03" w:rsidRPr="00476467">
        <w:rPr>
          <w:rFonts w:ascii="Fira Sans SemiBold" w:hAnsi="Fira Sans SemiBold"/>
          <w:b/>
          <w:color w:val="001D77"/>
          <w:szCs w:val="23"/>
          <w:lang w:val="en-US"/>
        </w:rPr>
        <w:t>R</w:t>
      </w:r>
      <w:r w:rsidR="00476467">
        <w:rPr>
          <w:rFonts w:ascii="Fira Sans SemiBold" w:hAnsi="Fira Sans SemiBold"/>
          <w:b/>
          <w:color w:val="001D77"/>
          <w:szCs w:val="23"/>
          <w:lang w:val="en-US"/>
        </w:rPr>
        <w:t>etail sales seasonally adjusted</w:t>
      </w:r>
    </w:p>
    <w:p w:rsidR="00B04BBF" w:rsidRPr="00EC1228" w:rsidRDefault="00B04BBF" w:rsidP="00B04BB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902BF9">
        <w:rPr>
          <w:szCs w:val="23"/>
          <w:lang w:val="en-US"/>
        </w:rPr>
        <w:t xml:space="preserve">February </w:t>
      </w:r>
      <w:r w:rsidRPr="00B04BBF">
        <w:rPr>
          <w:szCs w:val="23"/>
          <w:lang w:val="en-US"/>
        </w:rPr>
        <w:t>201</w:t>
      </w:r>
      <w:r w:rsidR="001B3F52">
        <w:rPr>
          <w:szCs w:val="23"/>
          <w:lang w:val="en-US"/>
        </w:rPr>
        <w:t>9</w:t>
      </w:r>
      <w:r w:rsidRPr="00B04BBF">
        <w:rPr>
          <w:szCs w:val="23"/>
          <w:lang w:val="en-US"/>
        </w:rPr>
        <w:t xml:space="preserve"> </w:t>
      </w:r>
      <w:r w:rsidR="00EC1228">
        <w:rPr>
          <w:szCs w:val="23"/>
          <w:lang w:val="en-US"/>
        </w:rPr>
        <w:t xml:space="preserve">were by </w:t>
      </w:r>
      <w:r w:rsidR="00756C3F">
        <w:rPr>
          <w:szCs w:val="23"/>
          <w:lang w:val="en-US"/>
        </w:rPr>
        <w:t>0</w:t>
      </w:r>
      <w:r w:rsidR="00EC1228">
        <w:rPr>
          <w:szCs w:val="23"/>
          <w:lang w:val="en-US"/>
        </w:rPr>
        <w:t>.</w:t>
      </w:r>
      <w:r w:rsidR="001B3F52">
        <w:rPr>
          <w:szCs w:val="23"/>
          <w:lang w:val="en-US"/>
        </w:rPr>
        <w:t>8</w:t>
      </w:r>
      <w:r w:rsidR="00EC1228">
        <w:rPr>
          <w:szCs w:val="23"/>
          <w:lang w:val="en-US"/>
        </w:rPr>
        <w:t xml:space="preserve">% </w:t>
      </w:r>
      <w:r w:rsidR="003100C8">
        <w:rPr>
          <w:szCs w:val="23"/>
          <w:lang w:val="en-US"/>
        </w:rPr>
        <w:t xml:space="preserve">higher </w:t>
      </w:r>
      <w:r w:rsidR="00EC1228">
        <w:rPr>
          <w:szCs w:val="23"/>
          <w:lang w:val="en-US"/>
        </w:rPr>
        <w:t xml:space="preserve">in comparison to </w:t>
      </w:r>
      <w:r w:rsidR="00902BF9">
        <w:rPr>
          <w:szCs w:val="23"/>
          <w:lang w:val="en-US"/>
        </w:rPr>
        <w:t>January</w:t>
      </w:r>
      <w:r w:rsidR="00756C3F">
        <w:rPr>
          <w:szCs w:val="23"/>
          <w:lang w:val="en-US"/>
        </w:rPr>
        <w:t xml:space="preserve"> 201</w:t>
      </w:r>
      <w:r w:rsidR="00902BF9">
        <w:rPr>
          <w:szCs w:val="23"/>
          <w:lang w:val="en-US"/>
        </w:rPr>
        <w:t>9</w:t>
      </w:r>
      <w:r w:rsidRPr="00EC1228">
        <w:rPr>
          <w:szCs w:val="23"/>
          <w:lang w:val="en-US"/>
        </w:rPr>
        <w:t>.</w:t>
      </w:r>
    </w:p>
    <w:p w:rsidR="00B04BBF" w:rsidRPr="00B04BBF" w:rsidRDefault="00B04BBF" w:rsidP="00B04BBF">
      <w:pPr>
        <w:rPr>
          <w:noProof/>
          <w:lang w:val="en-US"/>
        </w:rPr>
      </w:pPr>
    </w:p>
    <w:p w:rsidR="00E80C30" w:rsidRPr="001520A2" w:rsidRDefault="008C6D41" w:rsidP="00B04BBF">
      <w:pPr>
        <w:pStyle w:val="tytuwykresu"/>
        <w:spacing w:before="0" w:after="0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E80C30" w:rsidRPr="00C134FB" w:rsidRDefault="00ED421C" w:rsidP="00B25EE8">
      <w:pPr>
        <w:pStyle w:val="tytuwykresu"/>
        <w:rPr>
          <w:rFonts w:asciiTheme="majorHAnsi" w:hAnsiTheme="majorHAnsi"/>
          <w:noProof/>
          <w:lang w:val="en-US" w:eastAsia="pl-PL"/>
        </w:rPr>
      </w:pPr>
      <w:r w:rsidRPr="00234F14">
        <w:rPr>
          <w:noProof/>
          <w:color w:val="001D77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5122545" cy="2466975"/>
            <wp:effectExtent l="0" t="0" r="0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5B23AA" w:rsidRPr="001520A2" w:rsidRDefault="005B23AA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0470AA" w:rsidRPr="008C6D41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Pr="001A75DF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0470AA" w:rsidRPr="0006357B" w:rsidRDefault="00017FFE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</w:pPr>
            <w:r w:rsidRPr="0006357B"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  <w:t>Jolanta Biernat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+48 </w:t>
            </w: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22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608 3336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  <w:r w:rsidRPr="0006357B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>e-m</w:t>
            </w:r>
            <w:r w:rsidRPr="00FF2C0B">
              <w:rPr>
                <w:rFonts w:cs="Arial"/>
                <w:b/>
                <w:color w:val="auto"/>
                <w:sz w:val="20"/>
                <w:szCs w:val="20"/>
                <w:lang w:val="de-AT"/>
              </w:rPr>
              <w:t xml:space="preserve">ail: </w:t>
            </w:r>
            <w:hyperlink r:id="rId19" w:history="1">
              <w:r w:rsidR="00017FFE" w:rsidRPr="00FF2C0B">
                <w:rPr>
                  <w:rStyle w:val="Hipercze"/>
                  <w:rFonts w:cstheme="majorBidi"/>
                  <w:color w:val="auto"/>
                  <w:lang w:val="de-AT"/>
                </w:rPr>
                <w:t>j</w:t>
              </w:r>
              <w:r w:rsidR="00017FFE" w:rsidRPr="00FF2C0B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de-AT"/>
                </w:rPr>
                <w:t>.biernat@stat.gov.pl</w:t>
              </w:r>
            </w:hyperlink>
          </w:p>
        </w:tc>
        <w:tc>
          <w:tcPr>
            <w:tcW w:w="3942" w:type="dxa"/>
          </w:tcPr>
          <w:p w:rsidR="000470AA" w:rsidRPr="00382DAE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The Spokesperson for the President of the Statistics Poland</w:t>
            </w:r>
          </w:p>
          <w:p w:rsidR="000470AA" w:rsidRPr="00B04BBF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</w:rPr>
            </w:pPr>
            <w:r w:rsidRPr="00B04BBF">
              <w:rPr>
                <w:rFonts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FF2C0B">
              <w:rPr>
                <w:rFonts w:cs="Arial"/>
                <w:color w:val="000000" w:themeColor="text1"/>
                <w:sz w:val="20"/>
              </w:rPr>
              <w:t>+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48 </w:t>
            </w: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22 608 3475,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 +48</w:t>
            </w: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 22 608 3009</w:t>
            </w:r>
          </w:p>
          <w:p w:rsidR="000470AA" w:rsidRPr="00B04BB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04BBF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0" w:history="1">
              <w:r w:rsidRPr="00B04BBF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FF2C0B" w:rsidRPr="0095396F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B04BBF" w:rsidRDefault="00FF2C0B" w:rsidP="00FF2C0B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FF2C0B" w:rsidRPr="00B04BBF" w:rsidRDefault="00FF2C0B" w:rsidP="00FF2C0B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b/>
                <w:sz w:val="20"/>
                <w:lang w:val="en-US"/>
              </w:rPr>
              <w:t>T</w:t>
            </w: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 xml:space="preserve">el.: </w:t>
            </w:r>
            <w:r>
              <w:rPr>
                <w:rFonts w:asciiTheme="majorHAnsi" w:hAnsiTheme="majorHAnsi"/>
                <w:sz w:val="20"/>
                <w:lang w:val="en-US"/>
              </w:rPr>
              <w:t>+48 22 608 34 91, +48 22</w:t>
            </w:r>
            <w:r w:rsidRPr="00B04BBF">
              <w:rPr>
                <w:rFonts w:asciiTheme="majorHAnsi" w:hAnsiTheme="majorHAnsi"/>
                <w:sz w:val="20"/>
                <w:lang w:val="en-US"/>
              </w:rPr>
              <w:t xml:space="preserve"> 608 38 04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</w:t>
            </w:r>
            <w:r w:rsidRPr="00FF2C0B">
              <w:rPr>
                <w:rFonts w:asciiTheme="majorHAnsi" w:hAnsiTheme="majorHAnsi"/>
                <w:b/>
                <w:sz w:val="20"/>
                <w:lang w:val="en-US"/>
              </w:rPr>
              <w:t xml:space="preserve">-mail: </w:t>
            </w:r>
            <w:hyperlink r:id="rId21" w:history="1">
              <w:r w:rsidRPr="00FF2C0B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www.stat.gov.pl</w:t>
            </w:r>
          </w:p>
        </w:tc>
      </w:tr>
      <w:tr w:rsidR="00FF2C0B" w:rsidRPr="0095396F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@GUS_STAT</w:t>
            </w:r>
          </w:p>
        </w:tc>
      </w:tr>
      <w:tr w:rsidR="00FF2C0B" w:rsidRPr="0095396F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95396F" w:rsidRDefault="00FF2C0B" w:rsidP="00FF2C0B">
            <w:pPr>
              <w:rPr>
                <w:rFonts w:asciiTheme="majorHAnsi" w:hAnsiTheme="majorHAnsi"/>
                <w:sz w:val="20"/>
              </w:rPr>
            </w:pPr>
            <w:r w:rsidRPr="0095396F">
              <w:rPr>
                <w:rFonts w:asciiTheme="majorHAnsi" w:hAnsiTheme="majorHAnsi"/>
                <w:sz w:val="20"/>
              </w:rPr>
              <w:t>@GlownyUrzadStatystyczny</w:t>
            </w:r>
          </w:p>
        </w:tc>
      </w:tr>
    </w:tbl>
    <w:p w:rsidR="000470AA" w:rsidRPr="00B04BBF" w:rsidRDefault="000470AA" w:rsidP="000470AA">
      <w:pPr>
        <w:rPr>
          <w:rFonts w:asciiTheme="majorHAnsi" w:hAnsiTheme="majorHAnsi"/>
          <w:sz w:val="20"/>
        </w:rPr>
      </w:pPr>
    </w:p>
    <w:p w:rsidR="00D261A2" w:rsidRPr="0095396F" w:rsidRDefault="00A36564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D4493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highlight w:val="yellow"/>
                                <w:lang w:val="en-US"/>
                              </w:rPr>
                            </w:pPr>
                            <w:r w:rsidRPr="00D44934">
                              <w:rPr>
                                <w:color w:val="0000FF"/>
                                <w:highlight w:val="yellow"/>
                              </w:rPr>
                              <w:fldChar w:fldCharType="begin"/>
                            </w:r>
                            <w:r w:rsidRPr="007E7787">
                              <w:rPr>
                                <w:color w:val="0000FF"/>
                                <w:highlight w:val="yellow"/>
                                <w:lang w:val="en-US"/>
                              </w:rPr>
                              <w:instrText>HYPERLINK "http://stat.gov.pl/en/topics/prices-trade/trade/internal-market-in-2017,7,16.html"</w:instrText>
                            </w:r>
                            <w:r w:rsidRPr="00D44934">
                              <w:rPr>
                                <w:color w:val="0000FF"/>
                                <w:highlight w:val="yellow"/>
                              </w:rPr>
                              <w:fldChar w:fldCharType="separate"/>
                            </w:r>
                            <w:r w:rsidRPr="00D44934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Internal market in 2017 r.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D44934">
                              <w:rPr>
                                <w:color w:val="0000FF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begin"/>
                            </w:r>
                            <w:r w:rsidRPr="00BD3C6A">
                              <w:rPr>
                                <w:szCs w:val="24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>
                              <w:rPr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Knowledge Databa</w:t>
                            </w:r>
                            <w:r w:rsidRPr="00BD3C6A"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ses – Trade and S</w:t>
                            </w:r>
                            <w:r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ervices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end"/>
                            </w:r>
                            <w:hyperlink r:id="rId25" w:history="1">
                              <w:r w:rsidRPr="00DB2744">
                                <w:rPr>
                                  <w:rStyle w:val="Hipercze"/>
                                  <w:rFonts w:cstheme="minorBidi"/>
                                  <w:szCs w:val="24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begin"/>
                            </w:r>
                            <w:r w:rsidRPr="00BD3C6A">
                              <w:rPr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>
                              <w:rPr>
                                <w:szCs w:val="24"/>
                              </w:rPr>
                              <w:fldChar w:fldCharType="separate"/>
                            </w:r>
                            <w:r w:rsidRPr="00BD3C6A"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Retail sales of g</w:t>
                            </w:r>
                            <w:r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IpsHnk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D44934" w:rsidRDefault="00234F14" w:rsidP="00AB6D25">
                      <w:pPr>
                        <w:rPr>
                          <w:rStyle w:val="Hipercze"/>
                          <w:rFonts w:cstheme="minorBidi"/>
                          <w:highlight w:val="yellow"/>
                          <w:lang w:val="en-US"/>
                        </w:rPr>
                      </w:pPr>
                      <w:r w:rsidRPr="00D44934">
                        <w:rPr>
                          <w:color w:val="0000FF"/>
                          <w:highlight w:val="yellow"/>
                        </w:rPr>
                        <w:fldChar w:fldCharType="begin"/>
                      </w:r>
                      <w:r w:rsidRPr="007E7787">
                        <w:rPr>
                          <w:color w:val="0000FF"/>
                          <w:highlight w:val="yellow"/>
                          <w:lang w:val="en-US"/>
                        </w:rPr>
                        <w:instrText>HYPERLINK "http://stat.gov.pl/en/topics/prices-trade/trade/internal-market-in-2017,7,16.html"</w:instrText>
                      </w:r>
                      <w:r w:rsidRPr="00D44934">
                        <w:rPr>
                          <w:color w:val="0000FF"/>
                          <w:highlight w:val="yellow"/>
                        </w:rPr>
                        <w:fldChar w:fldCharType="separate"/>
                      </w:r>
                      <w:r w:rsidRPr="00D44934">
                        <w:rPr>
                          <w:rStyle w:val="Hipercze"/>
                          <w:rFonts w:cstheme="minorBidi"/>
                          <w:lang w:val="en-US"/>
                        </w:rPr>
                        <w:t>Internal market in 2017 r.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D44934">
                        <w:rPr>
                          <w:color w:val="0000FF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D3C6A" w:rsidRDefault="00234F14" w:rsidP="00AB6D25">
                      <w:pPr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</w:pPr>
                      <w:r>
                        <w:rPr>
                          <w:szCs w:val="24"/>
                        </w:rPr>
                        <w:fldChar w:fldCharType="begin"/>
                      </w:r>
                      <w:r w:rsidRPr="00BD3C6A">
                        <w:rPr>
                          <w:szCs w:val="24"/>
                          <w:lang w:val="en-US"/>
                        </w:rPr>
                        <w:instrText>HYPERLINK "http://swaid.stat.gov.pl/EN/SitePagesDBW/HandelUslugi.aspx"</w:instrText>
                      </w:r>
                      <w:r>
                        <w:rPr>
                          <w:szCs w:val="24"/>
                        </w:rPr>
                        <w:fldChar w:fldCharType="separate"/>
                      </w:r>
                      <w:r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Knowledge Databa</w:t>
                      </w:r>
                      <w:r w:rsidRPr="00BD3C6A"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ses – Trade and S</w:t>
                      </w:r>
                      <w:r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ervices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szCs w:val="24"/>
                        </w:rPr>
                        <w:fldChar w:fldCharType="end"/>
                      </w:r>
                      <w:hyperlink r:id="rId26" w:history="1">
                        <w:r w:rsidRPr="00DB2744">
                          <w:rPr>
                            <w:rStyle w:val="Hipercze"/>
                            <w:rFonts w:cstheme="minorBidi"/>
                            <w:szCs w:val="24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D3C6A" w:rsidRDefault="00234F14" w:rsidP="00AB6D25">
                      <w:pPr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</w:pPr>
                      <w:r>
                        <w:rPr>
                          <w:szCs w:val="24"/>
                        </w:rPr>
                        <w:fldChar w:fldCharType="begin"/>
                      </w:r>
                      <w:r w:rsidRPr="00BD3C6A">
                        <w:rPr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>
                        <w:rPr>
                          <w:szCs w:val="24"/>
                        </w:rPr>
                        <w:fldChar w:fldCharType="separate"/>
                      </w:r>
                      <w:r w:rsidRPr="00BD3C6A"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Retail sales of g</w:t>
                      </w:r>
                      <w:r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>
                        <w:rPr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836" w:rsidRDefault="00BC7836" w:rsidP="000662E2">
      <w:pPr>
        <w:spacing w:after="0" w:line="240" w:lineRule="auto"/>
      </w:pPr>
      <w:r>
        <w:separator/>
      </w:r>
    </w:p>
  </w:endnote>
  <w:endnote w:type="continuationSeparator" w:id="0">
    <w:p w:rsidR="00BC7836" w:rsidRDefault="00BC783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3656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C78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836" w:rsidRDefault="00BC7836" w:rsidP="000662E2">
      <w:pPr>
        <w:spacing w:after="0" w:line="240" w:lineRule="auto"/>
      </w:pPr>
      <w:r>
        <w:separator/>
      </w:r>
    </w:p>
  </w:footnote>
  <w:footnote w:type="continuationSeparator" w:id="0">
    <w:p w:rsidR="00BC7836" w:rsidRDefault="00BC7836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CB3B4E">
      <w:pPr>
        <w:pStyle w:val="Tekstprzypisudolnego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8E192F" w:rsidRPr="008E192F" w:rsidRDefault="008E192F">
      <w:pPr>
        <w:pStyle w:val="Tekstprzypisudolnego"/>
        <w:rPr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8E192F">
        <w:rPr>
          <w:lang w:val="en-US"/>
        </w:rPr>
        <w:t xml:space="preserve"> </w:t>
      </w:r>
      <w:r w:rsidRPr="008E192F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3656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1DB6A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36564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4E9A6E" id="Prostokąt 10" o:spid="_x0000_s1026" style="position:absolute;margin-left:410.95pt;margin-top:40.3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3656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234F1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</w:t>
                          </w:r>
                          <w:r w:rsidR="00AE5E84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.2019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234F1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</w:t>
                    </w:r>
                    <w:r w:rsidR="00AE5E84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.2019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57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804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44A9"/>
    <w:rsid w:val="000152F5"/>
    <w:rsid w:val="000177BB"/>
    <w:rsid w:val="00017FFE"/>
    <w:rsid w:val="0002125E"/>
    <w:rsid w:val="00022097"/>
    <w:rsid w:val="000224B2"/>
    <w:rsid w:val="00023A16"/>
    <w:rsid w:val="00023B31"/>
    <w:rsid w:val="00023F0B"/>
    <w:rsid w:val="00024D94"/>
    <w:rsid w:val="000253FE"/>
    <w:rsid w:val="0002661D"/>
    <w:rsid w:val="00027020"/>
    <w:rsid w:val="00027951"/>
    <w:rsid w:val="00027E78"/>
    <w:rsid w:val="00030A9C"/>
    <w:rsid w:val="00036905"/>
    <w:rsid w:val="00036CEE"/>
    <w:rsid w:val="00037E75"/>
    <w:rsid w:val="000402D6"/>
    <w:rsid w:val="00040525"/>
    <w:rsid w:val="000419AC"/>
    <w:rsid w:val="00042386"/>
    <w:rsid w:val="00043D31"/>
    <w:rsid w:val="0004582E"/>
    <w:rsid w:val="000470AA"/>
    <w:rsid w:val="00047453"/>
    <w:rsid w:val="00052608"/>
    <w:rsid w:val="000533D9"/>
    <w:rsid w:val="0005785E"/>
    <w:rsid w:val="00057CA1"/>
    <w:rsid w:val="00057EC2"/>
    <w:rsid w:val="00061FE0"/>
    <w:rsid w:val="0006357B"/>
    <w:rsid w:val="000662E2"/>
    <w:rsid w:val="00066883"/>
    <w:rsid w:val="00067082"/>
    <w:rsid w:val="00071C58"/>
    <w:rsid w:val="00071C94"/>
    <w:rsid w:val="000724CD"/>
    <w:rsid w:val="00074B04"/>
    <w:rsid w:val="00074DD8"/>
    <w:rsid w:val="00075004"/>
    <w:rsid w:val="00077890"/>
    <w:rsid w:val="000806F7"/>
    <w:rsid w:val="000822E2"/>
    <w:rsid w:val="00090396"/>
    <w:rsid w:val="00093F25"/>
    <w:rsid w:val="00094047"/>
    <w:rsid w:val="000A1B55"/>
    <w:rsid w:val="000A3BE8"/>
    <w:rsid w:val="000A50BE"/>
    <w:rsid w:val="000A7A67"/>
    <w:rsid w:val="000B0727"/>
    <w:rsid w:val="000B0A71"/>
    <w:rsid w:val="000B1191"/>
    <w:rsid w:val="000B2B68"/>
    <w:rsid w:val="000B6DA7"/>
    <w:rsid w:val="000B73BD"/>
    <w:rsid w:val="000B7472"/>
    <w:rsid w:val="000C0D4D"/>
    <w:rsid w:val="000C135D"/>
    <w:rsid w:val="000C3D76"/>
    <w:rsid w:val="000D15A6"/>
    <w:rsid w:val="000D1D43"/>
    <w:rsid w:val="000D225C"/>
    <w:rsid w:val="000D2A5C"/>
    <w:rsid w:val="000D2DA9"/>
    <w:rsid w:val="000D2DD3"/>
    <w:rsid w:val="000D41A5"/>
    <w:rsid w:val="000D5EE9"/>
    <w:rsid w:val="000D724E"/>
    <w:rsid w:val="000D7994"/>
    <w:rsid w:val="000E0918"/>
    <w:rsid w:val="000E2DD1"/>
    <w:rsid w:val="000E65E0"/>
    <w:rsid w:val="000F2FDE"/>
    <w:rsid w:val="000F303C"/>
    <w:rsid w:val="000F4AAC"/>
    <w:rsid w:val="001011C3"/>
    <w:rsid w:val="001017E9"/>
    <w:rsid w:val="00105B75"/>
    <w:rsid w:val="0010694A"/>
    <w:rsid w:val="00110D87"/>
    <w:rsid w:val="001119E5"/>
    <w:rsid w:val="001139F5"/>
    <w:rsid w:val="00114DB9"/>
    <w:rsid w:val="00114FBC"/>
    <w:rsid w:val="00116087"/>
    <w:rsid w:val="00120842"/>
    <w:rsid w:val="00123990"/>
    <w:rsid w:val="0012679F"/>
    <w:rsid w:val="001267F4"/>
    <w:rsid w:val="00130296"/>
    <w:rsid w:val="001304EC"/>
    <w:rsid w:val="0013057C"/>
    <w:rsid w:val="00130AB2"/>
    <w:rsid w:val="0013237E"/>
    <w:rsid w:val="001329A9"/>
    <w:rsid w:val="00134242"/>
    <w:rsid w:val="00135671"/>
    <w:rsid w:val="00135D92"/>
    <w:rsid w:val="001409E1"/>
    <w:rsid w:val="001423B6"/>
    <w:rsid w:val="00144241"/>
    <w:rsid w:val="001448A7"/>
    <w:rsid w:val="0014543F"/>
    <w:rsid w:val="00146621"/>
    <w:rsid w:val="001520A2"/>
    <w:rsid w:val="00152273"/>
    <w:rsid w:val="001544CF"/>
    <w:rsid w:val="00154726"/>
    <w:rsid w:val="00154EC0"/>
    <w:rsid w:val="00161DA5"/>
    <w:rsid w:val="00161F52"/>
    <w:rsid w:val="00162325"/>
    <w:rsid w:val="0016514E"/>
    <w:rsid w:val="00165563"/>
    <w:rsid w:val="001677B4"/>
    <w:rsid w:val="001720A2"/>
    <w:rsid w:val="00174612"/>
    <w:rsid w:val="001774A2"/>
    <w:rsid w:val="00180490"/>
    <w:rsid w:val="0018456B"/>
    <w:rsid w:val="001851A5"/>
    <w:rsid w:val="00186719"/>
    <w:rsid w:val="001905F6"/>
    <w:rsid w:val="00191E3E"/>
    <w:rsid w:val="001951DA"/>
    <w:rsid w:val="001A0434"/>
    <w:rsid w:val="001A1119"/>
    <w:rsid w:val="001A2810"/>
    <w:rsid w:val="001A40AB"/>
    <w:rsid w:val="001A41A6"/>
    <w:rsid w:val="001A75DF"/>
    <w:rsid w:val="001B3F52"/>
    <w:rsid w:val="001B532C"/>
    <w:rsid w:val="001B69A2"/>
    <w:rsid w:val="001C190A"/>
    <w:rsid w:val="001C3269"/>
    <w:rsid w:val="001C5DE2"/>
    <w:rsid w:val="001C6028"/>
    <w:rsid w:val="001C6976"/>
    <w:rsid w:val="001C70AF"/>
    <w:rsid w:val="001C7489"/>
    <w:rsid w:val="001D1DB4"/>
    <w:rsid w:val="001E1400"/>
    <w:rsid w:val="001E236B"/>
    <w:rsid w:val="001E5351"/>
    <w:rsid w:val="001F1289"/>
    <w:rsid w:val="001F2800"/>
    <w:rsid w:val="001F340B"/>
    <w:rsid w:val="001F48BB"/>
    <w:rsid w:val="001F5512"/>
    <w:rsid w:val="001F67FE"/>
    <w:rsid w:val="001F7F8B"/>
    <w:rsid w:val="002023E9"/>
    <w:rsid w:val="00203B23"/>
    <w:rsid w:val="00203BEC"/>
    <w:rsid w:val="00207A39"/>
    <w:rsid w:val="00211A7E"/>
    <w:rsid w:val="00211C83"/>
    <w:rsid w:val="00216030"/>
    <w:rsid w:val="002220B7"/>
    <w:rsid w:val="0022314B"/>
    <w:rsid w:val="00223EBE"/>
    <w:rsid w:val="00226FE1"/>
    <w:rsid w:val="002314F1"/>
    <w:rsid w:val="0023240E"/>
    <w:rsid w:val="00234335"/>
    <w:rsid w:val="002347FD"/>
    <w:rsid w:val="00234F14"/>
    <w:rsid w:val="00235EE9"/>
    <w:rsid w:val="00236B7C"/>
    <w:rsid w:val="00240FAB"/>
    <w:rsid w:val="00241406"/>
    <w:rsid w:val="0024278E"/>
    <w:rsid w:val="00244DBF"/>
    <w:rsid w:val="00244E7F"/>
    <w:rsid w:val="00246B7F"/>
    <w:rsid w:val="00247E0C"/>
    <w:rsid w:val="0025169D"/>
    <w:rsid w:val="00251F38"/>
    <w:rsid w:val="0025463B"/>
    <w:rsid w:val="00256D58"/>
    <w:rsid w:val="00256FB9"/>
    <w:rsid w:val="002574F9"/>
    <w:rsid w:val="00257C56"/>
    <w:rsid w:val="00260774"/>
    <w:rsid w:val="0026573E"/>
    <w:rsid w:val="00267029"/>
    <w:rsid w:val="00270DDC"/>
    <w:rsid w:val="00272D53"/>
    <w:rsid w:val="00273988"/>
    <w:rsid w:val="00274C17"/>
    <w:rsid w:val="00276811"/>
    <w:rsid w:val="00282699"/>
    <w:rsid w:val="00282E90"/>
    <w:rsid w:val="00287DE4"/>
    <w:rsid w:val="0029139F"/>
    <w:rsid w:val="002926DF"/>
    <w:rsid w:val="00292C7A"/>
    <w:rsid w:val="002931E3"/>
    <w:rsid w:val="002958BB"/>
    <w:rsid w:val="00296697"/>
    <w:rsid w:val="002A0B31"/>
    <w:rsid w:val="002A1289"/>
    <w:rsid w:val="002A6115"/>
    <w:rsid w:val="002A6CE2"/>
    <w:rsid w:val="002A7CB1"/>
    <w:rsid w:val="002B0472"/>
    <w:rsid w:val="002B1E50"/>
    <w:rsid w:val="002B2088"/>
    <w:rsid w:val="002B4664"/>
    <w:rsid w:val="002B5519"/>
    <w:rsid w:val="002B6B12"/>
    <w:rsid w:val="002C11BE"/>
    <w:rsid w:val="002D15C6"/>
    <w:rsid w:val="002D20E5"/>
    <w:rsid w:val="002D294F"/>
    <w:rsid w:val="002D3A7B"/>
    <w:rsid w:val="002D675F"/>
    <w:rsid w:val="002E35C0"/>
    <w:rsid w:val="002E4A43"/>
    <w:rsid w:val="002E551C"/>
    <w:rsid w:val="002E55FE"/>
    <w:rsid w:val="002E6140"/>
    <w:rsid w:val="002E66CD"/>
    <w:rsid w:val="002E6985"/>
    <w:rsid w:val="002E7047"/>
    <w:rsid w:val="002E71B6"/>
    <w:rsid w:val="002E77DC"/>
    <w:rsid w:val="002F03B0"/>
    <w:rsid w:val="002F0D7C"/>
    <w:rsid w:val="002F23DD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A4"/>
    <w:rsid w:val="00302C83"/>
    <w:rsid w:val="00302E37"/>
    <w:rsid w:val="0030382E"/>
    <w:rsid w:val="00303C59"/>
    <w:rsid w:val="00304F22"/>
    <w:rsid w:val="00305290"/>
    <w:rsid w:val="00306C7C"/>
    <w:rsid w:val="003100C8"/>
    <w:rsid w:val="003112E7"/>
    <w:rsid w:val="003140EB"/>
    <w:rsid w:val="00320FEE"/>
    <w:rsid w:val="00322EDD"/>
    <w:rsid w:val="0032343F"/>
    <w:rsid w:val="0033011E"/>
    <w:rsid w:val="0033026E"/>
    <w:rsid w:val="00332320"/>
    <w:rsid w:val="00333012"/>
    <w:rsid w:val="00336650"/>
    <w:rsid w:val="00336951"/>
    <w:rsid w:val="0034323F"/>
    <w:rsid w:val="0034354B"/>
    <w:rsid w:val="003448B9"/>
    <w:rsid w:val="00346B95"/>
    <w:rsid w:val="00347D72"/>
    <w:rsid w:val="00350F8C"/>
    <w:rsid w:val="00354DE7"/>
    <w:rsid w:val="00354FEE"/>
    <w:rsid w:val="00357611"/>
    <w:rsid w:val="00360F78"/>
    <w:rsid w:val="00363527"/>
    <w:rsid w:val="00364D74"/>
    <w:rsid w:val="00367237"/>
    <w:rsid w:val="0037077F"/>
    <w:rsid w:val="00371E29"/>
    <w:rsid w:val="003727B2"/>
    <w:rsid w:val="00372956"/>
    <w:rsid w:val="00372EDD"/>
    <w:rsid w:val="00373882"/>
    <w:rsid w:val="00374D5D"/>
    <w:rsid w:val="00375B9E"/>
    <w:rsid w:val="00382DAE"/>
    <w:rsid w:val="00383530"/>
    <w:rsid w:val="003843DB"/>
    <w:rsid w:val="00384413"/>
    <w:rsid w:val="00387793"/>
    <w:rsid w:val="003910EE"/>
    <w:rsid w:val="0039111A"/>
    <w:rsid w:val="00393761"/>
    <w:rsid w:val="003939CD"/>
    <w:rsid w:val="00397D18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C2CAA"/>
    <w:rsid w:val="003C4268"/>
    <w:rsid w:val="003C59E0"/>
    <w:rsid w:val="003C64DF"/>
    <w:rsid w:val="003C6C8D"/>
    <w:rsid w:val="003D0C16"/>
    <w:rsid w:val="003D0E78"/>
    <w:rsid w:val="003D215D"/>
    <w:rsid w:val="003D2FEA"/>
    <w:rsid w:val="003D453D"/>
    <w:rsid w:val="003D45E7"/>
    <w:rsid w:val="003D4F95"/>
    <w:rsid w:val="003D5F42"/>
    <w:rsid w:val="003D60A9"/>
    <w:rsid w:val="003D66FE"/>
    <w:rsid w:val="003D7F37"/>
    <w:rsid w:val="003E2006"/>
    <w:rsid w:val="003E43B9"/>
    <w:rsid w:val="003E6106"/>
    <w:rsid w:val="003E697C"/>
    <w:rsid w:val="003E7F1A"/>
    <w:rsid w:val="003F025A"/>
    <w:rsid w:val="003F0895"/>
    <w:rsid w:val="003F1527"/>
    <w:rsid w:val="003F4C97"/>
    <w:rsid w:val="003F6B2D"/>
    <w:rsid w:val="003F7B34"/>
    <w:rsid w:val="003F7FE6"/>
    <w:rsid w:val="00400193"/>
    <w:rsid w:val="00401667"/>
    <w:rsid w:val="00402D9F"/>
    <w:rsid w:val="004078E9"/>
    <w:rsid w:val="00407D2F"/>
    <w:rsid w:val="004125DE"/>
    <w:rsid w:val="00412CCC"/>
    <w:rsid w:val="004136AB"/>
    <w:rsid w:val="00415861"/>
    <w:rsid w:val="00416ABA"/>
    <w:rsid w:val="00416D57"/>
    <w:rsid w:val="004174ED"/>
    <w:rsid w:val="00417691"/>
    <w:rsid w:val="00417EC4"/>
    <w:rsid w:val="004212E7"/>
    <w:rsid w:val="00422795"/>
    <w:rsid w:val="0042446D"/>
    <w:rsid w:val="00426464"/>
    <w:rsid w:val="00427BF8"/>
    <w:rsid w:val="00431113"/>
    <w:rsid w:val="00431C02"/>
    <w:rsid w:val="00437395"/>
    <w:rsid w:val="004403C3"/>
    <w:rsid w:val="00441551"/>
    <w:rsid w:val="00442D2F"/>
    <w:rsid w:val="00445047"/>
    <w:rsid w:val="00453AF6"/>
    <w:rsid w:val="00454107"/>
    <w:rsid w:val="004565DC"/>
    <w:rsid w:val="00460334"/>
    <w:rsid w:val="00461BD2"/>
    <w:rsid w:val="00463E39"/>
    <w:rsid w:val="004648F3"/>
    <w:rsid w:val="004657FC"/>
    <w:rsid w:val="00467693"/>
    <w:rsid w:val="004733F6"/>
    <w:rsid w:val="00474E69"/>
    <w:rsid w:val="00476467"/>
    <w:rsid w:val="00477731"/>
    <w:rsid w:val="00481107"/>
    <w:rsid w:val="00482240"/>
    <w:rsid w:val="0048324D"/>
    <w:rsid w:val="00483FCF"/>
    <w:rsid w:val="00485CB8"/>
    <w:rsid w:val="00487227"/>
    <w:rsid w:val="00487462"/>
    <w:rsid w:val="00490822"/>
    <w:rsid w:val="00494F1B"/>
    <w:rsid w:val="004954A5"/>
    <w:rsid w:val="00495553"/>
    <w:rsid w:val="0049621B"/>
    <w:rsid w:val="004A08CE"/>
    <w:rsid w:val="004B015C"/>
    <w:rsid w:val="004B06B1"/>
    <w:rsid w:val="004B0B9B"/>
    <w:rsid w:val="004B22B0"/>
    <w:rsid w:val="004B3267"/>
    <w:rsid w:val="004B339C"/>
    <w:rsid w:val="004B784E"/>
    <w:rsid w:val="004C1895"/>
    <w:rsid w:val="004C1AB5"/>
    <w:rsid w:val="004C43FA"/>
    <w:rsid w:val="004C6D40"/>
    <w:rsid w:val="004C79A0"/>
    <w:rsid w:val="004D00AF"/>
    <w:rsid w:val="004D10CF"/>
    <w:rsid w:val="004D279F"/>
    <w:rsid w:val="004D2F24"/>
    <w:rsid w:val="004D3DDA"/>
    <w:rsid w:val="004D7764"/>
    <w:rsid w:val="004D7A79"/>
    <w:rsid w:val="004E18EB"/>
    <w:rsid w:val="004E2013"/>
    <w:rsid w:val="004E3939"/>
    <w:rsid w:val="004F07EA"/>
    <w:rsid w:val="004F0B03"/>
    <w:rsid w:val="004F0C3C"/>
    <w:rsid w:val="004F1D81"/>
    <w:rsid w:val="004F2C3B"/>
    <w:rsid w:val="004F62F7"/>
    <w:rsid w:val="004F63FC"/>
    <w:rsid w:val="004F6F05"/>
    <w:rsid w:val="00500AB3"/>
    <w:rsid w:val="00500B1E"/>
    <w:rsid w:val="00501958"/>
    <w:rsid w:val="00504AEE"/>
    <w:rsid w:val="00505A92"/>
    <w:rsid w:val="0050683B"/>
    <w:rsid w:val="00510AB6"/>
    <w:rsid w:val="005152A6"/>
    <w:rsid w:val="00515342"/>
    <w:rsid w:val="00516EB5"/>
    <w:rsid w:val="00517462"/>
    <w:rsid w:val="00517C73"/>
    <w:rsid w:val="005203F1"/>
    <w:rsid w:val="00521BC3"/>
    <w:rsid w:val="0052329F"/>
    <w:rsid w:val="0052593D"/>
    <w:rsid w:val="00527DC0"/>
    <w:rsid w:val="00531C2B"/>
    <w:rsid w:val="00532FEB"/>
    <w:rsid w:val="00533632"/>
    <w:rsid w:val="005348D4"/>
    <w:rsid w:val="005355D3"/>
    <w:rsid w:val="00537E68"/>
    <w:rsid w:val="0054251F"/>
    <w:rsid w:val="00542783"/>
    <w:rsid w:val="00543644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613F"/>
    <w:rsid w:val="00556CF1"/>
    <w:rsid w:val="00561B17"/>
    <w:rsid w:val="005646A7"/>
    <w:rsid w:val="005657B8"/>
    <w:rsid w:val="0056586A"/>
    <w:rsid w:val="005737E1"/>
    <w:rsid w:val="005762A7"/>
    <w:rsid w:val="005773DF"/>
    <w:rsid w:val="00581100"/>
    <w:rsid w:val="0058303B"/>
    <w:rsid w:val="00583B4A"/>
    <w:rsid w:val="00583BAB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BAD"/>
    <w:rsid w:val="00594FB6"/>
    <w:rsid w:val="00596CBA"/>
    <w:rsid w:val="005A1306"/>
    <w:rsid w:val="005A1593"/>
    <w:rsid w:val="005A1B40"/>
    <w:rsid w:val="005A1B7C"/>
    <w:rsid w:val="005A1C45"/>
    <w:rsid w:val="005A289C"/>
    <w:rsid w:val="005A64AF"/>
    <w:rsid w:val="005A698C"/>
    <w:rsid w:val="005B07C6"/>
    <w:rsid w:val="005B0AE8"/>
    <w:rsid w:val="005B23AA"/>
    <w:rsid w:val="005B3C18"/>
    <w:rsid w:val="005B3CB4"/>
    <w:rsid w:val="005B6AAA"/>
    <w:rsid w:val="005C08E7"/>
    <w:rsid w:val="005C123C"/>
    <w:rsid w:val="005C16C6"/>
    <w:rsid w:val="005C267A"/>
    <w:rsid w:val="005C5F08"/>
    <w:rsid w:val="005C6163"/>
    <w:rsid w:val="005C65AA"/>
    <w:rsid w:val="005D5852"/>
    <w:rsid w:val="005D661C"/>
    <w:rsid w:val="005E0799"/>
    <w:rsid w:val="005E1E61"/>
    <w:rsid w:val="005E47E1"/>
    <w:rsid w:val="005E5BF4"/>
    <w:rsid w:val="005F271E"/>
    <w:rsid w:val="005F290E"/>
    <w:rsid w:val="005F453F"/>
    <w:rsid w:val="005F5A80"/>
    <w:rsid w:val="005F7959"/>
    <w:rsid w:val="00601025"/>
    <w:rsid w:val="006044FF"/>
    <w:rsid w:val="006060DA"/>
    <w:rsid w:val="00607CC5"/>
    <w:rsid w:val="0061003A"/>
    <w:rsid w:val="00612EB8"/>
    <w:rsid w:val="00615B0C"/>
    <w:rsid w:val="00616B93"/>
    <w:rsid w:val="00620F8B"/>
    <w:rsid w:val="00621AA8"/>
    <w:rsid w:val="00625251"/>
    <w:rsid w:val="00625C03"/>
    <w:rsid w:val="006309AC"/>
    <w:rsid w:val="00633014"/>
    <w:rsid w:val="0063317D"/>
    <w:rsid w:val="00633ED3"/>
    <w:rsid w:val="0063437B"/>
    <w:rsid w:val="0063586B"/>
    <w:rsid w:val="00641B30"/>
    <w:rsid w:val="0064353E"/>
    <w:rsid w:val="00645152"/>
    <w:rsid w:val="00645483"/>
    <w:rsid w:val="00647B92"/>
    <w:rsid w:val="00647CCE"/>
    <w:rsid w:val="006534EB"/>
    <w:rsid w:val="006554F9"/>
    <w:rsid w:val="00656373"/>
    <w:rsid w:val="00660CCA"/>
    <w:rsid w:val="0066247D"/>
    <w:rsid w:val="00665416"/>
    <w:rsid w:val="006673CA"/>
    <w:rsid w:val="00670AB4"/>
    <w:rsid w:val="00670CC3"/>
    <w:rsid w:val="00671189"/>
    <w:rsid w:val="0067185B"/>
    <w:rsid w:val="00673952"/>
    <w:rsid w:val="00673C26"/>
    <w:rsid w:val="0067424B"/>
    <w:rsid w:val="00677D27"/>
    <w:rsid w:val="006803F9"/>
    <w:rsid w:val="00680DD6"/>
    <w:rsid w:val="006812AF"/>
    <w:rsid w:val="0068259D"/>
    <w:rsid w:val="006831C9"/>
    <w:rsid w:val="0068327D"/>
    <w:rsid w:val="006841AE"/>
    <w:rsid w:val="00685C1C"/>
    <w:rsid w:val="00690C99"/>
    <w:rsid w:val="006923FB"/>
    <w:rsid w:val="006933E5"/>
    <w:rsid w:val="00693617"/>
    <w:rsid w:val="00694AF0"/>
    <w:rsid w:val="006A2E6E"/>
    <w:rsid w:val="006A3DA0"/>
    <w:rsid w:val="006A45D9"/>
    <w:rsid w:val="006A5E06"/>
    <w:rsid w:val="006B0E9E"/>
    <w:rsid w:val="006B3156"/>
    <w:rsid w:val="006B42B4"/>
    <w:rsid w:val="006B5AE4"/>
    <w:rsid w:val="006B61EB"/>
    <w:rsid w:val="006B6B35"/>
    <w:rsid w:val="006B723D"/>
    <w:rsid w:val="006C2BD1"/>
    <w:rsid w:val="006C52E6"/>
    <w:rsid w:val="006C623C"/>
    <w:rsid w:val="006C6913"/>
    <w:rsid w:val="006D4054"/>
    <w:rsid w:val="006D4F6E"/>
    <w:rsid w:val="006D50ED"/>
    <w:rsid w:val="006D546B"/>
    <w:rsid w:val="006D76DD"/>
    <w:rsid w:val="006E02EC"/>
    <w:rsid w:val="006E309F"/>
    <w:rsid w:val="006F24EA"/>
    <w:rsid w:val="006F2ACE"/>
    <w:rsid w:val="006F4664"/>
    <w:rsid w:val="007014FE"/>
    <w:rsid w:val="00705927"/>
    <w:rsid w:val="007076D2"/>
    <w:rsid w:val="00711D2E"/>
    <w:rsid w:val="00720176"/>
    <w:rsid w:val="007211B1"/>
    <w:rsid w:val="00721863"/>
    <w:rsid w:val="00721B78"/>
    <w:rsid w:val="00724031"/>
    <w:rsid w:val="00725494"/>
    <w:rsid w:val="00730A13"/>
    <w:rsid w:val="00732240"/>
    <w:rsid w:val="00732EA2"/>
    <w:rsid w:val="0074044A"/>
    <w:rsid w:val="00741508"/>
    <w:rsid w:val="007427DD"/>
    <w:rsid w:val="00745877"/>
    <w:rsid w:val="00745C66"/>
    <w:rsid w:val="00746187"/>
    <w:rsid w:val="00753F1D"/>
    <w:rsid w:val="00755578"/>
    <w:rsid w:val="007555D7"/>
    <w:rsid w:val="00756C3F"/>
    <w:rsid w:val="00760B21"/>
    <w:rsid w:val="0076254F"/>
    <w:rsid w:val="00763E85"/>
    <w:rsid w:val="00763EC8"/>
    <w:rsid w:val="00764539"/>
    <w:rsid w:val="0076486B"/>
    <w:rsid w:val="0076526C"/>
    <w:rsid w:val="00765F4D"/>
    <w:rsid w:val="00771CC0"/>
    <w:rsid w:val="007725C8"/>
    <w:rsid w:val="00772DC4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918B0"/>
    <w:rsid w:val="007931A1"/>
    <w:rsid w:val="00793A95"/>
    <w:rsid w:val="00794E5F"/>
    <w:rsid w:val="0079514B"/>
    <w:rsid w:val="0079524F"/>
    <w:rsid w:val="00797F9C"/>
    <w:rsid w:val="007A1453"/>
    <w:rsid w:val="007A2DC1"/>
    <w:rsid w:val="007B099F"/>
    <w:rsid w:val="007B0EB1"/>
    <w:rsid w:val="007B1231"/>
    <w:rsid w:val="007B249E"/>
    <w:rsid w:val="007B2FB4"/>
    <w:rsid w:val="007B41C0"/>
    <w:rsid w:val="007B68C0"/>
    <w:rsid w:val="007C15C9"/>
    <w:rsid w:val="007C51B2"/>
    <w:rsid w:val="007C59C8"/>
    <w:rsid w:val="007C5BA5"/>
    <w:rsid w:val="007C7266"/>
    <w:rsid w:val="007C7794"/>
    <w:rsid w:val="007D3319"/>
    <w:rsid w:val="007D335D"/>
    <w:rsid w:val="007D794B"/>
    <w:rsid w:val="007E1D0B"/>
    <w:rsid w:val="007E2657"/>
    <w:rsid w:val="007E3314"/>
    <w:rsid w:val="007E38FF"/>
    <w:rsid w:val="007E3FFE"/>
    <w:rsid w:val="007E4B03"/>
    <w:rsid w:val="007E4CF8"/>
    <w:rsid w:val="007E5B95"/>
    <w:rsid w:val="007E7787"/>
    <w:rsid w:val="007F29B4"/>
    <w:rsid w:val="007F324B"/>
    <w:rsid w:val="007F42A2"/>
    <w:rsid w:val="00803A45"/>
    <w:rsid w:val="0080553C"/>
    <w:rsid w:val="00805B46"/>
    <w:rsid w:val="00807304"/>
    <w:rsid w:val="00807778"/>
    <w:rsid w:val="00810B88"/>
    <w:rsid w:val="00812F42"/>
    <w:rsid w:val="00813116"/>
    <w:rsid w:val="00814BE7"/>
    <w:rsid w:val="00815153"/>
    <w:rsid w:val="0081569C"/>
    <w:rsid w:val="00815F4E"/>
    <w:rsid w:val="00817424"/>
    <w:rsid w:val="00817AC7"/>
    <w:rsid w:val="00820BD5"/>
    <w:rsid w:val="00822C1F"/>
    <w:rsid w:val="0082503A"/>
    <w:rsid w:val="00825DC2"/>
    <w:rsid w:val="008271F3"/>
    <w:rsid w:val="008319E7"/>
    <w:rsid w:val="00834AD3"/>
    <w:rsid w:val="0083678A"/>
    <w:rsid w:val="008378A2"/>
    <w:rsid w:val="008419A3"/>
    <w:rsid w:val="008428D9"/>
    <w:rsid w:val="00842A59"/>
    <w:rsid w:val="00842B88"/>
    <w:rsid w:val="008434C0"/>
    <w:rsid w:val="00843795"/>
    <w:rsid w:val="00846527"/>
    <w:rsid w:val="00847F0F"/>
    <w:rsid w:val="00850631"/>
    <w:rsid w:val="00850BC2"/>
    <w:rsid w:val="00851C48"/>
    <w:rsid w:val="00852448"/>
    <w:rsid w:val="00853114"/>
    <w:rsid w:val="00861BC5"/>
    <w:rsid w:val="0086323C"/>
    <w:rsid w:val="00864E18"/>
    <w:rsid w:val="00865207"/>
    <w:rsid w:val="0087330E"/>
    <w:rsid w:val="00873A3A"/>
    <w:rsid w:val="008762CD"/>
    <w:rsid w:val="00876DCE"/>
    <w:rsid w:val="0088258A"/>
    <w:rsid w:val="00884C17"/>
    <w:rsid w:val="00886332"/>
    <w:rsid w:val="00886419"/>
    <w:rsid w:val="008872DA"/>
    <w:rsid w:val="00890A96"/>
    <w:rsid w:val="008911AC"/>
    <w:rsid w:val="008A0000"/>
    <w:rsid w:val="008A21F1"/>
    <w:rsid w:val="008A26D9"/>
    <w:rsid w:val="008A2F9C"/>
    <w:rsid w:val="008A4988"/>
    <w:rsid w:val="008A4EF4"/>
    <w:rsid w:val="008A6013"/>
    <w:rsid w:val="008B12C7"/>
    <w:rsid w:val="008B6D65"/>
    <w:rsid w:val="008B79E9"/>
    <w:rsid w:val="008C0C29"/>
    <w:rsid w:val="008C515A"/>
    <w:rsid w:val="008C6710"/>
    <w:rsid w:val="008C6D41"/>
    <w:rsid w:val="008D0655"/>
    <w:rsid w:val="008D2F44"/>
    <w:rsid w:val="008D63C7"/>
    <w:rsid w:val="008E1132"/>
    <w:rsid w:val="008E1252"/>
    <w:rsid w:val="008E14D1"/>
    <w:rsid w:val="008E192F"/>
    <w:rsid w:val="008E2039"/>
    <w:rsid w:val="008E3B1D"/>
    <w:rsid w:val="008E3DD5"/>
    <w:rsid w:val="008E446C"/>
    <w:rsid w:val="008E67A0"/>
    <w:rsid w:val="008E7833"/>
    <w:rsid w:val="008F2322"/>
    <w:rsid w:val="008F3638"/>
    <w:rsid w:val="008F3A69"/>
    <w:rsid w:val="008F6816"/>
    <w:rsid w:val="008F6C12"/>
    <w:rsid w:val="008F6F31"/>
    <w:rsid w:val="008F74DF"/>
    <w:rsid w:val="009005CA"/>
    <w:rsid w:val="00902074"/>
    <w:rsid w:val="00902BF9"/>
    <w:rsid w:val="00902E2A"/>
    <w:rsid w:val="00905508"/>
    <w:rsid w:val="0090676D"/>
    <w:rsid w:val="00906A45"/>
    <w:rsid w:val="00910CA6"/>
    <w:rsid w:val="00911738"/>
    <w:rsid w:val="009127BA"/>
    <w:rsid w:val="00914EA8"/>
    <w:rsid w:val="00914F25"/>
    <w:rsid w:val="009151D1"/>
    <w:rsid w:val="00915A7F"/>
    <w:rsid w:val="00916918"/>
    <w:rsid w:val="00916F58"/>
    <w:rsid w:val="00921E34"/>
    <w:rsid w:val="009227A6"/>
    <w:rsid w:val="009229A1"/>
    <w:rsid w:val="00927D8B"/>
    <w:rsid w:val="00933EC1"/>
    <w:rsid w:val="00935ABA"/>
    <w:rsid w:val="00942379"/>
    <w:rsid w:val="00942C04"/>
    <w:rsid w:val="00944824"/>
    <w:rsid w:val="009448E3"/>
    <w:rsid w:val="00945071"/>
    <w:rsid w:val="00946E34"/>
    <w:rsid w:val="00950137"/>
    <w:rsid w:val="009503D5"/>
    <w:rsid w:val="00951384"/>
    <w:rsid w:val="009530DB"/>
    <w:rsid w:val="00953676"/>
    <w:rsid w:val="0095396F"/>
    <w:rsid w:val="0095590B"/>
    <w:rsid w:val="0096306A"/>
    <w:rsid w:val="009705EE"/>
    <w:rsid w:val="00970ADF"/>
    <w:rsid w:val="00971A76"/>
    <w:rsid w:val="00974EBD"/>
    <w:rsid w:val="00975286"/>
    <w:rsid w:val="009759D1"/>
    <w:rsid w:val="00976445"/>
    <w:rsid w:val="0097722C"/>
    <w:rsid w:val="00977904"/>
    <w:rsid w:val="00977927"/>
    <w:rsid w:val="009802B5"/>
    <w:rsid w:val="0098135C"/>
    <w:rsid w:val="0098156A"/>
    <w:rsid w:val="009870C3"/>
    <w:rsid w:val="009902B2"/>
    <w:rsid w:val="009910D3"/>
    <w:rsid w:val="00991BAC"/>
    <w:rsid w:val="00994688"/>
    <w:rsid w:val="00995BE7"/>
    <w:rsid w:val="009961E3"/>
    <w:rsid w:val="009965E9"/>
    <w:rsid w:val="009A2292"/>
    <w:rsid w:val="009A24EB"/>
    <w:rsid w:val="009A55B6"/>
    <w:rsid w:val="009A6EA0"/>
    <w:rsid w:val="009A71B2"/>
    <w:rsid w:val="009B202F"/>
    <w:rsid w:val="009B247E"/>
    <w:rsid w:val="009B5393"/>
    <w:rsid w:val="009B6DEA"/>
    <w:rsid w:val="009C007C"/>
    <w:rsid w:val="009C0A9C"/>
    <w:rsid w:val="009C1335"/>
    <w:rsid w:val="009C15D8"/>
    <w:rsid w:val="009C1AB2"/>
    <w:rsid w:val="009C302C"/>
    <w:rsid w:val="009C33FC"/>
    <w:rsid w:val="009C51B2"/>
    <w:rsid w:val="009C5DA1"/>
    <w:rsid w:val="009C6ACB"/>
    <w:rsid w:val="009C7251"/>
    <w:rsid w:val="009D4486"/>
    <w:rsid w:val="009E0945"/>
    <w:rsid w:val="009E2303"/>
    <w:rsid w:val="009E2E91"/>
    <w:rsid w:val="009E7870"/>
    <w:rsid w:val="009F3FF4"/>
    <w:rsid w:val="009F6196"/>
    <w:rsid w:val="009F75A0"/>
    <w:rsid w:val="00A00D73"/>
    <w:rsid w:val="00A026C5"/>
    <w:rsid w:val="00A03287"/>
    <w:rsid w:val="00A032BF"/>
    <w:rsid w:val="00A05E54"/>
    <w:rsid w:val="00A11FCE"/>
    <w:rsid w:val="00A139F5"/>
    <w:rsid w:val="00A20624"/>
    <w:rsid w:val="00A22F2A"/>
    <w:rsid w:val="00A2458F"/>
    <w:rsid w:val="00A24A6A"/>
    <w:rsid w:val="00A24F88"/>
    <w:rsid w:val="00A256B0"/>
    <w:rsid w:val="00A3096D"/>
    <w:rsid w:val="00A31E77"/>
    <w:rsid w:val="00A32B77"/>
    <w:rsid w:val="00A33D31"/>
    <w:rsid w:val="00A33EEB"/>
    <w:rsid w:val="00A36564"/>
    <w:rsid w:val="00A365F4"/>
    <w:rsid w:val="00A36E5B"/>
    <w:rsid w:val="00A41DE0"/>
    <w:rsid w:val="00A427F7"/>
    <w:rsid w:val="00A42BED"/>
    <w:rsid w:val="00A44B7F"/>
    <w:rsid w:val="00A472B0"/>
    <w:rsid w:val="00A47D80"/>
    <w:rsid w:val="00A51E80"/>
    <w:rsid w:val="00A528C0"/>
    <w:rsid w:val="00A53132"/>
    <w:rsid w:val="00A55519"/>
    <w:rsid w:val="00A563F2"/>
    <w:rsid w:val="00A566E8"/>
    <w:rsid w:val="00A64090"/>
    <w:rsid w:val="00A70EEE"/>
    <w:rsid w:val="00A732A9"/>
    <w:rsid w:val="00A7333E"/>
    <w:rsid w:val="00A74775"/>
    <w:rsid w:val="00A74948"/>
    <w:rsid w:val="00A74967"/>
    <w:rsid w:val="00A7496F"/>
    <w:rsid w:val="00A761BB"/>
    <w:rsid w:val="00A770D7"/>
    <w:rsid w:val="00A77CEE"/>
    <w:rsid w:val="00A808AA"/>
    <w:rsid w:val="00A810F9"/>
    <w:rsid w:val="00A86B9F"/>
    <w:rsid w:val="00A86ECC"/>
    <w:rsid w:val="00A86FCC"/>
    <w:rsid w:val="00A93FE5"/>
    <w:rsid w:val="00A95F26"/>
    <w:rsid w:val="00A97F4D"/>
    <w:rsid w:val="00AA5DDE"/>
    <w:rsid w:val="00AA710D"/>
    <w:rsid w:val="00AB1115"/>
    <w:rsid w:val="00AB6D25"/>
    <w:rsid w:val="00AB6F24"/>
    <w:rsid w:val="00AC05B3"/>
    <w:rsid w:val="00AC36C2"/>
    <w:rsid w:val="00AC5132"/>
    <w:rsid w:val="00AC5552"/>
    <w:rsid w:val="00AC5E9B"/>
    <w:rsid w:val="00AC64CB"/>
    <w:rsid w:val="00AC750F"/>
    <w:rsid w:val="00AD1021"/>
    <w:rsid w:val="00AD1D71"/>
    <w:rsid w:val="00AD2499"/>
    <w:rsid w:val="00AD662C"/>
    <w:rsid w:val="00AD7066"/>
    <w:rsid w:val="00AE09BA"/>
    <w:rsid w:val="00AE1E5F"/>
    <w:rsid w:val="00AE271B"/>
    <w:rsid w:val="00AE2D4B"/>
    <w:rsid w:val="00AE4F99"/>
    <w:rsid w:val="00AE554B"/>
    <w:rsid w:val="00AE5E84"/>
    <w:rsid w:val="00AF04BF"/>
    <w:rsid w:val="00AF11C3"/>
    <w:rsid w:val="00AF14F1"/>
    <w:rsid w:val="00AF3882"/>
    <w:rsid w:val="00AF411A"/>
    <w:rsid w:val="00AF5980"/>
    <w:rsid w:val="00AF6D09"/>
    <w:rsid w:val="00B00BC3"/>
    <w:rsid w:val="00B04BBF"/>
    <w:rsid w:val="00B060B5"/>
    <w:rsid w:val="00B077B2"/>
    <w:rsid w:val="00B14952"/>
    <w:rsid w:val="00B16A63"/>
    <w:rsid w:val="00B17BA0"/>
    <w:rsid w:val="00B25EE8"/>
    <w:rsid w:val="00B2761E"/>
    <w:rsid w:val="00B31CD7"/>
    <w:rsid w:val="00B31E5A"/>
    <w:rsid w:val="00B34829"/>
    <w:rsid w:val="00B45617"/>
    <w:rsid w:val="00B5106E"/>
    <w:rsid w:val="00B527F7"/>
    <w:rsid w:val="00B5309C"/>
    <w:rsid w:val="00B531BA"/>
    <w:rsid w:val="00B55A9D"/>
    <w:rsid w:val="00B55AA0"/>
    <w:rsid w:val="00B56ABD"/>
    <w:rsid w:val="00B60212"/>
    <w:rsid w:val="00B60390"/>
    <w:rsid w:val="00B61195"/>
    <w:rsid w:val="00B6394E"/>
    <w:rsid w:val="00B653AB"/>
    <w:rsid w:val="00B65F9E"/>
    <w:rsid w:val="00B66B19"/>
    <w:rsid w:val="00B701E8"/>
    <w:rsid w:val="00B70FBB"/>
    <w:rsid w:val="00B71522"/>
    <w:rsid w:val="00B811F7"/>
    <w:rsid w:val="00B82AF5"/>
    <w:rsid w:val="00B83883"/>
    <w:rsid w:val="00B86890"/>
    <w:rsid w:val="00B90AB8"/>
    <w:rsid w:val="00B914E9"/>
    <w:rsid w:val="00B9173B"/>
    <w:rsid w:val="00B9185A"/>
    <w:rsid w:val="00B956EE"/>
    <w:rsid w:val="00B95A02"/>
    <w:rsid w:val="00BA1810"/>
    <w:rsid w:val="00BA1D09"/>
    <w:rsid w:val="00BA2BA1"/>
    <w:rsid w:val="00BA38B6"/>
    <w:rsid w:val="00BA5243"/>
    <w:rsid w:val="00BA6601"/>
    <w:rsid w:val="00BB3136"/>
    <w:rsid w:val="00BB4F09"/>
    <w:rsid w:val="00BC0F74"/>
    <w:rsid w:val="00BC16A0"/>
    <w:rsid w:val="00BC530B"/>
    <w:rsid w:val="00BC5419"/>
    <w:rsid w:val="00BC7836"/>
    <w:rsid w:val="00BD363F"/>
    <w:rsid w:val="00BD3C6A"/>
    <w:rsid w:val="00BD407C"/>
    <w:rsid w:val="00BD4E33"/>
    <w:rsid w:val="00BD7328"/>
    <w:rsid w:val="00BD7EF1"/>
    <w:rsid w:val="00BE3BE6"/>
    <w:rsid w:val="00BE45DB"/>
    <w:rsid w:val="00BF1A84"/>
    <w:rsid w:val="00BF2ECA"/>
    <w:rsid w:val="00BF6029"/>
    <w:rsid w:val="00BF6E53"/>
    <w:rsid w:val="00C02359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34FB"/>
    <w:rsid w:val="00C15AD6"/>
    <w:rsid w:val="00C174CC"/>
    <w:rsid w:val="00C21E78"/>
    <w:rsid w:val="00C22105"/>
    <w:rsid w:val="00C244B6"/>
    <w:rsid w:val="00C27703"/>
    <w:rsid w:val="00C30EA5"/>
    <w:rsid w:val="00C3272C"/>
    <w:rsid w:val="00C33C1A"/>
    <w:rsid w:val="00C33ECF"/>
    <w:rsid w:val="00C34A75"/>
    <w:rsid w:val="00C359D6"/>
    <w:rsid w:val="00C3702F"/>
    <w:rsid w:val="00C37AB7"/>
    <w:rsid w:val="00C43FF6"/>
    <w:rsid w:val="00C4563B"/>
    <w:rsid w:val="00C45CB2"/>
    <w:rsid w:val="00C472CE"/>
    <w:rsid w:val="00C5455E"/>
    <w:rsid w:val="00C555AC"/>
    <w:rsid w:val="00C62D38"/>
    <w:rsid w:val="00C6472A"/>
    <w:rsid w:val="00C64A37"/>
    <w:rsid w:val="00C652C1"/>
    <w:rsid w:val="00C7158E"/>
    <w:rsid w:val="00C7250B"/>
    <w:rsid w:val="00C7346B"/>
    <w:rsid w:val="00C742AC"/>
    <w:rsid w:val="00C75A34"/>
    <w:rsid w:val="00C77C0E"/>
    <w:rsid w:val="00C80CE7"/>
    <w:rsid w:val="00C82B1B"/>
    <w:rsid w:val="00C84FE4"/>
    <w:rsid w:val="00C851E2"/>
    <w:rsid w:val="00C91283"/>
    <w:rsid w:val="00C91687"/>
    <w:rsid w:val="00C924A8"/>
    <w:rsid w:val="00C928B7"/>
    <w:rsid w:val="00C93246"/>
    <w:rsid w:val="00C945FE"/>
    <w:rsid w:val="00C946C0"/>
    <w:rsid w:val="00C96FAA"/>
    <w:rsid w:val="00C97A04"/>
    <w:rsid w:val="00CA107B"/>
    <w:rsid w:val="00CA484D"/>
    <w:rsid w:val="00CA5570"/>
    <w:rsid w:val="00CA5A66"/>
    <w:rsid w:val="00CB3B4E"/>
    <w:rsid w:val="00CB3D59"/>
    <w:rsid w:val="00CC2703"/>
    <w:rsid w:val="00CC4EBF"/>
    <w:rsid w:val="00CC51E9"/>
    <w:rsid w:val="00CC739E"/>
    <w:rsid w:val="00CD19F3"/>
    <w:rsid w:val="00CD1AEB"/>
    <w:rsid w:val="00CD37C7"/>
    <w:rsid w:val="00CD58B7"/>
    <w:rsid w:val="00CD7539"/>
    <w:rsid w:val="00CE11A4"/>
    <w:rsid w:val="00CE196D"/>
    <w:rsid w:val="00CE40E1"/>
    <w:rsid w:val="00CE5BBD"/>
    <w:rsid w:val="00CF4099"/>
    <w:rsid w:val="00CF7D75"/>
    <w:rsid w:val="00D00796"/>
    <w:rsid w:val="00D02B78"/>
    <w:rsid w:val="00D04C40"/>
    <w:rsid w:val="00D10DB1"/>
    <w:rsid w:val="00D10F4B"/>
    <w:rsid w:val="00D1161C"/>
    <w:rsid w:val="00D13520"/>
    <w:rsid w:val="00D169D6"/>
    <w:rsid w:val="00D22D27"/>
    <w:rsid w:val="00D23C64"/>
    <w:rsid w:val="00D243EB"/>
    <w:rsid w:val="00D249F5"/>
    <w:rsid w:val="00D261A2"/>
    <w:rsid w:val="00D31A0D"/>
    <w:rsid w:val="00D3472C"/>
    <w:rsid w:val="00D358DF"/>
    <w:rsid w:val="00D358FC"/>
    <w:rsid w:val="00D37A4D"/>
    <w:rsid w:val="00D40D4C"/>
    <w:rsid w:val="00D42D11"/>
    <w:rsid w:val="00D44934"/>
    <w:rsid w:val="00D46101"/>
    <w:rsid w:val="00D47112"/>
    <w:rsid w:val="00D47ADD"/>
    <w:rsid w:val="00D47B00"/>
    <w:rsid w:val="00D509E1"/>
    <w:rsid w:val="00D52DF0"/>
    <w:rsid w:val="00D53A39"/>
    <w:rsid w:val="00D54090"/>
    <w:rsid w:val="00D54751"/>
    <w:rsid w:val="00D54B31"/>
    <w:rsid w:val="00D554AF"/>
    <w:rsid w:val="00D600BA"/>
    <w:rsid w:val="00D6060F"/>
    <w:rsid w:val="00D616D2"/>
    <w:rsid w:val="00D63B5F"/>
    <w:rsid w:val="00D63B83"/>
    <w:rsid w:val="00D63D88"/>
    <w:rsid w:val="00D641C9"/>
    <w:rsid w:val="00D66513"/>
    <w:rsid w:val="00D70EF7"/>
    <w:rsid w:val="00D712A6"/>
    <w:rsid w:val="00D76AA4"/>
    <w:rsid w:val="00D77C69"/>
    <w:rsid w:val="00D81B83"/>
    <w:rsid w:val="00D83231"/>
    <w:rsid w:val="00D8397C"/>
    <w:rsid w:val="00D905A6"/>
    <w:rsid w:val="00D94EED"/>
    <w:rsid w:val="00D959B3"/>
    <w:rsid w:val="00D96026"/>
    <w:rsid w:val="00D96A97"/>
    <w:rsid w:val="00D96D81"/>
    <w:rsid w:val="00DA07A7"/>
    <w:rsid w:val="00DA3059"/>
    <w:rsid w:val="00DA4BAC"/>
    <w:rsid w:val="00DA4F76"/>
    <w:rsid w:val="00DA5780"/>
    <w:rsid w:val="00DA60DA"/>
    <w:rsid w:val="00DA7C1C"/>
    <w:rsid w:val="00DB147A"/>
    <w:rsid w:val="00DB1B7A"/>
    <w:rsid w:val="00DB2744"/>
    <w:rsid w:val="00DB39C2"/>
    <w:rsid w:val="00DB472B"/>
    <w:rsid w:val="00DB562E"/>
    <w:rsid w:val="00DB6746"/>
    <w:rsid w:val="00DC0B7F"/>
    <w:rsid w:val="00DC370F"/>
    <w:rsid w:val="00DC6460"/>
    <w:rsid w:val="00DC6708"/>
    <w:rsid w:val="00DD4406"/>
    <w:rsid w:val="00DD67FB"/>
    <w:rsid w:val="00DE5572"/>
    <w:rsid w:val="00DE5656"/>
    <w:rsid w:val="00DE5E99"/>
    <w:rsid w:val="00DF60F9"/>
    <w:rsid w:val="00E0020E"/>
    <w:rsid w:val="00E01436"/>
    <w:rsid w:val="00E01656"/>
    <w:rsid w:val="00E0171F"/>
    <w:rsid w:val="00E042B9"/>
    <w:rsid w:val="00E045BD"/>
    <w:rsid w:val="00E04B9B"/>
    <w:rsid w:val="00E16D89"/>
    <w:rsid w:val="00E17B77"/>
    <w:rsid w:val="00E21D84"/>
    <w:rsid w:val="00E23337"/>
    <w:rsid w:val="00E24BC3"/>
    <w:rsid w:val="00E24EFD"/>
    <w:rsid w:val="00E259EA"/>
    <w:rsid w:val="00E300C0"/>
    <w:rsid w:val="00E31581"/>
    <w:rsid w:val="00E32061"/>
    <w:rsid w:val="00E32920"/>
    <w:rsid w:val="00E332D8"/>
    <w:rsid w:val="00E34A32"/>
    <w:rsid w:val="00E37890"/>
    <w:rsid w:val="00E37D56"/>
    <w:rsid w:val="00E401D2"/>
    <w:rsid w:val="00E40C72"/>
    <w:rsid w:val="00E41E94"/>
    <w:rsid w:val="00E42FF9"/>
    <w:rsid w:val="00E4714C"/>
    <w:rsid w:val="00E5089A"/>
    <w:rsid w:val="00E51AEB"/>
    <w:rsid w:val="00E522A7"/>
    <w:rsid w:val="00E54452"/>
    <w:rsid w:val="00E5446B"/>
    <w:rsid w:val="00E57382"/>
    <w:rsid w:val="00E608B3"/>
    <w:rsid w:val="00E64FFD"/>
    <w:rsid w:val="00E658E6"/>
    <w:rsid w:val="00E664C5"/>
    <w:rsid w:val="00E671A2"/>
    <w:rsid w:val="00E70CE9"/>
    <w:rsid w:val="00E73BFB"/>
    <w:rsid w:val="00E746E2"/>
    <w:rsid w:val="00E75939"/>
    <w:rsid w:val="00E76D26"/>
    <w:rsid w:val="00E77E61"/>
    <w:rsid w:val="00E80C30"/>
    <w:rsid w:val="00E8695A"/>
    <w:rsid w:val="00E878E5"/>
    <w:rsid w:val="00E87E1C"/>
    <w:rsid w:val="00E919B9"/>
    <w:rsid w:val="00E92A1D"/>
    <w:rsid w:val="00E960C2"/>
    <w:rsid w:val="00EA349F"/>
    <w:rsid w:val="00EA4F91"/>
    <w:rsid w:val="00EA5ED1"/>
    <w:rsid w:val="00EA739E"/>
    <w:rsid w:val="00EB1390"/>
    <w:rsid w:val="00EB2C71"/>
    <w:rsid w:val="00EB34FA"/>
    <w:rsid w:val="00EB4340"/>
    <w:rsid w:val="00EB556D"/>
    <w:rsid w:val="00EB5A7D"/>
    <w:rsid w:val="00EB7899"/>
    <w:rsid w:val="00EB7EBE"/>
    <w:rsid w:val="00EC1228"/>
    <w:rsid w:val="00EC25EA"/>
    <w:rsid w:val="00EC2A8F"/>
    <w:rsid w:val="00EC4173"/>
    <w:rsid w:val="00EC7BB1"/>
    <w:rsid w:val="00ED0FE6"/>
    <w:rsid w:val="00ED19CD"/>
    <w:rsid w:val="00ED1B54"/>
    <w:rsid w:val="00ED2115"/>
    <w:rsid w:val="00ED421C"/>
    <w:rsid w:val="00ED4F74"/>
    <w:rsid w:val="00ED55C0"/>
    <w:rsid w:val="00ED682B"/>
    <w:rsid w:val="00ED6F67"/>
    <w:rsid w:val="00ED7B43"/>
    <w:rsid w:val="00EE0D77"/>
    <w:rsid w:val="00EE236C"/>
    <w:rsid w:val="00EE2CF0"/>
    <w:rsid w:val="00EE41D5"/>
    <w:rsid w:val="00EE49D9"/>
    <w:rsid w:val="00EE5AEB"/>
    <w:rsid w:val="00EE62E0"/>
    <w:rsid w:val="00EF2DFF"/>
    <w:rsid w:val="00EF6DD1"/>
    <w:rsid w:val="00EF7090"/>
    <w:rsid w:val="00F005D6"/>
    <w:rsid w:val="00F01839"/>
    <w:rsid w:val="00F0229B"/>
    <w:rsid w:val="00F02C7A"/>
    <w:rsid w:val="00F037A4"/>
    <w:rsid w:val="00F04A2A"/>
    <w:rsid w:val="00F077CC"/>
    <w:rsid w:val="00F10A47"/>
    <w:rsid w:val="00F1392B"/>
    <w:rsid w:val="00F14457"/>
    <w:rsid w:val="00F148BD"/>
    <w:rsid w:val="00F15EA9"/>
    <w:rsid w:val="00F164F5"/>
    <w:rsid w:val="00F16A95"/>
    <w:rsid w:val="00F20495"/>
    <w:rsid w:val="00F235F4"/>
    <w:rsid w:val="00F23B32"/>
    <w:rsid w:val="00F27C8F"/>
    <w:rsid w:val="00F32749"/>
    <w:rsid w:val="00F3441A"/>
    <w:rsid w:val="00F356A7"/>
    <w:rsid w:val="00F37172"/>
    <w:rsid w:val="00F40D11"/>
    <w:rsid w:val="00F4477E"/>
    <w:rsid w:val="00F447F2"/>
    <w:rsid w:val="00F50437"/>
    <w:rsid w:val="00F50CE6"/>
    <w:rsid w:val="00F51051"/>
    <w:rsid w:val="00F516C0"/>
    <w:rsid w:val="00F53FB1"/>
    <w:rsid w:val="00F54002"/>
    <w:rsid w:val="00F54238"/>
    <w:rsid w:val="00F55A9A"/>
    <w:rsid w:val="00F67BEC"/>
    <w:rsid w:val="00F67D8F"/>
    <w:rsid w:val="00F71D73"/>
    <w:rsid w:val="00F73993"/>
    <w:rsid w:val="00F802BE"/>
    <w:rsid w:val="00F816DD"/>
    <w:rsid w:val="00F8204F"/>
    <w:rsid w:val="00F83ECB"/>
    <w:rsid w:val="00F8499A"/>
    <w:rsid w:val="00F84C9E"/>
    <w:rsid w:val="00F85DC4"/>
    <w:rsid w:val="00F86024"/>
    <w:rsid w:val="00F8611A"/>
    <w:rsid w:val="00F9418E"/>
    <w:rsid w:val="00F9456C"/>
    <w:rsid w:val="00FA130D"/>
    <w:rsid w:val="00FA5128"/>
    <w:rsid w:val="00FA65EC"/>
    <w:rsid w:val="00FB16B7"/>
    <w:rsid w:val="00FB277F"/>
    <w:rsid w:val="00FB42D4"/>
    <w:rsid w:val="00FB4EB4"/>
    <w:rsid w:val="00FB5906"/>
    <w:rsid w:val="00FB5917"/>
    <w:rsid w:val="00FB762F"/>
    <w:rsid w:val="00FB7FAA"/>
    <w:rsid w:val="00FC2AED"/>
    <w:rsid w:val="00FC4151"/>
    <w:rsid w:val="00FC61A2"/>
    <w:rsid w:val="00FD103C"/>
    <w:rsid w:val="00FD131F"/>
    <w:rsid w:val="00FD5EA7"/>
    <w:rsid w:val="00FD640D"/>
    <w:rsid w:val="00FD7191"/>
    <w:rsid w:val="00FE163A"/>
    <w:rsid w:val="00FE1C40"/>
    <w:rsid w:val="00FE2DA3"/>
    <w:rsid w:val="00FF1AF5"/>
    <w:rsid w:val="00FF2C0B"/>
    <w:rsid w:val="00FF47C4"/>
    <w:rsid w:val="00FF49E6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bslugaprasowa@stat.gov.pl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rzecznik@stat.gov.p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7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j.biernat@stat.gov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5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415600058174349E-2"/>
          <c:y val="2.0202020202020211E-2"/>
          <c:w val="0.93325015595757954"/>
          <c:h val="0.7579509075450110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Arkusz1!$B$65:$C$102</c:f>
              <c:multiLvlStrCache>
                <c:ptCount val="3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I*</c:v>
                  </c:pt>
                  <c:pt idx="37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Arkusz1!$D$65:$D$102</c:f>
              <c:numCache>
                <c:formatCode>General</c:formatCode>
                <c:ptCount val="38"/>
                <c:pt idx="0" formatCode="0.0">
                  <c:v>103.2</c:v>
                </c:pt>
                <c:pt idx="1">
                  <c:v>106.2</c:v>
                </c:pt>
                <c:pt idx="2">
                  <c:v>103</c:v>
                </c:pt>
                <c:pt idx="3">
                  <c:v>105.5</c:v>
                </c:pt>
                <c:pt idx="4">
                  <c:v>104.3</c:v>
                </c:pt>
                <c:pt idx="5">
                  <c:v>106.5</c:v>
                </c:pt>
                <c:pt idx="6">
                  <c:v>104.4</c:v>
                </c:pt>
                <c:pt idx="7">
                  <c:v>107.8</c:v>
                </c:pt>
                <c:pt idx="8">
                  <c:v>106.3</c:v>
                </c:pt>
                <c:pt idx="9">
                  <c:v>104.6</c:v>
                </c:pt>
                <c:pt idx="10">
                  <c:v>107.4</c:v>
                </c:pt>
                <c:pt idx="11">
                  <c:v>106.1</c:v>
                </c:pt>
                <c:pt idx="12">
                  <c:v>109.5</c:v>
                </c:pt>
                <c:pt idx="13">
                  <c:v>105.2</c:v>
                </c:pt>
                <c:pt idx="14">
                  <c:v>107.9</c:v>
                </c:pt>
                <c:pt idx="15">
                  <c:v>106.7</c:v>
                </c:pt>
                <c:pt idx="16">
                  <c:v>107.4</c:v>
                </c:pt>
                <c:pt idx="17">
                  <c:v>105.8</c:v>
                </c:pt>
                <c:pt idx="18">
                  <c:v>106.8</c:v>
                </c:pt>
                <c:pt idx="19">
                  <c:v>106.9</c:v>
                </c:pt>
                <c:pt idx="20">
                  <c:v>107.5</c:v>
                </c:pt>
                <c:pt idx="21">
                  <c:v>107.1</c:v>
                </c:pt>
                <c:pt idx="22">
                  <c:v>108.8</c:v>
                </c:pt>
                <c:pt idx="23">
                  <c:v>105.2</c:v>
                </c:pt>
                <c:pt idx="24">
                  <c:v>107.7</c:v>
                </c:pt>
                <c:pt idx="25">
                  <c:v>107.7</c:v>
                </c:pt>
                <c:pt idx="26">
                  <c:v>108.8</c:v>
                </c:pt>
                <c:pt idx="27">
                  <c:v>104</c:v>
                </c:pt>
                <c:pt idx="28">
                  <c:v>106.1</c:v>
                </c:pt>
                <c:pt idx="29">
                  <c:v>108.2</c:v>
                </c:pt>
                <c:pt idx="30">
                  <c:v>107.1</c:v>
                </c:pt>
                <c:pt idx="31">
                  <c:v>106.7</c:v>
                </c:pt>
                <c:pt idx="32">
                  <c:v>103.6</c:v>
                </c:pt>
                <c:pt idx="33">
                  <c:v>107.8</c:v>
                </c:pt>
                <c:pt idx="34">
                  <c:v>106.9</c:v>
                </c:pt>
                <c:pt idx="35">
                  <c:v>103.9</c:v>
                </c:pt>
                <c:pt idx="36">
                  <c:v>106.1</c:v>
                </c:pt>
                <c:pt idx="37">
                  <c:v>105.6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446982832"/>
        <c:axId val="-446980112"/>
      </c:barChart>
      <c:catAx>
        <c:axId val="-44698283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-446980112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446980112"/>
        <c:scaling>
          <c:orientation val="minMax"/>
          <c:max val="110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446982832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7556050662150885E-2"/>
          <c:y val="1.8415032185705262E-2"/>
          <c:w val="0.90746450357941544"/>
          <c:h val="0.6619787768668430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0"/>
                  <c:y val="-4.3883708173340648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105,0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4904364655111873E-3"/>
                  <c:y val="-3.4135132450188095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102.0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72943508424183E-2"/>
                      <c:h val="4.9734869263119395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1.3645699472153441E-3"/>
                  <c:y val="3.7310971765646423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101.6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6032557377300505E-4"/>
                  <c:y val="-1.6366549902600627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113.5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524281466798801E-2"/>
                      <c:h val="4.9734869263119402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5.1387902577589093E-4"/>
                  <c:y val="9.7203565407313671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108.2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0705071677735046E-4"/>
                  <c:y val="8.9123664807944005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102.8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9646995934229734E-3"/>
                  <c:y val="3.9417590628927834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113.8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009910802775013E-2"/>
                      <c:h val="4.9734869263119402E-2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6.3675126111094847E-4"/>
                  <c:y val="7.1601618903328196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102.6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683860999040135E-3"/>
                  <c:y val="-4.1907933477596714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104.7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583250743310208E-2"/>
                      <c:h val="4.9734869263119395E-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-1.4588466376058548E-3"/>
                  <c:y val="6.825029651146152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other retail 
sales in
non-specialized
 stores
</c:v>
                </c:pt>
                <c:pt idx="4">
                  <c:v>pharmaceuticals,
cosmetics,
orthopaedic 
equipment
</c:v>
                </c:pt>
                <c:pt idx="5">
                  <c:v>textiles,
clothing,
 footwear
</c:v>
                </c:pt>
                <c:pt idx="6">
                  <c:v>furniture, radio
TV and household
appliance
</c:v>
                </c:pt>
                <c:pt idx="7">
                  <c:v>newspapers,
books,
other sale
in specialized stores
</c:v>
                </c:pt>
                <c:pt idx="8">
                  <c:v>others</c:v>
                </c:pt>
              </c:strCache>
            </c:strRef>
          </c:cat>
          <c:val>
            <c:numRef>
              <c:f>rodz_dział_miesiąc!$BF$4:$BF$12</c:f>
              <c:numCache>
                <c:formatCode>0.0</c:formatCode>
                <c:ptCount val="9"/>
                <c:pt idx="0">
                  <c:v>105</c:v>
                </c:pt>
                <c:pt idx="1">
                  <c:v>102</c:v>
                </c:pt>
                <c:pt idx="2">
                  <c:v>101.6</c:v>
                </c:pt>
                <c:pt idx="3">
                  <c:v>113.5</c:v>
                </c:pt>
                <c:pt idx="4">
                  <c:v>108.2</c:v>
                </c:pt>
                <c:pt idx="5">
                  <c:v>102.8</c:v>
                </c:pt>
                <c:pt idx="6">
                  <c:v>113.8</c:v>
                </c:pt>
                <c:pt idx="7">
                  <c:v>102.6</c:v>
                </c:pt>
                <c:pt idx="8">
                  <c:v>104.7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446983376"/>
        <c:axId val="-446979568"/>
      </c:barChart>
      <c:catAx>
        <c:axId val="-44698337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-446979568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-446979568"/>
        <c:scaling>
          <c:orientation val="minMax"/>
          <c:max val="115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-446983376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010280046344247E-2"/>
          <c:y val="6.7454676273573919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85"/>
              <c:layout>
                <c:manualLayout>
                  <c:x val="-1.4875418371141688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</a:rPr>
                      <a:t>110.1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2012</c:v>
                </c:pt>
                <c:pt idx="18" formatCode="0">
                  <c:v>2013</c:v>
                </c:pt>
                <c:pt idx="30" formatCode="0">
                  <c:v>2014</c:v>
                </c:pt>
                <c:pt idx="42" formatCode="0">
                  <c:v>2015</c:v>
                </c:pt>
                <c:pt idx="54" formatCode="0">
                  <c:v>2016</c:v>
                </c:pt>
                <c:pt idx="66" formatCode="0">
                  <c:v>2017</c:v>
                </c:pt>
                <c:pt idx="78" formatCode="0">
                  <c:v>2018</c:v>
                </c:pt>
                <c:pt idx="90" formatCode="0">
                  <c:v>2019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79.2</c:v>
                </c:pt>
                <c:pt idx="1">
                  <c:v>79.900000000000006</c:v>
                </c:pt>
                <c:pt idx="2">
                  <c:v>92</c:v>
                </c:pt>
                <c:pt idx="3">
                  <c:v>89.1</c:v>
                </c:pt>
                <c:pt idx="4">
                  <c:v>89.8</c:v>
                </c:pt>
                <c:pt idx="5">
                  <c:v>90</c:v>
                </c:pt>
                <c:pt idx="6">
                  <c:v>91.9</c:v>
                </c:pt>
                <c:pt idx="7">
                  <c:v>92.3</c:v>
                </c:pt>
                <c:pt idx="8">
                  <c:v>90.8</c:v>
                </c:pt>
                <c:pt idx="9">
                  <c:v>94.1</c:v>
                </c:pt>
                <c:pt idx="10">
                  <c:v>88.4</c:v>
                </c:pt>
                <c:pt idx="11">
                  <c:v>102.1</c:v>
                </c:pt>
                <c:pt idx="12">
                  <c:v>80.900000000000006</c:v>
                </c:pt>
                <c:pt idx="13">
                  <c:v>78.900000000000006</c:v>
                </c:pt>
                <c:pt idx="14">
                  <c:v>92.1</c:v>
                </c:pt>
                <c:pt idx="15">
                  <c:v>89.1</c:v>
                </c:pt>
                <c:pt idx="16">
                  <c:v>90.8</c:v>
                </c:pt>
                <c:pt idx="17">
                  <c:v>92.3</c:v>
                </c:pt>
                <c:pt idx="18">
                  <c:v>95.7</c:v>
                </c:pt>
                <c:pt idx="19">
                  <c:v>95.5</c:v>
                </c:pt>
                <c:pt idx="20">
                  <c:v>94.4</c:v>
                </c:pt>
                <c:pt idx="21">
                  <c:v>97.5</c:v>
                </c:pt>
                <c:pt idx="22">
                  <c:v>91.9</c:v>
                </c:pt>
                <c:pt idx="23">
                  <c:v>108</c:v>
                </c:pt>
                <c:pt idx="24">
                  <c:v>84.9</c:v>
                </c:pt>
                <c:pt idx="25">
                  <c:v>84.5</c:v>
                </c:pt>
                <c:pt idx="26">
                  <c:v>95</c:v>
                </c:pt>
                <c:pt idx="27">
                  <c:v>97.2</c:v>
                </c:pt>
                <c:pt idx="28">
                  <c:v>94.7</c:v>
                </c:pt>
                <c:pt idx="29">
                  <c:v>94</c:v>
                </c:pt>
                <c:pt idx="30">
                  <c:v>98.9</c:v>
                </c:pt>
                <c:pt idx="31">
                  <c:v>98.5</c:v>
                </c:pt>
                <c:pt idx="32">
                  <c:v>97.5</c:v>
                </c:pt>
                <c:pt idx="33">
                  <c:v>101.4</c:v>
                </c:pt>
                <c:pt idx="34">
                  <c:v>93.5</c:v>
                </c:pt>
                <c:pt idx="35">
                  <c:v>112.7</c:v>
                </c:pt>
                <c:pt idx="36">
                  <c:v>87.8</c:v>
                </c:pt>
                <c:pt idx="37">
                  <c:v>86.4</c:v>
                </c:pt>
                <c:pt idx="38">
                  <c:v>101.1</c:v>
                </c:pt>
                <c:pt idx="39">
                  <c:v>98.5</c:v>
                </c:pt>
                <c:pt idx="40">
                  <c:v>99</c:v>
                </c:pt>
                <c:pt idx="41">
                  <c:v>100</c:v>
                </c:pt>
                <c:pt idx="42">
                  <c:v>102.3</c:v>
                </c:pt>
                <c:pt idx="43">
                  <c:v>100.4</c:v>
                </c:pt>
                <c:pt idx="44">
                  <c:v>100.3</c:v>
                </c:pt>
                <c:pt idx="45">
                  <c:v>105</c:v>
                </c:pt>
                <c:pt idx="46">
                  <c:v>98.8</c:v>
                </c:pt>
                <c:pt idx="47">
                  <c:v>120.6</c:v>
                </c:pt>
                <c:pt idx="48">
                  <c:v>90.6</c:v>
                </c:pt>
                <c:pt idx="49">
                  <c:v>91.7</c:v>
                </c:pt>
                <c:pt idx="50">
                  <c:v>104.1</c:v>
                </c:pt>
                <c:pt idx="51">
                  <c:v>103.9</c:v>
                </c:pt>
                <c:pt idx="52">
                  <c:v>103.2</c:v>
                </c:pt>
                <c:pt idx="53">
                  <c:v>106.4</c:v>
                </c:pt>
                <c:pt idx="54">
                  <c:v>106.7</c:v>
                </c:pt>
                <c:pt idx="55">
                  <c:v>108.1</c:v>
                </c:pt>
                <c:pt idx="56">
                  <c:v>106.6</c:v>
                </c:pt>
                <c:pt idx="57">
                  <c:v>109.8</c:v>
                </c:pt>
                <c:pt idx="58">
                  <c:v>106.1</c:v>
                </c:pt>
                <c:pt idx="59">
                  <c:v>127.7</c:v>
                </c:pt>
                <c:pt idx="60">
                  <c:v>99.3</c:v>
                </c:pt>
                <c:pt idx="61">
                  <c:v>96.5</c:v>
                </c:pt>
                <c:pt idx="62">
                  <c:v>112.5</c:v>
                </c:pt>
                <c:pt idx="63">
                  <c:v>110.9</c:v>
                </c:pt>
                <c:pt idx="64">
                  <c:v>111</c:v>
                </c:pt>
                <c:pt idx="65">
                  <c:v>112.8</c:v>
                </c:pt>
                <c:pt idx="66">
                  <c:v>114.1</c:v>
                </c:pt>
                <c:pt idx="67">
                  <c:v>115.8</c:v>
                </c:pt>
                <c:pt idx="68">
                  <c:v>114.8</c:v>
                </c:pt>
                <c:pt idx="69">
                  <c:v>117.8</c:v>
                </c:pt>
                <c:pt idx="70">
                  <c:v>115.7</c:v>
                </c:pt>
                <c:pt idx="71">
                  <c:v>134.80000000000001</c:v>
                </c:pt>
                <c:pt idx="72">
                  <c:v>107.2</c:v>
                </c:pt>
                <c:pt idx="73">
                  <c:v>104.1</c:v>
                </c:pt>
                <c:pt idx="74">
                  <c:v>122.6</c:v>
                </c:pt>
                <c:pt idx="75">
                  <c:v>115.7</c:v>
                </c:pt>
                <c:pt idx="76">
                  <c:v>118</c:v>
                </c:pt>
                <c:pt idx="77">
                  <c:v>122.3</c:v>
                </c:pt>
                <c:pt idx="78">
                  <c:v>122.5</c:v>
                </c:pt>
                <c:pt idx="79">
                  <c:v>123.8</c:v>
                </c:pt>
                <c:pt idx="80">
                  <c:v>119.1</c:v>
                </c:pt>
                <c:pt idx="81">
                  <c:v>127.2</c:v>
                </c:pt>
                <c:pt idx="82">
                  <c:v>123.8</c:v>
                </c:pt>
                <c:pt idx="83">
                  <c:v>140.4</c:v>
                </c:pt>
                <c:pt idx="84">
                  <c:v>113.8</c:v>
                </c:pt>
                <c:pt idx="85">
                  <c:v>110.1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69BE28"/>
              </a:solidFill>
              <a:round/>
            </a:ln>
            <a:effectLst/>
          </c:spPr>
          <c:marker>
            <c:symbol val="none"/>
          </c:marker>
          <c:dLbls>
            <c:dLbl>
              <c:idx val="85"/>
              <c:layout>
                <c:manualLayout>
                  <c:x val="-1.2396181975951407E-2"/>
                  <c:y val="-4.7189502052892639E-17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69BE28"/>
                        </a:solidFill>
                        <a:latin typeface="Fira Sans" panose="020B0503050000020004" pitchFamily="34" charset="0"/>
                      </a:rPr>
                      <a:t>125.4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2012</c:v>
                </c:pt>
                <c:pt idx="18" formatCode="0">
                  <c:v>2013</c:v>
                </c:pt>
                <c:pt idx="30" formatCode="0">
                  <c:v>2014</c:v>
                </c:pt>
                <c:pt idx="42" formatCode="0">
                  <c:v>2015</c:v>
                </c:pt>
                <c:pt idx="54" formatCode="0">
                  <c:v>2016</c:v>
                </c:pt>
                <c:pt idx="66" formatCode="0">
                  <c:v>2017</c:v>
                </c:pt>
                <c:pt idx="78" formatCode="0">
                  <c:v>2018</c:v>
                </c:pt>
                <c:pt idx="90" formatCode="0">
                  <c:v>2019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89.9</c:v>
                </c:pt>
                <c:pt idx="1">
                  <c:v>89.2</c:v>
                </c:pt>
                <c:pt idx="2">
                  <c:v>91</c:v>
                </c:pt>
                <c:pt idx="3">
                  <c:v>89.7</c:v>
                </c:pt>
                <c:pt idx="4">
                  <c:v>90.2</c:v>
                </c:pt>
                <c:pt idx="5">
                  <c:v>89.7</c:v>
                </c:pt>
                <c:pt idx="6">
                  <c:v>90.4</c:v>
                </c:pt>
                <c:pt idx="7">
                  <c:v>89.8</c:v>
                </c:pt>
                <c:pt idx="8">
                  <c:v>90.7</c:v>
                </c:pt>
                <c:pt idx="9">
                  <c:v>90</c:v>
                </c:pt>
                <c:pt idx="10">
                  <c:v>89.3</c:v>
                </c:pt>
                <c:pt idx="11">
                  <c:v>89.5</c:v>
                </c:pt>
                <c:pt idx="12">
                  <c:v>89.8</c:v>
                </c:pt>
                <c:pt idx="13">
                  <c:v>90.7</c:v>
                </c:pt>
                <c:pt idx="14">
                  <c:v>90.7</c:v>
                </c:pt>
                <c:pt idx="15">
                  <c:v>90</c:v>
                </c:pt>
                <c:pt idx="16">
                  <c:v>92.3</c:v>
                </c:pt>
                <c:pt idx="17">
                  <c:v>92.4</c:v>
                </c:pt>
                <c:pt idx="18">
                  <c:v>93.1</c:v>
                </c:pt>
                <c:pt idx="19">
                  <c:v>93.2</c:v>
                </c:pt>
                <c:pt idx="20">
                  <c:v>94.6</c:v>
                </c:pt>
                <c:pt idx="21">
                  <c:v>93.2</c:v>
                </c:pt>
                <c:pt idx="22">
                  <c:v>94.1</c:v>
                </c:pt>
                <c:pt idx="23">
                  <c:v>94.2</c:v>
                </c:pt>
                <c:pt idx="24">
                  <c:v>94.4</c:v>
                </c:pt>
                <c:pt idx="25">
                  <c:v>96.7</c:v>
                </c:pt>
                <c:pt idx="26">
                  <c:v>95.5</c:v>
                </c:pt>
                <c:pt idx="27">
                  <c:v>96.4</c:v>
                </c:pt>
                <c:pt idx="28">
                  <c:v>94.8</c:v>
                </c:pt>
                <c:pt idx="29">
                  <c:v>95.3</c:v>
                </c:pt>
                <c:pt idx="30">
                  <c:v>96.1</c:v>
                </c:pt>
                <c:pt idx="31">
                  <c:v>97.7</c:v>
                </c:pt>
                <c:pt idx="32">
                  <c:v>97</c:v>
                </c:pt>
                <c:pt idx="33">
                  <c:v>96.8</c:v>
                </c:pt>
                <c:pt idx="34">
                  <c:v>96.8</c:v>
                </c:pt>
                <c:pt idx="35">
                  <c:v>97.4</c:v>
                </c:pt>
                <c:pt idx="36">
                  <c:v>98</c:v>
                </c:pt>
                <c:pt idx="37">
                  <c:v>98.8</c:v>
                </c:pt>
                <c:pt idx="38">
                  <c:v>100.7</c:v>
                </c:pt>
                <c:pt idx="39">
                  <c:v>98.2</c:v>
                </c:pt>
                <c:pt idx="40">
                  <c:v>99.7</c:v>
                </c:pt>
                <c:pt idx="41">
                  <c:v>100.2</c:v>
                </c:pt>
                <c:pt idx="42">
                  <c:v>99.2</c:v>
                </c:pt>
                <c:pt idx="43">
                  <c:v>99.8</c:v>
                </c:pt>
                <c:pt idx="44">
                  <c:v>99.7</c:v>
                </c:pt>
                <c:pt idx="45">
                  <c:v>100.7</c:v>
                </c:pt>
                <c:pt idx="46">
                  <c:v>101.3</c:v>
                </c:pt>
                <c:pt idx="47">
                  <c:v>103.4</c:v>
                </c:pt>
                <c:pt idx="48">
                  <c:v>102.3</c:v>
                </c:pt>
                <c:pt idx="49">
                  <c:v>102</c:v>
                </c:pt>
                <c:pt idx="50">
                  <c:v>101.3</c:v>
                </c:pt>
                <c:pt idx="51">
                  <c:v>104.5</c:v>
                </c:pt>
                <c:pt idx="52">
                  <c:v>105.2</c:v>
                </c:pt>
                <c:pt idx="53">
                  <c:v>104.9</c:v>
                </c:pt>
                <c:pt idx="54">
                  <c:v>105.1</c:v>
                </c:pt>
                <c:pt idx="55">
                  <c:v>105.9</c:v>
                </c:pt>
                <c:pt idx="56">
                  <c:v>106</c:v>
                </c:pt>
                <c:pt idx="57">
                  <c:v>107.4</c:v>
                </c:pt>
                <c:pt idx="58">
                  <c:v>108.2</c:v>
                </c:pt>
                <c:pt idx="59">
                  <c:v>108</c:v>
                </c:pt>
                <c:pt idx="60">
                  <c:v>110.9</c:v>
                </c:pt>
                <c:pt idx="61">
                  <c:v>110.1</c:v>
                </c:pt>
                <c:pt idx="62">
                  <c:v>110.6</c:v>
                </c:pt>
                <c:pt idx="63">
                  <c:v>111.7</c:v>
                </c:pt>
                <c:pt idx="64">
                  <c:v>111.4</c:v>
                </c:pt>
                <c:pt idx="65">
                  <c:v>112.2</c:v>
                </c:pt>
                <c:pt idx="66">
                  <c:v>113.3</c:v>
                </c:pt>
                <c:pt idx="67">
                  <c:v>113.6</c:v>
                </c:pt>
                <c:pt idx="68">
                  <c:v>114.7</c:v>
                </c:pt>
                <c:pt idx="69">
                  <c:v>114.9</c:v>
                </c:pt>
                <c:pt idx="70">
                  <c:v>117.1</c:v>
                </c:pt>
                <c:pt idx="71">
                  <c:v>116.7</c:v>
                </c:pt>
                <c:pt idx="72">
                  <c:v>118.1</c:v>
                </c:pt>
                <c:pt idx="73">
                  <c:v>118.7</c:v>
                </c:pt>
                <c:pt idx="74">
                  <c:v>119.2</c:v>
                </c:pt>
                <c:pt idx="75">
                  <c:v>118.4</c:v>
                </c:pt>
                <c:pt idx="76">
                  <c:v>119.7</c:v>
                </c:pt>
                <c:pt idx="77">
                  <c:v>120.6</c:v>
                </c:pt>
                <c:pt idx="78">
                  <c:v>121.1</c:v>
                </c:pt>
                <c:pt idx="79">
                  <c:v>121.2</c:v>
                </c:pt>
                <c:pt idx="80">
                  <c:v>121</c:v>
                </c:pt>
                <c:pt idx="81">
                  <c:v>122.6</c:v>
                </c:pt>
                <c:pt idx="82">
                  <c:v>123.6</c:v>
                </c:pt>
                <c:pt idx="83">
                  <c:v>123.2</c:v>
                </c:pt>
                <c:pt idx="84">
                  <c:v>124.4</c:v>
                </c:pt>
                <c:pt idx="85">
                  <c:v>125.4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446979024"/>
        <c:axId val="-439392224"/>
      </c:lineChart>
      <c:catAx>
        <c:axId val="-446979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439392224"/>
        <c:crosses val="autoZero"/>
        <c:auto val="1"/>
        <c:lblAlgn val="ctr"/>
        <c:lblOffset val="100"/>
        <c:tickMarkSkip val="12"/>
        <c:noMultiLvlLbl val="0"/>
      </c:catAx>
      <c:valAx>
        <c:axId val="-439392224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446979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0.13601</cdr:x>
      <cdr:y>0.24948</cdr:y>
    </cdr:from>
    <cdr:to>
      <cdr:x>0.33126</cdr:x>
      <cdr:y>0.32619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697131" y="866395"/>
          <a:ext cx="1000797" cy="2663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69BE2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69BE28"/>
              </a:solidFill>
              <a:latin typeface="Arial CE"/>
              <a:cs typeface="Arial CE"/>
            </a:rPr>
            <a:t> </a:t>
          </a:r>
          <a:r>
            <a:rPr lang="pl-PL" sz="800" b="1" i="1" u="none" strike="noStrike" baseline="0">
              <a:solidFill>
                <a:srgbClr val="69BE28"/>
              </a:solidFill>
              <a:latin typeface="Fira Sans" pitchFamily="34" charset="0"/>
              <a:ea typeface="Fira Sans" pitchFamily="34" charset="0"/>
              <a:cs typeface="Arial CE"/>
            </a:rPr>
            <a:t>105.6</a:t>
          </a:r>
        </a:p>
      </cdr:txBody>
    </cdr:sp>
  </cdr:relSizeAnchor>
  <cdr:relSizeAnchor xmlns:cdr="http://schemas.openxmlformats.org/drawingml/2006/chartDrawing">
    <cdr:from>
      <cdr:x>0.16682</cdr:x>
      <cdr:y>0.33292</cdr:y>
    </cdr:from>
    <cdr:to>
      <cdr:x>0.22249</cdr:x>
      <cdr:y>0.42755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855097" y="1156160"/>
          <a:ext cx="285349" cy="32863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69BE2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0.04731</cdr:x>
      <cdr:y>0.43431</cdr:y>
    </cdr:from>
    <cdr:to>
      <cdr:x>0.95423</cdr:x>
      <cdr:y>0.43636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42507" y="1508269"/>
          <a:ext cx="4648618" cy="711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69BE2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413415-3CF1-490E-B863-DE28675C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Zawistowska Beata</dc:creator>
  <cp:lastModifiedBy>Żołynia Marcin</cp:lastModifiedBy>
  <cp:revision>2</cp:revision>
  <cp:lastPrinted>2019-02-19T16:17:00Z</cp:lastPrinted>
  <dcterms:created xsi:type="dcterms:W3CDTF">2019-03-21T08:39:00Z</dcterms:created>
  <dcterms:modified xsi:type="dcterms:W3CDTF">2019-03-21T08:39:00Z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