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5E0448">
        <w:rPr>
          <w:rFonts w:cs="Arial"/>
          <w:lang w:val="en-US"/>
        </w:rPr>
        <w:t>September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In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>September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2019,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the growth rate of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>retail sales in constant prices y/y w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as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 xml:space="preserve">higher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by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>0</w:t>
                            </w:r>
                            <w:r w:rsidR="003F4942">
                              <w:rPr>
                                <w:rStyle w:val="tlid-translation"/>
                                <w:lang w:val="en"/>
                              </w:rPr>
                              <w:t>.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>7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pp than in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>September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201</w:t>
                            </w:r>
                            <w:r w:rsidR="00A000F6">
                              <w:rPr>
                                <w:rStyle w:val="tlid-translation"/>
                                <w:lang w:val="e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 xml:space="preserve">In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>September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2019,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the growth rate of </w:t>
                      </w:r>
                      <w:r>
                        <w:rPr>
                          <w:rStyle w:val="tlid-translation"/>
                          <w:lang w:val="en"/>
                        </w:rPr>
                        <w:t>retail sales in constant prices y/y w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as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 xml:space="preserve">higher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by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>0</w:t>
                      </w:r>
                      <w:r w:rsidR="003F4942">
                        <w:rPr>
                          <w:rStyle w:val="tlid-translation"/>
                          <w:lang w:val="en"/>
                        </w:rPr>
                        <w:t>.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>7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pp than in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>September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201</w:t>
                      </w:r>
                      <w:r w:rsidR="00A000F6">
                        <w:rPr>
                          <w:rStyle w:val="tlid-translation"/>
                          <w:lang w:val="en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6307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E04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6307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E04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5E0448">
        <w:rPr>
          <w:rFonts w:cs="Arial"/>
          <w:lang w:val="en-US"/>
        </w:rPr>
        <w:t>September</w:t>
      </w:r>
      <w:r w:rsidR="003F4942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3F4942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.</w:t>
      </w:r>
      <w:r w:rsidR="005E0448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5E0448">
        <w:rPr>
          <w:rFonts w:cs="Arial"/>
          <w:lang w:val="en-US"/>
        </w:rPr>
        <w:t>3</w:t>
      </w:r>
      <w:r w:rsidR="008A0000">
        <w:rPr>
          <w:rFonts w:cs="Arial"/>
          <w:lang w:val="en-US"/>
        </w:rPr>
        <w:t>.</w:t>
      </w:r>
      <w:r w:rsidR="005E0448">
        <w:rPr>
          <w:rFonts w:cs="Arial"/>
          <w:lang w:val="en-US"/>
        </w:rPr>
        <w:t>6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5E0448">
        <w:rPr>
          <w:rFonts w:cs="Arial"/>
          <w:lang w:val="en-US"/>
        </w:rPr>
        <w:t>September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5E0448">
        <w:rPr>
          <w:lang w:val="en-US"/>
        </w:rPr>
        <w:t xml:space="preserve">August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5E0448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5E0448">
        <w:rPr>
          <w:lang w:val="en-US"/>
        </w:rPr>
        <w:t>4</w:t>
      </w:r>
      <w:r w:rsidR="002B5519">
        <w:rPr>
          <w:lang w:val="en-US"/>
        </w:rPr>
        <w:t>.</w:t>
      </w:r>
      <w:r w:rsidR="00F1786B">
        <w:rPr>
          <w:lang w:val="en-US"/>
        </w:rPr>
        <w:t>1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82547B">
                              <w:rPr>
                                <w:rFonts w:cs="Arial"/>
                                <w:lang w:val="en-US"/>
                              </w:rPr>
                              <w:t xml:space="preserve">September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82547B">
                        <w:rPr>
                          <w:rFonts w:cs="Arial"/>
                          <w:lang w:val="en-US"/>
                        </w:rPr>
                        <w:t xml:space="preserve">September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0E7B9D" w:rsidRDefault="00794E5F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214C41" w:rsidRPr="0066300F">
        <w:rPr>
          <w:rFonts w:cs="Arial"/>
          <w:lang w:val="en-US"/>
        </w:rPr>
        <w:t>high</w:t>
      </w:r>
      <w:r w:rsidR="00214C41">
        <w:rPr>
          <w:rFonts w:cs="Arial"/>
          <w:lang w:val="en-US"/>
        </w:rPr>
        <w:t>er than average</w:t>
      </w:r>
      <w:r w:rsidR="009759D1">
        <w:rPr>
          <w:rFonts w:cs="Arial"/>
          <w:lang w:val="en-US"/>
        </w:rPr>
        <w:t xml:space="preserve"> </w:t>
      </w:r>
      <w:r w:rsidR="002E7C44">
        <w:rPr>
          <w:rFonts w:cs="Arial"/>
          <w:lang w:val="en-US"/>
        </w:rPr>
        <w:t xml:space="preserve">increase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September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3A1AEE">
        <w:rPr>
          <w:rFonts w:cs="Arial"/>
          <w:lang w:val="en-US"/>
        </w:rPr>
        <w:t>units</w:t>
      </w:r>
      <w:r w:rsidR="00214C41">
        <w:rPr>
          <w:rFonts w:cs="Arial"/>
          <w:lang w:val="en-US"/>
        </w:rPr>
        <w:t xml:space="preserve"> </w:t>
      </w:r>
      <w:r w:rsidR="00326E35">
        <w:rPr>
          <w:rFonts w:cs="Arial"/>
          <w:lang w:val="en-US"/>
        </w:rPr>
        <w:t>trading in</w:t>
      </w:r>
      <w:r w:rsidR="00214C41">
        <w:rPr>
          <w:rFonts w:cs="Arial"/>
          <w:lang w:val="en-US"/>
        </w:rPr>
        <w:t xml:space="preserve"> motor vehicles, motorcy</w:t>
      </w:r>
      <w:r w:rsidR="00DB098D">
        <w:rPr>
          <w:rFonts w:cs="Arial"/>
          <w:lang w:val="en-US"/>
        </w:rPr>
        <w:t>cles, parts (by 10.7% against a</w:t>
      </w:r>
      <w:r w:rsidR="00214C41">
        <w:rPr>
          <w:rFonts w:cs="Arial"/>
          <w:lang w:val="en-US"/>
        </w:rPr>
        <w:t xml:space="preserve"> </w:t>
      </w:r>
      <w:r w:rsidR="00DB098D">
        <w:rPr>
          <w:rFonts w:cs="Arial"/>
          <w:lang w:val="en-US"/>
        </w:rPr>
        <w:t>de</w:t>
      </w:r>
      <w:r w:rsidR="00214C41">
        <w:rPr>
          <w:rFonts w:cs="Arial"/>
          <w:lang w:val="en-US"/>
        </w:rPr>
        <w:t>crease by 4.</w:t>
      </w:r>
      <w:r w:rsidR="00D006D0">
        <w:rPr>
          <w:rFonts w:cs="Arial"/>
          <w:lang w:val="en-US"/>
        </w:rPr>
        <w:t>3</w:t>
      </w:r>
      <w:r w:rsidR="00214C41">
        <w:rPr>
          <w:rFonts w:cs="Arial"/>
          <w:lang w:val="en-US"/>
        </w:rPr>
        <w:t xml:space="preserve">% a year before) and in </w:t>
      </w:r>
      <w:r w:rsidR="00DC5A13">
        <w:rPr>
          <w:rFonts w:cs="Arial"/>
          <w:lang w:val="en-US"/>
        </w:rPr>
        <w:t>enterprises</w:t>
      </w:r>
      <w:r w:rsidR="00DC5A13" w:rsidRPr="00426464">
        <w:rPr>
          <w:rFonts w:cs="Arial"/>
          <w:color w:val="000000"/>
          <w:szCs w:val="19"/>
          <w:lang w:val="en-US"/>
        </w:rPr>
        <w:t xml:space="preserve"> </w:t>
      </w:r>
      <w:r w:rsidR="00DC5A13">
        <w:rPr>
          <w:rFonts w:cs="Arial"/>
          <w:color w:val="000000"/>
          <w:szCs w:val="19"/>
          <w:lang w:val="en-US"/>
        </w:rPr>
        <w:t xml:space="preserve">conducting </w:t>
      </w:r>
      <w:r w:rsidR="00F77B89">
        <w:rPr>
          <w:rFonts w:cs="Arial"/>
          <w:lang w:val="en-US"/>
        </w:rPr>
        <w:t>other retail sale</w:t>
      </w:r>
      <w:r w:rsidR="00DC5A13">
        <w:rPr>
          <w:rFonts w:cs="Arial"/>
          <w:lang w:val="en-US"/>
        </w:rPr>
        <w:t xml:space="preserve"> in non-specialized stores (by </w:t>
      </w:r>
      <w:r w:rsidR="00214C41">
        <w:rPr>
          <w:rFonts w:cs="Arial"/>
          <w:lang w:val="en-US"/>
        </w:rPr>
        <w:t>7</w:t>
      </w:r>
      <w:r w:rsidR="00DC5A13">
        <w:rPr>
          <w:rFonts w:cs="Arial"/>
          <w:lang w:val="en-US"/>
        </w:rPr>
        <w:t>.</w:t>
      </w:r>
      <w:r w:rsidR="00214C41">
        <w:rPr>
          <w:rFonts w:cs="Arial"/>
          <w:lang w:val="en-US"/>
        </w:rPr>
        <w:t>4</w:t>
      </w:r>
      <w:r w:rsidR="00DC5A13">
        <w:rPr>
          <w:rFonts w:cs="Arial"/>
          <w:lang w:val="en-US"/>
        </w:rPr>
        <w:t xml:space="preserve">% against an increase of </w:t>
      </w:r>
      <w:r w:rsidR="00214C41">
        <w:rPr>
          <w:rFonts w:cs="Arial"/>
          <w:lang w:val="en-US"/>
        </w:rPr>
        <w:t>4</w:t>
      </w:r>
      <w:r w:rsidR="00DC5A13">
        <w:rPr>
          <w:rFonts w:cs="Arial"/>
          <w:lang w:val="en-US"/>
        </w:rPr>
        <w:t>.</w:t>
      </w:r>
      <w:r w:rsidR="00214C41">
        <w:rPr>
          <w:rFonts w:cs="Arial"/>
          <w:lang w:val="en-US"/>
        </w:rPr>
        <w:t>5</w:t>
      </w:r>
      <w:r w:rsidR="00DC5A13">
        <w:rPr>
          <w:rFonts w:cs="Arial"/>
          <w:lang w:val="en-US"/>
        </w:rPr>
        <w:t>% the year before)</w:t>
      </w:r>
      <w:r w:rsidR="00697828">
        <w:rPr>
          <w:rFonts w:cs="Arial"/>
          <w:lang w:val="en-US"/>
        </w:rPr>
        <w:t xml:space="preserve">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 xml:space="preserve">groups with a </w:t>
      </w:r>
      <w:r w:rsidR="0095619E">
        <w:rPr>
          <w:rFonts w:cs="Arial"/>
          <w:lang w:val="en-US"/>
        </w:rPr>
        <w:t>lower share in total retail sales high</w:t>
      </w:r>
      <w:r w:rsidR="00697828">
        <w:rPr>
          <w:rFonts w:cs="Arial"/>
          <w:lang w:val="en-US"/>
        </w:rPr>
        <w:t xml:space="preserve"> increase</w:t>
      </w:r>
      <w:r w:rsidR="0095619E">
        <w:rPr>
          <w:rFonts w:cs="Arial"/>
          <w:lang w:val="en-US"/>
        </w:rPr>
        <w:t xml:space="preserve"> was reported by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 w:rsidR="0095619E">
        <w:rPr>
          <w:rFonts w:cs="Arial"/>
          <w:lang w:val="en-US"/>
        </w:rPr>
        <w:t xml:space="preserve"> from groups: 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230CBA">
        <w:rPr>
          <w:rFonts w:cs="Arial"/>
          <w:sz w:val="18"/>
          <w:szCs w:val="18"/>
          <w:lang w:val="en-US"/>
        </w:rPr>
        <w:t>furniture</w:t>
      </w:r>
      <w:r w:rsidR="00230CBA" w:rsidRPr="00AF2E2D">
        <w:rPr>
          <w:rFonts w:cs="Arial"/>
          <w:sz w:val="18"/>
          <w:szCs w:val="18"/>
          <w:lang w:val="en-US"/>
        </w:rPr>
        <w:t xml:space="preserve">, </w:t>
      </w:r>
      <w:r w:rsidR="00230CBA">
        <w:rPr>
          <w:rFonts w:cs="Arial"/>
          <w:sz w:val="18"/>
          <w:szCs w:val="18"/>
          <w:lang w:val="en-US"/>
        </w:rPr>
        <w:t>radio</w:t>
      </w:r>
      <w:r w:rsidR="00230CBA" w:rsidRPr="00AF2E2D">
        <w:rPr>
          <w:rFonts w:cs="Arial"/>
          <w:sz w:val="18"/>
          <w:szCs w:val="18"/>
          <w:lang w:val="en-US"/>
        </w:rPr>
        <w:t>,</w:t>
      </w:r>
      <w:r w:rsidR="00230CBA">
        <w:rPr>
          <w:rFonts w:cs="Arial"/>
          <w:sz w:val="18"/>
          <w:szCs w:val="18"/>
          <w:lang w:val="en-US"/>
        </w:rPr>
        <w:t xml:space="preserve"> TV and household appliances”</w:t>
      </w:r>
      <w:r w:rsidR="00230CBA" w:rsidRPr="00AF2E2D">
        <w:rPr>
          <w:rFonts w:cs="Arial"/>
          <w:sz w:val="18"/>
          <w:szCs w:val="18"/>
          <w:lang w:val="en-US"/>
        </w:rPr>
        <w:t xml:space="preserve"> (by 1</w:t>
      </w:r>
      <w:r w:rsidR="00230CBA">
        <w:rPr>
          <w:rFonts w:cs="Arial"/>
          <w:sz w:val="18"/>
          <w:szCs w:val="18"/>
          <w:lang w:val="en-US"/>
        </w:rPr>
        <w:t>1</w:t>
      </w:r>
      <w:r w:rsidR="00230CBA" w:rsidRPr="00AF2E2D">
        <w:rPr>
          <w:rFonts w:cs="Arial"/>
          <w:sz w:val="18"/>
          <w:szCs w:val="18"/>
          <w:lang w:val="en-US"/>
        </w:rPr>
        <w:t>.</w:t>
      </w:r>
      <w:r w:rsidR="002F12CD">
        <w:rPr>
          <w:rFonts w:cs="Arial"/>
          <w:sz w:val="18"/>
          <w:szCs w:val="18"/>
          <w:lang w:val="en-US"/>
        </w:rPr>
        <w:t>3</w:t>
      </w:r>
      <w:r w:rsidR="00230CBA" w:rsidRPr="00AF2E2D">
        <w:rPr>
          <w:rFonts w:cs="Arial"/>
          <w:sz w:val="18"/>
          <w:szCs w:val="18"/>
          <w:lang w:val="en-US"/>
        </w:rPr>
        <w:t>%)</w:t>
      </w:r>
      <w:r w:rsidR="00230CBA">
        <w:rPr>
          <w:rFonts w:cs="Arial"/>
          <w:sz w:val="18"/>
          <w:szCs w:val="18"/>
          <w:lang w:val="en-US"/>
        </w:rPr>
        <w:t xml:space="preserve">, “pharmaceuticals, cosmetics, </w:t>
      </w:r>
      <w:proofErr w:type="spellStart"/>
      <w:r w:rsidR="00230CBA">
        <w:rPr>
          <w:rFonts w:cs="Arial"/>
          <w:sz w:val="18"/>
          <w:szCs w:val="18"/>
          <w:lang w:val="en-US"/>
        </w:rPr>
        <w:t>orthopaedic</w:t>
      </w:r>
      <w:proofErr w:type="spellEnd"/>
      <w:r w:rsidR="00230CBA">
        <w:rPr>
          <w:rFonts w:cs="Arial"/>
          <w:sz w:val="18"/>
          <w:szCs w:val="18"/>
          <w:lang w:val="en-US"/>
        </w:rPr>
        <w:t xml:space="preserve"> equipment” (by 10.9%),</w:t>
      </w:r>
      <w:r w:rsidR="000D72E3">
        <w:rPr>
          <w:rFonts w:cs="Arial"/>
          <w:lang w:val="en-US"/>
        </w:rPr>
        <w:t xml:space="preserve"> </w:t>
      </w:r>
      <w:r w:rsidR="00230CBA">
        <w:rPr>
          <w:rFonts w:cs="Arial"/>
          <w:sz w:val="18"/>
          <w:szCs w:val="18"/>
          <w:lang w:val="en-US"/>
        </w:rPr>
        <w:t>“textiles, clothing, footwear” (by  9.1%)</w:t>
      </w:r>
      <w:r w:rsidR="00B46E1C">
        <w:rPr>
          <w:rFonts w:cs="Arial"/>
          <w:sz w:val="18"/>
          <w:szCs w:val="18"/>
          <w:lang w:val="en-US"/>
        </w:rPr>
        <w:t>.</w:t>
      </w:r>
      <w:r w:rsidR="00230CBA">
        <w:rPr>
          <w:rFonts w:cs="Arial"/>
          <w:sz w:val="18"/>
          <w:szCs w:val="18"/>
          <w:lang w:val="en-US"/>
        </w:rPr>
        <w:t xml:space="preserve"> </w:t>
      </w:r>
      <w:r w:rsidR="009E69D1">
        <w:rPr>
          <w:rFonts w:cs="Arial"/>
          <w:sz w:val="18"/>
          <w:szCs w:val="18"/>
          <w:lang w:val="en-US"/>
        </w:rPr>
        <w:t xml:space="preserve">The drop in retail sales was noted by </w:t>
      </w:r>
      <w:r w:rsidR="006737AC">
        <w:rPr>
          <w:rFonts w:cs="Arial"/>
          <w:sz w:val="18"/>
          <w:szCs w:val="18"/>
          <w:lang w:val="en-US"/>
        </w:rPr>
        <w:t>enterp</w:t>
      </w:r>
      <w:r w:rsidR="00B46E1C">
        <w:rPr>
          <w:rFonts w:cs="Arial"/>
          <w:sz w:val="18"/>
          <w:szCs w:val="18"/>
          <w:lang w:val="en-US"/>
        </w:rPr>
        <w:t>r</w:t>
      </w:r>
      <w:r w:rsidR="006737AC">
        <w:rPr>
          <w:rFonts w:cs="Arial"/>
          <w:sz w:val="18"/>
          <w:szCs w:val="18"/>
          <w:lang w:val="en-US"/>
        </w:rPr>
        <w:t xml:space="preserve">ises </w:t>
      </w:r>
      <w:r w:rsidR="001B48AF">
        <w:rPr>
          <w:rFonts w:cs="Arial"/>
          <w:sz w:val="18"/>
          <w:szCs w:val="18"/>
          <w:lang w:val="en-US"/>
        </w:rPr>
        <w:t>selling</w:t>
      </w:r>
      <w:r w:rsidR="006737AC">
        <w:rPr>
          <w:rFonts w:cs="Arial"/>
          <w:sz w:val="18"/>
          <w:szCs w:val="18"/>
          <w:lang w:val="en-US"/>
        </w:rPr>
        <w:t xml:space="preserve"> </w:t>
      </w:r>
      <w:r w:rsidR="006737AC">
        <w:rPr>
          <w:rFonts w:cs="Arial"/>
          <w:lang w:val="en-US"/>
        </w:rPr>
        <w:t>food, beverages and tobacco products</w:t>
      </w:r>
      <w:r w:rsidR="006737AC">
        <w:rPr>
          <w:rFonts w:cs="Arial"/>
          <w:sz w:val="18"/>
          <w:szCs w:val="18"/>
          <w:lang w:val="en-US"/>
        </w:rPr>
        <w:t xml:space="preserve"> </w:t>
      </w:r>
      <w:r w:rsidR="00B46E1C">
        <w:rPr>
          <w:rFonts w:cs="Arial"/>
          <w:sz w:val="18"/>
          <w:szCs w:val="18"/>
          <w:lang w:val="en-US"/>
        </w:rPr>
        <w:t xml:space="preserve">(by 2.9%) </w:t>
      </w:r>
      <w:r w:rsidR="006737AC">
        <w:rPr>
          <w:rFonts w:cs="Arial"/>
          <w:sz w:val="18"/>
          <w:szCs w:val="18"/>
          <w:lang w:val="en-US"/>
        </w:rPr>
        <w:t xml:space="preserve">and units </w:t>
      </w:r>
      <w:r w:rsidR="009E69D1">
        <w:rPr>
          <w:rFonts w:cs="Arial"/>
          <w:sz w:val="18"/>
          <w:szCs w:val="18"/>
          <w:lang w:val="en-US"/>
        </w:rPr>
        <w:t>classifie</w:t>
      </w:r>
      <w:r w:rsidR="00DE35DD">
        <w:rPr>
          <w:rFonts w:cs="Arial"/>
          <w:sz w:val="18"/>
          <w:szCs w:val="18"/>
          <w:lang w:val="en-US"/>
        </w:rPr>
        <w:t>d into the group “others” (by</w:t>
      </w:r>
      <w:r w:rsidR="004224D4">
        <w:rPr>
          <w:rFonts w:cs="Arial"/>
          <w:sz w:val="18"/>
          <w:szCs w:val="18"/>
          <w:lang w:val="en-US"/>
        </w:rPr>
        <w:t> </w:t>
      </w:r>
      <w:r w:rsidR="006737AC">
        <w:rPr>
          <w:rFonts w:cs="Arial"/>
          <w:sz w:val="18"/>
          <w:szCs w:val="18"/>
          <w:lang w:val="en-US"/>
        </w:rPr>
        <w:t>1</w:t>
      </w:r>
      <w:r w:rsidR="00DE35DD">
        <w:rPr>
          <w:rFonts w:cs="Arial"/>
          <w:sz w:val="18"/>
          <w:szCs w:val="18"/>
          <w:lang w:val="en-US"/>
        </w:rPr>
        <w:t>.</w:t>
      </w:r>
      <w:r w:rsidR="006737AC">
        <w:rPr>
          <w:rFonts w:cs="Arial"/>
          <w:sz w:val="18"/>
          <w:szCs w:val="18"/>
          <w:lang w:val="en-US"/>
        </w:rPr>
        <w:t>4</w:t>
      </w:r>
      <w:r w:rsidR="009E69D1">
        <w:rPr>
          <w:rFonts w:cs="Arial"/>
          <w:sz w:val="18"/>
          <w:szCs w:val="18"/>
          <w:lang w:val="en-US"/>
        </w:rPr>
        <w:t>%).</w:t>
      </w:r>
    </w:p>
    <w:p w:rsidR="008E192F" w:rsidRPr="006D4F6E" w:rsidRDefault="008E192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>In the period of January-</w:t>
      </w:r>
      <w:r w:rsidR="00702C77">
        <w:rPr>
          <w:rFonts w:cs="Arial"/>
          <w:lang w:val="en-US"/>
        </w:rPr>
        <w:t>September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643D5E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.</w:t>
      </w:r>
      <w:r w:rsidR="00702C77">
        <w:rPr>
          <w:rFonts w:cs="Arial"/>
          <w:lang w:val="en-US"/>
        </w:rPr>
        <w:t>8</w:t>
      </w:r>
      <w:r w:rsidR="00C64FE6">
        <w:rPr>
          <w:rFonts w:cs="Arial"/>
          <w:lang w:val="en-US"/>
        </w:rPr>
        <w:t>% higher (against a 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702C77">
        <w:rPr>
          <w:rFonts w:cs="Arial"/>
          <w:lang w:val="en-US"/>
        </w:rPr>
        <w:t>4</w:t>
      </w:r>
      <w:r w:rsidR="00211C83">
        <w:rPr>
          <w:rFonts w:cs="Arial"/>
          <w:lang w:val="en-US"/>
        </w:rPr>
        <w:t>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E69D1" w:rsidRDefault="009E69D1" w:rsidP="001A75DF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580076F9" wp14:editId="24E10B38">
            <wp:simplePos x="0" y="0"/>
            <wp:positionH relativeFrom="margin">
              <wp:posOffset>0</wp:posOffset>
            </wp:positionH>
            <wp:positionV relativeFrom="margin">
              <wp:posOffset>5025390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808AA" w:rsidRPr="003203F6" w:rsidRDefault="00AB3C32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E92F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E92F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E92F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E92F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D01FB4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1E6C4F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555368">
              <w:rPr>
                <w:rFonts w:cs="Arial"/>
                <w:color w:val="000000"/>
                <w:sz w:val="16"/>
                <w:szCs w:val="16"/>
              </w:rPr>
              <w:t>I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I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555368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55536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55368">
              <w:rPr>
                <w:rFonts w:cs="Arial"/>
                <w:color w:val="000000"/>
                <w:sz w:val="15"/>
                <w:szCs w:val="15"/>
              </w:rPr>
              <w:t>I-</w:t>
            </w:r>
            <w:r w:rsidR="00555368" w:rsidRPr="00555368">
              <w:rPr>
                <w:rFonts w:cs="Arial"/>
                <w:color w:val="000000"/>
                <w:sz w:val="15"/>
                <w:szCs w:val="15"/>
              </w:rPr>
              <w:t>I</w:t>
            </w:r>
            <w:r w:rsidR="0048696A">
              <w:rPr>
                <w:rFonts w:cs="Arial"/>
                <w:color w:val="000000"/>
                <w:sz w:val="15"/>
                <w:szCs w:val="15"/>
              </w:rPr>
              <w:t>X</w:t>
            </w:r>
            <w:r w:rsidRPr="0055536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201</w:t>
            </w:r>
            <w:r w:rsidR="00DB6746" w:rsidRPr="00555368">
              <w:rPr>
                <w:rFonts w:cs="Arial"/>
                <w:color w:val="000000"/>
                <w:sz w:val="15"/>
                <w:szCs w:val="15"/>
              </w:rPr>
              <w:t>8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C83C61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</w:t>
            </w:r>
            <w:r w:rsidR="00C83C61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</w:t>
            </w:r>
            <w:r w:rsidR="00C83C61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C83C61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83C61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95396F" w:rsidRDefault="00C83C61" w:rsidP="00C83C61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83C61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83C61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83C61" w:rsidP="00C83C6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83C61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83C61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C83C61" w:rsidRPr="002337B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83C61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83C61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83C61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130AB2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C83C61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83C61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83C61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83C61" w:rsidRPr="00382DAE" w:rsidRDefault="00C83C61" w:rsidP="00C83C6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83C61" w:rsidRPr="00F156AE" w:rsidRDefault="00CC524A" w:rsidP="00C83C6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83C6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C7361B" w:rsidRDefault="00C7361B" w:rsidP="00F54002">
      <w:pPr>
        <w:rPr>
          <w:lang w:val="en-US" w:eastAsia="pl-PL"/>
        </w:rPr>
      </w:pPr>
    </w:p>
    <w:p w:rsidR="004D51AE" w:rsidRDefault="004D51AE" w:rsidP="00F54002">
      <w:pPr>
        <w:rPr>
          <w:lang w:val="en-US" w:eastAsia="pl-PL"/>
        </w:rPr>
      </w:pPr>
    </w:p>
    <w:p w:rsidR="004D51AE" w:rsidRPr="003203F6" w:rsidRDefault="004D51AE" w:rsidP="004D51AE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>
        <w:rPr>
          <w:rFonts w:eastAsia="Times New Roman" w:cs="Arial"/>
          <w:b/>
          <w:bCs/>
          <w:sz w:val="18"/>
          <w:szCs w:val="18"/>
          <w:lang w:val="en-US" w:eastAsia="pl-PL"/>
        </w:rPr>
        <w:t>T</w:t>
      </w: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C7361B" w:rsidRPr="00E01656" w:rsidTr="00680C21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7361B" w:rsidRPr="00E01656" w:rsidRDefault="00C7361B" w:rsidP="00680C2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C7361B" w:rsidRPr="00E01656" w:rsidTr="00680C21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C7361B" w:rsidRPr="00E01656" w:rsidRDefault="00C7361B" w:rsidP="00680C2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7361B" w:rsidRPr="00E01656" w:rsidRDefault="004D51AE" w:rsidP="00680C2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="00C7361B"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 w:rsidR="00C7361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7361B" w:rsidRPr="00E01656" w:rsidRDefault="00C7361B" w:rsidP="004D51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4D51AE"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7361B" w:rsidRPr="00E01656" w:rsidTr="00680C21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7361B" w:rsidRPr="00E01656" w:rsidRDefault="00C7361B" w:rsidP="00680C2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7361B" w:rsidRPr="00E01656" w:rsidRDefault="00C7361B" w:rsidP="00680C2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D51AE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7361B" w:rsidRPr="00E01656" w:rsidRDefault="004D51AE" w:rsidP="00680C2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C7361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7361B"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 w:rsidR="00C7361B">
              <w:rPr>
                <w:rFonts w:cs="Arial"/>
                <w:color w:val="000000"/>
                <w:sz w:val="16"/>
                <w:szCs w:val="16"/>
              </w:rPr>
              <w:t>8</w:t>
            </w:r>
            <w:r w:rsidR="00C7361B"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7361B" w:rsidRPr="00E01656" w:rsidRDefault="00C7361B" w:rsidP="004D51A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4D51AE"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7361B" w:rsidRPr="00E01656" w:rsidRDefault="00C7361B" w:rsidP="00680C2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8B5B26" w:rsidRPr="00E01656" w:rsidRDefault="008B5B26" w:rsidP="008B5B26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8B5B2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8B5B26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8B5B26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8B5B2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B5B26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B5B26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B5B26" w:rsidP="008B5B2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B5B26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D75496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8B5B26" w:rsidRPr="001F551D" w:rsidTr="00680C21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8B5B26" w:rsidRPr="001F551D" w:rsidTr="00680C21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B5B26" w:rsidRPr="001F551D" w:rsidTr="00680C2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B5B26" w:rsidRPr="001F551D" w:rsidTr="00680C2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B5B26" w:rsidRPr="001F551D" w:rsidTr="00680C21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B5B26" w:rsidRPr="00E01656" w:rsidRDefault="008B5B26" w:rsidP="008B5B26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8B5B26" w:rsidRPr="00F156AE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8B5B26" w:rsidRPr="001F551D" w:rsidRDefault="008F35CA" w:rsidP="008B5B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8B5B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4D51AE" w:rsidRDefault="004D51AE" w:rsidP="00BC695C">
      <w:pPr>
        <w:pStyle w:val="tytuwykresu"/>
        <w:ind w:left="709" w:hanging="709"/>
        <w:rPr>
          <w:lang w:val="en-US"/>
        </w:rPr>
      </w:pPr>
    </w:p>
    <w:p w:rsidR="004D51AE" w:rsidRDefault="004D51AE" w:rsidP="00BC695C">
      <w:pPr>
        <w:pStyle w:val="tytuwykresu"/>
        <w:ind w:left="709" w:hanging="709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31592A">
        <w:rPr>
          <w:shd w:val="clear" w:color="auto" w:fill="FFFFFF"/>
          <w:lang w:val="en-US"/>
        </w:rPr>
        <w:t>September</w:t>
      </w:r>
      <w:r w:rsidR="00C73D46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4D51AE" w:rsidRDefault="004D51AE" w:rsidP="00BC695C">
      <w:pPr>
        <w:pStyle w:val="tytuwykresu"/>
        <w:ind w:left="709" w:hanging="709"/>
        <w:rPr>
          <w:shd w:val="clear" w:color="auto" w:fill="FFFFFF"/>
          <w:lang w:val="en-US"/>
        </w:rPr>
      </w:pPr>
    </w:p>
    <w:p w:rsidR="00003C03" w:rsidRPr="00476467" w:rsidRDefault="005149A5" w:rsidP="004D51AE">
      <w:pPr>
        <w:pStyle w:val="tytuwykresu"/>
        <w:rPr>
          <w:rFonts w:ascii="Fira Sans SemiBold" w:hAnsi="Fira Sans SemiBold"/>
          <w:b w:val="0"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68701</wp:posOffset>
                </wp:positionH>
                <wp:positionV relativeFrom="paragraph">
                  <wp:posOffset>3583167</wp:posOffset>
                </wp:positionV>
                <wp:extent cx="1708150" cy="763929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763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D92177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September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033776">
                              <w:rPr>
                                <w:b w:val="0"/>
                                <w:color w:val="001D77"/>
                                <w:lang w:val="en-US"/>
                              </w:rPr>
                              <w:t>de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033776">
                              <w:rPr>
                                <w:b w:val="0"/>
                                <w:color w:val="001D77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033776">
                              <w:rPr>
                                <w:b w:val="0"/>
                                <w:color w:val="001D77"/>
                                <w:lang w:val="en-US"/>
                              </w:rPr>
                              <w:t>August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.4pt;margin-top:282.15pt;width:134.5pt;height:60.15pt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rYuQIAAME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D92177">
                        <w:rPr>
                          <w:b w:val="0"/>
                          <w:color w:val="001D77"/>
                          <w:lang w:val="en-US"/>
                        </w:rPr>
                        <w:t>September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033776">
                        <w:rPr>
                          <w:b w:val="0"/>
                          <w:color w:val="001D77"/>
                          <w:lang w:val="en-US"/>
                        </w:rPr>
                        <w:t>de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0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033776">
                        <w:rPr>
                          <w:b w:val="0"/>
                          <w:color w:val="001D77"/>
                          <w:lang w:val="en-US"/>
                        </w:rPr>
                        <w:t>2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033776">
                        <w:rPr>
                          <w:b w:val="0"/>
                          <w:color w:val="001D77"/>
                          <w:lang w:val="en-US"/>
                        </w:rPr>
                        <w:t>August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129" w:rsidRPr="00BC695C">
        <w:rPr>
          <w:noProof/>
          <w:color w:val="339D68"/>
          <w:lang w:eastAsia="pl-PL"/>
        </w:rPr>
        <w:drawing>
          <wp:anchor distT="0" distB="0" distL="114300" distR="114300" simplePos="0" relativeHeight="251765760" behindDoc="0" locked="0" layoutInCell="1" allowOverlap="1" wp14:anchorId="62CD61E2" wp14:editId="7C3107E5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03C03" w:rsidRPr="00476467">
        <w:rPr>
          <w:rFonts w:ascii="Fira Sans SemiBold" w:hAnsi="Fira Sans SemiBold"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C47A53">
        <w:rPr>
          <w:szCs w:val="23"/>
          <w:lang w:val="en-US"/>
        </w:rPr>
        <w:t>September</w:t>
      </w:r>
      <w:r w:rsidR="00B63610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360E90">
        <w:rPr>
          <w:szCs w:val="23"/>
          <w:lang w:val="en-US"/>
        </w:rPr>
        <w:t>0</w:t>
      </w:r>
      <w:r w:rsidR="00EC1228">
        <w:rPr>
          <w:szCs w:val="23"/>
          <w:lang w:val="en-US"/>
        </w:rPr>
        <w:t>.</w:t>
      </w:r>
      <w:r w:rsidR="00C47A53">
        <w:rPr>
          <w:szCs w:val="23"/>
          <w:lang w:val="en-US"/>
        </w:rPr>
        <w:t>2</w:t>
      </w:r>
      <w:r w:rsidR="00EC1228">
        <w:rPr>
          <w:szCs w:val="23"/>
          <w:lang w:val="en-US"/>
        </w:rPr>
        <w:t xml:space="preserve">% </w:t>
      </w:r>
      <w:r w:rsidR="00C47A53">
        <w:rPr>
          <w:szCs w:val="23"/>
          <w:lang w:val="en-US"/>
        </w:rPr>
        <w:t>low</w:t>
      </w:r>
      <w:r w:rsidR="00360E90">
        <w:rPr>
          <w:szCs w:val="23"/>
          <w:lang w:val="en-US"/>
        </w:rPr>
        <w:t>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C47A53">
        <w:rPr>
          <w:szCs w:val="23"/>
          <w:lang w:val="en-US"/>
        </w:rPr>
        <w:t xml:space="preserve">August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691635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FF2C0B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FF2C0B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22 608 34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 +48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 22 608 30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63072E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1" w:history="1">
              <w:r w:rsidRPr="0063072E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DE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691635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ED42E6">
              <w:rPr>
                <w:rFonts w:asciiTheme="majorHAnsi" w:hAnsiTheme="majorHAnsi"/>
                <w:sz w:val="20"/>
                <w:lang w:val="en-US"/>
              </w:rPr>
              <w:t>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Pr="00ED42E6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91, +48 22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2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9C4E61" w:rsidP="00FF2C0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20"/>
              </w:rPr>
              <w:t>@StatPoland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B3C32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E8" w:rsidRDefault="002839E8" w:rsidP="000662E2">
      <w:pPr>
        <w:spacing w:after="0" w:line="240" w:lineRule="auto"/>
      </w:pPr>
      <w:r>
        <w:separator/>
      </w:r>
    </w:p>
  </w:endnote>
  <w:endnote w:type="continuationSeparator" w:id="0">
    <w:p w:rsidR="002839E8" w:rsidRDefault="002839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2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2A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E8" w:rsidRDefault="002839E8" w:rsidP="000662E2">
      <w:pPr>
        <w:spacing w:after="0" w:line="240" w:lineRule="auto"/>
      </w:pPr>
      <w:r>
        <w:separator/>
      </w:r>
    </w:p>
  </w:footnote>
  <w:footnote w:type="continuationSeparator" w:id="0">
    <w:p w:rsidR="002839E8" w:rsidRDefault="002839E8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392A0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8CB9C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C3C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3CE9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C3C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3CE9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776"/>
    <w:rsid w:val="00033C72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C46F0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2DD1"/>
    <w:rsid w:val="000E65E0"/>
    <w:rsid w:val="000E7B9D"/>
    <w:rsid w:val="000F2FDE"/>
    <w:rsid w:val="000F303C"/>
    <w:rsid w:val="000F4044"/>
    <w:rsid w:val="000F4AAC"/>
    <w:rsid w:val="001011C3"/>
    <w:rsid w:val="001017E9"/>
    <w:rsid w:val="001035E8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114B"/>
    <w:rsid w:val="00123990"/>
    <w:rsid w:val="00124574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56B"/>
    <w:rsid w:val="001851A5"/>
    <w:rsid w:val="00186719"/>
    <w:rsid w:val="001905F6"/>
    <w:rsid w:val="00191E3E"/>
    <w:rsid w:val="001951DA"/>
    <w:rsid w:val="00195E9E"/>
    <w:rsid w:val="001A0434"/>
    <w:rsid w:val="001A1119"/>
    <w:rsid w:val="001A2810"/>
    <w:rsid w:val="001A40AB"/>
    <w:rsid w:val="001A41A6"/>
    <w:rsid w:val="001A627E"/>
    <w:rsid w:val="001A75DF"/>
    <w:rsid w:val="001B3F52"/>
    <w:rsid w:val="001B48AF"/>
    <w:rsid w:val="001B521F"/>
    <w:rsid w:val="001B532C"/>
    <w:rsid w:val="001B6621"/>
    <w:rsid w:val="001B69A2"/>
    <w:rsid w:val="001C190A"/>
    <w:rsid w:val="001C2698"/>
    <w:rsid w:val="001C3269"/>
    <w:rsid w:val="001C3D4C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4C41"/>
    <w:rsid w:val="00216030"/>
    <w:rsid w:val="002220B7"/>
    <w:rsid w:val="0022314B"/>
    <w:rsid w:val="00223EBE"/>
    <w:rsid w:val="00226FE1"/>
    <w:rsid w:val="00230CBA"/>
    <w:rsid w:val="002314F1"/>
    <w:rsid w:val="0023240E"/>
    <w:rsid w:val="002337B9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3D7E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39E8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1AD2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100C8"/>
    <w:rsid w:val="003112E7"/>
    <w:rsid w:val="0031225B"/>
    <w:rsid w:val="003140EB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4B47"/>
    <w:rsid w:val="00354DE7"/>
    <w:rsid w:val="00354FEE"/>
    <w:rsid w:val="00356186"/>
    <w:rsid w:val="00357611"/>
    <w:rsid w:val="0036076D"/>
    <w:rsid w:val="00360E90"/>
    <w:rsid w:val="00360F78"/>
    <w:rsid w:val="00363527"/>
    <w:rsid w:val="00363F3B"/>
    <w:rsid w:val="00364D74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2A05"/>
    <w:rsid w:val="00393761"/>
    <w:rsid w:val="003939C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038A"/>
    <w:rsid w:val="003C2CAA"/>
    <w:rsid w:val="003C3CE9"/>
    <w:rsid w:val="003C4268"/>
    <w:rsid w:val="003C59E0"/>
    <w:rsid w:val="003C64DF"/>
    <w:rsid w:val="003C6C8D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C78"/>
    <w:rsid w:val="004125DE"/>
    <w:rsid w:val="00412CCC"/>
    <w:rsid w:val="004130FB"/>
    <w:rsid w:val="0041338A"/>
    <w:rsid w:val="004136AB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227"/>
    <w:rsid w:val="00487462"/>
    <w:rsid w:val="00490822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DDA"/>
    <w:rsid w:val="004D51AE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50E3"/>
    <w:rsid w:val="004F62F7"/>
    <w:rsid w:val="004F63FC"/>
    <w:rsid w:val="004F6F05"/>
    <w:rsid w:val="00500AB3"/>
    <w:rsid w:val="00500B1E"/>
    <w:rsid w:val="00501958"/>
    <w:rsid w:val="00502500"/>
    <w:rsid w:val="00504AEE"/>
    <w:rsid w:val="00505A92"/>
    <w:rsid w:val="0050683B"/>
    <w:rsid w:val="00510AB6"/>
    <w:rsid w:val="005117C2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613F"/>
    <w:rsid w:val="00556CF1"/>
    <w:rsid w:val="00561B17"/>
    <w:rsid w:val="005646A7"/>
    <w:rsid w:val="005657B8"/>
    <w:rsid w:val="0056586A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F08"/>
    <w:rsid w:val="005C6163"/>
    <w:rsid w:val="005C65AA"/>
    <w:rsid w:val="005D373C"/>
    <w:rsid w:val="005D3C4B"/>
    <w:rsid w:val="005D5852"/>
    <w:rsid w:val="005D661C"/>
    <w:rsid w:val="005E0448"/>
    <w:rsid w:val="005E0799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1B30"/>
    <w:rsid w:val="00642F04"/>
    <w:rsid w:val="0064353E"/>
    <w:rsid w:val="00643D5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7828"/>
    <w:rsid w:val="00697B34"/>
    <w:rsid w:val="006A2E6E"/>
    <w:rsid w:val="006A3DA0"/>
    <w:rsid w:val="006A42BE"/>
    <w:rsid w:val="006A45D9"/>
    <w:rsid w:val="006A5E06"/>
    <w:rsid w:val="006B0E9E"/>
    <w:rsid w:val="006B3156"/>
    <w:rsid w:val="006B42B4"/>
    <w:rsid w:val="006B5AE4"/>
    <w:rsid w:val="006B61EB"/>
    <w:rsid w:val="006B6B35"/>
    <w:rsid w:val="006B6B87"/>
    <w:rsid w:val="006B723D"/>
    <w:rsid w:val="006C1CA4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04D4"/>
    <w:rsid w:val="006E309F"/>
    <w:rsid w:val="006E467E"/>
    <w:rsid w:val="006E6AA7"/>
    <w:rsid w:val="006F24EA"/>
    <w:rsid w:val="006F2ACE"/>
    <w:rsid w:val="006F4664"/>
    <w:rsid w:val="007014FE"/>
    <w:rsid w:val="00702C77"/>
    <w:rsid w:val="00705847"/>
    <w:rsid w:val="00705927"/>
    <w:rsid w:val="007076D2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4B1C"/>
    <w:rsid w:val="00754D5F"/>
    <w:rsid w:val="00755578"/>
    <w:rsid w:val="007555D7"/>
    <w:rsid w:val="0075584B"/>
    <w:rsid w:val="00756C3F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6F54"/>
    <w:rsid w:val="007E7787"/>
    <w:rsid w:val="007F29B4"/>
    <w:rsid w:val="007F324B"/>
    <w:rsid w:val="007F42A2"/>
    <w:rsid w:val="007F75D5"/>
    <w:rsid w:val="00803A45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5B26"/>
    <w:rsid w:val="008B6D65"/>
    <w:rsid w:val="008B79E9"/>
    <w:rsid w:val="008C0C29"/>
    <w:rsid w:val="008C26F5"/>
    <w:rsid w:val="008C515A"/>
    <w:rsid w:val="008C605D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35CA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07349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90"/>
    <w:rsid w:val="00921E34"/>
    <w:rsid w:val="009227A6"/>
    <w:rsid w:val="009229A1"/>
    <w:rsid w:val="00923FD5"/>
    <w:rsid w:val="00924D90"/>
    <w:rsid w:val="00926C25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306A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4486"/>
    <w:rsid w:val="009D78C4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7D5"/>
    <w:rsid w:val="00A32B77"/>
    <w:rsid w:val="00A33D31"/>
    <w:rsid w:val="00A33EEB"/>
    <w:rsid w:val="00A365F4"/>
    <w:rsid w:val="00A36E5B"/>
    <w:rsid w:val="00A37871"/>
    <w:rsid w:val="00A41DE0"/>
    <w:rsid w:val="00A427F7"/>
    <w:rsid w:val="00A42BED"/>
    <w:rsid w:val="00A44B7F"/>
    <w:rsid w:val="00A472B0"/>
    <w:rsid w:val="00A47D80"/>
    <w:rsid w:val="00A51E80"/>
    <w:rsid w:val="00A528C0"/>
    <w:rsid w:val="00A53132"/>
    <w:rsid w:val="00A55519"/>
    <w:rsid w:val="00A563F2"/>
    <w:rsid w:val="00A566E8"/>
    <w:rsid w:val="00A64090"/>
    <w:rsid w:val="00A646C8"/>
    <w:rsid w:val="00A65DA4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B9F"/>
    <w:rsid w:val="00A86ECC"/>
    <w:rsid w:val="00A86FCC"/>
    <w:rsid w:val="00A90129"/>
    <w:rsid w:val="00A93FE5"/>
    <w:rsid w:val="00A95F26"/>
    <w:rsid w:val="00A97F4D"/>
    <w:rsid w:val="00AA0F25"/>
    <w:rsid w:val="00AA5DDE"/>
    <w:rsid w:val="00AA710D"/>
    <w:rsid w:val="00AA7665"/>
    <w:rsid w:val="00AA7F86"/>
    <w:rsid w:val="00AB1115"/>
    <w:rsid w:val="00AB3C32"/>
    <w:rsid w:val="00AB6D25"/>
    <w:rsid w:val="00AB6F24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D1021"/>
    <w:rsid w:val="00AD1D71"/>
    <w:rsid w:val="00AD2499"/>
    <w:rsid w:val="00AD2B0D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5EE8"/>
    <w:rsid w:val="00B2761E"/>
    <w:rsid w:val="00B31CD7"/>
    <w:rsid w:val="00B31E5A"/>
    <w:rsid w:val="00B34829"/>
    <w:rsid w:val="00B42042"/>
    <w:rsid w:val="00B45617"/>
    <w:rsid w:val="00B46E1C"/>
    <w:rsid w:val="00B472A0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311"/>
    <w:rsid w:val="00BA38B6"/>
    <w:rsid w:val="00BA5243"/>
    <w:rsid w:val="00BA6601"/>
    <w:rsid w:val="00BB313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D76"/>
    <w:rsid w:val="00BD7EF1"/>
    <w:rsid w:val="00BE293C"/>
    <w:rsid w:val="00BE3BE6"/>
    <w:rsid w:val="00BE45DB"/>
    <w:rsid w:val="00BE6C16"/>
    <w:rsid w:val="00BF1A84"/>
    <w:rsid w:val="00BF2ECA"/>
    <w:rsid w:val="00BF5E45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6526"/>
    <w:rsid w:val="00C77C0E"/>
    <w:rsid w:val="00C80CE7"/>
    <w:rsid w:val="00C82B1B"/>
    <w:rsid w:val="00C83C61"/>
    <w:rsid w:val="00C84FE4"/>
    <w:rsid w:val="00C851E2"/>
    <w:rsid w:val="00C911BB"/>
    <w:rsid w:val="00C91283"/>
    <w:rsid w:val="00C91687"/>
    <w:rsid w:val="00C924A8"/>
    <w:rsid w:val="00C928B7"/>
    <w:rsid w:val="00C93246"/>
    <w:rsid w:val="00C945FE"/>
    <w:rsid w:val="00C946C0"/>
    <w:rsid w:val="00C969F2"/>
    <w:rsid w:val="00C96FAA"/>
    <w:rsid w:val="00C97A04"/>
    <w:rsid w:val="00CA107B"/>
    <w:rsid w:val="00CA19A3"/>
    <w:rsid w:val="00CA484D"/>
    <w:rsid w:val="00CA5570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58B7"/>
    <w:rsid w:val="00CD7539"/>
    <w:rsid w:val="00CE11A4"/>
    <w:rsid w:val="00CE196D"/>
    <w:rsid w:val="00CE40E1"/>
    <w:rsid w:val="00CE54FD"/>
    <w:rsid w:val="00CE5BBD"/>
    <w:rsid w:val="00CF4099"/>
    <w:rsid w:val="00CF7D75"/>
    <w:rsid w:val="00D006D0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12A6"/>
    <w:rsid w:val="00D75496"/>
    <w:rsid w:val="00D76AA4"/>
    <w:rsid w:val="00D77C69"/>
    <w:rsid w:val="00D81B83"/>
    <w:rsid w:val="00D83231"/>
    <w:rsid w:val="00D8397C"/>
    <w:rsid w:val="00D905A6"/>
    <w:rsid w:val="00D92177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D15E4"/>
    <w:rsid w:val="00DD4319"/>
    <w:rsid w:val="00DD4406"/>
    <w:rsid w:val="00DD44DF"/>
    <w:rsid w:val="00DD67FB"/>
    <w:rsid w:val="00DE17D6"/>
    <w:rsid w:val="00DE35DD"/>
    <w:rsid w:val="00DE5572"/>
    <w:rsid w:val="00DE5656"/>
    <w:rsid w:val="00DE5E99"/>
    <w:rsid w:val="00DF60F9"/>
    <w:rsid w:val="00DF6682"/>
    <w:rsid w:val="00E0020E"/>
    <w:rsid w:val="00E01436"/>
    <w:rsid w:val="00E01656"/>
    <w:rsid w:val="00E0171F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3D90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C71"/>
    <w:rsid w:val="00EB34FA"/>
    <w:rsid w:val="00EB4340"/>
    <w:rsid w:val="00EB556D"/>
    <w:rsid w:val="00EB5A7D"/>
    <w:rsid w:val="00EB7899"/>
    <w:rsid w:val="00EB7EBE"/>
    <w:rsid w:val="00EC0552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AFD"/>
    <w:rsid w:val="00F71D73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96B05"/>
    <w:rsid w:val="00FA130D"/>
    <w:rsid w:val="00FA328D"/>
    <w:rsid w:val="00FA5128"/>
    <w:rsid w:val="00FA65EC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202F"/>
    <w:rsid w:val="00FF2C0B"/>
    <w:rsid w:val="00FF47C4"/>
    <w:rsid w:val="00FF4977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Arkusz1!$B$65:$C$109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Arkusz1!$D$65:$D$109</c:f>
              <c:numCache>
                <c:formatCode>General</c:formatCode>
                <c:ptCount val="45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088322304"/>
        <c:axId val="1088308704"/>
      </c:barChart>
      <c:catAx>
        <c:axId val="1088322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08830870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088308704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8832230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4777006937561795E-3"/>
                  <c:y val="-2.742731760833794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110.7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220417814472883E-2"/>
                      <c:h val="5.70488206253428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2388503468780743E-3"/>
                  <c:y val="-3.839781272541151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6077893582007673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107.4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109.1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105.0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rodz_dział_miesiąc!$BM$4:$BM$12</c:f>
              <c:numCache>
                <c:formatCode>0.0</c:formatCode>
                <c:ptCount val="9"/>
                <c:pt idx="0">
                  <c:v>110.7</c:v>
                </c:pt>
                <c:pt idx="1">
                  <c:v>102.8</c:v>
                </c:pt>
                <c:pt idx="2">
                  <c:v>97.1</c:v>
                </c:pt>
                <c:pt idx="3">
                  <c:v>107.4</c:v>
                </c:pt>
                <c:pt idx="4">
                  <c:v>110.9</c:v>
                </c:pt>
                <c:pt idx="5">
                  <c:v>109.1</c:v>
                </c:pt>
                <c:pt idx="6">
                  <c:v>111.3</c:v>
                </c:pt>
                <c:pt idx="7">
                  <c:v>105</c:v>
                </c:pt>
                <c:pt idx="8">
                  <c:v>98.6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88314144"/>
        <c:axId val="1088310336"/>
      </c:barChart>
      <c:catAx>
        <c:axId val="10883141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08831033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088310336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08831414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9667782323044687E-2"/>
                  <c:y val="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124.4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4.2147018718234786E-2"/>
                  <c:y val="-5.662805662805660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127.1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88322848"/>
        <c:axId val="1088309248"/>
      </c:lineChart>
      <c:catAx>
        <c:axId val="108832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88309248"/>
        <c:crosses val="autoZero"/>
        <c:auto val="1"/>
        <c:lblAlgn val="ctr"/>
        <c:lblOffset val="100"/>
        <c:tickMarkSkip val="12"/>
        <c:noMultiLvlLbl val="0"/>
      </c:catAx>
      <c:valAx>
        <c:axId val="108830924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8832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0.2184</cdr:x>
      <cdr:y>0.15046</cdr:y>
    </cdr:from>
    <cdr:to>
      <cdr:x>0.35398</cdr:x>
      <cdr:y>0.22992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19482" y="522515"/>
          <a:ext cx="694945" cy="2759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104.3</a:t>
          </a:r>
        </a:p>
      </cdr:txBody>
    </cdr:sp>
  </cdr:relSizeAnchor>
  <cdr:relSizeAnchor xmlns:cdr="http://schemas.openxmlformats.org/drawingml/2006/chartDrawing">
    <cdr:from>
      <cdr:x>0.23175</cdr:x>
      <cdr:y>0.22407</cdr:y>
    </cdr:from>
    <cdr:to>
      <cdr:x>0.27958</cdr:x>
      <cdr:y>0.30322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87881" y="778163"/>
          <a:ext cx="245163" cy="2748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0.04579</cdr:x>
      <cdr:y>0.3074</cdr:y>
    </cdr:from>
    <cdr:to>
      <cdr:x>0.95271</cdr:x>
      <cdr:y>0.30945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4707" y="1067543"/>
          <a:ext cx="4648618" cy="71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CAD9D-F428-4CAC-A83C-144107B2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– September 2019</dc:title>
  <dc:creator>GUS</dc:creator>
  <cp:lastPrinted>2019-06-19T13:23:00Z</cp:lastPrinted>
  <dcterms:created xsi:type="dcterms:W3CDTF">2019-10-18T13:17:00Z</dcterms:created>
  <dcterms:modified xsi:type="dcterms:W3CDTF">2019-10-21T06:31:00Z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