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drawings/drawing1.xml" ContentType="application/vnd.openxmlformats-officedocument.drawingml.chartshapes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12FA4D0A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084715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July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40EE154" w:rsidR="00E951FD" w:rsidRPr="005C1756" w:rsidRDefault="00E951F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imports 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 w:rsidR="00231082">
                              <w:rPr>
                                <w:lang w:val="en-US"/>
                              </w:rPr>
                              <w:t xml:space="preserve"> to 105.0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40EE154" w:rsidR="00E951FD" w:rsidRPr="005C1756" w:rsidRDefault="00E951F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imports 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 w:rsidR="00231082">
                        <w:rPr>
                          <w:lang w:val="en-US"/>
                        </w:rPr>
                        <w:t xml:space="preserve"> to 105.0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4D1064DD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6EC22A6A" w:rsidR="00E951FD" w:rsidRPr="00B66B19" w:rsidRDefault="00C247D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55pt;height:25.0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E951F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951F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106.6</w:t>
                            </w:r>
                          </w:p>
                          <w:p w14:paraId="5F87F21C" w14:textId="29B3A0E7" w:rsidR="00E951FD" w:rsidRPr="00690129" w:rsidRDefault="00E951FD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in PLN –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6EC22A6A" w:rsidR="00E951FD" w:rsidRPr="00B66B19" w:rsidRDefault="00E951F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55pt;height:25.0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106.6</w:t>
                      </w:r>
                    </w:p>
                    <w:p w14:paraId="5F87F21C" w14:textId="29B3A0E7" w:rsidR="00E951FD" w:rsidRPr="00690129" w:rsidRDefault="00E951FD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in PLN –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084715">
        <w:rPr>
          <w:lang w:val="en-US"/>
        </w:rPr>
        <w:t>July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084715">
        <w:rPr>
          <w:rFonts w:cs="Arial"/>
          <w:bCs/>
          <w:color w:val="000000"/>
          <w:lang w:val="en-US"/>
        </w:rPr>
        <w:t>578.5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084715">
        <w:rPr>
          <w:rFonts w:cs="Arial"/>
          <w:lang w:val="en-US"/>
        </w:rPr>
        <w:t>, w</w:t>
      </w:r>
      <w:r w:rsidR="00231082">
        <w:rPr>
          <w:rFonts w:cs="Arial"/>
          <w:lang w:val="en-US"/>
        </w:rPr>
        <w:t>hile imports amounted to PLN 579,2</w:t>
      </w:r>
      <w:r w:rsidR="00BB0D60">
        <w:rPr>
          <w:rFonts w:cs="Arial"/>
          <w:bCs/>
          <w:color w:val="000000"/>
          <w:lang w:val="en-US"/>
        </w:rPr>
        <w:t xml:space="preserve">.8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371FAC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231082">
        <w:rPr>
          <w:rFonts w:cs="Arial"/>
          <w:spacing w:val="-3"/>
          <w:lang w:val="en-US"/>
        </w:rPr>
        <w:t>0.7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7A4BFA">
        <w:rPr>
          <w:rFonts w:cs="Arial"/>
          <w:spacing w:val="-3"/>
          <w:lang w:val="en-US"/>
        </w:rPr>
        <w:t>8.8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71FAC">
        <w:rPr>
          <w:lang w:val="en-US"/>
        </w:rPr>
        <w:t>6</w:t>
      </w:r>
      <w:r w:rsidR="00BB0D60">
        <w:rPr>
          <w:lang w:val="en-US"/>
        </w:rPr>
        <w:t>.6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231082">
        <w:rPr>
          <w:rFonts w:cs="Arial"/>
          <w:lang w:val="en-US"/>
        </w:rPr>
        <w:t>5.0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E951FD" w:rsidRPr="00070820" w:rsidRDefault="00E951F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E951FD" w:rsidRPr="00070820" w:rsidRDefault="00E951F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748799CB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97574">
        <w:rPr>
          <w:rFonts w:cs="Arial"/>
          <w:bCs/>
          <w:color w:val="000000"/>
          <w:szCs w:val="19"/>
          <w:lang w:val="en-US"/>
        </w:rPr>
        <w:t>152.3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597574">
        <w:rPr>
          <w:rFonts w:cs="Arial"/>
          <w:bCs/>
          <w:color w:val="000000"/>
          <w:szCs w:val="19"/>
          <w:lang w:val="en-US"/>
        </w:rPr>
        <w:t>152</w:t>
      </w:r>
      <w:r w:rsidR="00073888">
        <w:rPr>
          <w:rFonts w:cs="Arial"/>
          <w:bCs/>
          <w:color w:val="000000"/>
          <w:szCs w:val="19"/>
          <w:lang w:val="en-US"/>
        </w:rPr>
        <w:t>.5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97574">
        <w:rPr>
          <w:rFonts w:cs="Arial"/>
          <w:spacing w:val="-3"/>
          <w:szCs w:val="19"/>
          <w:lang w:val="en-US"/>
        </w:rPr>
        <w:t>1</w:t>
      </w:r>
      <w:r w:rsidR="00073888">
        <w:rPr>
          <w:rFonts w:cs="Arial"/>
          <w:spacing w:val="-3"/>
          <w:szCs w:val="19"/>
          <w:lang w:val="en-US"/>
        </w:rPr>
        <w:t>.8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597574">
        <w:rPr>
          <w:rFonts w:cs="Arial"/>
          <w:spacing w:val="-3"/>
          <w:szCs w:val="19"/>
          <w:lang w:val="en-US"/>
        </w:rPr>
        <w:t>3.3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9266E8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597574">
        <w:rPr>
          <w:rFonts w:cs="Arial"/>
          <w:bCs/>
          <w:color w:val="000000"/>
          <w:szCs w:val="19"/>
          <w:lang w:val="en-US"/>
        </w:rPr>
        <w:t>0</w:t>
      </w:r>
      <w:r w:rsidR="00073888">
        <w:rPr>
          <w:rFonts w:cs="Arial"/>
          <w:bCs/>
          <w:color w:val="000000"/>
          <w:szCs w:val="19"/>
          <w:lang w:val="en-US"/>
        </w:rPr>
        <w:t>.2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2</w:t>
      </w:r>
      <w:r w:rsidR="004751A6">
        <w:rPr>
          <w:rFonts w:cs="Arial"/>
          <w:szCs w:val="19"/>
          <w:lang w:val="en-US"/>
        </w:rPr>
        <w:t>.</w:t>
      </w:r>
      <w:r w:rsidR="00073888">
        <w:rPr>
          <w:rFonts w:cs="Arial"/>
          <w:szCs w:val="19"/>
          <w:lang w:val="en-US"/>
        </w:rPr>
        <w:t>5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1A7CE4EF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0A6C2C">
        <w:rPr>
          <w:rFonts w:cs="Arial"/>
          <w:spacing w:val="-3"/>
          <w:szCs w:val="19"/>
          <w:lang w:val="en-US"/>
        </w:rPr>
        <w:t xml:space="preserve"> </w:t>
      </w:r>
      <w:r w:rsidR="00780F6B">
        <w:rPr>
          <w:rFonts w:cs="Arial"/>
          <w:szCs w:val="19"/>
          <w:lang w:val="en-US"/>
        </w:rPr>
        <w:t>134.8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597574">
        <w:rPr>
          <w:rFonts w:cs="Arial"/>
          <w:bCs/>
          <w:color w:val="000000"/>
          <w:szCs w:val="19"/>
          <w:lang w:val="en-US"/>
        </w:rPr>
        <w:t>134.9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36A9B">
        <w:rPr>
          <w:rFonts w:cs="Arial"/>
          <w:szCs w:val="19"/>
          <w:lang w:val="en-US"/>
        </w:rPr>
        <w:t>4.8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97574">
        <w:rPr>
          <w:rFonts w:cs="Arial"/>
          <w:szCs w:val="19"/>
          <w:lang w:val="en-US"/>
        </w:rPr>
        <w:t>3.2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F7129">
        <w:rPr>
          <w:rFonts w:cs="Arial"/>
          <w:szCs w:val="19"/>
          <w:lang w:val="en-US"/>
        </w:rPr>
        <w:t>negative</w:t>
      </w:r>
      <w:r w:rsidR="007405D5" w:rsidRPr="00070820">
        <w:rPr>
          <w:rFonts w:cs="Arial"/>
          <w:szCs w:val="19"/>
          <w:lang w:val="en-US"/>
        </w:rPr>
        <w:t xml:space="preserve"> balance reached the level of EUR </w:t>
      </w:r>
      <w:r w:rsidR="00687A56">
        <w:rPr>
          <w:rFonts w:cs="Arial"/>
          <w:bCs/>
          <w:color w:val="000000"/>
          <w:szCs w:val="19"/>
          <w:lang w:val="en-US"/>
        </w:rPr>
        <w:t>0.1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E36A9B">
        <w:rPr>
          <w:rFonts w:cs="Arial"/>
          <w:szCs w:val="19"/>
          <w:lang w:val="en-US"/>
        </w:rPr>
        <w:t>2.1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E951FD" w:rsidRPr="00F63B71" w:rsidRDefault="00E951F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E951FD" w:rsidRPr="00F63B71" w:rsidRDefault="00E951F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E951FD" w:rsidRPr="00F63B71" w:rsidRDefault="00E951F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E951FD" w:rsidRPr="00F63B71" w:rsidRDefault="00E951F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0E279798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7</w:t>
      </w:r>
      <w:r w:rsidR="00FB5129">
        <w:rPr>
          <w:rFonts w:cs="Arial"/>
          <w:color w:val="222222"/>
          <w:szCs w:val="19"/>
          <w:lang w:val="en"/>
        </w:rPr>
        <w:t>.</w:t>
      </w:r>
      <w:r w:rsidR="00316995">
        <w:rPr>
          <w:rFonts w:cs="Arial"/>
          <w:color w:val="222222"/>
          <w:szCs w:val="19"/>
          <w:lang w:val="en"/>
        </w:rPr>
        <w:t>0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316995">
        <w:rPr>
          <w:rFonts w:cs="Arial"/>
          <w:color w:val="222222"/>
          <w:szCs w:val="19"/>
          <w:lang w:val="en"/>
        </w:rPr>
        <w:t>79.9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341FC0">
        <w:rPr>
          <w:rFonts w:cs="Arial"/>
          <w:color w:val="222222"/>
          <w:szCs w:val="19"/>
          <w:lang w:val="en"/>
        </w:rPr>
        <w:t>6.</w:t>
      </w:r>
      <w:r w:rsidR="009405E9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C64CE0">
        <w:rPr>
          <w:rFonts w:cs="Arial"/>
          <w:color w:val="222222"/>
          <w:szCs w:val="19"/>
          <w:lang w:val="en"/>
        </w:rPr>
        <w:t>8.</w:t>
      </w:r>
      <w:r w:rsidR="009405E9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316995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9405E9">
        <w:rPr>
          <w:rFonts w:cs="Arial"/>
          <w:color w:val="222222"/>
          <w:szCs w:val="19"/>
          <w:lang w:val="en"/>
        </w:rPr>
        <w:t>.7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316995">
        <w:rPr>
          <w:rFonts w:cs="Arial"/>
          <w:color w:val="222222"/>
          <w:szCs w:val="19"/>
          <w:lang w:val="en"/>
        </w:rPr>
        <w:t>7.1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9405E9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316995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316995">
        <w:rPr>
          <w:shd w:val="clear" w:color="auto" w:fill="FFFFFF"/>
          <w:lang w:val="en-US"/>
        </w:rPr>
        <w:t>7.7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316995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316995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 xml:space="preserve">– </w:t>
      </w:r>
      <w:r w:rsidR="00316995">
        <w:rPr>
          <w:shd w:val="clear" w:color="auto" w:fill="FFFFFF"/>
          <w:lang w:val="en-US"/>
        </w:rPr>
        <w:t>July</w:t>
      </w:r>
      <w:r w:rsidR="005249BC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4662BAA8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EB625C">
        <w:rPr>
          <w:rFonts w:cs="Arial"/>
          <w:spacing w:val="-3"/>
          <w:lang w:val="en-US"/>
        </w:rPr>
        <w:t>108.6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EB625C">
        <w:rPr>
          <w:rFonts w:cs="Arial"/>
          <w:spacing w:val="-3"/>
          <w:lang w:val="en-US"/>
        </w:rPr>
        <w:t>28.6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EB625C">
        <w:rPr>
          <w:rFonts w:cs="Arial"/>
          <w:spacing w:val="-3"/>
          <w:lang w:val="en-US"/>
        </w:rPr>
        <w:t>25.3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EB625C">
        <w:rPr>
          <w:rFonts w:cs="Arial"/>
          <w:spacing w:val="-3"/>
          <w:lang w:val="en-US"/>
        </w:rPr>
        <w:t>10.9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EB625C">
        <w:rPr>
          <w:rFonts w:cs="Arial"/>
          <w:spacing w:val="-3"/>
          <w:lang w:val="en-US"/>
        </w:rPr>
        <w:t>2.8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EB625C">
        <w:rPr>
          <w:rFonts w:cs="Arial"/>
          <w:spacing w:val="-3"/>
          <w:lang w:val="en-US"/>
        </w:rPr>
        <w:t>2.6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FD6CA6">
        <w:rPr>
          <w:rFonts w:cs="Arial"/>
          <w:spacing w:val="-3"/>
          <w:lang w:val="en-US"/>
        </w:rPr>
        <w:t>developed countries PLN 118.7</w:t>
      </w:r>
      <w:r w:rsidR="006D5E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FD6CA6">
        <w:rPr>
          <w:rFonts w:cs="Arial"/>
          <w:color w:val="000000"/>
          <w:lang w:val="en-US"/>
        </w:rPr>
        <w:t>31</w:t>
      </w:r>
      <w:r w:rsidR="00EB625C">
        <w:rPr>
          <w:rFonts w:cs="Arial"/>
          <w:color w:val="000000"/>
          <w:lang w:val="en-US"/>
        </w:rPr>
        <w:t>.3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D6CA6">
        <w:rPr>
          <w:rFonts w:cs="Arial"/>
          <w:color w:val="000000"/>
          <w:lang w:val="en-US"/>
        </w:rPr>
        <w:t>27.7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D6CA6">
        <w:rPr>
          <w:rFonts w:cs="Arial"/>
          <w:color w:val="000000"/>
          <w:lang w:val="en-US"/>
        </w:rPr>
        <w:t>122.4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FD6CA6">
        <w:rPr>
          <w:rFonts w:cs="Arial"/>
          <w:color w:val="000000"/>
          <w:lang w:val="en-US"/>
        </w:rPr>
        <w:t>32.2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FD6CA6">
        <w:rPr>
          <w:rFonts w:cs="Arial"/>
          <w:spacing w:val="-3"/>
          <w:lang w:val="en-US"/>
        </w:rPr>
        <w:t>28.5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3CA5BE7C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656E9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3D896740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656E9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5B4AD1AC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656E99">
              <w:rPr>
                <w:rFonts w:cs="Arial"/>
                <w:sz w:val="16"/>
                <w:szCs w:val="16"/>
              </w:rPr>
              <w:t>I</w:t>
            </w:r>
            <w:r w:rsidR="004629F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27F43" w:rsidRPr="00E33A76" w14:paraId="06688809" w14:textId="77777777" w:rsidTr="00EB625C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C27F43" w:rsidRPr="00E33A76" w:rsidRDefault="00C27F43" w:rsidP="00C27F4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12" w:space="0" w:color="001D77"/>
            </w:tcBorders>
          </w:tcPr>
          <w:p w14:paraId="4CBA10B0" w14:textId="2D2C28A8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578.5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191EFCD1" w14:textId="030AD5BC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152.3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54D59F56" w14:textId="58725702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134.8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224E960A" w14:textId="282FA21B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106.6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3BDEB169" w14:textId="081ED6CA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98.2</w:t>
            </w:r>
          </w:p>
        </w:tc>
        <w:tc>
          <w:tcPr>
            <w:tcW w:w="666" w:type="dxa"/>
            <w:tcBorders>
              <w:top w:val="single" w:sz="12" w:space="0" w:color="001D77"/>
            </w:tcBorders>
          </w:tcPr>
          <w:p w14:paraId="6948D053" w14:textId="2BA24701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104.8</w:t>
            </w:r>
          </w:p>
        </w:tc>
        <w:tc>
          <w:tcPr>
            <w:tcW w:w="656" w:type="dxa"/>
            <w:tcBorders>
              <w:top w:val="single" w:sz="12" w:space="0" w:color="001D77"/>
            </w:tcBorders>
          </w:tcPr>
          <w:p w14:paraId="296CEF6C" w14:textId="6629A0FE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</w:tcPr>
          <w:p w14:paraId="5329D1F5" w14:textId="5FFAAB19" w:rsidR="00C27F43" w:rsidRPr="00B810CA" w:rsidRDefault="00C27F43" w:rsidP="00C27F4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0CA">
              <w:rPr>
                <w:b/>
                <w:sz w:val="16"/>
                <w:szCs w:val="16"/>
              </w:rPr>
              <w:t>100.0</w:t>
            </w:r>
          </w:p>
        </w:tc>
      </w:tr>
      <w:tr w:rsidR="00C27F43" w:rsidRPr="00E33A76" w14:paraId="6B89E630" w14:textId="77777777" w:rsidTr="00EB625C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C27F43" w:rsidRPr="00E33A76" w:rsidRDefault="00C27F43" w:rsidP="00C27F4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34581499" w14:textId="6AA54A13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503.2</w:t>
            </w:r>
          </w:p>
        </w:tc>
        <w:tc>
          <w:tcPr>
            <w:tcW w:w="717" w:type="dxa"/>
          </w:tcPr>
          <w:p w14:paraId="321B0C79" w14:textId="3E7585E7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132.5</w:t>
            </w:r>
          </w:p>
        </w:tc>
        <w:tc>
          <w:tcPr>
            <w:tcW w:w="717" w:type="dxa"/>
          </w:tcPr>
          <w:p w14:paraId="52BA3E18" w14:textId="0DB6E11A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117.2</w:t>
            </w:r>
          </w:p>
        </w:tc>
        <w:tc>
          <w:tcPr>
            <w:tcW w:w="717" w:type="dxa"/>
          </w:tcPr>
          <w:p w14:paraId="4DED0B24" w14:textId="10B9F68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106.1</w:t>
            </w:r>
          </w:p>
        </w:tc>
        <w:tc>
          <w:tcPr>
            <w:tcW w:w="717" w:type="dxa"/>
          </w:tcPr>
          <w:p w14:paraId="19D1378D" w14:textId="69EFF1C3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97.8</w:t>
            </w:r>
          </w:p>
        </w:tc>
        <w:tc>
          <w:tcPr>
            <w:tcW w:w="666" w:type="dxa"/>
          </w:tcPr>
          <w:p w14:paraId="0A4CDD0A" w14:textId="5AFF15C7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104.3</w:t>
            </w:r>
          </w:p>
        </w:tc>
        <w:tc>
          <w:tcPr>
            <w:tcW w:w="656" w:type="dxa"/>
          </w:tcPr>
          <w:p w14:paraId="41C880AE" w14:textId="3E982663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87.3</w:t>
            </w:r>
          </w:p>
        </w:tc>
        <w:tc>
          <w:tcPr>
            <w:tcW w:w="648" w:type="dxa"/>
          </w:tcPr>
          <w:p w14:paraId="43FD67F4" w14:textId="627627FE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87.0</w:t>
            </w:r>
          </w:p>
        </w:tc>
      </w:tr>
      <w:tr w:rsidR="00C27F43" w:rsidRPr="00E33A76" w14:paraId="39EF0974" w14:textId="77777777" w:rsidTr="00EB625C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C27F43" w:rsidRPr="00E33A76" w:rsidRDefault="00C27F43" w:rsidP="00C27F4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44C43724" w14:textId="2DFE49A8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462.3</w:t>
            </w:r>
          </w:p>
        </w:tc>
        <w:tc>
          <w:tcPr>
            <w:tcW w:w="717" w:type="dxa"/>
          </w:tcPr>
          <w:p w14:paraId="36843C17" w14:textId="6AB40F99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121.8</w:t>
            </w:r>
          </w:p>
        </w:tc>
        <w:tc>
          <w:tcPr>
            <w:tcW w:w="717" w:type="dxa"/>
          </w:tcPr>
          <w:p w14:paraId="0A021A4C" w14:textId="3126EFB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107.7</w:t>
            </w:r>
          </w:p>
        </w:tc>
        <w:tc>
          <w:tcPr>
            <w:tcW w:w="717" w:type="dxa"/>
          </w:tcPr>
          <w:p w14:paraId="0DB78438" w14:textId="2FCEF6DD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105.5</w:t>
            </w:r>
          </w:p>
        </w:tc>
        <w:tc>
          <w:tcPr>
            <w:tcW w:w="717" w:type="dxa"/>
          </w:tcPr>
          <w:p w14:paraId="54580B12" w14:textId="2AC3718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97.2</w:t>
            </w:r>
          </w:p>
        </w:tc>
        <w:tc>
          <w:tcPr>
            <w:tcW w:w="666" w:type="dxa"/>
          </w:tcPr>
          <w:p w14:paraId="50AD8A41" w14:textId="1FF7075A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103.7</w:t>
            </w:r>
          </w:p>
        </w:tc>
        <w:tc>
          <w:tcPr>
            <w:tcW w:w="656" w:type="dxa"/>
          </w:tcPr>
          <w:p w14:paraId="2C9DBBDA" w14:textId="0B433CBA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80.7</w:t>
            </w:r>
          </w:p>
        </w:tc>
        <w:tc>
          <w:tcPr>
            <w:tcW w:w="648" w:type="dxa"/>
          </w:tcPr>
          <w:p w14:paraId="3A3C64AD" w14:textId="3C77EF42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79.9</w:t>
            </w:r>
          </w:p>
        </w:tc>
      </w:tr>
      <w:tr w:rsidR="00C27F43" w:rsidRPr="00E33A76" w14:paraId="066B357C" w14:textId="77777777" w:rsidTr="00EB625C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C27F43" w:rsidRPr="00E33A76" w:rsidRDefault="00C27F43" w:rsidP="00C27F4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1F514E36" w14:textId="27FB0088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333.3</w:t>
            </w:r>
          </w:p>
        </w:tc>
        <w:tc>
          <w:tcPr>
            <w:tcW w:w="717" w:type="dxa"/>
          </w:tcPr>
          <w:p w14:paraId="0D323268" w14:textId="16710369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87.8</w:t>
            </w:r>
          </w:p>
        </w:tc>
        <w:tc>
          <w:tcPr>
            <w:tcW w:w="717" w:type="dxa"/>
          </w:tcPr>
          <w:p w14:paraId="59C46984" w14:textId="76D15FD9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77.7</w:t>
            </w:r>
          </w:p>
        </w:tc>
        <w:tc>
          <w:tcPr>
            <w:tcW w:w="717" w:type="dxa"/>
          </w:tcPr>
          <w:p w14:paraId="5F10CD76" w14:textId="76D70150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105.4</w:t>
            </w:r>
          </w:p>
        </w:tc>
        <w:tc>
          <w:tcPr>
            <w:tcW w:w="717" w:type="dxa"/>
          </w:tcPr>
          <w:p w14:paraId="22A6FFE9" w14:textId="7020AD13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97.2</w:t>
            </w:r>
          </w:p>
        </w:tc>
        <w:tc>
          <w:tcPr>
            <w:tcW w:w="666" w:type="dxa"/>
          </w:tcPr>
          <w:p w14:paraId="7BB45187" w14:textId="0392485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103.7</w:t>
            </w:r>
          </w:p>
        </w:tc>
        <w:tc>
          <w:tcPr>
            <w:tcW w:w="656" w:type="dxa"/>
          </w:tcPr>
          <w:p w14:paraId="4FA8979C" w14:textId="5EC45E9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58.2</w:t>
            </w:r>
          </w:p>
        </w:tc>
        <w:tc>
          <w:tcPr>
            <w:tcW w:w="648" w:type="dxa"/>
          </w:tcPr>
          <w:p w14:paraId="11CD2759" w14:textId="5AC43B68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57.6</w:t>
            </w:r>
          </w:p>
        </w:tc>
      </w:tr>
      <w:tr w:rsidR="00C27F43" w:rsidRPr="00E33A76" w14:paraId="767291CB" w14:textId="77777777" w:rsidTr="00EB625C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C27F43" w:rsidRPr="00E33A76" w:rsidRDefault="00C27F43" w:rsidP="00C27F4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57E88F6A" w14:textId="59ECB962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41.3</w:t>
            </w:r>
          </w:p>
        </w:tc>
        <w:tc>
          <w:tcPr>
            <w:tcW w:w="717" w:type="dxa"/>
          </w:tcPr>
          <w:p w14:paraId="0FD2CD79" w14:textId="734B0B2C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10.9</w:t>
            </w:r>
          </w:p>
        </w:tc>
        <w:tc>
          <w:tcPr>
            <w:tcW w:w="717" w:type="dxa"/>
          </w:tcPr>
          <w:p w14:paraId="25214704" w14:textId="7C6AF725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9.6</w:t>
            </w:r>
          </w:p>
        </w:tc>
        <w:tc>
          <w:tcPr>
            <w:tcW w:w="717" w:type="dxa"/>
          </w:tcPr>
          <w:p w14:paraId="08AE36CE" w14:textId="1FA7BEA0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107.7</w:t>
            </w:r>
          </w:p>
        </w:tc>
        <w:tc>
          <w:tcPr>
            <w:tcW w:w="717" w:type="dxa"/>
          </w:tcPr>
          <w:p w14:paraId="1E7921DA" w14:textId="5CEE0ED0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99.3</w:t>
            </w:r>
          </w:p>
        </w:tc>
        <w:tc>
          <w:tcPr>
            <w:tcW w:w="666" w:type="dxa"/>
          </w:tcPr>
          <w:p w14:paraId="281477B2" w14:textId="30C5C5A0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105.9</w:t>
            </w:r>
          </w:p>
        </w:tc>
        <w:tc>
          <w:tcPr>
            <w:tcW w:w="656" w:type="dxa"/>
          </w:tcPr>
          <w:p w14:paraId="3440B6CA" w14:textId="37862A70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7.1</w:t>
            </w:r>
          </w:p>
        </w:tc>
        <w:tc>
          <w:tcPr>
            <w:tcW w:w="648" w:type="dxa"/>
          </w:tcPr>
          <w:p w14:paraId="31B13608" w14:textId="5569AACD" w:rsidR="00C27F43" w:rsidRPr="00C27F43" w:rsidRDefault="00C27F43" w:rsidP="00C27F4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7.1</w:t>
            </w:r>
          </w:p>
        </w:tc>
      </w:tr>
      <w:tr w:rsidR="00C27F43" w:rsidRPr="00E33A76" w14:paraId="4EB8BF14" w14:textId="77777777" w:rsidTr="00EB625C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C27F43" w:rsidRPr="00890348" w:rsidRDefault="00C27F43" w:rsidP="00C27F4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</w:tcPr>
          <w:p w14:paraId="2BD4E253" w14:textId="5C2DBA6B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34.0</w:t>
            </w:r>
          </w:p>
        </w:tc>
        <w:tc>
          <w:tcPr>
            <w:tcW w:w="717" w:type="dxa"/>
          </w:tcPr>
          <w:p w14:paraId="20FB55AF" w14:textId="2AFA4749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9.0</w:t>
            </w:r>
          </w:p>
        </w:tc>
        <w:tc>
          <w:tcPr>
            <w:tcW w:w="717" w:type="dxa"/>
          </w:tcPr>
          <w:p w14:paraId="6512D1A5" w14:textId="750FE57A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7.9</w:t>
            </w:r>
          </w:p>
        </w:tc>
        <w:tc>
          <w:tcPr>
            <w:tcW w:w="717" w:type="dxa"/>
          </w:tcPr>
          <w:p w14:paraId="1E019430" w14:textId="1710C597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112.3</w:t>
            </w:r>
          </w:p>
        </w:tc>
        <w:tc>
          <w:tcPr>
            <w:tcW w:w="717" w:type="dxa"/>
          </w:tcPr>
          <w:p w14:paraId="3D9EC8D5" w14:textId="2F1C72E1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103.6</w:t>
            </w:r>
          </w:p>
        </w:tc>
        <w:tc>
          <w:tcPr>
            <w:tcW w:w="666" w:type="dxa"/>
          </w:tcPr>
          <w:p w14:paraId="0F8B7397" w14:textId="6CF9D221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110.5</w:t>
            </w:r>
          </w:p>
        </w:tc>
        <w:tc>
          <w:tcPr>
            <w:tcW w:w="656" w:type="dxa"/>
          </w:tcPr>
          <w:p w14:paraId="73DE2405" w14:textId="46A40D58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5.6</w:t>
            </w:r>
          </w:p>
        </w:tc>
        <w:tc>
          <w:tcPr>
            <w:tcW w:w="648" w:type="dxa"/>
          </w:tcPr>
          <w:p w14:paraId="2C18CE8D" w14:textId="17FF7524" w:rsidR="00C27F43" w:rsidRPr="00C27F43" w:rsidRDefault="00C27F43" w:rsidP="00C27F4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7F43">
              <w:rPr>
                <w:sz w:val="16"/>
                <w:szCs w:val="16"/>
              </w:rPr>
              <w:t>5.9</w:t>
            </w:r>
          </w:p>
        </w:tc>
      </w:tr>
      <w:tr w:rsidR="00B810CA" w:rsidRPr="00E33A76" w14:paraId="36646F42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B810CA" w:rsidRPr="00A00ADB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363CAE" w14:textId="2ACE31F2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579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C2A040" w14:textId="2B5B000C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8A8434" w14:textId="50E8F8F7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FE95A8" w14:textId="70027FDD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C034E9" w14:textId="5E8BA477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BA912E" w14:textId="35735DDB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6076F2" w14:textId="460AB8FB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CBFD53E" w14:textId="2921986F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C4E4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810CA" w:rsidRPr="00E33A76" w14:paraId="0F995433" w14:textId="77777777" w:rsidTr="00517A17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75E625" w14:textId="4AF148DB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384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0B1299" w14:textId="7504D255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56CD8" w14:textId="647854B8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BD7E92" w14:textId="616FAC4D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C5F2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AD9AA8" w14:textId="585E407E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12DCEB" w14:textId="63D87A41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224ED" w14:textId="0E7862C2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83F4DD2" w14:textId="07F976A1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810CA" w:rsidRPr="00E33A76" w14:paraId="7EB0801D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B810CA" w:rsidRPr="00E33A76" w:rsidRDefault="00B810CA" w:rsidP="00B810C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8EF38F" w14:textId="680580B8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339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2263C7" w14:textId="3816C010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5AB74A" w14:textId="456D8075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365E3D" w14:textId="511DC7AB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C5F2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CA0128" w14:textId="534E4476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9B41CF" w14:textId="6B13B20B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3879B7" w14:textId="044524CD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FA24151" w14:textId="2AF8FE82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58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B810CA" w:rsidRPr="00E33A76" w14:paraId="513DAB61" w14:textId="77777777" w:rsidTr="00517A17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1F847F" w14:textId="50DCE19D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270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2AE809" w14:textId="4B20B83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146A53" w14:textId="6F075DEA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3FCFD0" w14:textId="19438C40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C5F2F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C5F2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143A5A" w14:textId="6E17ABE6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0F55BA" w14:textId="021DADE3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26CCF">
              <w:rPr>
                <w:rFonts w:cs="Calibri"/>
                <w:sz w:val="16"/>
                <w:szCs w:val="16"/>
              </w:rPr>
              <w:t>100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26CC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58A1E7" w14:textId="0CC6FCD8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647F2E2" w14:textId="2072122C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B810CA" w:rsidRPr="00E33A76" w14:paraId="2790172D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3EBE51" w14:textId="70FF74CA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1826DA" w14:textId="4246FD23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977C18" w14:textId="561812C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808B25" w14:textId="0A8CA8DA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66EFE5" w14:textId="2FF39BD0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0DFBC9" w14:textId="2410AD2F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10E76" w14:textId="14FC3AC2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2148070" w14:textId="23FBB75E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F6FF1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F6FF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B810CA" w:rsidRPr="00E33A76" w14:paraId="6749B596" w14:textId="77777777" w:rsidTr="00517A17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B810CA" w:rsidRPr="00B810CA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B810CA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89397F" w14:textId="0DB87CB2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44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6FB493" w14:textId="50611797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6F338E" w14:textId="30D542E3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19CBB8" w14:textId="738964AF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A91283" w14:textId="09580DD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37D5B4" w14:textId="1F4B3B0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0E1103" w14:textId="0CAACB95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6AF89E4" w14:textId="279848BA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</w:tr>
      <w:tr w:rsidR="00B810CA" w:rsidRPr="00E33A76" w14:paraId="351B257A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854870" w14:textId="3BAF7D83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38CD99" w14:textId="77CDDB2A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34496A" w14:textId="3C5F4BF6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F13163" w14:textId="30B2104F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00808C" w14:textId="3A286A5C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50760B" w14:textId="3B852616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CD4F25" w14:textId="7E12EB96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06245C3" w14:textId="36E4D247" w:rsidR="00B810CA" w:rsidRPr="00C27F43" w:rsidRDefault="00B810CA" w:rsidP="00B810C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810CA" w:rsidRPr="00E33A76" w14:paraId="344E1F56" w14:textId="77777777" w:rsidTr="00517A17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E6F3DD" w14:textId="14C9B20E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2662F0" w14:textId="2E3779F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AE828E" w14:textId="5721DE50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D354AF" w14:textId="33CD5D7D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6481E9" w14:textId="6888570E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D8944C" w14:textId="51809B56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BDFA7B" w14:textId="4DD4179F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93F1679" w14:textId="5C9AFF62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810CA" w:rsidRPr="00E33A76" w14:paraId="37F96AF5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B810CA" w:rsidRPr="00E33A76" w:rsidRDefault="00B810CA" w:rsidP="00B810C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7A8545" w14:textId="2E4E68E9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1F90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61F9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7722C" w14:textId="6936DF3A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C3CE1C" w14:textId="24B84F80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C6F6FD" w14:textId="3C54D01D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FE3AA0" w14:textId="1CC0BE08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1BE97D" w14:textId="2946F60D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92053" w14:textId="225A0C98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5B9E7AB" w14:textId="73A1DBB6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810CA" w:rsidRPr="00E33A76" w14:paraId="624FC381" w14:textId="77777777" w:rsidTr="00517A17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B98746" w14:textId="0A1C0226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62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8774B4" w14:textId="498084B4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94E2FF" w14:textId="76E460F6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A4604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A460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D54705" w14:textId="2E74FBA2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128AB9" w14:textId="58E642BA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09115" w14:textId="149AC159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AA9D1B" w14:textId="0FF83CC4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25A03C7" w14:textId="413FDEFB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810CA" w:rsidRPr="00E33A76" w14:paraId="420AD7C8" w14:textId="77777777" w:rsidTr="00517A17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B810CA" w:rsidRPr="00E33A76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42EE06" w14:textId="77C195D5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B22C48" w14:textId="43A5D2AB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59804D" w14:textId="67C78A3B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BE204" w14:textId="2F547A3B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3A7756" w14:textId="56E1EFB7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010DD1" w14:textId="34B627DB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7BA9DE" w14:textId="4B23D75F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C30AA88" w14:textId="390A370C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810CA" w:rsidRPr="00E33A76" w14:paraId="6E52CC66" w14:textId="77777777" w:rsidTr="00517A17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B810CA" w:rsidRPr="00B810CA" w:rsidRDefault="00B810CA" w:rsidP="00B810C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B810CA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8E71503" w14:textId="71ED9AFF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41DC072" w14:textId="5A761893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6CC3A2" w14:textId="46F11F25" w:rsidR="00B810CA" w:rsidRPr="00C27F43" w:rsidRDefault="00B810CA" w:rsidP="00B810C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-2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91FF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B99FF2F" w14:textId="0B81BF39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DF860A" w14:textId="0B919A38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32610EA" w14:textId="6BD605C5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663AE68" w14:textId="0CA855F3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6BDF9" w14:textId="30F5F6A9" w:rsidR="00B810CA" w:rsidRPr="00C27F43" w:rsidRDefault="00B810CA" w:rsidP="00B810C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91FF3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E951FD" w:rsidRPr="003F7B61" w:rsidRDefault="00E951F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E951FD" w:rsidRPr="003F7B61" w:rsidRDefault="00E951F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E951FD" w:rsidRPr="003F7B61" w:rsidRDefault="00E951F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E951FD" w:rsidRPr="003F7B61" w:rsidRDefault="00E951F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4014449E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B60288">
        <w:rPr>
          <w:lang w:val="en-US"/>
        </w:rPr>
        <w:t xml:space="preserve">January – </w:t>
      </w:r>
      <w:r w:rsidR="00BF09A1">
        <w:rPr>
          <w:lang w:val="en-US"/>
        </w:rPr>
        <w:t>July</w:t>
      </w:r>
      <w:r w:rsidR="00B60288"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Pr="001A33F3">
        <w:rPr>
          <w:rFonts w:cs="Arial"/>
          <w:lang w:val="en-US"/>
        </w:rPr>
        <w:t xml:space="preserve"> there was an increase in </w:t>
      </w:r>
      <w:r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AE452D">
        <w:rPr>
          <w:rFonts w:cs="Arial"/>
          <w:szCs w:val="19"/>
          <w:lang w:val="en-US"/>
        </w:rPr>
        <w:t>rom</w:t>
      </w:r>
      <w:r w:rsidR="003D6436">
        <w:rPr>
          <w:rFonts w:cs="Arial"/>
          <w:szCs w:val="19"/>
          <w:lang w:val="en-US"/>
        </w:rPr>
        <w:t xml:space="preserve"> </w:t>
      </w:r>
      <w:r w:rsidR="00B60288">
        <w:rPr>
          <w:rFonts w:cs="Arial"/>
          <w:color w:val="222222"/>
          <w:szCs w:val="19"/>
          <w:lang w:val="en"/>
        </w:rPr>
        <w:t>China</w:t>
      </w:r>
      <w:r w:rsidR="00AE452D">
        <w:rPr>
          <w:rFonts w:cs="Arial"/>
          <w:color w:val="222222"/>
          <w:szCs w:val="19"/>
          <w:lang w:val="en"/>
        </w:rPr>
        <w:t>,</w:t>
      </w:r>
      <w:r w:rsidR="00B60288">
        <w:rPr>
          <w:rFonts w:cs="Arial"/>
          <w:color w:val="222222"/>
          <w:szCs w:val="19"/>
          <w:lang w:val="en"/>
        </w:rPr>
        <w:t xml:space="preserve"> </w:t>
      </w:r>
      <w:r w:rsidR="00282A29">
        <w:rPr>
          <w:rFonts w:cs="Arial"/>
          <w:szCs w:val="19"/>
          <w:lang w:val="en-US"/>
        </w:rPr>
        <w:t>United States</w:t>
      </w:r>
      <w:r w:rsidR="00AE452D">
        <w:rPr>
          <w:rFonts w:cs="Arial"/>
          <w:szCs w:val="19"/>
          <w:lang w:val="en-US"/>
        </w:rPr>
        <w:t>, Spain,</w:t>
      </w:r>
      <w:r w:rsidR="003D6436">
        <w:rPr>
          <w:rFonts w:cs="Arial"/>
          <w:color w:val="222222"/>
          <w:szCs w:val="19"/>
          <w:lang w:val="en"/>
        </w:rPr>
        <w:t xml:space="preserve"> </w:t>
      </w:r>
      <w:r w:rsidR="00B95F0F" w:rsidRPr="00B60288">
        <w:rPr>
          <w:rFonts w:cs="Arial"/>
          <w:szCs w:val="19"/>
          <w:lang w:val="en-US"/>
        </w:rPr>
        <w:t>Netherlands</w:t>
      </w:r>
      <w:r w:rsidR="00AE452D">
        <w:rPr>
          <w:rFonts w:cs="Arial"/>
          <w:szCs w:val="19"/>
          <w:lang w:val="en-US"/>
        </w:rPr>
        <w:t>,</w:t>
      </w:r>
      <w:r w:rsidR="003D6436">
        <w:rPr>
          <w:rFonts w:cs="Arial"/>
          <w:szCs w:val="19"/>
          <w:lang w:val="en-US"/>
        </w:rPr>
        <w:t xml:space="preserve"> </w:t>
      </w:r>
      <w:r w:rsidR="00B95F0F">
        <w:rPr>
          <w:rFonts w:cs="Arial"/>
          <w:color w:val="222222"/>
          <w:szCs w:val="19"/>
          <w:lang w:val="en"/>
        </w:rPr>
        <w:t xml:space="preserve">France and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5193916D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547F94">
        <w:rPr>
          <w:rFonts w:cs="Arial"/>
          <w:lang w:val="en-US"/>
        </w:rPr>
        <w:t>seven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547F94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6.7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0C4E47">
        <w:rPr>
          <w:rFonts w:cs="Arial"/>
          <w:lang w:val="en"/>
        </w:rPr>
        <w:t>,</w:t>
      </w:r>
      <w:r w:rsidR="00AE452D">
        <w:rPr>
          <w:rFonts w:cs="Arial"/>
          <w:lang w:val="en-US"/>
        </w:rPr>
        <w:t xml:space="preserve"> while total imports – 63</w:t>
      </w:r>
      <w:r>
        <w:rPr>
          <w:rFonts w:cs="Arial"/>
          <w:lang w:val="en-US"/>
        </w:rPr>
        <w:t>.</w:t>
      </w:r>
      <w:r w:rsidR="00AE452D">
        <w:rPr>
          <w:rFonts w:cs="Arial"/>
          <w:lang w:val="en-US"/>
        </w:rPr>
        <w:t>8</w:t>
      </w:r>
      <w:r>
        <w:rPr>
          <w:rFonts w:cs="Arial"/>
          <w:lang w:val="en-US"/>
        </w:rPr>
        <w:t>% (against 6</w:t>
      </w:r>
      <w:r w:rsidR="00C45CD2">
        <w:rPr>
          <w:rFonts w:cs="Arial"/>
          <w:lang w:val="en-US"/>
        </w:rPr>
        <w:t>5.3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547F94">
        <w:rPr>
          <w:rFonts w:cs="Arial"/>
          <w:lang w:val="en-US"/>
        </w:rPr>
        <w:t>July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253EE6DB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</w:t>
      </w:r>
      <w:r w:rsidR="0053491A">
        <w:rPr>
          <w:rFonts w:cs="Arial"/>
          <w:lang w:val="en-US"/>
        </w:rPr>
        <w:t xml:space="preserve">the </w:t>
      </w:r>
      <w:r w:rsidR="006D5EAD">
        <w:rPr>
          <w:rFonts w:cs="Arial"/>
          <w:lang w:val="en-US"/>
        </w:rPr>
        <w:t xml:space="preserve">last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53491A">
        <w:rPr>
          <w:rFonts w:cs="Arial"/>
          <w:lang w:val="en-US"/>
        </w:rPr>
        <w:t>8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D80E51">
        <w:rPr>
          <w:rFonts w:cs="Arial"/>
          <w:lang w:val="en-US"/>
        </w:rPr>
        <w:t>3</w:t>
      </w:r>
      <w:r w:rsidR="00C77C4A" w:rsidRPr="009B6005">
        <w:rPr>
          <w:rFonts w:cs="Arial"/>
          <w:lang w:val="en-US"/>
        </w:rPr>
        <w:t>%</w:t>
      </w:r>
      <w:r w:rsidR="00C27F43">
        <w:rPr>
          <w:rFonts w:cs="Arial"/>
          <w:lang w:val="en-US"/>
        </w:rPr>
        <w:t>.</w:t>
      </w:r>
      <w:r w:rsidR="00C77C4A" w:rsidRPr="009B6005">
        <w:rPr>
          <w:rFonts w:cs="Arial"/>
          <w:lang w:val="en-US"/>
        </w:rPr>
        <w:t xml:space="preserve">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53491A">
        <w:rPr>
          <w:rFonts w:cs="Arial"/>
          <w:lang w:val="en-US"/>
        </w:rPr>
        <w:t>9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9D1913">
        <w:rPr>
          <w:rFonts w:cs="Arial"/>
          <w:lang w:val="en-US"/>
        </w:rPr>
        <w:t>0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9D1913">
        <w:rPr>
          <w:rFonts w:cs="Arial"/>
          <w:lang w:val="en-US"/>
        </w:rPr>
        <w:t>29.5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9D1913">
        <w:rPr>
          <w:rFonts w:cs="Arial"/>
          <w:lang w:val="en-US"/>
        </w:rPr>
        <w:t>7.8</w:t>
      </w:r>
      <w:r w:rsidR="00F47DDF">
        <w:rPr>
          <w:rFonts w:cs="Arial"/>
          <w:lang w:val="en-US"/>
        </w:rPr>
        <w:t xml:space="preserve"> bn</w:t>
      </w:r>
      <w:r w:rsidR="00C27F43">
        <w:rPr>
          <w:rFonts w:cs="Arial"/>
          <w:lang w:val="en-US"/>
        </w:rPr>
        <w:t>.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EUR </w:t>
      </w:r>
      <w:r w:rsidR="009D1913">
        <w:rPr>
          <w:rFonts w:cs="Arial"/>
          <w:lang w:val="en-US"/>
        </w:rPr>
        <w:t>6.9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9D1913">
        <w:rPr>
          <w:rFonts w:cs="Arial"/>
          <w:lang w:val="en-US"/>
        </w:rPr>
        <w:t>26.5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9D1913">
        <w:rPr>
          <w:rFonts w:cs="Arial"/>
          <w:lang w:val="en-US"/>
        </w:rPr>
        <w:t>7.6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27F43">
        <w:rPr>
          <w:rFonts w:cs="Arial"/>
          <w:sz w:val="18"/>
          <w:szCs w:val="18"/>
          <w:lang w:val="en-US"/>
        </w:rPr>
        <w:t>.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9D1913">
        <w:rPr>
          <w:rFonts w:cs="Arial"/>
          <w:szCs w:val="19"/>
          <w:lang w:val="en-US"/>
        </w:rPr>
        <w:t>6.2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6B3B67F2">
                <wp:simplePos x="0" y="0"/>
                <wp:positionH relativeFrom="column">
                  <wp:posOffset>5262245</wp:posOffset>
                </wp:positionH>
                <wp:positionV relativeFrom="paragraph">
                  <wp:posOffset>3971290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BBF56F4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 w:rsidR="00BC588F">
                              <w:rPr>
                                <w:rFonts w:cs="Arial"/>
                                <w:lang w:val="en-US"/>
                              </w:rPr>
                              <w:t xml:space="preserve"> in imports decreased by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BC588F">
                              <w:rPr>
                                <w:rFonts w:cs="Arial"/>
                                <w:lang w:val="en-US"/>
                              </w:rPr>
                              <w:t>period of 2018 and it was 6.0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E951FD" w:rsidRPr="00DB5C76" w:rsidRDefault="00E951F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E951FD" w:rsidRPr="00DB5C76" w:rsidRDefault="00E951F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4.35pt;margin-top:312.7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aT1ZbuAAAAAMAQAADwAAAAAAAAAAAAAAAABpBAAAZHJzL2Rvd25yZXYueG1sUEsFBgAAAAAEAAQA&#10;8wAAAHYFAAAAAA==&#10;" filled="f" stroked="f">
                <v:textbox>
                  <w:txbxContent>
                    <w:p w14:paraId="01A3AF01" w14:textId="3BBF56F4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 w:rsidR="00BC588F">
                        <w:rPr>
                          <w:rFonts w:cs="Arial"/>
                          <w:lang w:val="en-US"/>
                        </w:rPr>
                        <w:t xml:space="preserve"> in imports decreased by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BC588F">
                        <w:rPr>
                          <w:rFonts w:cs="Arial"/>
                          <w:lang w:val="en-US"/>
                        </w:rPr>
                        <w:t xml:space="preserve">period of 2018 and it was </w:t>
                      </w:r>
                      <w:r w:rsidR="00BC588F">
                        <w:rPr>
                          <w:rFonts w:cs="Arial"/>
                          <w:lang w:val="en-US"/>
                        </w:rPr>
                        <w:t>6.0</w:t>
                      </w:r>
                      <w:bookmarkStart w:id="1" w:name="_GoBack"/>
                      <w:bookmarkEnd w:id="1"/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E951FD" w:rsidRPr="00DB5C76" w:rsidRDefault="00E951F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E951FD" w:rsidRPr="00DB5C76" w:rsidRDefault="00E951F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9D1913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9D1913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24C8ABDB" w:rsidR="00366025" w:rsidRPr="009D1913" w:rsidRDefault="00366025" w:rsidP="00704E4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>I</w:t>
            </w:r>
            <w:r w:rsidR="00704E4D" w:rsidRPr="009D1913">
              <w:rPr>
                <w:rFonts w:cs="Arial"/>
                <w:sz w:val="16"/>
                <w:szCs w:val="16"/>
                <w:lang w:val="en-US"/>
              </w:rPr>
              <w:t xml:space="preserve"> – </w:t>
            </w:r>
            <w:r w:rsidR="001848DA" w:rsidRPr="009D1913">
              <w:rPr>
                <w:rFonts w:cs="Arial"/>
                <w:sz w:val="16"/>
                <w:szCs w:val="16"/>
                <w:lang w:val="en-US"/>
              </w:rPr>
              <w:t>V</w:t>
            </w:r>
            <w:r w:rsidR="00260F64" w:rsidRPr="009D1913">
              <w:rPr>
                <w:rFonts w:cs="Arial"/>
                <w:sz w:val="16"/>
                <w:szCs w:val="16"/>
                <w:lang w:val="en-US"/>
              </w:rPr>
              <w:t>I</w:t>
            </w:r>
            <w:r w:rsidR="009C4AC0">
              <w:rPr>
                <w:rFonts w:cs="Arial"/>
                <w:sz w:val="16"/>
                <w:szCs w:val="16"/>
                <w:lang w:val="en-US"/>
              </w:rPr>
              <w:t>I</w:t>
            </w:r>
            <w:r w:rsidR="00704E4D" w:rsidRPr="009D191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D1913">
              <w:rPr>
                <w:rFonts w:cs="Arial"/>
                <w:sz w:val="16"/>
                <w:szCs w:val="16"/>
                <w:lang w:val="en-US"/>
              </w:rPr>
              <w:t>201</w:t>
            </w:r>
            <w:r w:rsidR="006D5EAD" w:rsidRPr="009D1913">
              <w:rPr>
                <w:rFonts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9D1913" w:rsidRDefault="00366025" w:rsidP="006D5EA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>201</w:t>
            </w:r>
            <w:r w:rsidR="006D5EAD" w:rsidRPr="009D1913"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9D1913" w:rsidRDefault="00366025" w:rsidP="006D5EAD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>201</w:t>
            </w:r>
            <w:r w:rsidR="006D5EAD" w:rsidRPr="009D1913">
              <w:rPr>
                <w:rFonts w:cs="Arial"/>
                <w:sz w:val="16"/>
                <w:szCs w:val="16"/>
                <w:lang w:val="en-US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9D1913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9D1913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D1913">
              <w:rPr>
                <w:rFonts w:cs="Arial"/>
                <w:sz w:val="16"/>
                <w:szCs w:val="16"/>
                <w:lang w:val="en-US"/>
              </w:rPr>
              <w:t>bn</w:t>
            </w:r>
            <w:proofErr w:type="spellEnd"/>
            <w:r w:rsidRPr="009D191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EC5BE1B" w14:textId="522BF028" w:rsidR="00FA3774" w:rsidRPr="009D1913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9D1913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D1913">
              <w:rPr>
                <w:rFonts w:cs="Arial"/>
                <w:sz w:val="16"/>
                <w:szCs w:val="16"/>
                <w:lang w:val="en-US"/>
              </w:rPr>
              <w:t>bn</w:t>
            </w:r>
            <w:proofErr w:type="spellEnd"/>
            <w:r w:rsidRPr="009D191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31AE91A" w14:textId="41B5D60E" w:rsidR="00FA3774" w:rsidRPr="009D1913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9D1913" w:rsidRDefault="00890348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D1913">
              <w:rPr>
                <w:rFonts w:cs="Arial"/>
                <w:sz w:val="16"/>
                <w:szCs w:val="16"/>
                <w:lang w:val="en-US"/>
              </w:rPr>
              <w:t>b</w:t>
            </w:r>
            <w:r w:rsidR="00FA3774" w:rsidRPr="009D1913">
              <w:rPr>
                <w:rFonts w:cs="Arial"/>
                <w:sz w:val="16"/>
                <w:szCs w:val="16"/>
                <w:lang w:val="en-US"/>
              </w:rPr>
              <w:t>n</w:t>
            </w:r>
            <w:proofErr w:type="spellEnd"/>
          </w:p>
          <w:p w14:paraId="0A6D5561" w14:textId="27A0CD88" w:rsidR="00FA3774" w:rsidRPr="009D1913" w:rsidRDefault="004712D4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FA3774" w:rsidRPr="009D1913">
              <w:rPr>
                <w:rFonts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4175C5E7" w:rsidR="00FA3774" w:rsidRPr="000C2149" w:rsidRDefault="00FA3774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9D1913">
              <w:rPr>
                <w:rFonts w:cs="Arial"/>
                <w:sz w:val="16"/>
                <w:szCs w:val="16"/>
                <w:lang w:val="en-US"/>
              </w:rPr>
              <w:t xml:space="preserve">I </w:t>
            </w:r>
            <w:r w:rsidR="00704E4D" w:rsidRPr="009D1913">
              <w:rPr>
                <w:rFonts w:cs="Arial"/>
                <w:sz w:val="16"/>
                <w:szCs w:val="16"/>
                <w:lang w:val="en-US"/>
              </w:rPr>
              <w:t xml:space="preserve">– </w:t>
            </w:r>
            <w:r w:rsidR="001848DA" w:rsidRPr="009D1913">
              <w:rPr>
                <w:rFonts w:cs="Arial"/>
                <w:sz w:val="16"/>
                <w:szCs w:val="16"/>
                <w:lang w:val="en-US"/>
              </w:rPr>
              <w:t>V</w:t>
            </w:r>
            <w:r w:rsidR="00260F64" w:rsidRPr="009D1913">
              <w:rPr>
                <w:rFonts w:cs="Arial"/>
                <w:sz w:val="16"/>
                <w:szCs w:val="16"/>
                <w:lang w:val="en-US"/>
              </w:rPr>
              <w:t>I</w:t>
            </w:r>
            <w:r w:rsidR="009C4AC0">
              <w:rPr>
                <w:rFonts w:cs="Arial"/>
                <w:sz w:val="16"/>
                <w:szCs w:val="16"/>
                <w:lang w:val="en-US"/>
              </w:rPr>
              <w:t>I</w:t>
            </w:r>
            <w:r w:rsidR="00704E4D" w:rsidRPr="009D191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D1913">
              <w:rPr>
                <w:rFonts w:cs="Arial"/>
                <w:sz w:val="16"/>
                <w:szCs w:val="16"/>
                <w:lang w:val="en-US"/>
              </w:rPr>
              <w:t>2</w:t>
            </w:r>
            <w:r w:rsidRPr="000C2149">
              <w:rPr>
                <w:rFonts w:cs="Arial"/>
                <w:sz w:val="16"/>
                <w:szCs w:val="16"/>
              </w:rPr>
              <w:t>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5956F385" w:rsidR="00FA3774" w:rsidRPr="000C2149" w:rsidRDefault="00FA3774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9C4AC0">
              <w:rPr>
                <w:rFonts w:cs="Arial"/>
                <w:sz w:val="16"/>
                <w:szCs w:val="16"/>
              </w:rPr>
              <w:t>I</w:t>
            </w:r>
            <w:r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A2337A" w:rsidRPr="00366025" w14:paraId="1ADA4BC0" w14:textId="77777777" w:rsidTr="00E951FD">
        <w:tc>
          <w:tcPr>
            <w:tcW w:w="2268" w:type="dxa"/>
            <w:vAlign w:val="bottom"/>
          </w:tcPr>
          <w:p w14:paraId="13B9879C" w14:textId="35D11C55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943301" w14:textId="09E7E85C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157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758436" w14:textId="76EFA49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41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5DACBC" w14:textId="7185E88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B88D12" w14:textId="004F406C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103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08F782" w14:textId="3D4FA170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0BF565" w14:textId="6969F7A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101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D1DBE4" w14:textId="6B3B96F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2ED7625" w14:textId="68CBE5A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3</w:t>
            </w:r>
          </w:p>
        </w:tc>
      </w:tr>
      <w:tr w:rsidR="00A2337A" w:rsidRPr="00366025" w14:paraId="4D092578" w14:textId="77777777" w:rsidTr="00E951FD">
        <w:tc>
          <w:tcPr>
            <w:tcW w:w="2268" w:type="dxa"/>
            <w:vAlign w:val="bottom"/>
          </w:tcPr>
          <w:p w14:paraId="4398C437" w14:textId="022B975A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AC460D" w14:textId="4A9C7A1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0832EC" w14:textId="5BF6294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96452E" w14:textId="5CF35BF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E8A716" w14:textId="79252666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5EEBBB" w14:textId="0B13203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863EC6" w14:textId="6C7B117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23039A" w14:textId="21694FA6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54E0455" w14:textId="7C98DF4B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1</w:t>
            </w:r>
          </w:p>
        </w:tc>
      </w:tr>
      <w:tr w:rsidR="00A2337A" w:rsidRPr="00366025" w14:paraId="414C5728" w14:textId="77777777" w:rsidTr="00E951FD">
        <w:tc>
          <w:tcPr>
            <w:tcW w:w="2268" w:type="dxa"/>
            <w:vAlign w:val="bottom"/>
          </w:tcPr>
          <w:p w14:paraId="72EF3858" w14:textId="5D5A04CD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17A4F" w14:textId="1B6E071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CE09BA" w14:textId="44CB71A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582D63" w14:textId="48C545A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222E1" w14:textId="44C9624C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90EB80" w14:textId="599786C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A77E91" w14:textId="712B3B5A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F5E30" w14:textId="28DF948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6BD254A" w14:textId="7832CBA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9</w:t>
            </w:r>
          </w:p>
        </w:tc>
      </w:tr>
      <w:tr w:rsidR="00A2337A" w:rsidRPr="00366025" w14:paraId="60AC7496" w14:textId="77777777" w:rsidTr="00E951FD">
        <w:tc>
          <w:tcPr>
            <w:tcW w:w="2268" w:type="dxa"/>
            <w:vAlign w:val="bottom"/>
          </w:tcPr>
          <w:p w14:paraId="28B87A1E" w14:textId="40276DF0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31898B" w14:textId="551AB67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767FA0" w14:textId="4250118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0AE6B4" w14:textId="1E525DCD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416F77" w14:textId="6BC5A49A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5E0D9D" w14:textId="3592D51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3CEA5E" w14:textId="6C7F6F3A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F80A0A" w14:textId="3D0108A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AA61625" w14:textId="11E62A06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9</w:t>
            </w:r>
          </w:p>
        </w:tc>
      </w:tr>
      <w:tr w:rsidR="00A2337A" w:rsidRPr="00366025" w14:paraId="6ABF6C17" w14:textId="77777777" w:rsidTr="00E951FD">
        <w:tc>
          <w:tcPr>
            <w:tcW w:w="2268" w:type="dxa"/>
            <w:vAlign w:val="bottom"/>
          </w:tcPr>
          <w:p w14:paraId="530194F4" w14:textId="565E24FC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BC3525" w14:textId="44F8888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4FCAD9" w14:textId="7EAF4DFD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25AACB" w14:textId="618F23DE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5FDEC" w14:textId="3862790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110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BB07D9" w14:textId="1974201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101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28E3C0" w14:textId="76EEFF7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B6275F" w14:textId="2A295E2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311538F" w14:textId="56BDFC3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7</w:t>
            </w:r>
          </w:p>
        </w:tc>
      </w:tr>
      <w:tr w:rsidR="00A2337A" w:rsidRPr="00366025" w14:paraId="0608F579" w14:textId="77777777" w:rsidTr="00E951FD">
        <w:tc>
          <w:tcPr>
            <w:tcW w:w="2268" w:type="dxa"/>
            <w:vAlign w:val="bottom"/>
          </w:tcPr>
          <w:p w14:paraId="4CA291B6" w14:textId="74BDCB15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BCC76A" w14:textId="63D2AC2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3AEE3F" w14:textId="5677502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D2BE55" w14:textId="65DE4066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C7562" w14:textId="74EE3D6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8FF469" w14:textId="0F5E335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A048BE" w14:textId="7C77112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390BE" w14:textId="7B7769C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0A49C32" w14:textId="47653AC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7</w:t>
            </w:r>
          </w:p>
        </w:tc>
      </w:tr>
      <w:tr w:rsidR="00A2337A" w:rsidRPr="00366025" w14:paraId="47D16F0E" w14:textId="77777777" w:rsidTr="00E951FD">
        <w:tc>
          <w:tcPr>
            <w:tcW w:w="2268" w:type="dxa"/>
            <w:vAlign w:val="bottom"/>
          </w:tcPr>
          <w:p w14:paraId="20BDC520" w14:textId="1BCBB3FD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402FDF" w14:textId="455CFBEE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795048" w14:textId="1032FC0D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09C4EE" w14:textId="7F0CDE7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4B215" w14:textId="4928D3AB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109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C09E61" w14:textId="302CEC95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100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88C567" w14:textId="40DB0442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09FC46" w14:textId="6BC317F8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41FECEF" w14:textId="3699A120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3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0</w:t>
            </w:r>
          </w:p>
        </w:tc>
      </w:tr>
      <w:tr w:rsidR="00A2337A" w:rsidRPr="00366025" w14:paraId="1A2B4D65" w14:textId="77777777" w:rsidTr="00E951FD">
        <w:tc>
          <w:tcPr>
            <w:tcW w:w="2268" w:type="dxa"/>
            <w:vAlign w:val="bottom"/>
          </w:tcPr>
          <w:p w14:paraId="489E4AF2" w14:textId="7E30E875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r w:rsidRPr="00A2337A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Pr="00A2337A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ADFE1A" w14:textId="77BBA9D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FA23A1" w14:textId="3B8141E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35BED2" w14:textId="595B187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E61DE9" w14:textId="067B6EAE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164025" w14:textId="0355F6E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A7CDBE" w14:textId="0BBFB596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CC711" w14:textId="7BFE7B13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5BDB73C" w14:textId="490E17EB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3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0</w:t>
            </w:r>
          </w:p>
        </w:tc>
      </w:tr>
      <w:tr w:rsidR="00A2337A" w:rsidRPr="00366025" w14:paraId="15969244" w14:textId="77777777" w:rsidTr="00E951FD">
        <w:tc>
          <w:tcPr>
            <w:tcW w:w="2268" w:type="dxa"/>
            <w:vAlign w:val="bottom"/>
          </w:tcPr>
          <w:p w14:paraId="0A44D1F1" w14:textId="3AC1C7F3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6D183" w14:textId="0C8EC91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104298" w14:textId="21CFD4DC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D776F2" w14:textId="6D58C49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FADE75" w14:textId="6ACEF925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110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34FF5B" w14:textId="20AFD01D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34F929" w14:textId="229D62DA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108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476F17" w14:textId="3869D7A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27D8CFD" w14:textId="5DFA5F91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8</w:t>
            </w:r>
          </w:p>
        </w:tc>
      </w:tr>
      <w:tr w:rsidR="00A2337A" w:rsidRPr="00366025" w14:paraId="3AF65B5A" w14:textId="77777777" w:rsidTr="00E951FD">
        <w:tc>
          <w:tcPr>
            <w:tcW w:w="2268" w:type="dxa"/>
            <w:vAlign w:val="bottom"/>
          </w:tcPr>
          <w:p w14:paraId="4C75F1B3" w14:textId="76560C9F" w:rsidR="00A2337A" w:rsidRPr="00366025" w:rsidRDefault="00A2337A" w:rsidP="00A2337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C6464D" w14:textId="1E59B25B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15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83F5DA" w14:textId="3A4CD6E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7B8C08" w14:textId="3EA9CC49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3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B7CE98" w14:textId="3DBF280F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106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7D8632" w14:textId="21A61D05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97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91F1FF" w14:textId="250CDF6E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104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FDA891" w14:textId="45C29E14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308F3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6308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E388FED" w14:textId="219C338D" w:rsidR="00A2337A" w:rsidRPr="00037222" w:rsidRDefault="00A2337A" w:rsidP="00A233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8449E">
              <w:rPr>
                <w:rFonts w:cs="Arial"/>
                <w:sz w:val="16"/>
                <w:szCs w:val="16"/>
              </w:rPr>
              <w:t>2</w:t>
            </w:r>
            <w:r w:rsidR="00D15647">
              <w:rPr>
                <w:rFonts w:cs="Arial"/>
                <w:sz w:val="16"/>
                <w:szCs w:val="16"/>
              </w:rPr>
              <w:t>.</w:t>
            </w:r>
            <w:r w:rsidRPr="0018449E">
              <w:rPr>
                <w:rFonts w:cs="Arial"/>
                <w:sz w:val="16"/>
                <w:szCs w:val="16"/>
              </w:rPr>
              <w:t>7</w:t>
            </w:r>
          </w:p>
        </w:tc>
      </w:tr>
      <w:tr w:rsidR="00A2337A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A2337A" w:rsidRPr="00366025" w:rsidRDefault="00A2337A" w:rsidP="00A2337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E0CF6" w:rsidRPr="00366025" w14:paraId="1CD438AA" w14:textId="77777777" w:rsidTr="00F11AF4">
        <w:tc>
          <w:tcPr>
            <w:tcW w:w="2268" w:type="dxa"/>
            <w:vAlign w:val="bottom"/>
          </w:tcPr>
          <w:p w14:paraId="2C77DC79" w14:textId="19343150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1E301" w14:textId="293DD0A5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7E5710" w14:textId="3E3A52A8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DEAF0C" w14:textId="376A335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EE159B" w14:textId="3C1EEFB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BFC8A1" w14:textId="35CB5F8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80A2DB" w14:textId="7D5AF0A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46148" w14:textId="1C44CDAB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644EA11" w14:textId="1A386A5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C868D4">
              <w:rPr>
                <w:rFonts w:cs="Arial"/>
                <w:sz w:val="16"/>
                <w:szCs w:val="16"/>
              </w:rPr>
              <w:t>0</w:t>
            </w:r>
          </w:p>
        </w:tc>
      </w:tr>
      <w:tr w:rsidR="002E0CF6" w:rsidRPr="00366025" w14:paraId="261A0499" w14:textId="77777777" w:rsidTr="00F11AF4">
        <w:tc>
          <w:tcPr>
            <w:tcW w:w="2268" w:type="dxa"/>
            <w:vAlign w:val="bottom"/>
          </w:tcPr>
          <w:p w14:paraId="148E84DD" w14:textId="019FA36F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BC11E" w14:textId="750ACD2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7C6388" w14:textId="06D602F0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0324C3" w14:textId="0DFF5D0C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A603D7" w14:textId="01D5447E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EE0F04" w14:textId="435724D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C30A56" w14:textId="174CAE4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703EB6" w14:textId="0B97BC9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22B22C" w14:textId="7B1B8AB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C868D4">
              <w:rPr>
                <w:rFonts w:cs="Arial"/>
                <w:sz w:val="16"/>
                <w:szCs w:val="16"/>
              </w:rPr>
              <w:t>9</w:t>
            </w:r>
          </w:p>
        </w:tc>
      </w:tr>
      <w:tr w:rsidR="002E0CF6" w:rsidRPr="00366025" w14:paraId="27DC357A" w14:textId="77777777" w:rsidTr="00F11AF4">
        <w:tc>
          <w:tcPr>
            <w:tcW w:w="2268" w:type="dxa"/>
            <w:vAlign w:val="bottom"/>
          </w:tcPr>
          <w:p w14:paraId="4F2F276A" w14:textId="60D74D59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07F26F" w14:textId="4AD8637D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34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EC7FDD" w14:textId="0745A97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F21E92" w14:textId="253401C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8BA65A" w14:textId="054AA688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797FF9" w14:textId="000FCA5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2F2C8D" w14:textId="4094DB4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CD06CC" w14:textId="7E3802D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88A9753" w14:textId="0D89817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97932">
              <w:rPr>
                <w:rFonts w:cs="Arial"/>
                <w:sz w:val="16"/>
                <w:szCs w:val="16"/>
              </w:rPr>
              <w:t>0</w:t>
            </w:r>
          </w:p>
        </w:tc>
      </w:tr>
      <w:tr w:rsidR="002E0CF6" w:rsidRPr="00366025" w14:paraId="65FC0E5E" w14:textId="77777777" w:rsidTr="00F11AF4">
        <w:tc>
          <w:tcPr>
            <w:tcW w:w="2268" w:type="dxa"/>
            <w:vAlign w:val="bottom"/>
          </w:tcPr>
          <w:p w14:paraId="45FC597E" w14:textId="7045B0D5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021E3F" w14:textId="4315225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4F512B" w14:textId="53CE084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E9C93E" w14:textId="51A83559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A3B92" w14:textId="2F3CA76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2C2708" w14:textId="1469C96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E23353" w14:textId="2682E1B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D7D3B0" w14:textId="17AEBEF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EE0ED4B" w14:textId="1D02F74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97932">
              <w:rPr>
                <w:rFonts w:cs="Arial"/>
                <w:sz w:val="16"/>
                <w:szCs w:val="16"/>
              </w:rPr>
              <w:t>0</w:t>
            </w:r>
          </w:p>
        </w:tc>
      </w:tr>
      <w:tr w:rsidR="002E0CF6" w:rsidRPr="00366025" w14:paraId="74D1C14C" w14:textId="77777777" w:rsidTr="00F11AF4">
        <w:tc>
          <w:tcPr>
            <w:tcW w:w="2268" w:type="dxa"/>
            <w:vAlign w:val="bottom"/>
          </w:tcPr>
          <w:p w14:paraId="11C007DD" w14:textId="31013D73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FA695A" w14:textId="1456AE2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A860C9" w14:textId="78FA74C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5D69C" w14:textId="346278D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570578" w14:textId="03CB3F7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79D4E4" w14:textId="6D405389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E8F1E4" w14:textId="210485DC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94811B" w14:textId="43731CF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429DB60" w14:textId="28880B1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97932">
              <w:rPr>
                <w:rFonts w:cs="Arial"/>
                <w:sz w:val="16"/>
                <w:szCs w:val="16"/>
              </w:rPr>
              <w:t>8</w:t>
            </w:r>
          </w:p>
        </w:tc>
      </w:tr>
      <w:tr w:rsidR="002E0CF6" w:rsidRPr="00366025" w14:paraId="00321FD8" w14:textId="77777777" w:rsidTr="00F11AF4">
        <w:tc>
          <w:tcPr>
            <w:tcW w:w="2268" w:type="dxa"/>
            <w:vAlign w:val="bottom"/>
          </w:tcPr>
          <w:p w14:paraId="2DF16F21" w14:textId="179F449D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411BD5" w14:textId="4D5DF23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D581DD" w14:textId="3B6A89F0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E3B9B4" w14:textId="3C7E200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57EDA2" w14:textId="0BB9E50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441F04" w14:textId="57F6E1AC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66BB03" w14:textId="68BB007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2144C6" w14:textId="6085F67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5581BDF" w14:textId="1C26375D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97932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97932">
              <w:rPr>
                <w:rFonts w:cs="Arial"/>
                <w:sz w:val="16"/>
                <w:szCs w:val="16"/>
              </w:rPr>
              <w:t>7</w:t>
            </w:r>
          </w:p>
        </w:tc>
      </w:tr>
      <w:tr w:rsidR="002E0CF6" w:rsidRPr="00366025" w14:paraId="72905E34" w14:textId="77777777" w:rsidTr="00F11AF4">
        <w:tc>
          <w:tcPr>
            <w:tcW w:w="2268" w:type="dxa"/>
            <w:vAlign w:val="bottom"/>
          </w:tcPr>
          <w:p w14:paraId="1DFC4F2D" w14:textId="083DFED4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6438B" w14:textId="42167C10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0A1DB0" w14:textId="34821FB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21BBE1" w14:textId="4957DBDF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31A9DD" w14:textId="2FB5AFC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4E5854" w14:textId="65F6DC3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9F6E94" w14:textId="75B2226E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61D1FE" w14:textId="1D61AF7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9C20040" w14:textId="1CA8244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868D4">
              <w:rPr>
                <w:rFonts w:cs="Arial"/>
                <w:sz w:val="16"/>
                <w:szCs w:val="16"/>
              </w:rPr>
              <w:t>3</w:t>
            </w:r>
          </w:p>
        </w:tc>
      </w:tr>
      <w:tr w:rsidR="002E0CF6" w:rsidRPr="00366025" w14:paraId="78641ACB" w14:textId="77777777" w:rsidTr="00F11AF4">
        <w:tc>
          <w:tcPr>
            <w:tcW w:w="2268" w:type="dxa"/>
            <w:vAlign w:val="bottom"/>
          </w:tcPr>
          <w:p w14:paraId="277AF19F" w14:textId="0D1C0D7C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9416A3" w14:textId="68EB9E09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3535B1" w14:textId="46CE9B0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59B644" w14:textId="42E1DA1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B24F5A" w14:textId="246AF0F3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6FB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B2B41" w14:textId="6341A21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523C7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F523C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D72452" w14:textId="2104A8D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99311C" w14:textId="37377DB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55E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FFDD869" w14:textId="023330F0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68D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868D4">
              <w:rPr>
                <w:rFonts w:cs="Arial"/>
                <w:sz w:val="16"/>
                <w:szCs w:val="16"/>
              </w:rPr>
              <w:t>2</w:t>
            </w:r>
          </w:p>
        </w:tc>
      </w:tr>
      <w:tr w:rsidR="002E0CF6" w:rsidRPr="00366025" w14:paraId="37F42DFF" w14:textId="77777777" w:rsidTr="00F11AF4">
        <w:tc>
          <w:tcPr>
            <w:tcW w:w="2268" w:type="dxa"/>
            <w:vAlign w:val="bottom"/>
          </w:tcPr>
          <w:p w14:paraId="3364D841" w14:textId="07AD6AA3" w:rsidR="002E0CF6" w:rsidRPr="00366025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C90EDA" w14:textId="0ADBAFFC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4BA7D9" w14:textId="442064D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7303D3" w14:textId="0BD1B44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66A73F" w14:textId="3F8FE9D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2ADD74" w14:textId="0BD364BE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7E5C25" w14:textId="0BA11DB8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A1C956" w14:textId="29B9B1F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1B5D68A" w14:textId="3AA3E2BA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47F2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47F29">
              <w:rPr>
                <w:rFonts w:cs="Arial"/>
                <w:sz w:val="16"/>
                <w:szCs w:val="16"/>
              </w:rPr>
              <w:t>5</w:t>
            </w:r>
          </w:p>
        </w:tc>
      </w:tr>
      <w:tr w:rsidR="002E0CF6" w:rsidRPr="00782B51" w14:paraId="04A779E8" w14:textId="77777777" w:rsidTr="00F11AF4">
        <w:tc>
          <w:tcPr>
            <w:tcW w:w="2268" w:type="dxa"/>
            <w:vAlign w:val="bottom"/>
          </w:tcPr>
          <w:p w14:paraId="2D955C84" w14:textId="22E09D4C" w:rsidR="002E0CF6" w:rsidRPr="00782B51" w:rsidRDefault="002E0CF6" w:rsidP="002E0C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0B0C5E" w14:textId="2B880D7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9F66FB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E658E1" w14:textId="38154036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9F66F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EC6457" w14:textId="02FCAEE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9F66F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D224B7" w14:textId="1B3D6CA4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9F66FB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9F66F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D74DEA" w14:textId="527AE657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D55E0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D512D4" w14:textId="64C025DC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D55E0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401C90" w14:textId="59FFF921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D55E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D55E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2B94C071" w14:textId="03A87342" w:rsidR="002E0CF6" w:rsidRPr="00037222" w:rsidRDefault="002E0CF6" w:rsidP="002E0C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C868D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C868D4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194D7F25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2E0CF6">
        <w:rPr>
          <w:rFonts w:cs="Arial"/>
          <w:spacing w:val="-3"/>
          <w:lang w:val="en-US"/>
        </w:rPr>
        <w:t>427.8</w:t>
      </w:r>
      <w:r w:rsidR="00340F34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C27F43">
        <w:rPr>
          <w:rFonts w:cs="Arial"/>
          <w:spacing w:val="-3"/>
          <w:lang w:val="en-US"/>
        </w:rPr>
        <w:t>.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2E0CF6">
        <w:rPr>
          <w:rFonts w:cs="Arial"/>
          <w:spacing w:val="-3"/>
          <w:lang w:val="en-US"/>
        </w:rPr>
        <w:t>399.9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C27F43">
        <w:rPr>
          <w:rFonts w:cs="Arial"/>
          <w:spacing w:val="-3"/>
          <w:lang w:val="en-US"/>
        </w:rPr>
        <w:t>.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BB582A">
        <w:rPr>
          <w:rFonts w:cs="Arial"/>
          <w:spacing w:val="-3"/>
          <w:lang w:val="en-US"/>
        </w:rPr>
        <w:t>416.8</w:t>
      </w:r>
      <w:r>
        <w:rPr>
          <w:rFonts w:cs="Arial"/>
          <w:spacing w:val="-3"/>
          <w:lang w:val="en-US"/>
        </w:rPr>
        <w:t xml:space="preserve"> bn</w:t>
      </w:r>
      <w:r w:rsidR="00C27F43">
        <w:rPr>
          <w:rFonts w:cs="Arial"/>
          <w:spacing w:val="-3"/>
          <w:lang w:val="en-US"/>
        </w:rPr>
        <w:t>.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BB582A">
        <w:rPr>
          <w:rFonts w:cs="Arial"/>
          <w:spacing w:val="-3"/>
          <w:lang w:val="en-US"/>
        </w:rPr>
        <w:t>390.8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2CBBDD53" w14:textId="77777777" w:rsidR="00AD195B" w:rsidRPr="00AA6D1C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6B568909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9C4AC0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71D4091D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9C4AC0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6E6E9EA2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9C4AC0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209BA" w:rsidRPr="0051165C" w14:paraId="139A0AC8" w14:textId="77777777" w:rsidTr="00EB625C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B209BA" w:rsidRPr="00A00ADB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D3872B" w14:textId="1B8EE65F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579.2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F553D6" w14:textId="317BCFD1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152.5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9E2311" w14:textId="3B7DD86D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B4135A" w14:textId="119632BD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5724CF" w14:textId="12B11DFD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2BED1F" w14:textId="14A6DA39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348286" w14:textId="262EBE86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380145C" w14:textId="13A19AD3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209BA" w:rsidRPr="0051165C" w14:paraId="6AFE57B4" w14:textId="77777777" w:rsidTr="00EB625C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C78786" w14:textId="2FFF143A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427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A701E9" w14:textId="0EFA2FCE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113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012681" w14:textId="7C7DDFE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99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2EFB0E" w14:textId="2EC4081F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6219E8" w14:textId="6EAE74F1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88C09B" w14:textId="005A6F6D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51E6A9" w14:textId="1E39C9D9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C0A8788" w14:textId="0EB918EF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209BA" w:rsidRPr="0051165C" w14:paraId="56C97CDA" w14:textId="77777777" w:rsidTr="00EB625C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B209BA" w:rsidRPr="0051165C" w:rsidRDefault="00B209BA" w:rsidP="00B209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6D97F1" w14:textId="4B8D5C77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399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6AB1F1" w14:textId="57BC0054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397000" w14:textId="6A54908E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93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8A76CF" w14:textId="6371650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CAFA0" w14:textId="0AF292A9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EA7174" w14:textId="37FBD9E0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 xml:space="preserve">7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0F515E" w14:textId="2975D346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B18860" w14:textId="60BFAEFF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69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209BA" w:rsidRPr="0051165C" w14:paraId="10E6465E" w14:textId="77777777" w:rsidTr="00EB625C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F6EDBA" w14:textId="5E2C7A8A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325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0ABF4E" w14:textId="4219811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85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59D8CB" w14:textId="384AFA38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64B6B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464B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ECC32" w14:textId="2DF0DB6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4C7C19" w14:textId="04A73FB1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418E11" w14:textId="6E9C79FA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100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F40ADA" w14:textId="1DAA8609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57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511D85" w14:textId="30109539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56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1</w:t>
            </w:r>
          </w:p>
        </w:tc>
      </w:tr>
      <w:tr w:rsidR="00B209BA" w:rsidRPr="0051165C" w14:paraId="5E082EB7" w14:textId="77777777" w:rsidTr="00EB625C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D13D06" w14:textId="41DC9F07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1EF443" w14:textId="36D112D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D632A" w14:textId="5D61B6D8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221E46" w14:textId="730262CE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F03002" w14:textId="2723CAE8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6E88A2" w14:textId="6689BF69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7C6267" w14:textId="6B6064BD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D7E20E" w14:textId="2C390824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209BA" w:rsidRPr="0051165C" w14:paraId="173A4F9D" w14:textId="77777777" w:rsidTr="00EB625C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B209BA" w:rsidRPr="00BA58B2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96F863" w14:textId="6D7B07A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C3C39B" w14:textId="3312CA07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3402C1" w14:textId="2A54B5A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27BF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5A59BD" w14:textId="4A959FD6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318744" w14:textId="4C449B06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1F3337" w14:textId="28D2EDB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FC93F5" w14:textId="1E715221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7C4E2B7" w14:textId="4F0A289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2</w:t>
            </w:r>
          </w:p>
        </w:tc>
      </w:tr>
      <w:tr w:rsidR="00B209BA" w:rsidRPr="0051165C" w14:paraId="7C90BA94" w14:textId="77777777" w:rsidTr="00EB625C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9E79A4" w14:textId="08535C19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AD4FFC" w14:textId="1B4F8FA3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91FF3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E2545C" w14:textId="5D9B9A5D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CB10C8" w14:textId="708608DF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FADD0" w14:textId="22490A21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CBC06F" w14:textId="5E613F26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A21AD1" w14:textId="1AC00654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1EBC27A" w14:textId="7545679B" w:rsidR="00B209BA" w:rsidRPr="008754C4" w:rsidRDefault="00B209BA" w:rsidP="00B209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27BF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B209BA" w:rsidRPr="0051165C" w14:paraId="272E1D92" w14:textId="77777777" w:rsidTr="00EB625C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EF3D9F" w14:textId="35EC7FC5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1BCC7D" w14:textId="7264601A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809513" w14:textId="7AC8C793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E3E68C" w14:textId="029C241B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10713D" w14:textId="1BAAC996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D4E59D" w14:textId="759FEBB6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797134" w14:textId="32C5A81F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4F8C870" w14:textId="294E3B56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209BA" w:rsidRPr="0051165C" w14:paraId="29FBE80B" w14:textId="77777777" w:rsidTr="00EB625C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B209BA" w:rsidRPr="0051165C" w:rsidRDefault="00B209BA" w:rsidP="00B209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E38D7A" w14:textId="41F31E9C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62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B72E94" w14:textId="7EC8B4F0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82B283" w14:textId="473F2386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07481E" w14:textId="2F6EB5C3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66A2E7" w14:textId="39641184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4695C" w14:textId="6E7722FE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CAC890" w14:textId="1AECA752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F7D037E" w14:textId="1CB08BEE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209BA" w:rsidRPr="0051165C" w14:paraId="6CB64DA5" w14:textId="77777777" w:rsidTr="00EB625C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DAFFBF" w14:textId="02D7BC5F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92048C" w14:textId="3B2DCD5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C5579B" w14:textId="1E4E55AB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BED31E" w14:textId="4E2CB210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B5D87A" w14:textId="64B8F8BD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3E8B1A" w14:textId="4550ED3F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6B2291" w14:textId="3DC3DF22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319B80A" w14:textId="15F50A59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209BA" w:rsidRPr="0051165C" w14:paraId="72D596B9" w14:textId="77777777" w:rsidTr="00EB625C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B209BA" w:rsidRPr="0051165C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8CB923" w14:textId="331C8955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-62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A76382" w14:textId="297B110F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A14C5E" w14:textId="4929BA0C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B7954" w14:textId="20700C81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6A7ACA" w14:textId="5F1DA89B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F540D2" w14:textId="4275D5ED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C47CED" w14:textId="4266E293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7F95243" w14:textId="588A398D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B209BA" w:rsidRPr="0051165C" w14:paraId="42827894" w14:textId="77777777" w:rsidTr="00EB625C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B209BA" w:rsidRPr="00BA58B2" w:rsidRDefault="00B209BA" w:rsidP="00B209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76CCD4A" w14:textId="217ED572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0C62E8" w14:textId="3B8CA13E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3B1BA5" w14:textId="6D77CD75" w:rsidR="00B209BA" w:rsidRPr="008754C4" w:rsidRDefault="00B209BA" w:rsidP="00B209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78FE">
              <w:rPr>
                <w:rFonts w:cs="Calibri"/>
                <w:sz w:val="16"/>
                <w:szCs w:val="16"/>
              </w:rPr>
              <w:t>-3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78FE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8A08014" w14:textId="1738C54B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05E51C3" w14:textId="21AC3A4D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737F28" w14:textId="6D1C115F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2E1E8CA" w14:textId="10E4AABB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C5D41" w14:textId="71B6824D" w:rsidR="00B209BA" w:rsidRPr="008754C4" w:rsidRDefault="00B209BA" w:rsidP="00B209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27BF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0311F30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A65557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47861D80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A65557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7F267FA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</w:t>
            </w:r>
            <w:r w:rsidR="00DE1A0A">
              <w:rPr>
                <w:rFonts w:cs="Arial"/>
                <w:sz w:val="16"/>
                <w:szCs w:val="16"/>
              </w:rPr>
              <w:t xml:space="preserve">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A65557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74035" w:rsidRPr="00366025" w14:paraId="2D900DF1" w14:textId="77777777" w:rsidTr="00CA15B7">
        <w:tc>
          <w:tcPr>
            <w:tcW w:w="2268" w:type="dxa"/>
            <w:vAlign w:val="center"/>
          </w:tcPr>
          <w:p w14:paraId="4046DFF0" w14:textId="77777777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14:paraId="7A09DBBE" w14:textId="1A90A95F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154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center"/>
          </w:tcPr>
          <w:p w14:paraId="673FF4E4" w14:textId="3364B8D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40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center"/>
          </w:tcPr>
          <w:p w14:paraId="1BA2CC30" w14:textId="4251D716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14:paraId="4F7FFC7E" w14:textId="3BB6065D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center"/>
          </w:tcPr>
          <w:p w14:paraId="7C064A4E" w14:textId="2A76592A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center"/>
          </w:tcPr>
          <w:p w14:paraId="185D9F0E" w14:textId="61C894E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5AAB945B" w14:textId="7AE7976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036750B6" w14:textId="5D32F286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726212">
              <w:rPr>
                <w:rFonts w:cs="Arial"/>
                <w:sz w:val="16"/>
                <w:szCs w:val="16"/>
              </w:rPr>
              <w:t>7</w:t>
            </w:r>
          </w:p>
        </w:tc>
      </w:tr>
      <w:tr w:rsidR="00174035" w:rsidRPr="00366025" w14:paraId="01B4AC8A" w14:textId="77777777" w:rsidTr="00CA15B7">
        <w:tc>
          <w:tcPr>
            <w:tcW w:w="2268" w:type="dxa"/>
            <w:vAlign w:val="center"/>
          </w:tcPr>
          <w:p w14:paraId="0A739665" w14:textId="62E061DE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center"/>
          </w:tcPr>
          <w:p w14:paraId="0F5D4AE1" w14:textId="337F3C2F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46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center"/>
          </w:tcPr>
          <w:p w14:paraId="090E5755" w14:textId="06D5B9C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center"/>
          </w:tcPr>
          <w:p w14:paraId="06391732" w14:textId="13E4450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573B9F4C" w14:textId="122335C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255B010D" w14:textId="1E7CBFD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center"/>
          </w:tcPr>
          <w:p w14:paraId="2F440C6A" w14:textId="273B98A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609D1D4A" w14:textId="52913AE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06799779" w14:textId="78C87A1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726212">
              <w:rPr>
                <w:rFonts w:cs="Arial"/>
                <w:sz w:val="16"/>
                <w:szCs w:val="16"/>
              </w:rPr>
              <w:t>0</w:t>
            </w:r>
          </w:p>
        </w:tc>
      </w:tr>
      <w:tr w:rsidR="00174035" w:rsidRPr="00366025" w14:paraId="177095D4" w14:textId="77777777" w:rsidTr="00CA15B7">
        <w:tc>
          <w:tcPr>
            <w:tcW w:w="2268" w:type="dxa"/>
            <w:vAlign w:val="center"/>
          </w:tcPr>
          <w:p w14:paraId="0B4BEAB9" w14:textId="7C6298FA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vAlign w:val="center"/>
          </w:tcPr>
          <w:p w14:paraId="7A7884B6" w14:textId="67779BEA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center"/>
          </w:tcPr>
          <w:p w14:paraId="7C883237" w14:textId="495B17FA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center"/>
          </w:tcPr>
          <w:p w14:paraId="0FFB5F7F" w14:textId="747A1353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398B33D3" w14:textId="78E9A60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14:paraId="2C4FF155" w14:textId="68C38F8A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center"/>
          </w:tcPr>
          <w:p w14:paraId="11EA0EE4" w14:textId="481A5F7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5B49FF78" w14:textId="22CEACF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40DA72BD" w14:textId="445D0872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726212">
              <w:rPr>
                <w:rFonts w:cs="Arial"/>
                <w:sz w:val="16"/>
                <w:szCs w:val="16"/>
              </w:rPr>
              <w:t>2</w:t>
            </w:r>
          </w:p>
        </w:tc>
      </w:tr>
      <w:tr w:rsidR="00174035" w:rsidRPr="00366025" w14:paraId="53DE6448" w14:textId="77777777" w:rsidTr="00CA15B7">
        <w:tc>
          <w:tcPr>
            <w:tcW w:w="2268" w:type="dxa"/>
            <w:vAlign w:val="center"/>
          </w:tcPr>
          <w:p w14:paraId="55309F56" w14:textId="77777777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center"/>
          </w:tcPr>
          <w:p w14:paraId="455D7E5C" w14:textId="3AB9E668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32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center"/>
          </w:tcPr>
          <w:p w14:paraId="2EC55A47" w14:textId="205D9DF4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center"/>
          </w:tcPr>
          <w:p w14:paraId="64251AE0" w14:textId="7A85CF5F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7E84EF58" w14:textId="6AD2288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4CDEF95B" w14:textId="1E214784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center"/>
          </w:tcPr>
          <w:p w14:paraId="2110F19A" w14:textId="7C194BB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221156BF" w14:textId="1450F4A3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0E39A0E7" w14:textId="407EB04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5</w:t>
            </w:r>
          </w:p>
        </w:tc>
      </w:tr>
      <w:tr w:rsidR="00174035" w:rsidRPr="00366025" w14:paraId="2360D431" w14:textId="77777777" w:rsidTr="00CA15B7">
        <w:tc>
          <w:tcPr>
            <w:tcW w:w="2268" w:type="dxa"/>
            <w:vAlign w:val="center"/>
          </w:tcPr>
          <w:p w14:paraId="15B9F800" w14:textId="77777777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vAlign w:val="center"/>
          </w:tcPr>
          <w:p w14:paraId="1A6BC350" w14:textId="076271EB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center"/>
          </w:tcPr>
          <w:p w14:paraId="33308717" w14:textId="5FC4401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center"/>
          </w:tcPr>
          <w:p w14:paraId="67BB4B94" w14:textId="589733ED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174F5EE2" w14:textId="65F73C78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5AF7D014" w14:textId="672D24E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center"/>
          </w:tcPr>
          <w:p w14:paraId="6FF67025" w14:textId="2FA5EFEA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5C393653" w14:textId="50330BDD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19E5E3CC" w14:textId="28D3034B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726212">
              <w:rPr>
                <w:rFonts w:cs="Arial"/>
                <w:sz w:val="16"/>
                <w:szCs w:val="16"/>
              </w:rPr>
              <w:t>0</w:t>
            </w:r>
          </w:p>
        </w:tc>
      </w:tr>
      <w:tr w:rsidR="00174035" w:rsidRPr="00366025" w14:paraId="600287BA" w14:textId="77777777" w:rsidTr="00CA15B7">
        <w:tc>
          <w:tcPr>
            <w:tcW w:w="2268" w:type="dxa"/>
            <w:vAlign w:val="center"/>
          </w:tcPr>
          <w:p w14:paraId="54B90F6D" w14:textId="1F8D1AF9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vAlign w:val="center"/>
          </w:tcPr>
          <w:p w14:paraId="5A91A834" w14:textId="150E6DF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center"/>
          </w:tcPr>
          <w:p w14:paraId="20EECA67" w14:textId="09DA0696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center"/>
          </w:tcPr>
          <w:p w14:paraId="03D7A065" w14:textId="5C74E89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14:paraId="02310768" w14:textId="18A91AE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center"/>
          </w:tcPr>
          <w:p w14:paraId="2DF5C38D" w14:textId="1134AB03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.5</w:t>
            </w:r>
          </w:p>
        </w:tc>
        <w:tc>
          <w:tcPr>
            <w:tcW w:w="670" w:type="dxa"/>
            <w:vAlign w:val="center"/>
          </w:tcPr>
          <w:p w14:paraId="485BB67D" w14:textId="5C3ABC7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0174C815" w14:textId="6CF610D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782C8BF7" w14:textId="6349ACB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1</w:t>
            </w:r>
          </w:p>
        </w:tc>
      </w:tr>
      <w:tr w:rsidR="00174035" w:rsidRPr="00366025" w14:paraId="7EE7C680" w14:textId="77777777" w:rsidTr="00CA15B7">
        <w:tc>
          <w:tcPr>
            <w:tcW w:w="2268" w:type="dxa"/>
            <w:vAlign w:val="center"/>
          </w:tcPr>
          <w:p w14:paraId="5C1DDFD5" w14:textId="4574EDB2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center"/>
          </w:tcPr>
          <w:p w14:paraId="0120D27D" w14:textId="41CD2F8B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center"/>
          </w:tcPr>
          <w:p w14:paraId="6337AC4C" w14:textId="2D9AAA8B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center"/>
          </w:tcPr>
          <w:p w14:paraId="69D9C3DD" w14:textId="4957EDB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center"/>
          </w:tcPr>
          <w:p w14:paraId="623BDBEF" w14:textId="3C504F7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2D715A2F" w14:textId="411656F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center"/>
          </w:tcPr>
          <w:p w14:paraId="709D884D" w14:textId="4110BF6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6682D9E5" w14:textId="45498EBF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44EE23FF" w14:textId="46FAFE0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26212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726212">
              <w:rPr>
                <w:rFonts w:cs="Arial"/>
                <w:sz w:val="16"/>
                <w:szCs w:val="16"/>
              </w:rPr>
              <w:t>9</w:t>
            </w:r>
          </w:p>
        </w:tc>
      </w:tr>
      <w:tr w:rsidR="00174035" w:rsidRPr="00366025" w14:paraId="308A9ACC" w14:textId="77777777" w:rsidTr="00CA15B7">
        <w:tc>
          <w:tcPr>
            <w:tcW w:w="2268" w:type="dxa"/>
            <w:vAlign w:val="center"/>
          </w:tcPr>
          <w:p w14:paraId="1CB706AD" w14:textId="77777777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center"/>
          </w:tcPr>
          <w:p w14:paraId="3487DD29" w14:textId="7D9ACAC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center"/>
          </w:tcPr>
          <w:p w14:paraId="5B3C3E37" w14:textId="4B31EBC3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center"/>
          </w:tcPr>
          <w:p w14:paraId="312BB965" w14:textId="732D81F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center"/>
          </w:tcPr>
          <w:p w14:paraId="7574235E" w14:textId="38F9ECF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center"/>
          </w:tcPr>
          <w:p w14:paraId="037DB886" w14:textId="103D2096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091CAB66" w14:textId="715C4838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2BE81CCE" w14:textId="76E06542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02A5DFE2" w14:textId="3486D140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8</w:t>
            </w:r>
          </w:p>
        </w:tc>
      </w:tr>
      <w:tr w:rsidR="00174035" w:rsidRPr="00366025" w14:paraId="1DFCFAEB" w14:textId="77777777" w:rsidTr="00CA15B7">
        <w:tc>
          <w:tcPr>
            <w:tcW w:w="2268" w:type="dxa"/>
            <w:vAlign w:val="center"/>
          </w:tcPr>
          <w:p w14:paraId="506158B5" w14:textId="5D26367C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14:paraId="4194E501" w14:textId="7C38891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D356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center"/>
          </w:tcPr>
          <w:p w14:paraId="08223B9F" w14:textId="072A3B79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D356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center"/>
          </w:tcPr>
          <w:p w14:paraId="2455F797" w14:textId="5B97C8A4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D3569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D356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14:paraId="11081182" w14:textId="39BF98A0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9E03E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14:paraId="7D945DCC" w14:textId="2173D570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E03E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center"/>
          </w:tcPr>
          <w:p w14:paraId="3FDF5671" w14:textId="0D43EDCE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9E03E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7604064A" w14:textId="5703556C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E03E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13722B8A" w14:textId="75201148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E03E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9E03E7">
              <w:rPr>
                <w:rFonts w:cs="Arial"/>
                <w:sz w:val="16"/>
                <w:szCs w:val="16"/>
              </w:rPr>
              <w:t>6</w:t>
            </w:r>
          </w:p>
        </w:tc>
      </w:tr>
      <w:tr w:rsidR="00174035" w:rsidRPr="00366025" w14:paraId="1EEC315F" w14:textId="77777777" w:rsidTr="00CA15B7">
        <w:tc>
          <w:tcPr>
            <w:tcW w:w="2268" w:type="dxa"/>
            <w:vAlign w:val="center"/>
          </w:tcPr>
          <w:p w14:paraId="0D32BC2D" w14:textId="3054EBF5" w:rsidR="00174035" w:rsidRPr="0038490F" w:rsidRDefault="00174035" w:rsidP="001740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</w:t>
            </w:r>
            <w:r w:rsidRPr="009D1508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Pr="009D1508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center"/>
          </w:tcPr>
          <w:p w14:paraId="6E69C3AA" w14:textId="4D416D10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D6BE6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D6BE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center"/>
          </w:tcPr>
          <w:p w14:paraId="6A844F3C" w14:textId="7A4C0292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center"/>
          </w:tcPr>
          <w:p w14:paraId="70E0A203" w14:textId="4615C246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74B43889" w14:textId="3C5B51CD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625B6">
              <w:rPr>
                <w:rFonts w:cs="Arial"/>
                <w:sz w:val="16"/>
                <w:szCs w:val="16"/>
              </w:rPr>
              <w:t>100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625B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40E9CBE4" w14:textId="30D03DF3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center"/>
          </w:tcPr>
          <w:p w14:paraId="643FC7DC" w14:textId="5D05A72F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7DE3418C" w14:textId="375E0EC1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12569704" w14:textId="05CE2835" w:rsidR="00174035" w:rsidRPr="00F05968" w:rsidRDefault="00174035" w:rsidP="001740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206D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D206DA"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45A56DC0" w14:textId="3AE1C2B3" w:rsidR="0038490F" w:rsidRPr="00F133CB" w:rsidRDefault="00F133CB" w:rsidP="0038490F">
      <w:pPr>
        <w:pStyle w:val="Nagwek1"/>
        <w:rPr>
          <w:color w:val="000000" w:themeColor="text1"/>
          <w:lang w:val="en-US"/>
        </w:rPr>
      </w:pPr>
      <w:r w:rsidRPr="00F133CB">
        <w:rPr>
          <w:color w:val="000000" w:themeColor="text1"/>
          <w:lang w:val="en-US"/>
        </w:rPr>
        <w:t>Table 4. Imports by country of consignment – by countries</w:t>
      </w:r>
    </w:p>
    <w:p w14:paraId="4A59023D" w14:textId="26303751" w:rsidR="00B92B28" w:rsidRPr="00704E4D" w:rsidRDefault="00FA4912" w:rsidP="00366025">
      <w:pPr>
        <w:rPr>
          <w:b/>
          <w:noProof/>
          <w:spacing w:val="-2"/>
          <w:szCs w:val="19"/>
          <w:lang w:val="en-US"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9C3E91F">
                <wp:simplePos x="0" y="0"/>
                <wp:positionH relativeFrom="page">
                  <wp:posOffset>5724525</wp:posOffset>
                </wp:positionH>
                <wp:positionV relativeFrom="paragraph">
                  <wp:posOffset>2459355</wp:posOffset>
                </wp:positionV>
                <wp:extent cx="1502410" cy="1057275"/>
                <wp:effectExtent l="0" t="0" r="0" b="0"/>
                <wp:wrapTight wrapText="bothSides">
                  <wp:wrapPolygon edited="0">
                    <wp:start x="822" y="0"/>
                    <wp:lineTo x="822" y="21016"/>
                    <wp:lineTo x="20541" y="21016"/>
                    <wp:lineTo x="20541" y="0"/>
                    <wp:lineTo x="822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0DB83738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93D62">
                              <w:rPr>
                                <w:lang w:val="en-US"/>
                              </w:rPr>
                              <w:t>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="00701EC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01ECD">
                              <w:rPr>
                                <w:lang w:val="en-US"/>
                              </w:rPr>
                              <w:t>3.9</w:t>
                            </w:r>
                            <w:bookmarkStart w:id="0" w:name="_GoBack"/>
                            <w:bookmarkEnd w:id="0"/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E951FD" w:rsidRPr="00193D62" w:rsidRDefault="00E951FD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E951FD" w:rsidRPr="00193D62" w:rsidRDefault="00E951FD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CD1D3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32" type="#_x0000_t202" style="position:absolute;margin-left:450.75pt;margin-top:193.65pt;width:118.3pt;height:83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" filled="f" stroked="f">
                <v:textbox>
                  <w:txbxContent>
                    <w:p w14:paraId="5C618C50" w14:textId="0DB83738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193D62">
                        <w:rPr>
                          <w:lang w:val="en-US"/>
                        </w:rPr>
                        <w:t>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="00701ECD">
                        <w:rPr>
                          <w:lang w:val="en-US"/>
                        </w:rPr>
                        <w:t xml:space="preserve"> </w:t>
                      </w:r>
                      <w:r w:rsidR="00701ECD">
                        <w:rPr>
                          <w:lang w:val="en-US"/>
                        </w:rPr>
                        <w:t>3.9</w:t>
                      </w:r>
                      <w:bookmarkStart w:id="1" w:name="_GoBack"/>
                      <w:bookmarkEnd w:id="1"/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E951FD" w:rsidRPr="00193D62" w:rsidRDefault="00E951FD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E951FD" w:rsidRPr="00193D62" w:rsidRDefault="00E951FD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B2E8F"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="00CB2E8F"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 w:rsidR="00CB2E8F">
        <w:rPr>
          <w:rFonts w:cs="Arial"/>
          <w:lang w:val="en-US"/>
        </w:rPr>
        <w:t>4.</w:t>
      </w:r>
      <w:r w:rsidR="007D3C3A">
        <w:rPr>
          <w:rFonts w:cs="Arial"/>
          <w:lang w:val="en-US"/>
        </w:rPr>
        <w:t>7</w:t>
      </w:r>
      <w:r w:rsidR="00CB2E8F">
        <w:rPr>
          <w:rFonts w:cs="Arial"/>
          <w:lang w:val="en-US"/>
        </w:rPr>
        <w:t xml:space="preserve"> pp</w:t>
      </w:r>
      <w:r w:rsidR="00C27F43">
        <w:rPr>
          <w:rFonts w:cs="Arial"/>
          <w:lang w:val="en-US"/>
        </w:rPr>
        <w:t>.</w:t>
      </w:r>
      <w:r w:rsidR="009C17B6" w:rsidRPr="00CB2E8F">
        <w:rPr>
          <w:rFonts w:cs="Arial"/>
          <w:lang w:val="en-US"/>
        </w:rPr>
        <w:t xml:space="preserve"> </w:t>
      </w:r>
      <w:r w:rsidR="00CB2E8F"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</w:t>
      </w:r>
      <w:r w:rsidR="007A7892">
        <w:rPr>
          <w:rFonts w:cs="Arial"/>
          <w:lang w:val="en-US"/>
        </w:rPr>
        <w:t>8</w:t>
      </w:r>
      <w:r w:rsidR="0099454C" w:rsidRPr="00CB2E8F">
        <w:rPr>
          <w:rFonts w:cs="Arial"/>
          <w:lang w:val="en-US"/>
        </w:rPr>
        <w:t xml:space="preserve"> pp</w:t>
      </w:r>
      <w:r w:rsidR="00B810CA">
        <w:rPr>
          <w:rFonts w:cs="Arial"/>
          <w:lang w:val="en-US"/>
        </w:rPr>
        <w:t>.</w:t>
      </w:r>
      <w:r w:rsidR="00466489">
        <w:rPr>
          <w:rFonts w:cs="Arial"/>
          <w:lang w:val="en-US"/>
        </w:rPr>
        <w:t xml:space="preserve"> </w:t>
      </w:r>
      <w:r w:rsidR="00466489" w:rsidRPr="00CB2E8F">
        <w:rPr>
          <w:rFonts w:cs="Arial"/>
          <w:lang w:val="en-US"/>
        </w:rPr>
        <w:t>Belgi</w:t>
      </w:r>
      <w:r w:rsidR="00466489">
        <w:rPr>
          <w:rFonts w:cs="Arial"/>
          <w:lang w:val="en-US"/>
        </w:rPr>
        <w:t>um by</w:t>
      </w:r>
      <w:r w:rsidR="00466489" w:rsidRPr="00CB2E8F">
        <w:rPr>
          <w:rFonts w:cs="Arial"/>
          <w:lang w:val="en-US"/>
        </w:rPr>
        <w:t xml:space="preserve"> 1</w:t>
      </w:r>
      <w:r w:rsidR="0026525B">
        <w:rPr>
          <w:rFonts w:cs="Arial"/>
          <w:lang w:val="en-US"/>
        </w:rPr>
        <w:t>.4</w:t>
      </w:r>
      <w:r w:rsidR="00466489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pp</w:t>
      </w:r>
      <w:r w:rsidR="00B810CA">
        <w:rPr>
          <w:rFonts w:cs="Arial"/>
          <w:lang w:val="en-US"/>
        </w:rPr>
        <w:t>.</w:t>
      </w:r>
      <w:r w:rsidR="00CB2E8F">
        <w:rPr>
          <w:rFonts w:cs="Arial"/>
          <w:lang w:val="en-US"/>
        </w:rPr>
        <w:t xml:space="preserve"> </w:t>
      </w:r>
      <w:r w:rsidR="0026525B" w:rsidRPr="00704E4D">
        <w:rPr>
          <w:rFonts w:cs="Arial"/>
          <w:szCs w:val="19"/>
          <w:lang w:val="en-US"/>
        </w:rPr>
        <w:t>Czech Republic</w:t>
      </w:r>
      <w:r w:rsidR="0026525B">
        <w:rPr>
          <w:rFonts w:cs="Arial"/>
          <w:szCs w:val="19"/>
          <w:lang w:val="en-US"/>
        </w:rPr>
        <w:t xml:space="preserve"> </w:t>
      </w:r>
      <w:r w:rsidR="007D3C3A">
        <w:rPr>
          <w:rFonts w:cs="Arial"/>
          <w:lang w:val="en-US"/>
        </w:rPr>
        <w:t>by 0.6</w:t>
      </w:r>
      <w:r w:rsidR="0026525B">
        <w:rPr>
          <w:rFonts w:cs="Arial"/>
          <w:lang w:val="en-US"/>
        </w:rPr>
        <w:t xml:space="preserve"> pp </w:t>
      </w:r>
      <w:r w:rsidR="00704E4D" w:rsidRPr="00704E4D">
        <w:rPr>
          <w:rFonts w:cs="Arial"/>
          <w:szCs w:val="19"/>
          <w:lang w:val="en-US"/>
        </w:rPr>
        <w:t>and</w:t>
      </w:r>
      <w:r w:rsidR="0026525B" w:rsidRPr="0026525B">
        <w:rPr>
          <w:rFonts w:cs="Arial"/>
          <w:lang w:val="en-US"/>
        </w:rPr>
        <w:t xml:space="preserve"> </w:t>
      </w:r>
      <w:r w:rsidR="0026525B">
        <w:rPr>
          <w:rFonts w:cs="Arial"/>
          <w:lang w:val="en-US"/>
        </w:rPr>
        <w:t>Russia by 0.</w:t>
      </w:r>
      <w:r w:rsidR="007D3C3A">
        <w:rPr>
          <w:rFonts w:cs="Arial"/>
          <w:lang w:val="en-US"/>
        </w:rPr>
        <w:t>2</w:t>
      </w:r>
      <w:r w:rsidR="0026525B">
        <w:rPr>
          <w:rFonts w:cs="Arial"/>
          <w:lang w:val="en-US"/>
        </w:rPr>
        <w:t xml:space="preserve"> pp</w:t>
      </w:r>
      <w:r w:rsidR="00704E4D">
        <w:rPr>
          <w:rFonts w:cs="Arial"/>
          <w:lang w:val="en-US"/>
        </w:rPr>
        <w:t>.</w:t>
      </w:r>
    </w:p>
    <w:p w14:paraId="32563F62" w14:textId="30E86958" w:rsidR="00AD195B" w:rsidRPr="000C6FD9" w:rsidRDefault="00AD195B" w:rsidP="00AD195B">
      <w:pPr>
        <w:rPr>
          <w:rFonts w:cs="Arial"/>
          <w:lang w:val="en-US"/>
        </w:rPr>
      </w:pPr>
      <w:r w:rsidRPr="001A33F3">
        <w:rPr>
          <w:rFonts w:cs="Arial"/>
          <w:lang w:val="en-US"/>
        </w:rPr>
        <w:lastRenderedPageBreak/>
        <w:t xml:space="preserve">In </w:t>
      </w:r>
      <w:r w:rsidR="009D1508">
        <w:rPr>
          <w:lang w:val="en-US"/>
        </w:rPr>
        <w:t>January – July</w:t>
      </w:r>
      <w:r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</w:t>
      </w:r>
      <w:r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>omenclature</w:t>
      </w:r>
      <w:r w:rsidR="00CB18FC">
        <w:rPr>
          <w:spacing w:val="-3"/>
          <w:szCs w:val="19"/>
          <w:lang w:val="en-US"/>
        </w:rPr>
        <w:t>,</w:t>
      </w:r>
      <w:r w:rsidR="004B1C41">
        <w:rPr>
          <w:spacing w:val="-3"/>
          <w:szCs w:val="19"/>
          <w:lang w:val="en-US"/>
        </w:rPr>
        <w:t xml:space="preserve"> as compared to </w:t>
      </w:r>
      <w:r w:rsidR="00274029">
        <w:rPr>
          <w:spacing w:val="-3"/>
          <w:szCs w:val="19"/>
          <w:lang w:val="en-US"/>
        </w:rPr>
        <w:t>seven</w:t>
      </w:r>
      <w:r w:rsidRPr="000D3E9E">
        <w:rPr>
          <w:spacing w:val="-3"/>
          <w:szCs w:val="19"/>
          <w:lang w:val="en-US"/>
        </w:rPr>
        <w:t xml:space="preserve"> months of last year</w:t>
      </w:r>
      <w:r w:rsidR="00CB18FC">
        <w:rPr>
          <w:spacing w:val="-3"/>
          <w:szCs w:val="19"/>
          <w:lang w:val="en-US"/>
        </w:rPr>
        <w:t>,</w:t>
      </w:r>
      <w:r w:rsidRPr="000D3E9E">
        <w:rPr>
          <w:spacing w:val="-3"/>
          <w:szCs w:val="19"/>
          <w:lang w:val="en-US"/>
        </w:rPr>
        <w:t xml:space="preserve"> there was an increas</w:t>
      </w:r>
      <w:r w:rsidR="008E62CC">
        <w:rPr>
          <w:spacing w:val="-3"/>
          <w:szCs w:val="19"/>
          <w:lang w:val="en-US"/>
        </w:rPr>
        <w:t xml:space="preserve">e in all commodity sectors </w:t>
      </w:r>
      <w:r w:rsidRPr="000D3E9E">
        <w:rPr>
          <w:spacing w:val="-3"/>
          <w:szCs w:val="19"/>
          <w:lang w:val="en-US"/>
        </w:rPr>
        <w:t xml:space="preserve">on the export </w:t>
      </w:r>
      <w:r w:rsidR="008E62CC">
        <w:rPr>
          <w:spacing w:val="-3"/>
          <w:szCs w:val="19"/>
          <w:lang w:val="en-US"/>
        </w:rPr>
        <w:t xml:space="preserve">side </w:t>
      </w:r>
      <w:r w:rsidRPr="000D3E9E">
        <w:rPr>
          <w:spacing w:val="-3"/>
          <w:szCs w:val="19"/>
          <w:lang w:val="en-US"/>
        </w:rPr>
        <w:t xml:space="preserve">and </w:t>
      </w:r>
      <w:r w:rsidR="00454A01">
        <w:rPr>
          <w:spacing w:val="-3"/>
          <w:szCs w:val="19"/>
          <w:lang w:val="en-US"/>
        </w:rPr>
        <w:t>in most sectors</w:t>
      </w:r>
      <w:r w:rsidR="008E62CC">
        <w:rPr>
          <w:spacing w:val="-3"/>
          <w:szCs w:val="19"/>
          <w:lang w:val="en-US"/>
        </w:rPr>
        <w:t xml:space="preserve"> on the </w:t>
      </w:r>
      <w:r w:rsidRPr="000D3E9E">
        <w:rPr>
          <w:spacing w:val="-3"/>
          <w:szCs w:val="19"/>
          <w:lang w:val="en-US"/>
        </w:rPr>
        <w:t>import side.</w:t>
      </w:r>
      <w:r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54FFC7F7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>nimal and vegetable oils</w:t>
      </w:r>
      <w:r w:rsidR="00CB18FC">
        <w:rPr>
          <w:spacing w:val="-3"/>
          <w:szCs w:val="19"/>
          <w:lang w:val="en-US"/>
        </w:rPr>
        <w:t>,</w:t>
      </w:r>
      <w:r w:rsidRPr="000D3E9E">
        <w:rPr>
          <w:spacing w:val="-3"/>
          <w:szCs w:val="19"/>
          <w:lang w:val="en-US"/>
        </w:rPr>
        <w:t xml:space="preserve"> fats and waxes </w:t>
      </w:r>
      <w:r w:rsidR="009B0130">
        <w:rPr>
          <w:spacing w:val="-3"/>
          <w:szCs w:val="19"/>
          <w:lang w:val="en-US"/>
        </w:rPr>
        <w:t xml:space="preserve">(by </w:t>
      </w:r>
      <w:r w:rsidR="00417286">
        <w:rPr>
          <w:spacing w:val="-3"/>
          <w:szCs w:val="19"/>
          <w:lang w:val="en-US"/>
        </w:rPr>
        <w:t>23.6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417286">
        <w:rPr>
          <w:spacing w:val="-3"/>
          <w:szCs w:val="19"/>
          <w:lang w:val="en-US"/>
        </w:rPr>
        <w:t xml:space="preserve"> (by 20.8</w:t>
      </w:r>
      <w:r w:rsidR="009B0130">
        <w:rPr>
          <w:spacing w:val="-3"/>
          <w:szCs w:val="19"/>
          <w:lang w:val="en-US"/>
        </w:rPr>
        <w:t>%)</w:t>
      </w:r>
      <w:r w:rsidR="00CB18FC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while the smallest increase reported in </w:t>
      </w:r>
      <w:r w:rsidR="00AA55D7">
        <w:rPr>
          <w:spacing w:val="-3"/>
          <w:szCs w:val="19"/>
          <w:lang w:val="en-US"/>
        </w:rPr>
        <w:t>crude materials inedible</w:t>
      </w:r>
      <w:r w:rsidR="00CB18FC">
        <w:rPr>
          <w:spacing w:val="-3"/>
          <w:szCs w:val="19"/>
          <w:lang w:val="en-US"/>
        </w:rPr>
        <w:t>,</w:t>
      </w:r>
      <w:r w:rsidR="00AA55D7" w:rsidRPr="00AA55D7">
        <w:rPr>
          <w:spacing w:val="-3"/>
          <w:szCs w:val="19"/>
          <w:lang w:val="en-US"/>
        </w:rPr>
        <w:t xml:space="preserve"> except fuels </w:t>
      </w:r>
      <w:r w:rsidR="00417286">
        <w:rPr>
          <w:spacing w:val="-3"/>
          <w:szCs w:val="19"/>
          <w:lang w:val="en-US"/>
        </w:rPr>
        <w:t>(by 0</w:t>
      </w:r>
      <w:r w:rsidR="00AA55D7">
        <w:rPr>
          <w:spacing w:val="-3"/>
          <w:szCs w:val="19"/>
          <w:lang w:val="en-US"/>
        </w:rPr>
        <w:t>.2</w:t>
      </w:r>
      <w:r w:rsidR="00ED6607">
        <w:rPr>
          <w:spacing w:val="-3"/>
          <w:szCs w:val="19"/>
          <w:lang w:val="en-US"/>
        </w:rPr>
        <w:t>%)</w:t>
      </w:r>
      <w:r w:rsidR="00AD57C6">
        <w:rPr>
          <w:spacing w:val="-3"/>
          <w:szCs w:val="19"/>
          <w:lang w:val="en-US"/>
        </w:rPr>
        <w:t>.</w:t>
      </w:r>
    </w:p>
    <w:p w14:paraId="51D527E8" w14:textId="7C6CDD30" w:rsidR="00AD195B" w:rsidRDefault="00AD195B" w:rsidP="005C2260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417286">
        <w:rPr>
          <w:spacing w:val="-3"/>
          <w:szCs w:val="19"/>
          <w:lang w:val="en-US"/>
        </w:rPr>
        <w:t xml:space="preserve"> (by 25.0</w:t>
      </w:r>
      <w:r w:rsidR="005C2260">
        <w:rPr>
          <w:spacing w:val="-3"/>
          <w:szCs w:val="19"/>
          <w:lang w:val="en-US"/>
        </w:rPr>
        <w:t>%) and in machin</w:t>
      </w:r>
      <w:r w:rsidR="00AD57C6">
        <w:rPr>
          <w:spacing w:val="-3"/>
          <w:szCs w:val="19"/>
          <w:lang w:val="en-US"/>
        </w:rPr>
        <w:t>e</w:t>
      </w:r>
      <w:r w:rsidR="00417286">
        <w:rPr>
          <w:spacing w:val="-3"/>
          <w:szCs w:val="19"/>
          <w:lang w:val="en-US"/>
        </w:rPr>
        <w:t>ry and transport equipment (by 8.6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</w:t>
      </w:r>
      <w:r w:rsidR="00CB18FC">
        <w:rPr>
          <w:spacing w:val="-3"/>
          <w:szCs w:val="19"/>
          <w:lang w:val="en-US"/>
        </w:rPr>
        <w:t>,</w:t>
      </w:r>
      <w:r w:rsidR="005C2260" w:rsidRPr="005C2260">
        <w:rPr>
          <w:spacing w:val="-3"/>
          <w:szCs w:val="19"/>
          <w:lang w:val="en-US"/>
        </w:rPr>
        <w:t xml:space="preserve"> lubricants and related materials</w:t>
      </w:r>
      <w:r w:rsidR="00417286">
        <w:rPr>
          <w:spacing w:val="-3"/>
          <w:szCs w:val="19"/>
          <w:lang w:val="en-US"/>
        </w:rPr>
        <w:t xml:space="preserve"> (by 3.3</w:t>
      </w:r>
      <w:r w:rsidR="005C2260">
        <w:rPr>
          <w:spacing w:val="-3"/>
          <w:szCs w:val="19"/>
          <w:lang w:val="en-US"/>
        </w:rPr>
        <w:t>%) and in crude materials inedible</w:t>
      </w:r>
      <w:r w:rsidR="00CB18FC">
        <w:rPr>
          <w:spacing w:val="-3"/>
          <w:szCs w:val="19"/>
          <w:lang w:val="en-US"/>
        </w:rPr>
        <w:t>,</w:t>
      </w:r>
      <w:r w:rsidR="00417286">
        <w:rPr>
          <w:spacing w:val="-3"/>
          <w:szCs w:val="19"/>
          <w:lang w:val="en-US"/>
        </w:rPr>
        <w:t xml:space="preserve"> except fuels (by 1.1</w:t>
      </w:r>
      <w:r w:rsidR="005C2260">
        <w:rPr>
          <w:spacing w:val="-3"/>
          <w:szCs w:val="19"/>
          <w:lang w:val="en-US"/>
        </w:rPr>
        <w:t>%).</w:t>
      </w:r>
    </w:p>
    <w:p w14:paraId="5F4CBCDD" w14:textId="7F0F36E0" w:rsidR="0008776F" w:rsidRPr="004E7366" w:rsidRDefault="00EE38D0" w:rsidP="00EE38D0">
      <w:pPr>
        <w:rPr>
          <w:b/>
          <w:sz w:val="18"/>
          <w:szCs w:val="18"/>
          <w:lang w:val="en-US"/>
        </w:rPr>
      </w:pPr>
      <w:r w:rsidRPr="004E7366">
        <w:rPr>
          <w:b/>
          <w:sz w:val="18"/>
          <w:szCs w:val="18"/>
          <w:lang w:val="en-US"/>
        </w:rPr>
        <w:t>Chart 1. Composition of exports by sections  according to SITC nomenclature in I – VI</w:t>
      </w:r>
      <w:r w:rsidR="00D15647" w:rsidRPr="004E7366">
        <w:rPr>
          <w:b/>
          <w:sz w:val="18"/>
          <w:szCs w:val="18"/>
          <w:lang w:val="en-US"/>
        </w:rPr>
        <w:t>I</w:t>
      </w:r>
      <w:r w:rsidRPr="004E7366">
        <w:rPr>
          <w:b/>
          <w:sz w:val="18"/>
          <w:szCs w:val="18"/>
          <w:lang w:val="en-US"/>
        </w:rPr>
        <w:t xml:space="preserve"> 2019</w:t>
      </w:r>
    </w:p>
    <w:p w14:paraId="487EE69D" w14:textId="3A309001" w:rsidR="00280AE4" w:rsidRDefault="00960809" w:rsidP="00AD195B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637E4750" wp14:editId="75CBDE1A">
            <wp:extent cx="5105400" cy="2743200"/>
            <wp:effectExtent l="0" t="0" r="0" b="0"/>
            <wp:docPr id="300" name="Wykres 3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69319DE" wp14:editId="4A70D4CD">
            <wp:extent cx="5105400" cy="2743200"/>
            <wp:effectExtent l="0" t="0" r="0" b="0"/>
            <wp:docPr id="301" name="Wykres 3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35AB7AD" wp14:editId="3103AB6F">
            <wp:extent cx="5105400" cy="2743200"/>
            <wp:effectExtent l="0" t="0" r="0" b="0"/>
            <wp:docPr id="302" name="Wykres 3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10928ED" wp14:editId="530CC816">
            <wp:extent cx="5105400" cy="2743200"/>
            <wp:effectExtent l="0" t="0" r="0" b="0"/>
            <wp:docPr id="303" name="Wykres 3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F1FFE4F" wp14:editId="5F311A02">
            <wp:extent cx="5105400" cy="2743200"/>
            <wp:effectExtent l="0" t="0" r="0" b="0"/>
            <wp:docPr id="304" name="Wykres 3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AE18022" wp14:editId="5ECDED98">
            <wp:extent cx="5105400" cy="2743200"/>
            <wp:effectExtent l="0" t="0" r="0" b="0"/>
            <wp:docPr id="305" name="Wykres 3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B17D691" wp14:editId="04B03D6C">
            <wp:extent cx="5105400" cy="2743200"/>
            <wp:effectExtent l="0" t="0" r="0" b="0"/>
            <wp:docPr id="306" name="Wykres 3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2AB948F" wp14:editId="58645845">
            <wp:extent cx="5105400" cy="2743200"/>
            <wp:effectExtent l="0" t="0" r="0" b="0"/>
            <wp:docPr id="307" name="Wykres 3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DEC12E5" wp14:editId="06FC432F">
            <wp:extent cx="5105400" cy="2743200"/>
            <wp:effectExtent l="0" t="0" r="0" b="0"/>
            <wp:docPr id="308" name="Wykres 3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FA1EBBD" wp14:editId="7F063396">
            <wp:extent cx="5105400" cy="2743200"/>
            <wp:effectExtent l="0" t="0" r="0" b="0"/>
            <wp:docPr id="309" name="Wykres 3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B23FE92" wp14:editId="1FD4E492">
            <wp:extent cx="5105400" cy="2743200"/>
            <wp:effectExtent l="0" t="0" r="0" b="0"/>
            <wp:docPr id="310" name="Wykres 3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8095E72" wp14:editId="609902A6">
            <wp:extent cx="5105400" cy="2743200"/>
            <wp:effectExtent l="0" t="0" r="0" b="0"/>
            <wp:docPr id="311" name="Wykres 3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F7BE1FC" wp14:editId="06CF5775">
            <wp:extent cx="5105400" cy="2743200"/>
            <wp:effectExtent l="0" t="0" r="0" b="0"/>
            <wp:docPr id="312" name="Wykres 3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C373C4" wp14:editId="2CD4B715">
            <wp:extent cx="5105400" cy="2743200"/>
            <wp:effectExtent l="0" t="0" r="0" b="0"/>
            <wp:docPr id="313" name="Wykres 3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BB2832" wp14:editId="2A8D6EE9">
            <wp:extent cx="5105400" cy="2743200"/>
            <wp:effectExtent l="0" t="0" r="0" b="0"/>
            <wp:docPr id="314" name="Wykres 3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B7D23B6" wp14:editId="6661798A">
            <wp:extent cx="5105400" cy="2743200"/>
            <wp:effectExtent l="0" t="0" r="0" b="0"/>
            <wp:docPr id="315" name="Wykres 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474D480" wp14:editId="641F8C48">
            <wp:extent cx="5105400" cy="2743200"/>
            <wp:effectExtent l="0" t="0" r="0" b="0"/>
            <wp:docPr id="316" name="Wykres 3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22137C5" wp14:editId="56AEEB04">
            <wp:extent cx="5105400" cy="2743200"/>
            <wp:effectExtent l="0" t="0" r="0" b="0"/>
            <wp:docPr id="317" name="Wykres 3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411536C" wp14:editId="593DD441">
            <wp:extent cx="5105400" cy="2743200"/>
            <wp:effectExtent l="0" t="0" r="0" b="0"/>
            <wp:docPr id="318" name="Wykres 3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521B63B" w14:textId="0F2C9741" w:rsidR="00EE38D0" w:rsidRDefault="00EE38D0" w:rsidP="00AD195B">
      <w:pPr>
        <w:pStyle w:val="tytuwykresu"/>
        <w:rPr>
          <w:lang w:val="en-US"/>
        </w:rPr>
      </w:pPr>
      <w:r>
        <w:rPr>
          <w:lang w:val="en-US"/>
        </w:rPr>
        <w:t>Chart 2. Composition of imports</w:t>
      </w:r>
      <w:r w:rsidRPr="00EE38D0">
        <w:rPr>
          <w:lang w:val="en-US"/>
        </w:rPr>
        <w:t xml:space="preserve"> by sections  according to SITC nomenclature in I – VI</w:t>
      </w:r>
      <w:r w:rsidR="005877CD">
        <w:rPr>
          <w:lang w:val="en-US"/>
        </w:rPr>
        <w:t>I</w:t>
      </w:r>
      <w:r w:rsidRPr="00EE38D0">
        <w:rPr>
          <w:lang w:val="en-US"/>
        </w:rPr>
        <w:t xml:space="preserve"> 2019</w:t>
      </w:r>
    </w:p>
    <w:p w14:paraId="1C9D45FB" w14:textId="20444655" w:rsidR="0008776F" w:rsidRDefault="00960809" w:rsidP="00AD195B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4E71F060" wp14:editId="466C2534">
            <wp:extent cx="4572000" cy="27432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5877CD">
        <w:rPr>
          <w:noProof/>
          <w:lang w:eastAsia="pl-PL"/>
        </w:rPr>
        <w:drawing>
          <wp:inline distT="0" distB="0" distL="0" distR="0" wp14:anchorId="764AEFBC" wp14:editId="33DBFCBA">
            <wp:extent cx="4572000" cy="2743200"/>
            <wp:effectExtent l="0" t="0" r="0" b="0"/>
            <wp:docPr id="288" name="Wykres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="005877CD">
        <w:rPr>
          <w:noProof/>
          <w:lang w:eastAsia="pl-PL"/>
        </w:rPr>
        <w:drawing>
          <wp:inline distT="0" distB="0" distL="0" distR="0" wp14:anchorId="51D1FC0B" wp14:editId="7FBF2070">
            <wp:extent cx="4572000" cy="2743200"/>
            <wp:effectExtent l="0" t="0" r="0" b="0"/>
            <wp:docPr id="289" name="Wykres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D7DE0F0" wp14:editId="42607B91">
            <wp:extent cx="4572000" cy="2743200"/>
            <wp:effectExtent l="0" t="0" r="0" b="0"/>
            <wp:docPr id="281" name="Wykres 2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B0E62D3" wp14:editId="0A4A07AA">
            <wp:extent cx="4572000" cy="2743200"/>
            <wp:effectExtent l="0" t="0" r="0" b="0"/>
            <wp:docPr id="282" name="Wykres 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39D7406" wp14:editId="35B1A076">
            <wp:extent cx="4572000" cy="2743200"/>
            <wp:effectExtent l="0" t="0" r="0" b="0"/>
            <wp:docPr id="283" name="Wykres 2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1B48F84" wp14:editId="1F634E0A">
            <wp:extent cx="4572000" cy="2743200"/>
            <wp:effectExtent l="0" t="0" r="0" b="0"/>
            <wp:docPr id="284" name="Wykres 2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AC1707" wp14:editId="1D86EEC2">
            <wp:extent cx="4572000" cy="2743200"/>
            <wp:effectExtent l="0" t="0" r="0" b="0"/>
            <wp:docPr id="285" name="Wykres 2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1B80060" wp14:editId="2893C48E">
            <wp:extent cx="4572000" cy="2743200"/>
            <wp:effectExtent l="0" t="0" r="0" b="0"/>
            <wp:docPr id="286" name="Wykres 2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F247AB9" wp14:editId="1975CAF4">
            <wp:extent cx="4572000" cy="2743200"/>
            <wp:effectExtent l="0" t="0" r="0" b="0"/>
            <wp:docPr id="290" name="Wykres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2DFA6B1" wp14:editId="5D9E8085">
            <wp:extent cx="4572000" cy="2743200"/>
            <wp:effectExtent l="0" t="0" r="0" b="0"/>
            <wp:docPr id="291" name="Wykres 2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E9E6D8" wp14:editId="4B188D0F">
            <wp:extent cx="4572000" cy="2743200"/>
            <wp:effectExtent l="0" t="0" r="0" b="0"/>
            <wp:docPr id="292" name="Wykres 2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1873EA2" wp14:editId="740F975F">
            <wp:extent cx="4572000" cy="2743200"/>
            <wp:effectExtent l="0" t="0" r="0" b="0"/>
            <wp:docPr id="293" name="Wykres 2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96F73A6" wp14:editId="4FF90C89">
            <wp:extent cx="4572000" cy="2743200"/>
            <wp:effectExtent l="0" t="0" r="0" b="0"/>
            <wp:docPr id="294" name="Wykres 2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7B989DE" wp14:editId="1F15C9EC">
            <wp:extent cx="4572000" cy="2743200"/>
            <wp:effectExtent l="0" t="0" r="0" b="0"/>
            <wp:docPr id="295" name="Wykres 2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AF5F064" wp14:editId="397029FB">
            <wp:extent cx="4572000" cy="2743200"/>
            <wp:effectExtent l="0" t="0" r="0" b="0"/>
            <wp:docPr id="296" name="Wykres 2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6A63030" wp14:editId="063D7556">
            <wp:extent cx="4572000" cy="2743200"/>
            <wp:effectExtent l="0" t="0" r="0" b="0"/>
            <wp:docPr id="297" name="Wykres 2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1C4AEA4" wp14:editId="66DBB83A">
            <wp:extent cx="4572000" cy="2743200"/>
            <wp:effectExtent l="0" t="0" r="0" b="0"/>
            <wp:docPr id="298" name="Wykres 2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7CF5A22" wp14:editId="04D0BF7D">
            <wp:extent cx="4572000" cy="2743200"/>
            <wp:effectExtent l="0" t="0" r="0" b="0"/>
            <wp:docPr id="299" name="Wykres 2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CC52C81" wp14:editId="6572E743">
            <wp:extent cx="4572000" cy="2743200"/>
            <wp:effectExtent l="0" t="0" r="0" b="0"/>
            <wp:docPr id="287" name="Wykres 2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6B815001" w14:textId="77777777" w:rsidR="0008776F" w:rsidRDefault="0008776F" w:rsidP="00AD195B">
      <w:pPr>
        <w:pStyle w:val="tytuwykresu"/>
        <w:rPr>
          <w:lang w:val="en-US"/>
        </w:rPr>
      </w:pPr>
    </w:p>
    <w:p w14:paraId="5AE72F25" w14:textId="3C871564" w:rsidR="0008776F" w:rsidRDefault="0008776F" w:rsidP="00AD195B">
      <w:pPr>
        <w:pStyle w:val="tytuwykresu"/>
        <w:rPr>
          <w:lang w:val="en-US"/>
        </w:rPr>
      </w:pPr>
    </w:p>
    <w:p w14:paraId="72089726" w14:textId="7B41E1EC" w:rsidR="0008776F" w:rsidRDefault="0008776F" w:rsidP="00AD195B">
      <w:pPr>
        <w:pStyle w:val="tytuwykresu"/>
        <w:rPr>
          <w:lang w:val="en-US"/>
        </w:rPr>
      </w:pPr>
    </w:p>
    <w:p w14:paraId="4E9B7E8C" w14:textId="77777777" w:rsidR="0008776F" w:rsidRDefault="0008776F" w:rsidP="00AD195B">
      <w:pPr>
        <w:pStyle w:val="tytuwykresu"/>
        <w:rPr>
          <w:lang w:val="en-US"/>
        </w:rPr>
      </w:pPr>
    </w:p>
    <w:p w14:paraId="3E529082" w14:textId="77777777" w:rsidR="0008776F" w:rsidRDefault="0008776F" w:rsidP="00AD195B">
      <w:pPr>
        <w:pStyle w:val="tytuwykresu"/>
        <w:rPr>
          <w:lang w:val="en-US"/>
        </w:rPr>
      </w:pPr>
    </w:p>
    <w:p w14:paraId="6A94F86B" w14:textId="77777777" w:rsidR="00280AE4" w:rsidRPr="00B92B28" w:rsidRDefault="00280AE4" w:rsidP="00366025">
      <w:pPr>
        <w:rPr>
          <w:rFonts w:cs="Arial"/>
          <w:lang w:val="en-US"/>
        </w:rPr>
        <w:sectPr w:rsidR="00280AE4" w:rsidRPr="00B92B28" w:rsidSect="001448A7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17E4DAE" w14:textId="77777777" w:rsidR="00BF41E8" w:rsidRDefault="00FD626B" w:rsidP="00B43A4C">
      <w:pPr>
        <w:pStyle w:val="tytuwykresu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lastRenderedPageBreak/>
        <w:drawing>
          <wp:inline distT="0" distB="0" distL="0" distR="0" wp14:anchorId="478DA6C8" wp14:editId="12D9DE3A">
            <wp:extent cx="5108575" cy="2749550"/>
            <wp:effectExtent l="0" t="0" r="0" b="0"/>
            <wp:docPr id="192" name="Obraz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280AE4" w:rsidRPr="000C4E47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</w:t>
            </w:r>
            <w:r w:rsidRPr="00AD195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mail: </w:t>
            </w:r>
            <w:hyperlink r:id="rId57" w:history="1">
              <w:r w:rsidR="00B92654" w:rsidRPr="00AD195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59830449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  <w:proofErr w:type="spellEnd"/>
          </w:p>
          <w:p w14:paraId="5F87F1DF" w14:textId="374FC10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C27F4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58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1CEF4DC" w14:textId="77777777" w:rsidR="00BF41E8" w:rsidRPr="00BF41E8" w:rsidRDefault="00BF41E8" w:rsidP="000470AA">
      <w:pPr>
        <w:rPr>
          <w:sz w:val="20"/>
          <w:lang w:val="en-US"/>
        </w:rPr>
      </w:pPr>
    </w:p>
    <w:tbl>
      <w:tblPr>
        <w:tblStyle w:val="Tabela-Siatka"/>
        <w:tblW w:w="55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8"/>
        <w:gridCol w:w="670"/>
        <w:gridCol w:w="3467"/>
      </w:tblGrid>
      <w:tr w:rsidR="000470AA" w:rsidRPr="000C4E47" w14:paraId="5F87F1EA" w14:textId="77777777" w:rsidTr="00BF41E8">
        <w:trPr>
          <w:trHeight w:val="472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328BCD9F" w:rsidR="000470AA" w:rsidRPr="000C2149" w:rsidRDefault="00AD195B" w:rsidP="000470AA">
            <w:pPr>
              <w:rPr>
                <w:sz w:val="20"/>
                <w:lang w:val="en-US"/>
              </w:rPr>
            </w:pPr>
            <w:r w:rsidRPr="00AD195B">
              <w:rPr>
                <w:b/>
                <w:sz w:val="20"/>
                <w:lang w:val="en-US"/>
              </w:rPr>
              <w:t>Tel</w:t>
            </w:r>
            <w:r w:rsidR="000470AA" w:rsidRPr="00AD195B">
              <w:rPr>
                <w:b/>
                <w:sz w:val="20"/>
                <w:lang w:val="en-US"/>
              </w:rPr>
              <w:t xml:space="preserve">: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C27F43">
              <w:rPr>
                <w:sz w:val="20"/>
                <w:lang w:val="en-US"/>
              </w:rPr>
              <w:t>.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59" w:history="1">
              <w:r w:rsidRPr="00AD195B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BF41E8">
        <w:trPr>
          <w:trHeight w:val="337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BF41E8">
        <w:trPr>
          <w:trHeight w:val="337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66AD8E2B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E951FD" w:rsidRDefault="00E951F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E951FD" w:rsidRPr="00856331" w:rsidRDefault="00E951F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77777777" w:rsidR="00E951FD" w:rsidRPr="00AD195B" w:rsidRDefault="00E951FD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D195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57222A82" w14:textId="77777777" w:rsidR="00E951FD" w:rsidRPr="00AD195B" w:rsidRDefault="00E951FD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63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2060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E951FD" w:rsidRPr="00AD195B" w:rsidRDefault="00C247D8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64" w:history="1">
                              <w:r w:rsidR="00E951F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E951FD" w:rsidRPr="00466489" w:rsidRDefault="00E951F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E951FD" w:rsidRPr="00A00ADB" w:rsidRDefault="00E951F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E951FD" w:rsidRPr="00AD195B" w:rsidRDefault="00E951F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65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E951FD" w:rsidRPr="00AD195B" w:rsidRDefault="00E951F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66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67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E951FD" w:rsidRPr="000C2149" w:rsidRDefault="00E951F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E951FD" w:rsidRPr="000C2149" w:rsidRDefault="00E951F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E951FD" w:rsidRPr="00AD195B" w:rsidRDefault="00C247D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68" w:history="1">
                              <w:r w:rsidR="00E951F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E951FD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E951FD" w:rsidRPr="00AD195B" w:rsidRDefault="00C247D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69" w:history="1">
                              <w:r w:rsidR="00E951F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E951FD" w:rsidRPr="00AD195B" w:rsidRDefault="00C247D8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70" w:history="1">
                              <w:r w:rsidR="00E951F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E951FD" w:rsidRPr="00AD195B" w:rsidRDefault="00E951F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E951FD" w:rsidRPr="00B86308" w:rsidRDefault="00E951F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E951FD" w:rsidRDefault="00E951FD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E951FD" w:rsidRPr="00856331" w:rsidRDefault="00E951F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77777777" w:rsidR="00E951FD" w:rsidRPr="00AD195B" w:rsidRDefault="00E951FD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AD195B"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  <w:t>Yearbook of Foreign Trade Statistics of Poland 2018</w:t>
                      </w:r>
                    </w:p>
                    <w:p w14:paraId="57222A82" w14:textId="77777777" w:rsidR="00E951FD" w:rsidRPr="00AD195B" w:rsidRDefault="00E951FD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71" w:history="1">
                        <w:r w:rsidRPr="00AD195B">
                          <w:rPr>
                            <w:rStyle w:val="Hipercze"/>
                            <w:rFonts w:cstheme="minorBidi"/>
                            <w:color w:val="002060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E951FD" w:rsidRPr="00AD195B" w:rsidRDefault="00E951F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72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E951FD" w:rsidRPr="00466489" w:rsidRDefault="00E951F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E951FD" w:rsidRPr="00A00ADB" w:rsidRDefault="00E951F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E951FD" w:rsidRPr="00AD195B" w:rsidRDefault="00E951F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73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E951FD" w:rsidRPr="00AD195B" w:rsidRDefault="00E951F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74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75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E951FD" w:rsidRPr="000C2149" w:rsidRDefault="00E951F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E951FD" w:rsidRPr="000C2149" w:rsidRDefault="00E951F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E951FD" w:rsidRPr="00AD195B" w:rsidRDefault="00E951F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7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E951FD" w:rsidRPr="00AD195B" w:rsidRDefault="00E951F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77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E951FD" w:rsidRPr="00AD195B" w:rsidRDefault="00E951FD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78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E951FD" w:rsidRPr="00AD195B" w:rsidRDefault="00E951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E951FD" w:rsidRPr="00B86308" w:rsidRDefault="00E951F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7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A1DC6" w14:textId="77777777" w:rsidR="00C247D8" w:rsidRDefault="00C247D8" w:rsidP="000662E2">
      <w:pPr>
        <w:spacing w:after="0" w:line="240" w:lineRule="auto"/>
      </w:pPr>
      <w:r>
        <w:separator/>
      </w:r>
    </w:p>
  </w:endnote>
  <w:endnote w:type="continuationSeparator" w:id="0">
    <w:p w14:paraId="55CA182C" w14:textId="77777777" w:rsidR="00C247D8" w:rsidRDefault="00C247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047067"/>
      <w:docPartObj>
        <w:docPartGallery w:val="Page Numbers (Bottom of Page)"/>
        <w:docPartUnique/>
      </w:docPartObj>
    </w:sdtPr>
    <w:sdtEndPr/>
    <w:sdtContent>
      <w:p w14:paraId="08D35801" w14:textId="758E4FEC" w:rsidR="00E951FD" w:rsidRDefault="00E951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CD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E951FD" w:rsidRDefault="00E951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477210"/>
      <w:docPartObj>
        <w:docPartGallery w:val="Page Numbers (Bottom of Page)"/>
        <w:docPartUnique/>
      </w:docPartObj>
    </w:sdtPr>
    <w:sdtEndPr/>
    <w:sdtContent>
      <w:p w14:paraId="06DDA38F" w14:textId="29242683" w:rsidR="00E951FD" w:rsidRDefault="00E951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CD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E951FD" w:rsidRDefault="00E951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031D3" w14:textId="77777777" w:rsidR="00C247D8" w:rsidRDefault="00C247D8" w:rsidP="000662E2">
      <w:pPr>
        <w:spacing w:after="0" w:line="240" w:lineRule="auto"/>
      </w:pPr>
      <w:r>
        <w:separator/>
      </w:r>
    </w:p>
  </w:footnote>
  <w:footnote w:type="continuationSeparator" w:id="0">
    <w:p w14:paraId="4E3CB5F6" w14:textId="77777777" w:rsidR="00C247D8" w:rsidRDefault="00C247D8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E951FD" w:rsidRPr="00AD195B" w:rsidRDefault="00E951FD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E951FD" w:rsidRPr="00AD195B" w:rsidRDefault="00E951FD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B810CA" w:rsidRPr="00AD195B" w:rsidRDefault="00B810CA" w:rsidP="00C27F43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B209BA" w:rsidRPr="00AD195B" w:rsidRDefault="00B209BA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E951FD" w:rsidRDefault="00E951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E951FD" w:rsidRDefault="00E95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E951FD" w:rsidRDefault="00E951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E951FD" w:rsidRPr="003C6C8D" w:rsidRDefault="00E951F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E951FD" w:rsidRPr="003C6C8D" w:rsidRDefault="00E951F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201" name="Obraz 20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E951FD" w:rsidRDefault="00E951F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5816D244" w:rsidR="00E951FD" w:rsidRPr="00C97596" w:rsidRDefault="00E951F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12.09.2019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5816D244" w:rsidR="00E951FD" w:rsidRPr="00C97596" w:rsidRDefault="00E951F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12.09.2019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E951FD" w:rsidRDefault="00E951FD">
    <w:pPr>
      <w:pStyle w:val="Nagwek"/>
    </w:pPr>
  </w:p>
  <w:p w14:paraId="5F87F20F" w14:textId="77777777" w:rsidR="00E951FD" w:rsidRDefault="00E95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ECD"/>
    <w:rsid w:val="000152F5"/>
    <w:rsid w:val="00017EBA"/>
    <w:rsid w:val="00020CD4"/>
    <w:rsid w:val="00023C19"/>
    <w:rsid w:val="00024AFF"/>
    <w:rsid w:val="0003572D"/>
    <w:rsid w:val="00037222"/>
    <w:rsid w:val="00040EA2"/>
    <w:rsid w:val="0004582E"/>
    <w:rsid w:val="000470AA"/>
    <w:rsid w:val="00057CA1"/>
    <w:rsid w:val="000637F0"/>
    <w:rsid w:val="000662E2"/>
    <w:rsid w:val="00066883"/>
    <w:rsid w:val="00066C1C"/>
    <w:rsid w:val="00070820"/>
    <w:rsid w:val="00073888"/>
    <w:rsid w:val="00073DEA"/>
    <w:rsid w:val="00074DD8"/>
    <w:rsid w:val="00076A47"/>
    <w:rsid w:val="000806F7"/>
    <w:rsid w:val="000819CC"/>
    <w:rsid w:val="00081BF6"/>
    <w:rsid w:val="00083C6E"/>
    <w:rsid w:val="00084715"/>
    <w:rsid w:val="0008776F"/>
    <w:rsid w:val="0009234B"/>
    <w:rsid w:val="000A6A65"/>
    <w:rsid w:val="000A6C2C"/>
    <w:rsid w:val="000A72E4"/>
    <w:rsid w:val="000B0727"/>
    <w:rsid w:val="000B1003"/>
    <w:rsid w:val="000B3A5D"/>
    <w:rsid w:val="000B6C36"/>
    <w:rsid w:val="000C135D"/>
    <w:rsid w:val="000C2149"/>
    <w:rsid w:val="000C36D4"/>
    <w:rsid w:val="000C4E47"/>
    <w:rsid w:val="000C6FD9"/>
    <w:rsid w:val="000D16F9"/>
    <w:rsid w:val="000D1D43"/>
    <w:rsid w:val="000D225C"/>
    <w:rsid w:val="000D2A5C"/>
    <w:rsid w:val="000D3E9E"/>
    <w:rsid w:val="000E0918"/>
    <w:rsid w:val="000F42A9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74035"/>
    <w:rsid w:val="001848DA"/>
    <w:rsid w:val="00185BAA"/>
    <w:rsid w:val="00193D62"/>
    <w:rsid w:val="001951DA"/>
    <w:rsid w:val="001A33F3"/>
    <w:rsid w:val="001A3BAA"/>
    <w:rsid w:val="001B6FEB"/>
    <w:rsid w:val="001C2C72"/>
    <w:rsid w:val="001C3269"/>
    <w:rsid w:val="001D1DB4"/>
    <w:rsid w:val="001E251F"/>
    <w:rsid w:val="001E3F4A"/>
    <w:rsid w:val="001E4A2F"/>
    <w:rsid w:val="00217509"/>
    <w:rsid w:val="00226715"/>
    <w:rsid w:val="00231082"/>
    <w:rsid w:val="0023297E"/>
    <w:rsid w:val="00242525"/>
    <w:rsid w:val="00246534"/>
    <w:rsid w:val="00254028"/>
    <w:rsid w:val="002574F9"/>
    <w:rsid w:val="00260F64"/>
    <w:rsid w:val="0026525B"/>
    <w:rsid w:val="00274029"/>
    <w:rsid w:val="0027462D"/>
    <w:rsid w:val="00276811"/>
    <w:rsid w:val="00277A82"/>
    <w:rsid w:val="00280AE4"/>
    <w:rsid w:val="00282699"/>
    <w:rsid w:val="00282A29"/>
    <w:rsid w:val="0028458E"/>
    <w:rsid w:val="002926DF"/>
    <w:rsid w:val="00296697"/>
    <w:rsid w:val="00297848"/>
    <w:rsid w:val="002A156A"/>
    <w:rsid w:val="002B0472"/>
    <w:rsid w:val="002B6B12"/>
    <w:rsid w:val="002D45CF"/>
    <w:rsid w:val="002E0CF6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995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D6436"/>
    <w:rsid w:val="003F16AB"/>
    <w:rsid w:val="003F35AD"/>
    <w:rsid w:val="003F4C97"/>
    <w:rsid w:val="003F5B94"/>
    <w:rsid w:val="003F6750"/>
    <w:rsid w:val="003F7B61"/>
    <w:rsid w:val="003F7FE6"/>
    <w:rsid w:val="00400193"/>
    <w:rsid w:val="004045B9"/>
    <w:rsid w:val="00417286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0C8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1C41"/>
    <w:rsid w:val="004B2FBB"/>
    <w:rsid w:val="004B64A7"/>
    <w:rsid w:val="004C0D1B"/>
    <w:rsid w:val="004C1895"/>
    <w:rsid w:val="004C22FB"/>
    <w:rsid w:val="004C6D40"/>
    <w:rsid w:val="004D100F"/>
    <w:rsid w:val="004E7366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3491A"/>
    <w:rsid w:val="0054251F"/>
    <w:rsid w:val="00547F94"/>
    <w:rsid w:val="00550618"/>
    <w:rsid w:val="005520D8"/>
    <w:rsid w:val="00556CF1"/>
    <w:rsid w:val="00572459"/>
    <w:rsid w:val="005762A7"/>
    <w:rsid w:val="00585385"/>
    <w:rsid w:val="00586936"/>
    <w:rsid w:val="005877CD"/>
    <w:rsid w:val="005916D7"/>
    <w:rsid w:val="00594C60"/>
    <w:rsid w:val="00596F93"/>
    <w:rsid w:val="00597574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47415"/>
    <w:rsid w:val="0065146E"/>
    <w:rsid w:val="0065337E"/>
    <w:rsid w:val="006537F5"/>
    <w:rsid w:val="00656E99"/>
    <w:rsid w:val="00657AAA"/>
    <w:rsid w:val="006642E0"/>
    <w:rsid w:val="00665A78"/>
    <w:rsid w:val="006673CA"/>
    <w:rsid w:val="00673C26"/>
    <w:rsid w:val="00675AEA"/>
    <w:rsid w:val="006812AF"/>
    <w:rsid w:val="0068327D"/>
    <w:rsid w:val="00683419"/>
    <w:rsid w:val="0068491C"/>
    <w:rsid w:val="00687A56"/>
    <w:rsid w:val="00690129"/>
    <w:rsid w:val="00694AF0"/>
    <w:rsid w:val="006A1323"/>
    <w:rsid w:val="006A215D"/>
    <w:rsid w:val="006B0E9E"/>
    <w:rsid w:val="006B53C4"/>
    <w:rsid w:val="006B59FE"/>
    <w:rsid w:val="006B5AE4"/>
    <w:rsid w:val="006C2126"/>
    <w:rsid w:val="006C6FF9"/>
    <w:rsid w:val="006D31C0"/>
    <w:rsid w:val="006D4054"/>
    <w:rsid w:val="006D5EAD"/>
    <w:rsid w:val="006D6AD4"/>
    <w:rsid w:val="006E02EC"/>
    <w:rsid w:val="007000BD"/>
    <w:rsid w:val="00701D51"/>
    <w:rsid w:val="00701ECD"/>
    <w:rsid w:val="007041B0"/>
    <w:rsid w:val="00704E4D"/>
    <w:rsid w:val="00717D5C"/>
    <w:rsid w:val="0072037C"/>
    <w:rsid w:val="007211B1"/>
    <w:rsid w:val="00723032"/>
    <w:rsid w:val="00723FCE"/>
    <w:rsid w:val="00726835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0F6B"/>
    <w:rsid w:val="007813D1"/>
    <w:rsid w:val="00782039"/>
    <w:rsid w:val="00782B51"/>
    <w:rsid w:val="00782FA0"/>
    <w:rsid w:val="00783CA4"/>
    <w:rsid w:val="007842FB"/>
    <w:rsid w:val="00786124"/>
    <w:rsid w:val="00791951"/>
    <w:rsid w:val="00794F37"/>
    <w:rsid w:val="0079514B"/>
    <w:rsid w:val="007954DB"/>
    <w:rsid w:val="007A1A62"/>
    <w:rsid w:val="007A2DC1"/>
    <w:rsid w:val="007A4BFA"/>
    <w:rsid w:val="007A7892"/>
    <w:rsid w:val="007C0DEB"/>
    <w:rsid w:val="007C3D28"/>
    <w:rsid w:val="007D3319"/>
    <w:rsid w:val="007D335D"/>
    <w:rsid w:val="007D3C3A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4FBA"/>
    <w:rsid w:val="00856331"/>
    <w:rsid w:val="008720A0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1807"/>
    <w:rsid w:val="00932408"/>
    <w:rsid w:val="00933EC1"/>
    <w:rsid w:val="009345D6"/>
    <w:rsid w:val="009405E9"/>
    <w:rsid w:val="009451EB"/>
    <w:rsid w:val="009465B2"/>
    <w:rsid w:val="009530DB"/>
    <w:rsid w:val="00953676"/>
    <w:rsid w:val="00955FF5"/>
    <w:rsid w:val="00960809"/>
    <w:rsid w:val="00964A3E"/>
    <w:rsid w:val="009705EE"/>
    <w:rsid w:val="00977927"/>
    <w:rsid w:val="0098135C"/>
    <w:rsid w:val="0098156A"/>
    <w:rsid w:val="00982B24"/>
    <w:rsid w:val="0098396E"/>
    <w:rsid w:val="00984585"/>
    <w:rsid w:val="00990C1A"/>
    <w:rsid w:val="00991BAC"/>
    <w:rsid w:val="00992926"/>
    <w:rsid w:val="0099454C"/>
    <w:rsid w:val="009A0F70"/>
    <w:rsid w:val="009A1428"/>
    <w:rsid w:val="009A39CF"/>
    <w:rsid w:val="009A5C86"/>
    <w:rsid w:val="009A6EA0"/>
    <w:rsid w:val="009B0130"/>
    <w:rsid w:val="009B5807"/>
    <w:rsid w:val="009B6005"/>
    <w:rsid w:val="009C1335"/>
    <w:rsid w:val="009C17B6"/>
    <w:rsid w:val="009C1AB2"/>
    <w:rsid w:val="009C4AC0"/>
    <w:rsid w:val="009C609A"/>
    <w:rsid w:val="009C7251"/>
    <w:rsid w:val="009D1508"/>
    <w:rsid w:val="009D1900"/>
    <w:rsid w:val="009D1913"/>
    <w:rsid w:val="009E0235"/>
    <w:rsid w:val="009E2E91"/>
    <w:rsid w:val="009F2629"/>
    <w:rsid w:val="009F3C86"/>
    <w:rsid w:val="009F6463"/>
    <w:rsid w:val="00A00ADB"/>
    <w:rsid w:val="00A02298"/>
    <w:rsid w:val="00A13626"/>
    <w:rsid w:val="00A139F5"/>
    <w:rsid w:val="00A2337A"/>
    <w:rsid w:val="00A33EF9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65557"/>
    <w:rsid w:val="00A70036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55D7"/>
    <w:rsid w:val="00AA6D1C"/>
    <w:rsid w:val="00AA710D"/>
    <w:rsid w:val="00AB29F1"/>
    <w:rsid w:val="00AB3053"/>
    <w:rsid w:val="00AB38AA"/>
    <w:rsid w:val="00AB6D25"/>
    <w:rsid w:val="00AD195B"/>
    <w:rsid w:val="00AD34B4"/>
    <w:rsid w:val="00AD53D9"/>
    <w:rsid w:val="00AD57C6"/>
    <w:rsid w:val="00AD728E"/>
    <w:rsid w:val="00AE2D4B"/>
    <w:rsid w:val="00AE452D"/>
    <w:rsid w:val="00AE4F99"/>
    <w:rsid w:val="00AE636C"/>
    <w:rsid w:val="00AF0CDF"/>
    <w:rsid w:val="00B113A9"/>
    <w:rsid w:val="00B1245F"/>
    <w:rsid w:val="00B14952"/>
    <w:rsid w:val="00B209BA"/>
    <w:rsid w:val="00B241A9"/>
    <w:rsid w:val="00B31E5A"/>
    <w:rsid w:val="00B31F08"/>
    <w:rsid w:val="00B40AE0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10CA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B582A"/>
    <w:rsid w:val="00BC1166"/>
    <w:rsid w:val="00BC588F"/>
    <w:rsid w:val="00BD2BC3"/>
    <w:rsid w:val="00BD4E33"/>
    <w:rsid w:val="00BD5068"/>
    <w:rsid w:val="00BE588F"/>
    <w:rsid w:val="00BF09A1"/>
    <w:rsid w:val="00BF41E8"/>
    <w:rsid w:val="00C02127"/>
    <w:rsid w:val="00C030DE"/>
    <w:rsid w:val="00C21FED"/>
    <w:rsid w:val="00C22105"/>
    <w:rsid w:val="00C244B6"/>
    <w:rsid w:val="00C247D8"/>
    <w:rsid w:val="00C27F43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2691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18FC"/>
    <w:rsid w:val="00CB2E8F"/>
    <w:rsid w:val="00CB5036"/>
    <w:rsid w:val="00CC303A"/>
    <w:rsid w:val="00CC60CF"/>
    <w:rsid w:val="00CC739E"/>
    <w:rsid w:val="00CC7850"/>
    <w:rsid w:val="00CD2A94"/>
    <w:rsid w:val="00CD2FE9"/>
    <w:rsid w:val="00CD58B7"/>
    <w:rsid w:val="00CF4099"/>
    <w:rsid w:val="00D00796"/>
    <w:rsid w:val="00D042BF"/>
    <w:rsid w:val="00D15647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397C"/>
    <w:rsid w:val="00D841A2"/>
    <w:rsid w:val="00D927AA"/>
    <w:rsid w:val="00D94EED"/>
    <w:rsid w:val="00D96026"/>
    <w:rsid w:val="00DA4E89"/>
    <w:rsid w:val="00DA5743"/>
    <w:rsid w:val="00DA7C1C"/>
    <w:rsid w:val="00DB147A"/>
    <w:rsid w:val="00DB1B7A"/>
    <w:rsid w:val="00DB455F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36A9B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52C4"/>
    <w:rsid w:val="00E664C5"/>
    <w:rsid w:val="00E665BB"/>
    <w:rsid w:val="00E671A2"/>
    <w:rsid w:val="00E738A6"/>
    <w:rsid w:val="00E76D26"/>
    <w:rsid w:val="00E92A5C"/>
    <w:rsid w:val="00E93AC6"/>
    <w:rsid w:val="00E951FD"/>
    <w:rsid w:val="00EB1390"/>
    <w:rsid w:val="00EB2C71"/>
    <w:rsid w:val="00EB4340"/>
    <w:rsid w:val="00EB556D"/>
    <w:rsid w:val="00EB5A7D"/>
    <w:rsid w:val="00EB625C"/>
    <w:rsid w:val="00EC2D76"/>
    <w:rsid w:val="00EC543E"/>
    <w:rsid w:val="00ED55C0"/>
    <w:rsid w:val="00ED6607"/>
    <w:rsid w:val="00ED682B"/>
    <w:rsid w:val="00EE38D0"/>
    <w:rsid w:val="00EE41D5"/>
    <w:rsid w:val="00EE7199"/>
    <w:rsid w:val="00F02C7E"/>
    <w:rsid w:val="00F037A4"/>
    <w:rsid w:val="00F05968"/>
    <w:rsid w:val="00F11C5D"/>
    <w:rsid w:val="00F133CB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4912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D626B"/>
    <w:rsid w:val="00FD6CA6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4.xml"/><Relationship Id="rId21" Type="http://schemas.openxmlformats.org/officeDocument/2006/relationships/chart" Target="charts/chart9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63" Type="http://schemas.openxmlformats.org/officeDocument/2006/relationships/hyperlink" Target="file:///C:\Users\MatejakA\Desktop\Documents\Sygnalna\2018\Foreign%20trade.%20Mirror%20and%20asymmetry%20statistics" TargetMode="External"/><Relationship Id="rId68" Type="http://schemas.openxmlformats.org/officeDocument/2006/relationships/hyperlink" Target="http://stat.gov.pl/en/metainformations/glossary/terms-used-in-official-statistics/746,term.html" TargetMode="External"/><Relationship Id="rId16" Type="http://schemas.openxmlformats.org/officeDocument/2006/relationships/chart" Target="charts/chart4.xml"/><Relationship Id="rId11" Type="http://schemas.openxmlformats.org/officeDocument/2006/relationships/image" Target="media/image2.emf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53" Type="http://schemas.openxmlformats.org/officeDocument/2006/relationships/footer" Target="footer1.xml"/><Relationship Id="rId58" Type="http://schemas.openxmlformats.org/officeDocument/2006/relationships/hyperlink" Target="mailto:rzecznik@stat.gov.pl" TargetMode="External"/><Relationship Id="rId74" Type="http://schemas.openxmlformats.org/officeDocument/2006/relationships/hyperlink" Target="http://swaid.stat.gov.pl/EN/SitePages/StronaGlownaDBW.aspx" TargetMode="External"/><Relationship Id="rId79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image" Target="media/image7.png"/><Relationship Id="rId19" Type="http://schemas.openxmlformats.org/officeDocument/2006/relationships/chart" Target="charts/chart7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56" Type="http://schemas.openxmlformats.org/officeDocument/2006/relationships/image" Target="media/image5.png"/><Relationship Id="rId64" Type="http://schemas.openxmlformats.org/officeDocument/2006/relationships/hyperlink" Target="http://stat.gov.pl/en/topics/prices-trade/trade/foreign-trade-poland-in-european-union,6,12.html" TargetMode="External"/><Relationship Id="rId69" Type="http://schemas.openxmlformats.org/officeDocument/2006/relationships/hyperlink" Target="http://stat.gov.pl/en/metainformations/glossary/terms-used-in-official-statistics/119,term.html" TargetMode="External"/><Relationship Id="rId77" Type="http://schemas.openxmlformats.org/officeDocument/2006/relationships/hyperlink" Target="http://stat.gov.pl/en/metainformations/glossary/terms-used-in-official-statistics/119,term.html" TargetMode="External"/><Relationship Id="rId8" Type="http://schemas.openxmlformats.org/officeDocument/2006/relationships/webSettings" Target="webSettings.xml"/><Relationship Id="rId51" Type="http://schemas.openxmlformats.org/officeDocument/2006/relationships/chart" Target="charts/chart39.xml"/><Relationship Id="rId72" Type="http://schemas.openxmlformats.org/officeDocument/2006/relationships/hyperlink" Target="http://stat.gov.pl/en/topics/prices-trade/trade/foreign-trade-poland-in-european-union,6,12.html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46" Type="http://schemas.openxmlformats.org/officeDocument/2006/relationships/chart" Target="charts/chart34.xml"/><Relationship Id="rId59" Type="http://schemas.openxmlformats.org/officeDocument/2006/relationships/hyperlink" Target="mailto:obslugaprasowa@stat.gov.pl" TargetMode="External"/><Relationship Id="rId67" Type="http://schemas.openxmlformats.org/officeDocument/2006/relationships/hyperlink" Target="http://swaid.stat.gov.pl/EN/SitePages/StronaGlownaDBW.aspx" TargetMode="External"/><Relationship Id="rId20" Type="http://schemas.openxmlformats.org/officeDocument/2006/relationships/chart" Target="charts/chart8.xml"/><Relationship Id="rId41" Type="http://schemas.openxmlformats.org/officeDocument/2006/relationships/chart" Target="charts/chart29.xml"/><Relationship Id="rId54" Type="http://schemas.openxmlformats.org/officeDocument/2006/relationships/header" Target="header2.xml"/><Relationship Id="rId62" Type="http://schemas.openxmlformats.org/officeDocument/2006/relationships/image" Target="media/image8.png"/><Relationship Id="rId70" Type="http://schemas.openxmlformats.org/officeDocument/2006/relationships/hyperlink" Target="http://stat.gov.pl/en/metainformations/glossary/terms-used-in-official-statistics/449,term.html" TargetMode="External"/><Relationship Id="rId75" Type="http://schemas.openxmlformats.org/officeDocument/2006/relationships/hyperlink" Target="http://swaid.stat.gov.pl/EN/SitePages/StronaGlownaDBW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49" Type="http://schemas.openxmlformats.org/officeDocument/2006/relationships/chart" Target="charts/chart37.xml"/><Relationship Id="rId57" Type="http://schemas.openxmlformats.org/officeDocument/2006/relationships/hyperlink" Target="mailto:a.matejak@stat.gov.pl" TargetMode="External"/><Relationship Id="rId10" Type="http://schemas.openxmlformats.org/officeDocument/2006/relationships/endnotes" Target="endnotes.xml"/><Relationship Id="rId31" Type="http://schemas.openxmlformats.org/officeDocument/2006/relationships/chart" Target="charts/chart19.xml"/><Relationship Id="rId44" Type="http://schemas.openxmlformats.org/officeDocument/2006/relationships/chart" Target="charts/chart32.xml"/><Relationship Id="rId52" Type="http://schemas.openxmlformats.org/officeDocument/2006/relationships/header" Target="header1.xml"/><Relationship Id="rId60" Type="http://schemas.openxmlformats.org/officeDocument/2006/relationships/image" Target="media/image6.png"/><Relationship Id="rId65" Type="http://schemas.openxmlformats.org/officeDocument/2006/relationships/hyperlink" Target="http://swaid.stat.gov.pl/en/SitePagesDBW/HandelZagraniczny.aspx" TargetMode="External"/><Relationship Id="rId73" Type="http://schemas.openxmlformats.org/officeDocument/2006/relationships/hyperlink" Target="http://swaid.stat.gov.pl/en/SitePagesDBW/HandelZagraniczny.aspx" TargetMode="External"/><Relationship Id="rId78" Type="http://schemas.openxmlformats.org/officeDocument/2006/relationships/hyperlink" Target="http://stat.gov.pl/en/metainformations/glossary/terms-used-in-official-statistics/449,term.html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9" Type="http://schemas.openxmlformats.org/officeDocument/2006/relationships/chart" Target="charts/chart27.xml"/><Relationship Id="rId34" Type="http://schemas.openxmlformats.org/officeDocument/2006/relationships/chart" Target="charts/chart22.xml"/><Relationship Id="rId50" Type="http://schemas.openxmlformats.org/officeDocument/2006/relationships/chart" Target="charts/chart38.xml"/><Relationship Id="rId55" Type="http://schemas.openxmlformats.org/officeDocument/2006/relationships/footer" Target="footer2.xml"/><Relationship Id="rId76" Type="http://schemas.openxmlformats.org/officeDocument/2006/relationships/hyperlink" Target="http://stat.gov.pl/en/metainformations/glossary/terms-used-in-official-statistics/746,term.html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atejakA\Desktop\Documents\Sygnalna\2018\Foreign%20trade.%20Mirror%20and%20asymmetry%20statistics" TargetMode="External"/><Relationship Id="rId2" Type="http://schemas.openxmlformats.org/officeDocument/2006/relationships/customXml" Target="../customXml/item2.xml"/><Relationship Id="rId29" Type="http://schemas.openxmlformats.org/officeDocument/2006/relationships/chart" Target="charts/chart17.xml"/><Relationship Id="rId24" Type="http://schemas.openxmlformats.org/officeDocument/2006/relationships/chart" Target="charts/chart12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66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chartUserShapes" Target="../drawings/drawing1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tkowskiP\Desktop\I-VII%202019\Towary%20SITC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10758224"/>
        <c:axId val="1310760944"/>
      </c:barChart>
      <c:catAx>
        <c:axId val="1310758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10760944"/>
        <c:crosses val="autoZero"/>
        <c:auto val="1"/>
        <c:lblAlgn val="ctr"/>
        <c:lblOffset val="100"/>
        <c:noMultiLvlLbl val="0"/>
      </c:catAx>
      <c:valAx>
        <c:axId val="13107609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1075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30784"/>
        <c:axId val="1366031328"/>
      </c:barChart>
      <c:catAx>
        <c:axId val="136603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31328"/>
        <c:crosses val="autoZero"/>
        <c:auto val="1"/>
        <c:lblAlgn val="ctr"/>
        <c:lblOffset val="100"/>
        <c:noMultiLvlLbl val="0"/>
      </c:catAx>
      <c:valAx>
        <c:axId val="13660313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3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9584"/>
        <c:axId val="1326346320"/>
      </c:barChart>
      <c:catAx>
        <c:axId val="132634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6320"/>
        <c:crosses val="autoZero"/>
        <c:auto val="1"/>
        <c:lblAlgn val="ctr"/>
        <c:lblOffset val="100"/>
        <c:noMultiLvlLbl val="0"/>
      </c:catAx>
      <c:valAx>
        <c:axId val="132634632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7408"/>
        <c:axId val="1326348496"/>
      </c:barChart>
      <c:catAx>
        <c:axId val="1326347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8496"/>
        <c:crosses val="autoZero"/>
        <c:auto val="1"/>
        <c:lblAlgn val="ctr"/>
        <c:lblOffset val="100"/>
        <c:noMultiLvlLbl val="0"/>
      </c:catAx>
      <c:valAx>
        <c:axId val="13263484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7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7952"/>
        <c:axId val="1326350128"/>
      </c:barChart>
      <c:catAx>
        <c:axId val="1326347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50128"/>
        <c:crosses val="autoZero"/>
        <c:auto val="1"/>
        <c:lblAlgn val="ctr"/>
        <c:lblOffset val="100"/>
        <c:noMultiLvlLbl val="0"/>
      </c:catAx>
      <c:valAx>
        <c:axId val="13263501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5776"/>
        <c:axId val="1326349040"/>
      </c:barChart>
      <c:catAx>
        <c:axId val="132634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9040"/>
        <c:crosses val="autoZero"/>
        <c:auto val="1"/>
        <c:lblAlgn val="ctr"/>
        <c:lblOffset val="100"/>
        <c:noMultiLvlLbl val="0"/>
      </c:catAx>
      <c:valAx>
        <c:axId val="132634904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6864"/>
        <c:axId val="1326343056"/>
      </c:barChart>
      <c:catAx>
        <c:axId val="1326346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3056"/>
        <c:crosses val="autoZero"/>
        <c:auto val="1"/>
        <c:lblAlgn val="ctr"/>
        <c:lblOffset val="100"/>
        <c:noMultiLvlLbl val="0"/>
      </c:catAx>
      <c:valAx>
        <c:axId val="132634305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3600"/>
        <c:axId val="1326344144"/>
      </c:barChart>
      <c:catAx>
        <c:axId val="1326343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4144"/>
        <c:crosses val="autoZero"/>
        <c:auto val="1"/>
        <c:lblAlgn val="ctr"/>
        <c:lblOffset val="100"/>
        <c:noMultiLvlLbl val="0"/>
      </c:catAx>
      <c:valAx>
        <c:axId val="13263441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6344688"/>
        <c:axId val="1326345232"/>
      </c:barChart>
      <c:catAx>
        <c:axId val="1326344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6345232"/>
        <c:crosses val="autoZero"/>
        <c:auto val="1"/>
        <c:lblAlgn val="ctr"/>
        <c:lblOffset val="100"/>
        <c:noMultiLvlLbl val="0"/>
      </c:catAx>
      <c:valAx>
        <c:axId val="13263452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2634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9324000"/>
        <c:axId val="1369324544"/>
      </c:barChart>
      <c:catAx>
        <c:axId val="136932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4544"/>
        <c:crosses val="autoZero"/>
        <c:auto val="1"/>
        <c:lblAlgn val="ctr"/>
        <c:lblOffset val="100"/>
        <c:noMultiLvlLbl val="0"/>
      </c:catAx>
      <c:valAx>
        <c:axId val="13693245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932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9318016"/>
        <c:axId val="1369325632"/>
      </c:barChart>
      <c:catAx>
        <c:axId val="1369318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5632"/>
        <c:crosses val="autoZero"/>
        <c:auto val="1"/>
        <c:lblAlgn val="ctr"/>
        <c:lblOffset val="100"/>
        <c:noMultiLvlLbl val="0"/>
      </c:catAx>
      <c:valAx>
        <c:axId val="13693256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931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10762032"/>
        <c:axId val="1246771680"/>
      </c:barChart>
      <c:catAx>
        <c:axId val="131076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46771680"/>
        <c:crosses val="autoZero"/>
        <c:auto val="1"/>
        <c:lblAlgn val="ctr"/>
        <c:lblOffset val="100"/>
        <c:noMultiLvlLbl val="0"/>
      </c:catAx>
      <c:valAx>
        <c:axId val="124677168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1076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13120"/>
        <c:axId val="1369318560"/>
      </c:barChart>
      <c:catAx>
        <c:axId val="136931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8560"/>
        <c:crosses val="autoZero"/>
        <c:auto val="1"/>
        <c:lblAlgn val="ctr"/>
        <c:lblOffset val="100"/>
        <c:noMultiLvlLbl val="0"/>
      </c:catAx>
      <c:valAx>
        <c:axId val="13693185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13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13664"/>
        <c:axId val="1369315296"/>
      </c:barChart>
      <c:catAx>
        <c:axId val="1369313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5296"/>
        <c:crosses val="autoZero"/>
        <c:auto val="1"/>
        <c:lblAlgn val="ctr"/>
        <c:lblOffset val="100"/>
        <c:noMultiLvlLbl val="0"/>
      </c:catAx>
      <c:valAx>
        <c:axId val="136931529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13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1280"/>
        <c:axId val="1369314208"/>
      </c:barChart>
      <c:catAx>
        <c:axId val="136932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4208"/>
        <c:crosses val="autoZero"/>
        <c:auto val="1"/>
        <c:lblAlgn val="ctr"/>
        <c:lblOffset val="100"/>
        <c:noMultiLvlLbl val="0"/>
      </c:catAx>
      <c:valAx>
        <c:axId val="13693142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5088"/>
        <c:axId val="1369315840"/>
      </c:barChart>
      <c:catAx>
        <c:axId val="1369325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5840"/>
        <c:crosses val="autoZero"/>
        <c:auto val="1"/>
        <c:lblAlgn val="ctr"/>
        <c:lblOffset val="100"/>
        <c:noMultiLvlLbl val="0"/>
      </c:catAx>
      <c:valAx>
        <c:axId val="13693158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7264"/>
        <c:axId val="1369316384"/>
      </c:barChart>
      <c:catAx>
        <c:axId val="1369327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6384"/>
        <c:crosses val="autoZero"/>
        <c:auto val="1"/>
        <c:lblAlgn val="ctr"/>
        <c:lblOffset val="100"/>
        <c:noMultiLvlLbl val="0"/>
      </c:catAx>
      <c:valAx>
        <c:axId val="13693163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19648"/>
        <c:axId val="1369320192"/>
      </c:barChart>
      <c:catAx>
        <c:axId val="1369319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0192"/>
        <c:crosses val="autoZero"/>
        <c:auto val="1"/>
        <c:lblAlgn val="ctr"/>
        <c:lblOffset val="100"/>
        <c:noMultiLvlLbl val="0"/>
      </c:catAx>
      <c:valAx>
        <c:axId val="1369320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1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1824"/>
        <c:axId val="1369320736"/>
      </c:barChart>
      <c:catAx>
        <c:axId val="1369321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0736"/>
        <c:crosses val="autoZero"/>
        <c:auto val="1"/>
        <c:lblAlgn val="ctr"/>
        <c:lblOffset val="100"/>
        <c:noMultiLvlLbl val="0"/>
      </c:catAx>
      <c:valAx>
        <c:axId val="13693207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2368"/>
        <c:axId val="1369322912"/>
      </c:barChart>
      <c:catAx>
        <c:axId val="136932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2912"/>
        <c:crosses val="autoZero"/>
        <c:auto val="1"/>
        <c:lblAlgn val="ctr"/>
        <c:lblOffset val="100"/>
        <c:noMultiLvlLbl val="0"/>
      </c:catAx>
      <c:valAx>
        <c:axId val="13693229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8352"/>
        <c:axId val="1369314752"/>
      </c:barChart>
      <c:catAx>
        <c:axId val="1369328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4752"/>
        <c:crosses val="autoZero"/>
        <c:auto val="1"/>
        <c:lblAlgn val="ctr"/>
        <c:lblOffset val="100"/>
        <c:noMultiLvlLbl val="0"/>
      </c:catAx>
      <c:valAx>
        <c:axId val="13693147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3456"/>
        <c:axId val="1369319104"/>
      </c:barChart>
      <c:catAx>
        <c:axId val="1369323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19104"/>
        <c:crosses val="autoZero"/>
        <c:auto val="1"/>
        <c:lblAlgn val="ctr"/>
        <c:lblOffset val="100"/>
        <c:noMultiLvlLbl val="0"/>
      </c:catAx>
      <c:valAx>
        <c:axId val="136931910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6761344"/>
        <c:axId val="1246764608"/>
      </c:barChart>
      <c:catAx>
        <c:axId val="124676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46764608"/>
        <c:crosses val="autoZero"/>
        <c:auto val="1"/>
        <c:lblAlgn val="ctr"/>
        <c:lblOffset val="100"/>
        <c:noMultiLvlLbl val="0"/>
      </c:catAx>
      <c:valAx>
        <c:axId val="12467646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24676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27808"/>
        <c:axId val="1369326176"/>
      </c:barChart>
      <c:catAx>
        <c:axId val="136932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6176"/>
        <c:crosses val="autoZero"/>
        <c:auto val="1"/>
        <c:lblAlgn val="ctr"/>
        <c:lblOffset val="100"/>
        <c:noMultiLvlLbl val="0"/>
      </c:catAx>
      <c:valAx>
        <c:axId val="136932617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2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16928"/>
        <c:axId val="1369326720"/>
      </c:barChart>
      <c:catAx>
        <c:axId val="136931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9326720"/>
        <c:crosses val="autoZero"/>
        <c:auto val="1"/>
        <c:lblAlgn val="ctr"/>
        <c:lblOffset val="100"/>
        <c:noMultiLvlLbl val="0"/>
      </c:catAx>
      <c:valAx>
        <c:axId val="13693267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1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9317472"/>
        <c:axId val="1368482752"/>
      </c:barChart>
      <c:catAx>
        <c:axId val="1369317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82752"/>
        <c:crosses val="autoZero"/>
        <c:auto val="1"/>
        <c:lblAlgn val="ctr"/>
        <c:lblOffset val="100"/>
        <c:noMultiLvlLbl val="0"/>
      </c:catAx>
      <c:valAx>
        <c:axId val="13684827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9317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77312"/>
        <c:axId val="1368463168"/>
      </c:barChart>
      <c:catAx>
        <c:axId val="1368477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63168"/>
        <c:crosses val="autoZero"/>
        <c:auto val="1"/>
        <c:lblAlgn val="ctr"/>
        <c:lblOffset val="100"/>
        <c:noMultiLvlLbl val="0"/>
      </c:catAx>
      <c:valAx>
        <c:axId val="13684631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7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76224"/>
        <c:axId val="1368485472"/>
      </c:barChart>
      <c:catAx>
        <c:axId val="1368476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85472"/>
        <c:crosses val="autoZero"/>
        <c:auto val="1"/>
        <c:lblAlgn val="ctr"/>
        <c:lblOffset val="100"/>
        <c:noMultiLvlLbl val="0"/>
      </c:catAx>
      <c:valAx>
        <c:axId val="13684854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7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80576"/>
        <c:axId val="1368463712"/>
      </c:barChart>
      <c:catAx>
        <c:axId val="1368480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63712"/>
        <c:crosses val="autoZero"/>
        <c:auto val="1"/>
        <c:lblAlgn val="ctr"/>
        <c:lblOffset val="100"/>
        <c:noMultiLvlLbl val="0"/>
      </c:catAx>
      <c:valAx>
        <c:axId val="13684637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8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66976"/>
        <c:axId val="1368458272"/>
      </c:barChart>
      <c:catAx>
        <c:axId val="1368466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58272"/>
        <c:crosses val="autoZero"/>
        <c:auto val="1"/>
        <c:lblAlgn val="ctr"/>
        <c:lblOffset val="100"/>
        <c:noMultiLvlLbl val="0"/>
      </c:catAx>
      <c:valAx>
        <c:axId val="13684582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66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71872"/>
        <c:axId val="1368472416"/>
      </c:barChart>
      <c:catAx>
        <c:axId val="1368471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72416"/>
        <c:crosses val="autoZero"/>
        <c:auto val="1"/>
        <c:lblAlgn val="ctr"/>
        <c:lblOffset val="100"/>
        <c:noMultiLvlLbl val="0"/>
      </c:catAx>
      <c:valAx>
        <c:axId val="13684724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7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80032"/>
        <c:axId val="1368474048"/>
      </c:barChart>
      <c:catAx>
        <c:axId val="1368480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74048"/>
        <c:crosses val="autoZero"/>
        <c:auto val="1"/>
        <c:lblAlgn val="ctr"/>
        <c:lblOffset val="100"/>
        <c:noMultiLvlLbl val="0"/>
      </c:catAx>
      <c:valAx>
        <c:axId val="13684740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8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Arkusz2!$C$30:$K$30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Arkusz2!$C$31:$K$31</c:f>
              <c:numCache>
                <c:formatCode>0.0</c:formatCode>
                <c:ptCount val="9"/>
                <c:pt idx="0">
                  <c:v>12.6</c:v>
                </c:pt>
                <c:pt idx="1">
                  <c:v>36.5</c:v>
                </c:pt>
                <c:pt idx="2">
                  <c:v>16.899999999999999</c:v>
                </c:pt>
                <c:pt idx="3">
                  <c:v>13.7</c:v>
                </c:pt>
                <c:pt idx="4">
                  <c:v>0.3</c:v>
                </c:pt>
                <c:pt idx="5">
                  <c:v>7.5</c:v>
                </c:pt>
                <c:pt idx="6">
                  <c:v>3</c:v>
                </c:pt>
                <c:pt idx="7">
                  <c:v>0.8</c:v>
                </c:pt>
                <c:pt idx="8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475136"/>
        <c:axId val="1368467520"/>
      </c:barChart>
      <c:catAx>
        <c:axId val="1368475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8467520"/>
        <c:crosses val="autoZero"/>
        <c:auto val="1"/>
        <c:lblAlgn val="ctr"/>
        <c:lblOffset val="100"/>
        <c:noMultiLvlLbl val="0"/>
      </c:catAx>
      <c:valAx>
        <c:axId val="1368467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368475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29152"/>
        <c:axId val="1366025344"/>
      </c:barChart>
      <c:catAx>
        <c:axId val="1366029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5344"/>
        <c:crosses val="autoZero"/>
        <c:auto val="1"/>
        <c:lblAlgn val="ctr"/>
        <c:lblOffset val="100"/>
        <c:noMultiLvlLbl val="0"/>
      </c:catAx>
      <c:valAx>
        <c:axId val="13660253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2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28608"/>
        <c:axId val="1366026976"/>
      </c:barChart>
      <c:catAx>
        <c:axId val="1366028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6976"/>
        <c:crosses val="autoZero"/>
        <c:auto val="1"/>
        <c:lblAlgn val="ctr"/>
        <c:lblOffset val="100"/>
        <c:noMultiLvlLbl val="0"/>
      </c:catAx>
      <c:valAx>
        <c:axId val="136602697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2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24800"/>
        <c:axId val="1366024256"/>
      </c:barChart>
      <c:catAx>
        <c:axId val="1366024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4256"/>
        <c:crosses val="autoZero"/>
        <c:auto val="1"/>
        <c:lblAlgn val="ctr"/>
        <c:lblOffset val="100"/>
        <c:noMultiLvlLbl val="0"/>
      </c:catAx>
      <c:valAx>
        <c:axId val="136602425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2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27520"/>
        <c:axId val="1366029696"/>
      </c:barChart>
      <c:catAx>
        <c:axId val="1366027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9696"/>
        <c:crosses val="autoZero"/>
        <c:auto val="1"/>
        <c:lblAlgn val="ctr"/>
        <c:lblOffset val="100"/>
        <c:noMultiLvlLbl val="0"/>
      </c:catAx>
      <c:valAx>
        <c:axId val="13660296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2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28064"/>
        <c:axId val="1366026432"/>
      </c:barChart>
      <c:catAx>
        <c:axId val="136602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6432"/>
        <c:crosses val="autoZero"/>
        <c:auto val="1"/>
        <c:lblAlgn val="ctr"/>
        <c:lblOffset val="100"/>
        <c:noMultiLvlLbl val="0"/>
      </c:catAx>
      <c:valAx>
        <c:axId val="13660264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2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Arkusz2!$C$3:$K$3</c:f>
              <c:strCache>
                <c:ptCount val="9"/>
                <c:pt idx="0">
                  <c:v>Miscellaneous manufactured articles </c:v>
                </c:pt>
                <c:pt idx="1">
                  <c:v>Machinery and transport equipment
</c:v>
                </c:pt>
                <c:pt idx="2">
                  <c:v>Manufactured goods classified chiefly by material </c:v>
                </c:pt>
                <c:pt idx="3">
                  <c:v>Chemicals and related products
</c:v>
                </c:pt>
                <c:pt idx="4">
                  <c:v>Animal and vegetable oils, fats and waxes </c:v>
                </c:pt>
                <c:pt idx="5">
                  <c:v>Mineral fuels, lubricants and related materials </c:v>
                </c:pt>
                <c:pt idx="6">
                  <c:v>Crude materials inedible, except fuels </c:v>
                </c:pt>
                <c:pt idx="7">
                  <c:v>Beverages and tobacco
</c:v>
                </c:pt>
                <c:pt idx="8">
                  <c:v>Food and live animals
</c:v>
                </c:pt>
              </c:strCache>
            </c:strRef>
          </c:cat>
          <c:val>
            <c:numRef>
              <c:f>Arkusz2!$C$4:$K$4</c:f>
              <c:numCache>
                <c:formatCode>0.0</c:formatCode>
                <c:ptCount val="9"/>
                <c:pt idx="0">
                  <c:v>16.3</c:v>
                </c:pt>
                <c:pt idx="1">
                  <c:v>37.85</c:v>
                </c:pt>
                <c:pt idx="2">
                  <c:v>18.8</c:v>
                </c:pt>
                <c:pt idx="3">
                  <c:v>9.1999999999999993</c:v>
                </c:pt>
                <c:pt idx="4">
                  <c:v>0.13</c:v>
                </c:pt>
                <c:pt idx="5">
                  <c:v>2.4</c:v>
                </c:pt>
                <c:pt idx="6">
                  <c:v>2.2599999999999998</c:v>
                </c:pt>
                <c:pt idx="7">
                  <c:v>2.2000000000000002</c:v>
                </c:pt>
                <c:pt idx="8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6030240"/>
        <c:axId val="1366025888"/>
      </c:barChart>
      <c:catAx>
        <c:axId val="1366030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66025888"/>
        <c:crosses val="autoZero"/>
        <c:auto val="1"/>
        <c:lblAlgn val="ctr"/>
        <c:lblOffset val="100"/>
        <c:noMultiLvlLbl val="0"/>
      </c:catAx>
      <c:valAx>
        <c:axId val="136602588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36603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0.69792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2518350" cy="191452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83F2C7-1AE0-4D81-B074-0A8BE22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Witkowski Pawel</cp:lastModifiedBy>
  <cp:revision>129</cp:revision>
  <cp:lastPrinted>2017-11-07T13:05:00Z</cp:lastPrinted>
  <dcterms:created xsi:type="dcterms:W3CDTF">2019-07-11T11:06:00Z</dcterms:created>
  <dcterms:modified xsi:type="dcterms:W3CDTF">2019-09-10T07:31:00Z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