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E80B7A" w:rsidRPr="00E80B7A">
        <w:rPr>
          <w:shd w:val="clear" w:color="auto" w:fill="FFFFFF"/>
          <w:lang w:val="en-GB"/>
        </w:rPr>
        <w:t>June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E80B7A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>
                              <w:rPr>
                                <w:lang w:val="en-US"/>
                              </w:rPr>
                              <w:t>June</w:t>
                            </w:r>
                            <w:r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E80B7A">
                              <w:rPr>
                                <w:lang w:val="en-US"/>
                              </w:rPr>
                              <w:t xml:space="preserve">.7%, against an increase of 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Pr="00E80B7A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 w:rsidRPr="00E80B7A">
                              <w:rPr>
                                <w:lang w:val="en-US"/>
                              </w:rPr>
                              <w:t>% in the previous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sold industrial production in June 2019 amounted to 2.7%</w:t>
                            </w:r>
                            <w:r w:rsidR="003B25A8">
                              <w:rPr>
                                <w:lang w:val="en-US"/>
                              </w:rPr>
                              <w:t>,</w:t>
                            </w:r>
                            <w:r w:rsidRPr="009F2F5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>as compared to May 2019</w:t>
                            </w: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E80B7A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</w:t>
                      </w:r>
                      <w:r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>
                        <w:rPr>
                          <w:lang w:val="en-US"/>
                        </w:rPr>
                        <w:t>June</w:t>
                      </w:r>
                      <w:r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Pr="00E80B7A">
                        <w:rPr>
                          <w:lang w:val="en-US"/>
                        </w:rPr>
                        <w:t xml:space="preserve">amounted to 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E80B7A">
                        <w:rPr>
                          <w:lang w:val="en-US"/>
                        </w:rPr>
                        <w:t xml:space="preserve">.7%, against an increase of </w:t>
                      </w:r>
                      <w:r>
                        <w:rPr>
                          <w:lang w:val="en-US"/>
                        </w:rPr>
                        <w:t>6</w:t>
                      </w:r>
                      <w:r w:rsidRPr="00E80B7A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7</w:t>
                      </w:r>
                      <w:r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sold industrial production in June 2019 amounted to 2.7%</w:t>
                      </w:r>
                      <w:r w:rsidR="003B25A8">
                        <w:rPr>
                          <w:lang w:val="en-US"/>
                        </w:rPr>
                        <w:t>,</w:t>
                      </w:r>
                      <w:r w:rsidRPr="009F2F52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>as compared to May 2019</w:t>
                      </w: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80B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7F4F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7.</w:t>
                            </w:r>
                            <w:r w:rsidR="00E80B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</w:p>
                          <w:p w:rsidR="002D0E0C" w:rsidRPr="00346B6D" w:rsidRDefault="00041BC3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6B6D">
                              <w:rPr>
                                <w:sz w:val="20"/>
                                <w:lang w:val="en-US"/>
                              </w:rPr>
                              <w:t>Index number of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80B7A"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7F4F92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80B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7F4F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7.</w:t>
                      </w:r>
                      <w:r w:rsidR="00E80B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</w:p>
                    <w:p w:rsidR="002D0E0C" w:rsidRPr="00346B6D" w:rsidRDefault="00041BC3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46B6D">
                        <w:rPr>
                          <w:sz w:val="20"/>
                          <w:lang w:val="en-US"/>
                        </w:rPr>
                        <w:t>Index number of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80B7A">
                        <w:rPr>
                          <w:sz w:val="20"/>
                          <w:lang w:val="en-US"/>
                        </w:rPr>
                        <w:t>June</w:t>
                      </w:r>
                      <w:r w:rsidR="007F4F92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E80B7A">
        <w:rPr>
          <w:lang w:val="en-GB"/>
        </w:rPr>
        <w:t>June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E80B7A">
        <w:rPr>
          <w:lang w:val="en-GB"/>
        </w:rPr>
        <w:t>2</w:t>
      </w:r>
      <w:r w:rsidR="007F4F92">
        <w:rPr>
          <w:lang w:val="en-GB"/>
        </w:rPr>
        <w:t>.7</w:t>
      </w:r>
      <w:r w:rsidR="003977B7">
        <w:rPr>
          <w:lang w:val="en-GB"/>
        </w:rPr>
        <w:t xml:space="preserve">% </w:t>
      </w:r>
      <w:r w:rsidR="00E80B7A">
        <w:rPr>
          <w:lang w:val="en-GB"/>
        </w:rPr>
        <w:t>lower</w:t>
      </w:r>
      <w:r w:rsidR="003977B7">
        <w:rPr>
          <w:lang w:val="en-GB"/>
        </w:rPr>
        <w:t xml:space="preserve"> than in </w:t>
      </w:r>
      <w:r w:rsidR="00E80B7A">
        <w:rPr>
          <w:lang w:val="en-GB"/>
        </w:rPr>
        <w:t>June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337D4" w:rsidRPr="00E337D4">
        <w:rPr>
          <w:spacing w:val="-2"/>
          <w:lang w:val="en-GB"/>
        </w:rPr>
        <w:t xml:space="preserve">which saw </w:t>
      </w:r>
      <w:r w:rsidR="00E80B7A">
        <w:rPr>
          <w:spacing w:val="-2"/>
          <w:lang w:val="en-GB"/>
        </w:rPr>
        <w:t>6</w:t>
      </w:r>
      <w:r w:rsidR="007F4F92">
        <w:rPr>
          <w:spacing w:val="-2"/>
          <w:lang w:val="en-GB"/>
        </w:rPr>
        <w:t>.</w:t>
      </w:r>
      <w:r w:rsidR="00E80B7A">
        <w:rPr>
          <w:spacing w:val="-2"/>
          <w:lang w:val="en-GB"/>
        </w:rPr>
        <w:t>7</w:t>
      </w:r>
      <w:r w:rsidR="00E337D4" w:rsidRPr="00E337D4">
        <w:rPr>
          <w:spacing w:val="-2"/>
          <w:lang w:val="en-GB"/>
        </w:rPr>
        <w:t xml:space="preserve">% increase, whereas </w:t>
      </w:r>
      <w:r w:rsidR="000640BF" w:rsidRPr="000640BF">
        <w:rPr>
          <w:spacing w:val="-2"/>
          <w:lang w:val="en-GB"/>
        </w:rPr>
        <w:t xml:space="preserve">in comparison with </w:t>
      </w:r>
      <w:r w:rsidR="00E80B7A">
        <w:rPr>
          <w:spacing w:val="-2"/>
          <w:lang w:val="en-GB"/>
        </w:rPr>
        <w:t xml:space="preserve">May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E80B7A" w:rsidRPr="00E80B7A">
        <w:rPr>
          <w:spacing w:val="-2"/>
          <w:lang w:val="en-GB"/>
        </w:rPr>
        <w:t xml:space="preserve">decreased </w:t>
      </w:r>
      <w:r w:rsidR="00E80B7A" w:rsidRPr="000640BF">
        <w:rPr>
          <w:spacing w:val="-2"/>
          <w:lang w:val="en-GB"/>
        </w:rPr>
        <w:t xml:space="preserve">by </w:t>
      </w:r>
      <w:r w:rsidR="00E80B7A">
        <w:rPr>
          <w:spacing w:val="-2"/>
          <w:lang w:val="en-GB"/>
        </w:rPr>
        <w:t>5.9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E80B7A">
        <w:rPr>
          <w:lang w:val="en-GB"/>
        </w:rPr>
        <w:t>June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E80B7A">
        <w:rPr>
          <w:lang w:val="en-GB"/>
        </w:rPr>
        <w:t>5</w:t>
      </w:r>
      <w:r w:rsidR="002F1DDC">
        <w:rPr>
          <w:lang w:val="en-GB"/>
        </w:rPr>
        <w:t>.</w:t>
      </w:r>
      <w:r w:rsidR="00E80B7A">
        <w:rPr>
          <w:lang w:val="en-GB"/>
        </w:rPr>
        <w:t>1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2F1DDC">
        <w:rPr>
          <w:lang w:val="en-GB"/>
        </w:rPr>
        <w:t>6.</w:t>
      </w:r>
      <w:r w:rsidR="00E80B7A">
        <w:rPr>
          <w:lang w:val="en-GB"/>
        </w:rPr>
        <w:t>2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3B25A8">
        <w:rPr>
          <w:noProof/>
          <w:spacing w:val="-2"/>
          <w:szCs w:val="19"/>
          <w:lang w:val="en-GB"/>
        </w:rPr>
        <w:t xml:space="preserve">in June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>try reached the level higher by 2.7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>2018 and by 2.0</w:t>
      </w:r>
      <w:r w:rsidRPr="00C52703">
        <w:rPr>
          <w:noProof/>
          <w:spacing w:val="-2"/>
          <w:szCs w:val="19"/>
          <w:lang w:val="en-GB"/>
        </w:rPr>
        <w:t xml:space="preserve">% </w:t>
      </w:r>
      <w:r>
        <w:rPr>
          <w:noProof/>
          <w:spacing w:val="-2"/>
          <w:szCs w:val="19"/>
          <w:lang w:val="en-GB"/>
        </w:rPr>
        <w:t>lower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3B25A8">
        <w:rPr>
          <w:noProof/>
          <w:spacing w:val="-2"/>
          <w:szCs w:val="19"/>
          <w:lang w:val="en-GB"/>
        </w:rPr>
        <w:t xml:space="preserve">May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9F2F52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62688" behindDoc="0" locked="0" layoutInCell="1" allowOverlap="1" wp14:anchorId="36432F35" wp14:editId="6CE0837C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5122545" cy="2686050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  <w:bookmarkStart w:id="0" w:name="_GoBack"/>
      <w:bookmarkEnd w:id="0"/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June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 </w:t>
      </w:r>
      <w:r>
        <w:rPr>
          <w:b w:val="0"/>
          <w:sz w:val="19"/>
          <w:szCs w:val="19"/>
          <w:shd w:val="clear" w:color="auto" w:fill="FFFFFF"/>
          <w:lang w:val="en-GB"/>
        </w:rPr>
        <w:t>de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intermediate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decreased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5.3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%, 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3.6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3,3%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1.0%.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E2764C">
        <w:rPr>
          <w:b w:val="0"/>
          <w:sz w:val="19"/>
          <w:szCs w:val="19"/>
          <w:lang w:val="en-GB"/>
        </w:rPr>
        <w:t xml:space="preserve">A </w:t>
      </w:r>
      <w:r w:rsidR="000C0BD8" w:rsidRPr="000C0BD8">
        <w:rPr>
          <w:b w:val="0"/>
          <w:sz w:val="19"/>
          <w:szCs w:val="19"/>
          <w:lang w:val="en-GB"/>
        </w:rPr>
        <w:t>slight</w:t>
      </w:r>
      <w:r w:rsidR="000C0BD8">
        <w:rPr>
          <w:b w:val="0"/>
          <w:sz w:val="19"/>
          <w:szCs w:val="19"/>
          <w:lang w:val="en-GB"/>
        </w:rPr>
        <w:t xml:space="preserve"> in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energy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C0BD8">
        <w:rPr>
          <w:b w:val="0"/>
          <w:sz w:val="19"/>
          <w:szCs w:val="19"/>
          <w:shd w:val="clear" w:color="auto" w:fill="FFFFFF"/>
          <w:lang w:val="en-GB"/>
        </w:rPr>
        <w:t>0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.</w:t>
      </w:r>
      <w:r w:rsidR="000C0BD8">
        <w:rPr>
          <w:b w:val="0"/>
          <w:sz w:val="19"/>
          <w:szCs w:val="19"/>
          <w:shd w:val="clear" w:color="auto" w:fill="FFFFFF"/>
          <w:lang w:val="en-GB"/>
        </w:rPr>
        <w:t>8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276"/>
      </w:tblGrid>
      <w:tr w:rsidR="00B27CF9" w:rsidRPr="00C52703" w:rsidTr="008F3CA6">
        <w:trPr>
          <w:trHeight w:val="113"/>
        </w:trPr>
        <w:tc>
          <w:tcPr>
            <w:tcW w:w="2552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394" w:type="dxa"/>
            <w:gridSpan w:val="3"/>
            <w:vAlign w:val="center"/>
          </w:tcPr>
          <w:p w:rsidR="00B27CF9" w:rsidRPr="00C52703" w:rsidRDefault="00F42156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0A575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276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F4215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B10A6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190567">
        <w:trPr>
          <w:trHeight w:val="752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2F1DDC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F42156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10A6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F42156">
              <w:rPr>
                <w:sz w:val="16"/>
                <w:szCs w:val="16"/>
                <w:lang w:val="en-GB"/>
              </w:rPr>
              <w:t>V</w:t>
            </w:r>
            <w:r w:rsidR="00B10A6C">
              <w:rPr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8F3CA6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</w:t>
            </w:r>
            <w:r w:rsidRPr="009D4C87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Pr="009D4C87">
              <w:rPr>
                <w:b/>
                <w:sz w:val="16"/>
                <w:szCs w:val="18"/>
                <w:shd w:val="clear" w:color="auto" w:fill="FFFFFF"/>
              </w:rPr>
              <w:t>7,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B10A6C" w:rsidRPr="00DD58F4" w:rsidRDefault="00B10A6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</w:t>
            </w:r>
            <w:r w:rsidRPr="00DD58F4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D4C87">
              <w:rPr>
                <w:b/>
                <w:sz w:val="16"/>
                <w:szCs w:val="18"/>
                <w:shd w:val="clear" w:color="auto" w:fill="FFFFFF"/>
              </w:rPr>
              <w:t>10</w:t>
            </w:r>
            <w:r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B10A6C" w:rsidRPr="001D6A44" w:rsidTr="008F3CA6">
        <w:trPr>
          <w:trHeight w:val="57"/>
        </w:trPr>
        <w:tc>
          <w:tcPr>
            <w:tcW w:w="2552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417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B10A6C" w:rsidRPr="00DD58F4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92,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276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B10A6C" w:rsidRPr="001D6A44" w:rsidTr="008F3CA6">
        <w:trPr>
          <w:trHeight w:val="57"/>
        </w:trPr>
        <w:tc>
          <w:tcPr>
            <w:tcW w:w="2552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417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559" w:type="dxa"/>
            <w:vAlign w:val="center"/>
          </w:tcPr>
          <w:p w:rsidR="00B10A6C" w:rsidRPr="00DD58F4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18</w:t>
            </w:r>
            <w:r w:rsidRPr="00DD58F4">
              <w:rPr>
                <w:sz w:val="16"/>
                <w:szCs w:val="18"/>
                <w:shd w:val="clear" w:color="auto" w:fill="FFFFFF"/>
              </w:rPr>
              <w:t>,6</w:t>
            </w:r>
          </w:p>
        </w:tc>
        <w:tc>
          <w:tcPr>
            <w:tcW w:w="1276" w:type="dxa"/>
            <w:vAlign w:val="center"/>
          </w:tcPr>
          <w:p w:rsidR="00B10A6C" w:rsidRPr="009D4C87" w:rsidRDefault="00B10A6C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,3</w:t>
            </w:r>
          </w:p>
        </w:tc>
      </w:tr>
      <w:tr w:rsidR="00B10A6C" w:rsidRPr="00D22ECE" w:rsidTr="008F3CA6">
        <w:trPr>
          <w:trHeight w:val="57"/>
        </w:trPr>
        <w:tc>
          <w:tcPr>
            <w:tcW w:w="2552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417" w:type="dxa"/>
            <w:vAlign w:val="center"/>
          </w:tcPr>
          <w:p w:rsidR="00B10A6C" w:rsidRPr="009D4C87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:rsidR="00B10A6C" w:rsidRPr="009D4C87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 w:rsidR="00B10A6C" w:rsidRPr="00DD58F4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  <w:r w:rsidRPr="00DD58F4">
              <w:rPr>
                <w:sz w:val="16"/>
                <w:szCs w:val="18"/>
                <w:shd w:val="clear" w:color="auto" w:fill="FFFFFF"/>
              </w:rPr>
              <w:t>,6</w:t>
            </w:r>
          </w:p>
        </w:tc>
        <w:tc>
          <w:tcPr>
            <w:tcW w:w="1276" w:type="dxa"/>
            <w:vAlign w:val="center"/>
          </w:tcPr>
          <w:p w:rsidR="00B10A6C" w:rsidRPr="009D4C87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B10A6C" w:rsidRPr="00A20FD5" w:rsidTr="008F3CA6">
        <w:trPr>
          <w:trHeight w:val="57"/>
        </w:trPr>
        <w:tc>
          <w:tcPr>
            <w:tcW w:w="2552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417" w:type="dxa"/>
            <w:vAlign w:val="center"/>
          </w:tcPr>
          <w:p w:rsidR="00B10A6C" w:rsidRPr="00263373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1418" w:type="dxa"/>
            <w:vAlign w:val="center"/>
          </w:tcPr>
          <w:p w:rsidR="00B10A6C" w:rsidRPr="00263373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1559" w:type="dxa"/>
            <w:vAlign w:val="center"/>
          </w:tcPr>
          <w:p w:rsidR="00B10A6C" w:rsidRPr="00263373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121,6</w:t>
            </w:r>
          </w:p>
        </w:tc>
        <w:tc>
          <w:tcPr>
            <w:tcW w:w="1276" w:type="dxa"/>
            <w:vAlign w:val="center"/>
          </w:tcPr>
          <w:p w:rsidR="00B10A6C" w:rsidRPr="00263373" w:rsidRDefault="00B10A6C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0C0BD8">
        <w:rPr>
          <w:sz w:val="16"/>
          <w:szCs w:val="16"/>
          <w:lang w:val="en-GB"/>
        </w:rPr>
        <w:t>May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0C0BD8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:rsidR="00217E67" w:rsidRDefault="003B25A8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5721350</wp:posOffset>
                </wp:positionH>
                <wp:positionV relativeFrom="page">
                  <wp:posOffset>4223385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a </w:t>
                            </w:r>
                            <w:r w:rsidR="00B7682E">
                              <w:rPr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B7682E">
                              <w:rPr>
                                <w:lang w:val="en-US"/>
                              </w:rPr>
                              <w:t>76</w:t>
                            </w:r>
                            <w:r w:rsidR="00802515">
                              <w:rPr>
                                <w:lang w:val="en-US"/>
                              </w:rPr>
                              <w:t>.</w:t>
                            </w:r>
                            <w:r w:rsidR="00B7682E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50.5pt;margin-top:332.55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 xml:space="preserve">a </w:t>
                      </w:r>
                      <w:r w:rsidR="00B7682E">
                        <w:rPr>
                          <w:lang w:val="en-US"/>
                        </w:rPr>
                        <w:t>de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B7682E">
                        <w:rPr>
                          <w:lang w:val="en-US"/>
                        </w:rPr>
                        <w:t>76</w:t>
                      </w:r>
                      <w:r w:rsidR="00802515">
                        <w:rPr>
                          <w:lang w:val="en-US"/>
                        </w:rPr>
                        <w:t>.</w:t>
                      </w:r>
                      <w:r w:rsidR="00B7682E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0C0BD8" w:rsidRDefault="004D23D2" w:rsidP="00190567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4F36E56D" wp14:editId="080C6FBA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CBC" w:rsidRPr="0099652B" w:rsidRDefault="00BA1CBC" w:rsidP="004D23D2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E56D" id="Pole tekstowe 15" o:spid="_x0000_s1030" type="#_x0000_t202" style="position:absolute;margin-left:449.25pt;margin-top:-5.5pt;width:132.6pt;height:74.2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BA1CBC" w:rsidRPr="0099652B" w:rsidRDefault="00BA1CBC" w:rsidP="004D23D2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A0620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0C0BD8">
        <w:rPr>
          <w:noProof/>
          <w:spacing w:val="-2"/>
          <w:szCs w:val="19"/>
          <w:lang w:val="en-GB"/>
        </w:rPr>
        <w:t>in June 2019,</w:t>
      </w:r>
      <w:r w:rsidR="000C0BD8" w:rsidRPr="000C0BD8">
        <w:rPr>
          <w:noProof/>
          <w:spacing w:val="-2"/>
          <w:szCs w:val="19"/>
          <w:lang w:val="en-GB"/>
        </w:rPr>
        <w:t xml:space="preserve"> </w:t>
      </w:r>
      <w:r w:rsidR="000C0BD8">
        <w:rPr>
          <w:noProof/>
          <w:spacing w:val="-2"/>
          <w:szCs w:val="19"/>
          <w:lang w:val="en-GB"/>
        </w:rPr>
        <w:t xml:space="preserve">as compared to June 2018, </w:t>
      </w:r>
      <w:r w:rsidR="000C0BD8" w:rsidRPr="00C52703">
        <w:rPr>
          <w:noProof/>
          <w:spacing w:val="-2"/>
          <w:szCs w:val="19"/>
          <w:lang w:val="en-GB"/>
        </w:rPr>
        <w:t xml:space="preserve">a </w:t>
      </w:r>
      <w:r w:rsidR="000C0BD8">
        <w:rPr>
          <w:noProof/>
          <w:spacing w:val="-2"/>
          <w:szCs w:val="19"/>
          <w:lang w:val="en-GB"/>
        </w:rPr>
        <w:t>de</w:t>
      </w:r>
      <w:r w:rsidR="000C0BD8" w:rsidRPr="00C52703">
        <w:rPr>
          <w:noProof/>
          <w:spacing w:val="-2"/>
          <w:szCs w:val="19"/>
          <w:lang w:val="en-GB"/>
        </w:rPr>
        <w:t>crease in so</w:t>
      </w:r>
      <w:r w:rsidR="000C0BD8">
        <w:rPr>
          <w:noProof/>
          <w:spacing w:val="-2"/>
          <w:szCs w:val="19"/>
          <w:lang w:val="en-GB"/>
        </w:rPr>
        <w:t>ld production (</w:t>
      </w:r>
      <w:r w:rsidR="000C0BD8" w:rsidRPr="00C52703">
        <w:rPr>
          <w:noProof/>
          <w:spacing w:val="-2"/>
          <w:szCs w:val="19"/>
          <w:lang w:val="en-GB"/>
        </w:rPr>
        <w:t>in constant prices</w:t>
      </w:r>
      <w:r w:rsidR="000C0BD8">
        <w:rPr>
          <w:noProof/>
          <w:spacing w:val="-2"/>
          <w:szCs w:val="19"/>
          <w:lang w:val="en-GB"/>
        </w:rPr>
        <w:t>) was reported in 20</w:t>
      </w:r>
      <w:r w:rsidR="000C0BD8"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 w:rsidR="000C0BD8">
        <w:rPr>
          <w:noProof/>
          <w:spacing w:val="-2"/>
          <w:szCs w:val="19"/>
          <w:lang w:val="en-GB"/>
        </w:rPr>
        <w:t>in</w:t>
      </w:r>
      <w:r w:rsidR="000C0BD8" w:rsidRPr="009B74C8">
        <w:rPr>
          <w:noProof/>
          <w:spacing w:val="-2"/>
          <w:szCs w:val="19"/>
          <w:lang w:val="en-GB"/>
        </w:rPr>
        <w:t xml:space="preserve"> </w:t>
      </w:r>
      <w:r w:rsidR="000C0BD8" w:rsidRPr="00D22ECE">
        <w:rPr>
          <w:noProof/>
          <w:spacing w:val="-2"/>
          <w:szCs w:val="19"/>
          <w:lang w:val="en-GB"/>
        </w:rPr>
        <w:t>manufacture of</w:t>
      </w:r>
      <w:r w:rsidR="000C0BD8">
        <w:rPr>
          <w:noProof/>
          <w:spacing w:val="-2"/>
          <w:szCs w:val="19"/>
          <w:lang w:val="en-GB"/>
        </w:rPr>
        <w:t xml:space="preserve"> </w:t>
      </w:r>
      <w:r w:rsidR="00D878B6">
        <w:rPr>
          <w:noProof/>
          <w:spacing w:val="-2"/>
          <w:szCs w:val="19"/>
          <w:lang w:val="en-GB"/>
        </w:rPr>
        <w:t>wearing apparel</w:t>
      </w:r>
      <w:r w:rsidR="000C0BD8">
        <w:rPr>
          <w:noProof/>
          <w:spacing w:val="-2"/>
          <w:szCs w:val="19"/>
          <w:lang w:val="en-GB"/>
        </w:rPr>
        <w:t xml:space="preserve"> – by 13.5%, m</w:t>
      </w:r>
      <w:r w:rsidR="000C0BD8" w:rsidRPr="000C0BD8">
        <w:rPr>
          <w:noProof/>
          <w:spacing w:val="-2"/>
          <w:szCs w:val="19"/>
          <w:lang w:val="en-GB"/>
        </w:rPr>
        <w:t>anufacture of basic metals</w:t>
      </w:r>
      <w:r w:rsidR="000C0BD8">
        <w:rPr>
          <w:noProof/>
          <w:spacing w:val="-2"/>
          <w:szCs w:val="19"/>
          <w:lang w:val="en-GB"/>
        </w:rPr>
        <w:t xml:space="preserve"> – by 11,1%, , in mining of cool and lignite – by 10,7%,</w:t>
      </w:r>
      <w:r w:rsidR="000C0BD8" w:rsidRPr="000C0BD8">
        <w:rPr>
          <w:noProof/>
          <w:spacing w:val="-2"/>
          <w:szCs w:val="19"/>
          <w:lang w:val="en-GB"/>
        </w:rPr>
        <w:t xml:space="preserve"> </w:t>
      </w:r>
      <w:r w:rsidR="000C0BD8">
        <w:rPr>
          <w:noProof/>
          <w:spacing w:val="-2"/>
          <w:szCs w:val="19"/>
          <w:lang w:val="en-GB"/>
        </w:rPr>
        <w:t xml:space="preserve">manufacture of motor vehicles, trailers and semi-trailers – by 8.5%, </w:t>
      </w:r>
      <w:r w:rsidR="00B7682E">
        <w:rPr>
          <w:noProof/>
          <w:spacing w:val="-2"/>
          <w:szCs w:val="19"/>
          <w:lang w:val="en-GB"/>
        </w:rPr>
        <w:t>m</w:t>
      </w:r>
      <w:r w:rsidR="00B7682E" w:rsidRPr="00B7682E">
        <w:rPr>
          <w:noProof/>
          <w:spacing w:val="-2"/>
          <w:szCs w:val="19"/>
          <w:lang w:val="en-GB"/>
        </w:rPr>
        <w:t>anufacture of other non-metallic mineral products</w:t>
      </w:r>
      <w:r w:rsidR="00B7682E">
        <w:rPr>
          <w:noProof/>
          <w:spacing w:val="-2"/>
          <w:szCs w:val="19"/>
          <w:lang w:val="en-GB"/>
        </w:rPr>
        <w:t xml:space="preserve"> – by 7.4%, manufacture of furniture – by 6.2%, manufacture of products of wood, cork, straw and wicker – by 6.0%.</w:t>
      </w:r>
      <w:r w:rsidR="00B7682E" w:rsidRPr="00B7682E">
        <w:rPr>
          <w:noProof/>
          <w:spacing w:val="-2"/>
          <w:szCs w:val="19"/>
          <w:lang w:val="en-GB"/>
        </w:rPr>
        <w:t xml:space="preserve"> </w:t>
      </w:r>
      <w:r w:rsidR="00B7682E" w:rsidRPr="00D22ECE">
        <w:rPr>
          <w:noProof/>
          <w:spacing w:val="-2"/>
          <w:szCs w:val="19"/>
          <w:lang w:val="en-GB"/>
        </w:rPr>
        <w:t>A</w:t>
      </w:r>
      <w:r w:rsidR="003B25A8">
        <w:rPr>
          <w:noProof/>
          <w:spacing w:val="-2"/>
          <w:szCs w:val="19"/>
          <w:lang w:val="en-GB"/>
        </w:rPr>
        <w:t>n</w:t>
      </w:r>
      <w:r w:rsidR="00B7682E">
        <w:rPr>
          <w:noProof/>
          <w:spacing w:val="-2"/>
          <w:szCs w:val="19"/>
          <w:lang w:val="en-GB"/>
        </w:rPr>
        <w:t> in</w:t>
      </w:r>
      <w:r w:rsidR="00B7682E" w:rsidRPr="00D22ECE">
        <w:rPr>
          <w:noProof/>
          <w:spacing w:val="-2"/>
          <w:szCs w:val="19"/>
          <w:lang w:val="en-GB"/>
        </w:rPr>
        <w:t>crease in sold production of industry, as compared to</w:t>
      </w:r>
      <w:r w:rsidR="00B7682E">
        <w:rPr>
          <w:noProof/>
          <w:spacing w:val="-2"/>
          <w:szCs w:val="19"/>
          <w:lang w:val="en-GB"/>
        </w:rPr>
        <w:t xml:space="preserve"> June 2018</w:t>
      </w:r>
      <w:r w:rsidR="00B7682E" w:rsidRPr="00D22ECE">
        <w:rPr>
          <w:noProof/>
          <w:spacing w:val="-2"/>
          <w:szCs w:val="19"/>
          <w:lang w:val="en-GB"/>
        </w:rPr>
        <w:t>, was recorded in</w:t>
      </w:r>
      <w:r w:rsidR="00B7682E">
        <w:rPr>
          <w:noProof/>
          <w:spacing w:val="-2"/>
          <w:szCs w:val="19"/>
          <w:lang w:val="en-GB"/>
        </w:rPr>
        <w:t xml:space="preserve"> 14</w:t>
      </w:r>
      <w:r w:rsidR="00B7682E" w:rsidRPr="00D22ECE">
        <w:rPr>
          <w:noProof/>
          <w:spacing w:val="-2"/>
          <w:szCs w:val="19"/>
          <w:lang w:val="en-GB"/>
        </w:rPr>
        <w:t xml:space="preserve"> divisions</w:t>
      </w:r>
      <w:r w:rsidR="00B7682E">
        <w:rPr>
          <w:noProof/>
          <w:spacing w:val="-2"/>
          <w:szCs w:val="19"/>
          <w:lang w:val="en-GB"/>
        </w:rPr>
        <w:t>, among others in </w:t>
      </w:r>
      <w:r w:rsidR="00B7682E" w:rsidRPr="00D22ECE">
        <w:rPr>
          <w:noProof/>
          <w:spacing w:val="-2"/>
          <w:szCs w:val="19"/>
          <w:lang w:val="en-GB"/>
        </w:rPr>
        <w:t>manufa</w:t>
      </w:r>
      <w:r w:rsidR="00B7682E">
        <w:rPr>
          <w:noProof/>
          <w:spacing w:val="-2"/>
          <w:szCs w:val="19"/>
          <w:lang w:val="en-GB"/>
        </w:rPr>
        <w:t xml:space="preserve">cture </w:t>
      </w:r>
      <w:r w:rsidR="003B25A8">
        <w:rPr>
          <w:noProof/>
          <w:spacing w:val="-2"/>
          <w:szCs w:val="19"/>
          <w:lang w:val="en-GB"/>
        </w:rPr>
        <w:t xml:space="preserve">of </w:t>
      </w:r>
      <w:r w:rsidR="00B7682E">
        <w:rPr>
          <w:noProof/>
          <w:spacing w:val="-2"/>
          <w:szCs w:val="19"/>
          <w:lang w:val="en-GB"/>
        </w:rPr>
        <w:t xml:space="preserve">other transport equipment – </w:t>
      </w:r>
      <w:r w:rsidR="00B7682E" w:rsidRPr="00D22ECE">
        <w:rPr>
          <w:noProof/>
          <w:spacing w:val="-2"/>
          <w:szCs w:val="19"/>
          <w:lang w:val="en-GB"/>
        </w:rPr>
        <w:t xml:space="preserve">by </w:t>
      </w:r>
      <w:r w:rsidR="00B7682E">
        <w:rPr>
          <w:noProof/>
          <w:spacing w:val="-2"/>
          <w:szCs w:val="19"/>
          <w:lang w:val="en-GB"/>
        </w:rPr>
        <w:t>11.1</w:t>
      </w:r>
      <w:r w:rsidR="00B7682E" w:rsidRPr="00D22ECE">
        <w:rPr>
          <w:noProof/>
          <w:spacing w:val="-2"/>
          <w:szCs w:val="19"/>
          <w:lang w:val="en-GB"/>
        </w:rPr>
        <w:t>%</w:t>
      </w:r>
      <w:r w:rsidR="00B7682E">
        <w:rPr>
          <w:noProof/>
          <w:spacing w:val="-2"/>
          <w:szCs w:val="19"/>
          <w:lang w:val="en-GB"/>
        </w:rPr>
        <w:t>,</w:t>
      </w:r>
      <w:r w:rsidR="00B7682E" w:rsidRPr="00B7682E">
        <w:rPr>
          <w:lang w:val="en-US"/>
        </w:rPr>
        <w:t xml:space="preserve"> </w:t>
      </w:r>
      <w:r w:rsidR="00B7682E">
        <w:rPr>
          <w:lang w:val="en-US"/>
        </w:rPr>
        <w:t>m</w:t>
      </w:r>
      <w:r w:rsidR="00B7682E" w:rsidRPr="00B7682E">
        <w:rPr>
          <w:noProof/>
          <w:spacing w:val="-2"/>
          <w:szCs w:val="19"/>
          <w:lang w:val="en-GB"/>
        </w:rPr>
        <w:t>anufacture of beverages</w:t>
      </w:r>
      <w:r w:rsidR="00B7682E">
        <w:rPr>
          <w:noProof/>
          <w:spacing w:val="-2"/>
          <w:szCs w:val="19"/>
          <w:lang w:val="en-GB"/>
        </w:rPr>
        <w:t xml:space="preserve"> – by 6.6%, manufacture of computer, electronic and optical products – by 3.5%,</w:t>
      </w:r>
      <w:r w:rsidR="00B7682E" w:rsidRPr="00B7682E">
        <w:rPr>
          <w:noProof/>
          <w:spacing w:val="-2"/>
          <w:szCs w:val="19"/>
          <w:lang w:val="en-GB"/>
        </w:rPr>
        <w:t xml:space="preserve"> </w:t>
      </w:r>
      <w:r w:rsidR="00B7682E">
        <w:rPr>
          <w:noProof/>
          <w:spacing w:val="-2"/>
          <w:szCs w:val="19"/>
          <w:lang w:val="en-GB"/>
        </w:rPr>
        <w:t>manufacture of electrical equipment – by 2,7%.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3B25A8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4736" behindDoc="0" locked="0" layoutInCell="1" allowOverlap="1" wp14:anchorId="4A7AFB57" wp14:editId="7BCA4DAF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5122545" cy="3505200"/>
            <wp:effectExtent l="0" t="0" r="1905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190567" w:rsidRPr="00190567" w:rsidRDefault="00190567" w:rsidP="00B66F86">
      <w:pPr>
        <w:pStyle w:val="tytuwykresu"/>
        <w:spacing w:before="0" w:after="0"/>
        <w:rPr>
          <w:sz w:val="12"/>
          <w:szCs w:val="19"/>
          <w:lang w:val="en-GB"/>
        </w:rPr>
      </w:pPr>
    </w:p>
    <w:p w:rsidR="00694AF0" w:rsidRDefault="00694AF0" w:rsidP="009C251A">
      <w:pPr>
        <w:spacing w:before="0" w:after="0"/>
        <w:rPr>
          <w:sz w:val="18"/>
          <w:lang w:val="en-GB"/>
        </w:rPr>
      </w:pPr>
    </w:p>
    <w:p w:rsidR="009C251A" w:rsidRPr="00C52703" w:rsidRDefault="009C251A" w:rsidP="00C076E8">
      <w:pPr>
        <w:rPr>
          <w:sz w:val="18"/>
          <w:lang w:val="en-GB"/>
        </w:rPr>
        <w:sectPr w:rsidR="009C251A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B25A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1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30331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"https://stat.gov.pl/en/topics/other-studies/informations-on-socio-economic-situation/statistical-bulletin-no-52019,4,101.html"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30331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"https://stat.gov.pl/en/topics/other-studies/informations-on-socio-economic-situation/socio-economic-situation-of-the-country-in-may-2019,1,98.html"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5B562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5B5626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5B562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5B5626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5B5626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5B562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5B5626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5B562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5B562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5B562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5B562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5B562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30331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"https://stat.gov.pl/en/topics/other-studies/informations-on-socio-economic-situation/statistical-bulletin-no-52019,4,101.html"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30331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"https://stat.gov.pl/en/topics/other-studies/informations-on-socio-economic-situation/socio-economic-situation-of-the-country-in-may-2019,1,98.html"</w:instrText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7A65ED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7A65ED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7A65ED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7A65E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7A65ED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7A65ED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7A65ED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7A65ED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7A65ED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7A65ED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7A65ED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7A65ED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26" w:rsidRDefault="005B5626" w:rsidP="000662E2">
      <w:pPr>
        <w:spacing w:after="0" w:line="240" w:lineRule="auto"/>
      </w:pPr>
      <w:r>
        <w:separator/>
      </w:r>
    </w:p>
  </w:endnote>
  <w:endnote w:type="continuationSeparator" w:id="0">
    <w:p w:rsidR="005B5626" w:rsidRDefault="005B562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D47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D47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26" w:rsidRDefault="005B5626" w:rsidP="000662E2">
      <w:pPr>
        <w:spacing w:after="0" w:line="240" w:lineRule="auto"/>
      </w:pPr>
      <w:r>
        <w:separator/>
      </w:r>
    </w:p>
  </w:footnote>
  <w:footnote w:type="continuationSeparator" w:id="0">
    <w:p w:rsidR="005B5626" w:rsidRDefault="005B562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7F4F9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80B7A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B181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80B7A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7F4F9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80B7A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B181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80B7A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108B8"/>
    <w:rsid w:val="000152F5"/>
    <w:rsid w:val="00021B45"/>
    <w:rsid w:val="00022128"/>
    <w:rsid w:val="00030892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5A6F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C235E"/>
    <w:rsid w:val="001C3269"/>
    <w:rsid w:val="001C7319"/>
    <w:rsid w:val="001D03CF"/>
    <w:rsid w:val="001D1DB4"/>
    <w:rsid w:val="001D43A6"/>
    <w:rsid w:val="001D6A44"/>
    <w:rsid w:val="001E0AEC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71BE"/>
    <w:rsid w:val="002F77C8"/>
    <w:rsid w:val="00304F22"/>
    <w:rsid w:val="00306C7C"/>
    <w:rsid w:val="00313732"/>
    <w:rsid w:val="003150C0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16CBB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F72"/>
    <w:rsid w:val="005968D2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764C"/>
    <w:rsid w:val="005C594C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B7370"/>
    <w:rsid w:val="006C223C"/>
    <w:rsid w:val="006C22CB"/>
    <w:rsid w:val="006D4054"/>
    <w:rsid w:val="006E02EC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F02E8"/>
    <w:rsid w:val="007F1EFE"/>
    <w:rsid w:val="007F324B"/>
    <w:rsid w:val="007F4F92"/>
    <w:rsid w:val="00802515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7F0F"/>
    <w:rsid w:val="00851435"/>
    <w:rsid w:val="00852448"/>
    <w:rsid w:val="0085570A"/>
    <w:rsid w:val="00866CB6"/>
    <w:rsid w:val="00873D67"/>
    <w:rsid w:val="0088258A"/>
    <w:rsid w:val="00882F38"/>
    <w:rsid w:val="00886332"/>
    <w:rsid w:val="00887C9F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3CA6"/>
    <w:rsid w:val="008F6F31"/>
    <w:rsid w:val="008F74DF"/>
    <w:rsid w:val="00910B17"/>
    <w:rsid w:val="00911520"/>
    <w:rsid w:val="009127BA"/>
    <w:rsid w:val="00913377"/>
    <w:rsid w:val="009160A8"/>
    <w:rsid w:val="00917D00"/>
    <w:rsid w:val="00917EC6"/>
    <w:rsid w:val="009227A6"/>
    <w:rsid w:val="00924595"/>
    <w:rsid w:val="00925944"/>
    <w:rsid w:val="00931393"/>
    <w:rsid w:val="00933EC1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78EA"/>
    <w:rsid w:val="00C6237D"/>
    <w:rsid w:val="00C64A37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8397C"/>
    <w:rsid w:val="00D878B6"/>
    <w:rsid w:val="00D90318"/>
    <w:rsid w:val="00D91E38"/>
    <w:rsid w:val="00D94EED"/>
    <w:rsid w:val="00D96026"/>
    <w:rsid w:val="00DA7C1C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7EF5"/>
    <w:rsid w:val="00ED2F18"/>
    <w:rsid w:val="00ED4629"/>
    <w:rsid w:val="00ED55C0"/>
    <w:rsid w:val="00ED682B"/>
    <w:rsid w:val="00EE03BD"/>
    <w:rsid w:val="00EE209B"/>
    <w:rsid w:val="00EE41D5"/>
    <w:rsid w:val="00EE5890"/>
    <w:rsid w:val="00F03704"/>
    <w:rsid w:val="00F037A4"/>
    <w:rsid w:val="00F04972"/>
    <w:rsid w:val="00F227CC"/>
    <w:rsid w:val="00F26C29"/>
    <w:rsid w:val="00F2790E"/>
    <w:rsid w:val="00F27C8F"/>
    <w:rsid w:val="00F32749"/>
    <w:rsid w:val="00F34879"/>
    <w:rsid w:val="00F37172"/>
    <w:rsid w:val="00F42156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362,term.html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B.Kaczorowska@stat.gov.pl" TargetMode="Externa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4539264"/>
        <c:axId val="-134539808"/>
      </c:lineChart>
      <c:catAx>
        <c:axId val="-13453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4539808"/>
        <c:crossesAt val="100"/>
        <c:auto val="1"/>
        <c:lblAlgn val="ctr"/>
        <c:lblOffset val="100"/>
        <c:noMultiLvlLbl val="0"/>
      </c:catAx>
      <c:valAx>
        <c:axId val="-134539808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45392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273382840161761"/>
          <c:y val="4.1841682833124123E-2"/>
          <c:w val="0.47123613731332759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'VI2019 ang'!$B$1</c:f>
              <c:strCache>
                <c:ptCount val="1"/>
                <c:pt idx="0">
                  <c:v>VI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'VI2019 ang'!$A$2:$A$13</c:f>
              <c:strCache>
                <c:ptCount val="12"/>
                <c:pt idx="0">
                  <c:v>Manufacture of tobacco products</c:v>
                </c:pt>
                <c:pt idx="1">
                  <c:v>Manufacture of wearing apparel </c:v>
                </c:pt>
                <c:pt idx="2">
                  <c:v>Manufacture of leather and related products</c:v>
                </c:pt>
                <c:pt idx="3">
                  <c:v>Manufacture of basic metals</c:v>
                </c:pt>
                <c:pt idx="4">
                  <c:v>Mining of coal and lignite </c:v>
                </c:pt>
                <c:pt idx="5">
                  <c:v>Manufacture of motor vehicles, trailers  and  semi-trailers </c:v>
                </c:pt>
                <c:pt idx="6">
                  <c:v>Manufacture of computer, electronic and optical products </c:v>
                </c:pt>
                <c:pt idx="7">
                  <c:v>Electricity, gas, steam and air conditioning supply</c:v>
                </c:pt>
                <c:pt idx="8">
                  <c:v>Manufacture of beverages</c:v>
                </c:pt>
                <c:pt idx="9">
                  <c:v>Waste collection, treatment and disposal activities; materials recovery</c:v>
                </c:pt>
                <c:pt idx="10">
                  <c:v>Repair and installation of machinery and equipment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'VI2019 ang'!$B$2:$B$13</c:f>
              <c:numCache>
                <c:formatCode>0.0_ ;[Red]\-0.0\ </c:formatCode>
                <c:ptCount val="12"/>
                <c:pt idx="0">
                  <c:v>82.7</c:v>
                </c:pt>
                <c:pt idx="1">
                  <c:v>86.5</c:v>
                </c:pt>
                <c:pt idx="2">
                  <c:v>86.6</c:v>
                </c:pt>
                <c:pt idx="3">
                  <c:v>88.9</c:v>
                </c:pt>
                <c:pt idx="4">
                  <c:v>89.3</c:v>
                </c:pt>
                <c:pt idx="5">
                  <c:v>91.5</c:v>
                </c:pt>
                <c:pt idx="6">
                  <c:v>103.5</c:v>
                </c:pt>
                <c:pt idx="7">
                  <c:v>105.5</c:v>
                </c:pt>
                <c:pt idx="8">
                  <c:v>106.6</c:v>
                </c:pt>
                <c:pt idx="9">
                  <c:v>106.9</c:v>
                </c:pt>
                <c:pt idx="10">
                  <c:v>109.5</c:v>
                </c:pt>
                <c:pt idx="11">
                  <c:v>111.1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'VI2019 ang'!$C$1</c:f>
              <c:strCache>
                <c:ptCount val="1"/>
                <c:pt idx="0">
                  <c:v>VI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'VI2019 ang'!$A$2:$A$13</c:f>
              <c:strCache>
                <c:ptCount val="12"/>
                <c:pt idx="0">
                  <c:v>Manufacture of tobacco products</c:v>
                </c:pt>
                <c:pt idx="1">
                  <c:v>Manufacture of wearing apparel </c:v>
                </c:pt>
                <c:pt idx="2">
                  <c:v>Manufacture of leather and related products</c:v>
                </c:pt>
                <c:pt idx="3">
                  <c:v>Manufacture of basic metals</c:v>
                </c:pt>
                <c:pt idx="4">
                  <c:v>Mining of coal and lignite </c:v>
                </c:pt>
                <c:pt idx="5">
                  <c:v>Manufacture of motor vehicles, trailers  and  semi-trailers </c:v>
                </c:pt>
                <c:pt idx="6">
                  <c:v>Manufacture of computer, electronic and optical products </c:v>
                </c:pt>
                <c:pt idx="7">
                  <c:v>Electricity, gas, steam and air conditioning supply</c:v>
                </c:pt>
                <c:pt idx="8">
                  <c:v>Manufacture of beverages</c:v>
                </c:pt>
                <c:pt idx="9">
                  <c:v>Waste collection, treatment and disposal activities; materials recovery</c:v>
                </c:pt>
                <c:pt idx="10">
                  <c:v>Repair and installation of machinery and equipment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'VI2019 ang'!$C$2:$C$13</c:f>
              <c:numCache>
                <c:formatCode>General</c:formatCode>
                <c:ptCount val="12"/>
                <c:pt idx="0">
                  <c:v>112.4</c:v>
                </c:pt>
                <c:pt idx="1">
                  <c:v>111.3</c:v>
                </c:pt>
                <c:pt idx="2">
                  <c:v>96.7</c:v>
                </c:pt>
                <c:pt idx="3">
                  <c:v>105.8</c:v>
                </c:pt>
                <c:pt idx="4">
                  <c:v>99.6</c:v>
                </c:pt>
                <c:pt idx="5">
                  <c:v>109.6</c:v>
                </c:pt>
                <c:pt idx="6">
                  <c:v>97.6</c:v>
                </c:pt>
                <c:pt idx="7">
                  <c:v>113.6</c:v>
                </c:pt>
                <c:pt idx="8">
                  <c:v>102.9</c:v>
                </c:pt>
                <c:pt idx="9">
                  <c:v>105.7</c:v>
                </c:pt>
                <c:pt idx="10" formatCode="0.0">
                  <c:v>105</c:v>
                </c:pt>
                <c:pt idx="11">
                  <c:v>113.5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4527296"/>
        <c:axId val="-134533824"/>
      </c:barChart>
      <c:catAx>
        <c:axId val="-1345272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34533824"/>
        <c:crossesAt val="100"/>
        <c:auto val="1"/>
        <c:lblAlgn val="ctr"/>
        <c:lblOffset val="20"/>
        <c:noMultiLvlLbl val="0"/>
      </c:catAx>
      <c:valAx>
        <c:axId val="-134533824"/>
        <c:scaling>
          <c:orientation val="minMax"/>
          <c:max val="116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34527296"/>
        <c:crosses val="max"/>
        <c:crossBetween val="between"/>
        <c:majorUnit val="4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6B502-8530-4C43-9FA6-FDB09D03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Śmierzyński Wiesław</dc:creator>
  <cp:lastModifiedBy>Kaczorowska Beata</cp:lastModifiedBy>
  <cp:revision>11</cp:revision>
  <cp:lastPrinted>2019-07-17T06:36:00Z</cp:lastPrinted>
  <dcterms:created xsi:type="dcterms:W3CDTF">2019-07-04T12:33:00Z</dcterms:created>
  <dcterms:modified xsi:type="dcterms:W3CDTF">2019-07-17T09:25:00Z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