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31E" w:rsidRPr="00D00FEE" w:rsidRDefault="00370968" w:rsidP="004407E0">
      <w:pPr>
        <w:pStyle w:val="tytuinformacji"/>
        <w:rPr>
          <w:b/>
          <w:bCs/>
          <w:lang w:val="en-US"/>
        </w:rPr>
      </w:pPr>
      <w:bookmarkStart w:id="0" w:name="_GoBack"/>
      <w:bookmarkEnd w:id="0"/>
      <w:r w:rsidRPr="00D00FEE">
        <w:rPr>
          <w:rFonts w:cs="Fira Sans Extra Condensed SemiB"/>
          <w:bCs/>
          <w:szCs w:val="40"/>
          <w:lang w:val="en-US"/>
        </w:rPr>
        <w:t>Housing</w:t>
      </w:r>
      <w:r w:rsidRPr="00D00FEE">
        <w:rPr>
          <w:rFonts w:cs="Fira Sans Extra Condensed SemiB"/>
          <w:bCs/>
          <w:w w:val="90"/>
          <w:szCs w:val="40"/>
          <w:lang w:val="en-US"/>
        </w:rPr>
        <w:t xml:space="preserve"> economy</w:t>
      </w:r>
      <w:r w:rsidR="00FA32C0" w:rsidRPr="00D00FEE">
        <w:rPr>
          <w:rFonts w:cs="Fira Sans Extra Condensed SemiB"/>
          <w:bCs/>
          <w:w w:val="90"/>
          <w:szCs w:val="40"/>
          <w:lang w:val="en-US"/>
        </w:rPr>
        <w:t xml:space="preserve"> in Poland in 2017</w:t>
      </w:r>
    </w:p>
    <w:p w:rsidR="004407E0" w:rsidRPr="00D00FEE" w:rsidRDefault="001E2B38" w:rsidP="004407E0">
      <w:pPr>
        <w:pStyle w:val="tytuinformacji"/>
        <w:spacing w:before="0"/>
        <w:rPr>
          <w:rFonts w:cs="Fira Sans Extra Condensed SemiB"/>
          <w:bCs/>
          <w:color w:val="002060"/>
          <w:w w:val="90"/>
          <w:szCs w:val="40"/>
          <w:lang w:val="en-US"/>
        </w:rPr>
      </w:pPr>
      <w:r w:rsidRPr="00D00FEE">
        <w:rPr>
          <w:rFonts w:cs="Fira Sans Extra Condensed SemiB"/>
          <w:bCs/>
          <w:noProof/>
          <w:szCs w:val="40"/>
          <w:lang w:val="en-GB" w:eastAsia="en-GB"/>
        </w:rPr>
        <mc:AlternateContent>
          <mc:Choice Requires="wps">
            <w:drawing>
              <wp:anchor distT="45720" distB="45720" distL="114300" distR="114300" simplePos="0" relativeHeight="251652608" behindDoc="1" locked="0" layoutInCell="1" allowOverlap="1">
                <wp:simplePos x="0" y="0"/>
                <wp:positionH relativeFrom="rightMargin">
                  <wp:align>left</wp:align>
                </wp:positionH>
                <wp:positionV relativeFrom="paragraph">
                  <wp:posOffset>252764</wp:posOffset>
                </wp:positionV>
                <wp:extent cx="1666875" cy="963930"/>
                <wp:effectExtent l="0" t="0" r="0" b="0"/>
                <wp:wrapTight wrapText="bothSides">
                  <wp:wrapPolygon edited="0">
                    <wp:start x="741" y="0"/>
                    <wp:lineTo x="741" y="20917"/>
                    <wp:lineTo x="20736" y="20917"/>
                    <wp:lineTo x="20736" y="0"/>
                    <wp:lineTo x="741"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963930"/>
                        </a:xfrm>
                        <a:prstGeom prst="rect">
                          <a:avLst/>
                        </a:prstGeom>
                        <a:noFill/>
                        <a:ln w="9525">
                          <a:noFill/>
                          <a:miter lim="800000"/>
                          <a:headEnd/>
                          <a:tailEnd/>
                        </a:ln>
                      </wps:spPr>
                      <wps:txbx>
                        <w:txbxContent>
                          <w:p w:rsidR="007A2DC1" w:rsidRPr="00370968" w:rsidRDefault="00370968" w:rsidP="00C03B6D">
                            <w:pPr>
                              <w:pStyle w:val="tekstzboku"/>
                              <w:rPr>
                                <w:lang w:val="en-US"/>
                              </w:rPr>
                            </w:pPr>
                            <w:r w:rsidRPr="00370968">
                              <w:rPr>
                                <w:lang w:val="en-US"/>
                              </w:rPr>
                              <w:t>The number of dwellings in Poland is still increasing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0;margin-top:19.9pt;width:131.25pt;height:75.9pt;z-index:-25166387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" filled="f" stroked="f">
                <v:textbox>
                  <w:txbxContent>
                    <w:p w:rsidR="007A2DC1" w:rsidRPr="00370968" w:rsidRDefault="00370968" w:rsidP="00C03B6D">
                      <w:pPr>
                        <w:pStyle w:val="tekstzboku"/>
                        <w:rPr>
                          <w:lang w:val="en-US"/>
                        </w:rPr>
                      </w:pPr>
                      <w:r w:rsidRPr="00370968">
                        <w:rPr>
                          <w:lang w:val="en-US"/>
                        </w:rPr>
                        <w:t>The number of dwellings in Poland is still increasing</w:t>
                      </w:r>
                    </w:p>
                  </w:txbxContent>
                </v:textbox>
                <w10:wrap type="tight" anchorx="margin"/>
              </v:shape>
            </w:pict>
          </mc:Fallback>
        </mc:AlternateContent>
      </w:r>
    </w:p>
    <w:p w:rsidR="005916D7" w:rsidRPr="00BC2A12" w:rsidRDefault="00943440" w:rsidP="00633014">
      <w:pPr>
        <w:pStyle w:val="LID"/>
        <w:rPr>
          <w:lang w:val="en-US"/>
        </w:rPr>
      </w:pPr>
      <w:r>
        <w:rPr>
          <w:lang w:val="en-GB" w:eastAsia="en-GB"/>
        </w:rPr>
        <mc:AlternateContent>
          <mc:Choice Requires="wps">
            <w:drawing>
              <wp:anchor distT="45720" distB="45720" distL="114300" distR="114300" simplePos="0" relativeHeight="251676672" behindDoc="0" locked="0" layoutInCell="1" allowOverlap="1">
                <wp:simplePos x="0" y="0"/>
                <wp:positionH relativeFrom="margin">
                  <wp:align>left</wp:align>
                </wp:positionH>
                <wp:positionV relativeFrom="paragraph">
                  <wp:posOffset>83820</wp:posOffset>
                </wp:positionV>
                <wp:extent cx="2101850" cy="1059815"/>
                <wp:effectExtent l="0" t="0" r="0" b="698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059815"/>
                        </a:xfrm>
                        <a:prstGeom prst="rect">
                          <a:avLst/>
                        </a:prstGeom>
                        <a:solidFill>
                          <a:srgbClr val="001D77"/>
                        </a:solidFill>
                        <a:ln w="9525">
                          <a:noFill/>
                          <a:miter lim="800000"/>
                          <a:headEnd/>
                          <a:tailEnd/>
                        </a:ln>
                      </wps:spPr>
                      <wps:txbx>
                        <w:txbxContent>
                          <w:p w:rsidR="00933EC1" w:rsidRPr="00370968" w:rsidRDefault="00943440" w:rsidP="00633014">
                            <w:pPr>
                              <w:spacing w:after="0" w:line="240" w:lineRule="auto"/>
                              <w:rPr>
                                <w:rFonts w:ascii="Fira Sans SemiBold" w:hAnsi="Fira Sans SemiBold"/>
                                <w:color w:val="FFFFFF" w:themeColor="background1"/>
                                <w:sz w:val="72"/>
                                <w:lang w:val="en-US"/>
                              </w:rPr>
                            </w:pPr>
                            <w:r>
                              <w:rPr>
                                <w:rFonts w:asciiTheme="minorHAnsi" w:hAnsiTheme="minorHAnsi"/>
                                <w:noProof/>
                                <w:color w:val="001D77"/>
                                <w:sz w:val="22"/>
                                <w:lang w:val="en-GB" w:eastAsia="en-GB"/>
                              </w:rPr>
                              <w:drawing>
                                <wp:inline distT="0" distB="0" distL="0" distR="0">
                                  <wp:extent cx="374015" cy="374015"/>
                                  <wp:effectExtent l="0" t="0" r="6985" b="6985"/>
                                  <wp:docPr id="4"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r w:rsidR="006C5D54">
                              <w:rPr>
                                <w:rFonts w:ascii="Fira Sans SemiBold" w:hAnsi="Fira Sans SemiBold"/>
                                <w:color w:val="FFFFFF" w:themeColor="background1"/>
                                <w:sz w:val="72"/>
                                <w:lang w:val="en-US"/>
                              </w:rPr>
                              <w:t>101.</w:t>
                            </w:r>
                            <w:r w:rsidR="00370968">
                              <w:rPr>
                                <w:rFonts w:ascii="Fira Sans SemiBold" w:hAnsi="Fira Sans SemiBold"/>
                                <w:color w:val="FFFFFF" w:themeColor="background1"/>
                                <w:sz w:val="72"/>
                                <w:lang w:val="en-US"/>
                              </w:rPr>
                              <w:t>2</w:t>
                            </w:r>
                          </w:p>
                          <w:p w:rsidR="002B5932" w:rsidRPr="00370968" w:rsidRDefault="002847F1" w:rsidP="002847F1">
                            <w:pPr>
                              <w:pStyle w:val="Tekstpodstawowy"/>
                              <w:kinsoku w:val="0"/>
                              <w:overflowPunct w:val="0"/>
                              <w:spacing w:before="1" w:line="238" w:lineRule="exact"/>
                              <w:ind w:left="151" w:right="215"/>
                              <w:rPr>
                                <w:lang w:val="en-US"/>
                              </w:rPr>
                            </w:pPr>
                            <w:r>
                              <w:rPr>
                                <w:rStyle w:val="shorttext"/>
                                <w:lang w:val="en"/>
                              </w:rPr>
                              <w:t xml:space="preserve">The increase </w:t>
                            </w:r>
                            <w:r w:rsidR="00370968">
                              <w:rPr>
                                <w:rStyle w:val="shorttext"/>
                                <w:lang w:val="en"/>
                              </w:rPr>
                              <w:t>in the number of dwellings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6.6pt;width:165.5pt;height:83.4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" fillcolor="#001d77" stroked="f">
                <v:textbox>
                  <w:txbxContent>
                    <w:p w:rsidR="00933EC1" w:rsidRPr="00370968" w:rsidRDefault="00943440" w:rsidP="00633014">
                      <w:pPr>
                        <w:spacing w:after="0" w:line="240" w:lineRule="auto"/>
                        <w:rPr>
                          <w:rFonts w:ascii="Fira Sans SemiBold" w:hAnsi="Fira Sans SemiBold"/>
                          <w:color w:val="FFFFFF" w:themeColor="background1"/>
                          <w:sz w:val="72"/>
                          <w:lang w:val="en-US"/>
                        </w:rPr>
                      </w:pPr>
                      <w:r>
                        <w:rPr>
                          <w:rFonts w:asciiTheme="minorHAnsi" w:hAnsiTheme="minorHAnsi"/>
                          <w:noProof/>
                          <w:color w:val="001D77"/>
                          <w:sz w:val="22"/>
                          <w:lang w:eastAsia="pl-PL"/>
                        </w:rPr>
                        <w:drawing>
                          <wp:inline distT="0" distB="0" distL="0" distR="0">
                            <wp:extent cx="374015" cy="374015"/>
                            <wp:effectExtent l="0" t="0" r="6985" b="6985"/>
                            <wp:docPr id="4"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015" cy="374015"/>
                                    </a:xfrm>
                                    <a:prstGeom prst="rect">
                                      <a:avLst/>
                                    </a:prstGeom>
                                    <a:noFill/>
                                    <a:ln>
                                      <a:noFill/>
                                    </a:ln>
                                  </pic:spPr>
                                </pic:pic>
                              </a:graphicData>
                            </a:graphic>
                          </wp:inline>
                        </w:drawing>
                      </w:r>
                      <w:r w:rsidR="006C5D54">
                        <w:rPr>
                          <w:rFonts w:ascii="Fira Sans SemiBold" w:hAnsi="Fira Sans SemiBold"/>
                          <w:color w:val="FFFFFF" w:themeColor="background1"/>
                          <w:sz w:val="72"/>
                          <w:lang w:val="en-US"/>
                        </w:rPr>
                        <w:t>101.</w:t>
                      </w:r>
                      <w:r w:rsidR="00370968">
                        <w:rPr>
                          <w:rFonts w:ascii="Fira Sans SemiBold" w:hAnsi="Fira Sans SemiBold"/>
                          <w:color w:val="FFFFFF" w:themeColor="background1"/>
                          <w:sz w:val="72"/>
                          <w:lang w:val="en-US"/>
                        </w:rPr>
                        <w:t>2</w:t>
                      </w:r>
                    </w:p>
                    <w:p w:rsidR="002B5932" w:rsidRPr="00370968" w:rsidRDefault="002847F1" w:rsidP="002847F1">
                      <w:pPr>
                        <w:pStyle w:val="Tekstpodstawowy"/>
                        <w:kinsoku w:val="0"/>
                        <w:overflowPunct w:val="0"/>
                        <w:spacing w:before="1" w:line="238" w:lineRule="exact"/>
                        <w:ind w:left="151" w:right="215"/>
                        <w:rPr>
                          <w:lang w:val="en-US"/>
                        </w:rPr>
                      </w:pPr>
                      <w:r>
                        <w:rPr>
                          <w:rStyle w:val="shorttext"/>
                          <w:lang w:val="en"/>
                        </w:rPr>
                        <w:t xml:space="preserve">The increase </w:t>
                      </w:r>
                      <w:r w:rsidR="00370968">
                        <w:rPr>
                          <w:rStyle w:val="shorttext"/>
                          <w:lang w:val="en"/>
                        </w:rPr>
                        <w:t>in the number of dwellings</w:t>
                      </w:r>
                    </w:p>
                  </w:txbxContent>
                </v:textbox>
                <w10:wrap type="square" anchorx="margin"/>
              </v:shape>
            </w:pict>
          </mc:Fallback>
        </mc:AlternateContent>
      </w:r>
      <w:r w:rsidR="00CE7335">
        <w:rPr>
          <w:lang w:val="en-US"/>
        </w:rPr>
        <w:t xml:space="preserve">As of </w:t>
      </w:r>
      <w:r w:rsidR="00A91A6B">
        <w:rPr>
          <w:lang w:val="en-US"/>
        </w:rPr>
        <w:t>the end of</w:t>
      </w:r>
      <w:r w:rsidR="00BC2A12" w:rsidRPr="00BC2A12">
        <w:rPr>
          <w:lang w:val="en-US"/>
        </w:rPr>
        <w:t xml:space="preserve"> 2017 </w:t>
      </w:r>
      <w:r w:rsidR="00CE7335">
        <w:rPr>
          <w:lang w:val="en-US"/>
        </w:rPr>
        <w:t xml:space="preserve">14.4 mln </w:t>
      </w:r>
      <w:r w:rsidR="00CE7335" w:rsidRPr="00BC2A12">
        <w:rPr>
          <w:lang w:val="en-US"/>
        </w:rPr>
        <w:t xml:space="preserve">dwellings </w:t>
      </w:r>
      <w:r w:rsidR="00A91A6B">
        <w:rPr>
          <w:lang w:val="en-US"/>
        </w:rPr>
        <w:t xml:space="preserve">was noticed </w:t>
      </w:r>
      <w:r w:rsidR="00CE7335">
        <w:rPr>
          <w:lang w:val="en-US"/>
        </w:rPr>
        <w:t>(</w:t>
      </w:r>
      <w:r w:rsidR="00BC2A12" w:rsidRPr="00BC2A12">
        <w:rPr>
          <w:lang w:val="en-US"/>
        </w:rPr>
        <w:t>increase by 1.2%</w:t>
      </w:r>
      <w:r w:rsidR="00CE7335">
        <w:rPr>
          <w:lang w:val="en-US"/>
        </w:rPr>
        <w:t xml:space="preserve"> compared to the end of 2016</w:t>
      </w:r>
      <w:r w:rsidR="00BC2A12" w:rsidRPr="00BC2A12">
        <w:rPr>
          <w:lang w:val="en-US"/>
        </w:rPr>
        <w:t xml:space="preserve">) </w:t>
      </w:r>
      <w:r w:rsidR="00A91A6B">
        <w:rPr>
          <w:lang w:val="en-US"/>
        </w:rPr>
        <w:t>with the total</w:t>
      </w:r>
      <w:r w:rsidR="00BC2A12" w:rsidRPr="00BC2A12">
        <w:rPr>
          <w:lang w:val="en-US"/>
        </w:rPr>
        <w:t xml:space="preserve"> useful floor area of 1</w:t>
      </w:r>
      <w:r w:rsidR="00A91A6B">
        <w:rPr>
          <w:lang w:val="en-US"/>
        </w:rPr>
        <w:t> </w:t>
      </w:r>
      <w:r w:rsidR="00BC2A12" w:rsidRPr="00BC2A12">
        <w:rPr>
          <w:lang w:val="en-US"/>
        </w:rPr>
        <w:t>068</w:t>
      </w:r>
      <w:r w:rsidR="00A91A6B">
        <w:rPr>
          <w:lang w:val="en-US"/>
        </w:rPr>
        <w:t>.</w:t>
      </w:r>
      <w:r w:rsidR="00CE7335">
        <w:rPr>
          <w:lang w:val="en-US"/>
        </w:rPr>
        <w:t>6</w:t>
      </w:r>
      <w:r w:rsidR="00BC2A12" w:rsidRPr="00BC2A12">
        <w:rPr>
          <w:lang w:val="en-US"/>
        </w:rPr>
        <w:t xml:space="preserve"> thous m</w:t>
      </w:r>
      <w:r w:rsidR="00BC2A12" w:rsidRPr="00BC2A12">
        <w:rPr>
          <w:vertAlign w:val="superscript"/>
          <w:lang w:val="en-US"/>
        </w:rPr>
        <w:t>2</w:t>
      </w:r>
      <w:r w:rsidR="00BC2A12" w:rsidRPr="00BC2A12">
        <w:rPr>
          <w:lang w:val="en-US"/>
        </w:rPr>
        <w:t xml:space="preserve"> and the number of rooms of 55</w:t>
      </w:r>
      <w:r w:rsidR="00A91A6B">
        <w:rPr>
          <w:lang w:val="en-US"/>
        </w:rPr>
        <w:t>.</w:t>
      </w:r>
      <w:r w:rsidR="00CE7335">
        <w:rPr>
          <w:lang w:val="en-US"/>
        </w:rPr>
        <w:t>2 mln</w:t>
      </w:r>
      <w:r w:rsidR="00BC2A12" w:rsidRPr="00BC2A12">
        <w:rPr>
          <w:lang w:val="en-US"/>
        </w:rPr>
        <w:t>.</w:t>
      </w:r>
    </w:p>
    <w:p w:rsidR="00003437" w:rsidRPr="00370968" w:rsidRDefault="00003437" w:rsidP="00E76D26">
      <w:pPr>
        <w:pStyle w:val="Nagwek1"/>
        <w:spacing w:before="0"/>
        <w:rPr>
          <w:rFonts w:ascii="Fira Sans" w:hAnsi="Fira Sans"/>
          <w:b/>
          <w:color w:val="212492"/>
          <w:spacing w:val="-2"/>
          <w:szCs w:val="19"/>
          <w:lang w:val="en-US"/>
        </w:rPr>
      </w:pPr>
    </w:p>
    <w:p w:rsidR="00C22105" w:rsidRPr="00370968" w:rsidRDefault="00C22105" w:rsidP="00E2731E">
      <w:pPr>
        <w:pStyle w:val="Nagwek1"/>
        <w:spacing w:after="0"/>
        <w:rPr>
          <w:shd w:val="clear" w:color="auto" w:fill="FFFFFF"/>
          <w:lang w:val="en-US"/>
        </w:rPr>
      </w:pPr>
    </w:p>
    <w:p w:rsidR="00BC2A12" w:rsidRDefault="00BC2A12" w:rsidP="00BC2A12">
      <w:pPr>
        <w:spacing w:before="0" w:after="0"/>
        <w:rPr>
          <w:rFonts w:eastAsia="Times New Roman" w:cs="Times New Roman"/>
          <w:bCs/>
          <w:szCs w:val="19"/>
          <w:lang w:val="en-US" w:eastAsia="pl-PL"/>
        </w:rPr>
      </w:pPr>
    </w:p>
    <w:p w:rsidR="001E2B38" w:rsidRPr="001E2B38" w:rsidRDefault="001E2B38" w:rsidP="00BC2A12">
      <w:pPr>
        <w:spacing w:before="0" w:after="0"/>
        <w:rPr>
          <w:rFonts w:eastAsia="Times New Roman" w:cs="Times New Roman"/>
          <w:bCs/>
          <w:szCs w:val="19"/>
          <w:lang w:val="en-US" w:eastAsia="pl-PL"/>
        </w:rPr>
      </w:pPr>
    </w:p>
    <w:p w:rsidR="00BC2A12" w:rsidRPr="00BC2A12" w:rsidRDefault="000B3F20" w:rsidP="00BC2A12">
      <w:pPr>
        <w:spacing w:before="0" w:after="0"/>
        <w:rPr>
          <w:rFonts w:eastAsia="Times New Roman" w:cs="Times New Roman"/>
          <w:b/>
          <w:bCs/>
          <w:color w:val="001D77"/>
          <w:szCs w:val="19"/>
          <w:lang w:val="en-US"/>
        </w:rPr>
      </w:pPr>
      <w:r w:rsidRPr="00596BDB">
        <w:rPr>
          <w:noProof/>
          <w:color w:val="212492"/>
          <w:szCs w:val="19"/>
          <w:lang w:val="en-GB" w:eastAsia="en-GB"/>
        </w:rPr>
        <mc:AlternateContent>
          <mc:Choice Requires="wps">
            <w:drawing>
              <wp:anchor distT="45720" distB="45720" distL="114300" distR="114300" simplePos="0" relativeHeight="251779072" behindDoc="1" locked="0" layoutInCell="1" allowOverlap="1" wp14:anchorId="65EBAE62" wp14:editId="1D8DC1C4">
                <wp:simplePos x="0" y="0"/>
                <wp:positionH relativeFrom="column">
                  <wp:posOffset>5243830</wp:posOffset>
                </wp:positionH>
                <wp:positionV relativeFrom="paragraph">
                  <wp:posOffset>151199</wp:posOffset>
                </wp:positionV>
                <wp:extent cx="1735455" cy="1123950"/>
                <wp:effectExtent l="0" t="0" r="0" b="0"/>
                <wp:wrapTight wrapText="bothSides">
                  <wp:wrapPolygon edited="0">
                    <wp:start x="711" y="0"/>
                    <wp:lineTo x="711" y="21234"/>
                    <wp:lineTo x="20865" y="21234"/>
                    <wp:lineTo x="20865" y="0"/>
                    <wp:lineTo x="711" y="0"/>
                  </wp:wrapPolygon>
                </wp:wrapTight>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1123950"/>
                        </a:xfrm>
                        <a:prstGeom prst="rect">
                          <a:avLst/>
                        </a:prstGeom>
                        <a:noFill/>
                        <a:ln w="9525">
                          <a:noFill/>
                          <a:miter lim="800000"/>
                          <a:headEnd/>
                          <a:tailEnd/>
                        </a:ln>
                      </wps:spPr>
                      <wps:txbx>
                        <w:txbxContent>
                          <w:p w:rsidR="00BC2A12" w:rsidRPr="00BC2A12" w:rsidRDefault="00A91A6B" w:rsidP="00BC2A12">
                            <w:pPr>
                              <w:pStyle w:val="tekstzboku"/>
                              <w:rPr>
                                <w:lang w:val="en-US"/>
                              </w:rPr>
                            </w:pPr>
                            <w:r>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w:t>
                            </w:r>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end of 2017, dwelling stocks in Poland amounted to 14.4 mln. Total useful floor area amounted to 1</w:t>
                            </w:r>
                            <w:r w:rsidR="004205F1">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068.6 mln m</w:t>
                            </w:r>
                            <w:r w:rsidR="00BC2A12" w:rsidRPr="00BC2A12">
                              <w:rPr>
                                <w:vertAlign w:val="superscript"/>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and </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rooms to 55.2 mln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BAE62" id="_x0000_s1028" type="#_x0000_t202" style="position:absolute;margin-left:412.9pt;margin-top:11.9pt;width:136.65pt;height:88.5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" filled="f" stroked="f">
                <v:textbox>
                  <w:txbxContent>
                    <w:p w:rsidR="00BC2A12" w:rsidRPr="00BC2A12" w:rsidRDefault="00A91A6B" w:rsidP="00BC2A12">
                      <w:pPr>
                        <w:pStyle w:val="tekstzboku"/>
                        <w:rPr>
                          <w:lang w:val="en-US"/>
                        </w:rPr>
                      </w:pPr>
                      <w:r>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of</w:t>
                      </w:r>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the end of 2017, dwelling stocks in Poland amounted to 14.4 </w:t>
                      </w:r>
                      <w:proofErr w:type="spellStart"/>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mln</w:t>
                      </w:r>
                      <w:proofErr w:type="spellEnd"/>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Total useful floor area amounted to 1</w:t>
                      </w:r>
                      <w:r w:rsidR="004205F1">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w:t>
                      </w:r>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068.6 </w:t>
                      </w:r>
                      <w:proofErr w:type="spellStart"/>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mln</w:t>
                      </w:r>
                      <w:proofErr w:type="spellEnd"/>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m</w:t>
                      </w:r>
                      <w:r w:rsidR="00BC2A12" w:rsidRPr="00BC2A12">
                        <w:rPr>
                          <w:vertAlign w:val="superscript"/>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r w:rsidR="00BC2A12"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and </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the number of rooms to 55.2 </w:t>
                      </w:r>
                      <w:proofErr w:type="spellStart"/>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mln</w:t>
                      </w:r>
                      <w:proofErr w:type="spellEnd"/>
                    </w:p>
                  </w:txbxContent>
                </v:textbox>
                <w10:wrap type="tight"/>
              </v:shape>
            </w:pict>
          </mc:Fallback>
        </mc:AlternateContent>
      </w:r>
      <w:r w:rsidR="00BC2A12" w:rsidRPr="00BC2A12">
        <w:rPr>
          <w:b/>
          <w:bCs/>
          <w:color w:val="001D77"/>
          <w:szCs w:val="19"/>
          <w:lang w:val="en-US"/>
        </w:rPr>
        <w:t>Dwelling stocks</w:t>
      </w:r>
    </w:p>
    <w:p w:rsidR="00BC2A12" w:rsidRPr="00BC2A12" w:rsidRDefault="00BC2A12" w:rsidP="00BC2A12">
      <w:pPr>
        <w:spacing w:before="0" w:after="0"/>
        <w:rPr>
          <w:rFonts w:eastAsia="Times New Roman" w:cs="Times New Roman"/>
          <w:bCs/>
          <w:szCs w:val="19"/>
          <w:lang w:val="en-US" w:eastAsia="pl-PL"/>
        </w:rPr>
      </w:pPr>
    </w:p>
    <w:p w:rsidR="00BC2A12" w:rsidRPr="00BC2A12" w:rsidRDefault="00BC2A12" w:rsidP="00BC2A12">
      <w:pPr>
        <w:spacing w:before="0" w:after="0"/>
        <w:rPr>
          <w:rFonts w:eastAsia="Times New Roman" w:cs="Times New Roman"/>
          <w:bCs/>
          <w:szCs w:val="19"/>
          <w:lang w:val="en-US"/>
        </w:rPr>
      </w:pPr>
      <w:r w:rsidRPr="00BC2A12">
        <w:rPr>
          <w:lang w:val="en-US"/>
        </w:rPr>
        <w:t>As of 31 December 2017, dwelling stocks in Poland amounted to 14.4 mln of dwelling with the</w:t>
      </w:r>
      <w:r w:rsidR="00A33451">
        <w:rPr>
          <w:lang w:val="en-US"/>
        </w:rPr>
        <w:t> </w:t>
      </w:r>
      <w:r w:rsidRPr="00BC2A12">
        <w:rPr>
          <w:lang w:val="en-US"/>
        </w:rPr>
        <w:t>total useful floor area of 1 068.6 mln m</w:t>
      </w:r>
      <w:r w:rsidRPr="00BC2A12">
        <w:rPr>
          <w:bCs/>
          <w:szCs w:val="19"/>
          <w:vertAlign w:val="superscript"/>
          <w:lang w:val="en-US"/>
        </w:rPr>
        <w:t>2</w:t>
      </w:r>
      <w:r w:rsidRPr="00BC2A12">
        <w:rPr>
          <w:lang w:val="en-US"/>
        </w:rPr>
        <w:t xml:space="preserve">, with 55.2 mln rooms. </w:t>
      </w:r>
      <w:r w:rsidR="00A91A6B">
        <w:rPr>
          <w:lang w:val="en-US"/>
        </w:rPr>
        <w:t>C</w:t>
      </w:r>
      <w:r w:rsidR="00CE7335" w:rsidRPr="00BC2A12">
        <w:rPr>
          <w:lang w:val="en-US"/>
        </w:rPr>
        <w:t xml:space="preserve">ompared to the year before </w:t>
      </w:r>
      <w:r w:rsidR="00A91A6B">
        <w:rPr>
          <w:lang w:val="en-US"/>
        </w:rPr>
        <w:t xml:space="preserve">it </w:t>
      </w:r>
      <w:r w:rsidR="00CE7335" w:rsidRPr="00BC2A12">
        <w:rPr>
          <w:lang w:val="en-US"/>
        </w:rPr>
        <w:t xml:space="preserve">were 167.8 thous. more dwellings (an increase of 1.2%) with the total useful floor area of </w:t>
      </w:r>
      <w:r w:rsidR="00A74BAE">
        <w:rPr>
          <w:lang w:val="en-US"/>
        </w:rPr>
        <w:t>15 305.7</w:t>
      </w:r>
      <w:r w:rsidR="00CE7335" w:rsidRPr="00BC2A12">
        <w:rPr>
          <w:lang w:val="en-US"/>
        </w:rPr>
        <w:t xml:space="preserve"> thous. m</w:t>
      </w:r>
      <w:r w:rsidR="00CE7335" w:rsidRPr="00BC2A12">
        <w:rPr>
          <w:bCs/>
          <w:szCs w:val="19"/>
          <w:vertAlign w:val="superscript"/>
          <w:lang w:val="en-US"/>
        </w:rPr>
        <w:t>2</w:t>
      </w:r>
      <w:r w:rsidR="00CE7335" w:rsidRPr="00BC2A12">
        <w:rPr>
          <w:lang w:val="en-US"/>
        </w:rPr>
        <w:t xml:space="preserve"> (an</w:t>
      </w:r>
      <w:r w:rsidR="00CE7335">
        <w:rPr>
          <w:lang w:val="en-US"/>
        </w:rPr>
        <w:t> </w:t>
      </w:r>
      <w:r w:rsidR="00CE7335" w:rsidRPr="00BC2A12">
        <w:rPr>
          <w:lang w:val="en-US"/>
        </w:rPr>
        <w:t>increase of 1.</w:t>
      </w:r>
      <w:r w:rsidR="00A74BAE">
        <w:rPr>
          <w:lang w:val="en-US"/>
        </w:rPr>
        <w:t>5</w:t>
      </w:r>
      <w:r w:rsidR="00CE7335" w:rsidRPr="00BC2A12">
        <w:rPr>
          <w:lang w:val="en-US"/>
        </w:rPr>
        <w:t xml:space="preserve">%) and </w:t>
      </w:r>
      <w:r w:rsidR="00A74BAE">
        <w:rPr>
          <w:lang w:val="en-US"/>
        </w:rPr>
        <w:t>647.3</w:t>
      </w:r>
      <w:r w:rsidR="00CE7335" w:rsidRPr="00BC2A12">
        <w:rPr>
          <w:lang w:val="en-US"/>
        </w:rPr>
        <w:t xml:space="preserve"> thous. rooms (an increase of 1.</w:t>
      </w:r>
      <w:r w:rsidR="00A74BAE">
        <w:rPr>
          <w:lang w:val="en-US"/>
        </w:rPr>
        <w:t>2</w:t>
      </w:r>
      <w:r w:rsidR="00CE7335" w:rsidRPr="00BC2A12">
        <w:rPr>
          <w:lang w:val="en-US"/>
        </w:rPr>
        <w:t>%).</w:t>
      </w:r>
    </w:p>
    <w:p w:rsidR="00BC2A12" w:rsidRPr="00BC2A12" w:rsidRDefault="00BC2A12" w:rsidP="00BC2A12">
      <w:pPr>
        <w:spacing w:before="0" w:after="0"/>
        <w:rPr>
          <w:rFonts w:eastAsia="Times New Roman" w:cs="Times New Roman"/>
          <w:bCs/>
          <w:szCs w:val="19"/>
          <w:lang w:val="en-US" w:eastAsia="pl-PL"/>
        </w:rPr>
      </w:pPr>
    </w:p>
    <w:p w:rsidR="00BC2A12" w:rsidRPr="00BC2A12" w:rsidRDefault="00BC2A12" w:rsidP="00BC2A12">
      <w:pPr>
        <w:spacing w:before="0" w:after="0"/>
        <w:rPr>
          <w:rFonts w:eastAsia="Times New Roman" w:cs="Times New Roman"/>
          <w:bCs/>
          <w:szCs w:val="19"/>
          <w:lang w:val="en-US"/>
        </w:rPr>
      </w:pPr>
      <w:r w:rsidRPr="00BC2A12">
        <w:rPr>
          <w:lang w:val="en-US"/>
        </w:rPr>
        <w:t>Approximately 9.7 mln dwellings with the area of 628.9 mln m</w:t>
      </w:r>
      <w:r w:rsidRPr="00BC2A12">
        <w:rPr>
          <w:bCs/>
          <w:szCs w:val="19"/>
          <w:vertAlign w:val="superscript"/>
          <w:lang w:val="en-US"/>
        </w:rPr>
        <w:t>2</w:t>
      </w:r>
      <w:r w:rsidR="006C5D54">
        <w:rPr>
          <w:lang w:val="en-US"/>
        </w:rPr>
        <w:t xml:space="preserve"> and 34.</w:t>
      </w:r>
      <w:r w:rsidRPr="00BC2A12">
        <w:rPr>
          <w:lang w:val="en-US"/>
        </w:rPr>
        <w:t xml:space="preserve">7 mln rooms </w:t>
      </w:r>
      <w:r w:rsidR="00A91A6B">
        <w:rPr>
          <w:lang w:val="en-US"/>
        </w:rPr>
        <w:t>were</w:t>
      </w:r>
      <w:r w:rsidRPr="00BC2A12">
        <w:rPr>
          <w:lang w:val="en-US"/>
        </w:rPr>
        <w:t xml:space="preserve"> located in urban areas. A</w:t>
      </w:r>
      <w:r w:rsidR="000B3F20">
        <w:rPr>
          <w:lang w:val="en-US"/>
        </w:rPr>
        <w:t>lmost</w:t>
      </w:r>
      <w:r w:rsidRPr="00BC2A12">
        <w:rPr>
          <w:lang w:val="en-US"/>
        </w:rPr>
        <w:t xml:space="preserve"> 4.7 mln dwellings with the </w:t>
      </w:r>
      <w:r w:rsidR="00A11AE9">
        <w:rPr>
          <w:lang w:val="en-US"/>
        </w:rPr>
        <w:t xml:space="preserve">useful floor </w:t>
      </w:r>
      <w:r w:rsidRPr="00BC2A12">
        <w:rPr>
          <w:lang w:val="en-US"/>
        </w:rPr>
        <w:t>area of 439.6 mln m</w:t>
      </w:r>
      <w:r w:rsidRPr="00BC2A12">
        <w:rPr>
          <w:bCs/>
          <w:szCs w:val="19"/>
          <w:vertAlign w:val="superscript"/>
          <w:lang w:val="en-US"/>
        </w:rPr>
        <w:t>2</w:t>
      </w:r>
      <w:r w:rsidR="006C5D54">
        <w:rPr>
          <w:lang w:val="en-US"/>
        </w:rPr>
        <w:t xml:space="preserve"> and 20.</w:t>
      </w:r>
      <w:r w:rsidRPr="00BC2A12">
        <w:rPr>
          <w:lang w:val="en-US"/>
        </w:rPr>
        <w:t>5 mln rooms was located in rural areas. In urban areas the number of dwellings increased by 1</w:t>
      </w:r>
      <w:r w:rsidR="00A74BAE">
        <w:rPr>
          <w:lang w:val="en-US"/>
        </w:rPr>
        <w:t>20.2</w:t>
      </w:r>
      <w:r w:rsidRPr="00BC2A12">
        <w:rPr>
          <w:lang w:val="en-US"/>
        </w:rPr>
        <w:t xml:space="preserve"> thous. (</w:t>
      </w:r>
      <w:r w:rsidR="00A91A6B">
        <w:rPr>
          <w:lang w:val="en-US"/>
        </w:rPr>
        <w:t xml:space="preserve">by </w:t>
      </w:r>
      <w:r w:rsidRPr="00BC2A12">
        <w:rPr>
          <w:lang w:val="en-US"/>
        </w:rPr>
        <w:t>1.</w:t>
      </w:r>
      <w:r w:rsidR="00A74BAE">
        <w:rPr>
          <w:lang w:val="en-US"/>
        </w:rPr>
        <w:t>2</w:t>
      </w:r>
      <w:r w:rsidRPr="00BC2A12">
        <w:rPr>
          <w:lang w:val="en-US"/>
        </w:rPr>
        <w:t>%), while in rural a</w:t>
      </w:r>
      <w:r w:rsidR="00A74BAE">
        <w:rPr>
          <w:lang w:val="en-US"/>
        </w:rPr>
        <w:t>reas the increase amounted to 47</w:t>
      </w:r>
      <w:r w:rsidRPr="00BC2A12">
        <w:rPr>
          <w:lang w:val="en-US"/>
        </w:rPr>
        <w:t>.</w:t>
      </w:r>
      <w:r w:rsidR="00A74BAE">
        <w:rPr>
          <w:lang w:val="en-US"/>
        </w:rPr>
        <w:t>6</w:t>
      </w:r>
      <w:r w:rsidRPr="00BC2A12">
        <w:rPr>
          <w:lang w:val="en-US"/>
        </w:rPr>
        <w:t xml:space="preserve"> thous. (</w:t>
      </w:r>
      <w:r w:rsidR="00A91A6B">
        <w:rPr>
          <w:lang w:val="en-US"/>
        </w:rPr>
        <w:t xml:space="preserve">by </w:t>
      </w:r>
      <w:r w:rsidRPr="00BC2A12">
        <w:rPr>
          <w:lang w:val="en-US"/>
        </w:rPr>
        <w:t>1.</w:t>
      </w:r>
      <w:r w:rsidR="00A74BAE">
        <w:rPr>
          <w:lang w:val="en-US"/>
        </w:rPr>
        <w:t>0</w:t>
      </w:r>
      <w:r w:rsidRPr="00BC2A12">
        <w:rPr>
          <w:lang w:val="en-US"/>
        </w:rPr>
        <w:t>%).</w:t>
      </w:r>
    </w:p>
    <w:p w:rsidR="00BC2A12" w:rsidRPr="00BC2A12" w:rsidRDefault="00BC2A12" w:rsidP="00BC2A12">
      <w:pPr>
        <w:spacing w:before="0" w:after="0"/>
        <w:rPr>
          <w:rFonts w:eastAsia="Times New Roman" w:cs="Times New Roman"/>
          <w:bCs/>
          <w:szCs w:val="19"/>
          <w:lang w:val="en-US" w:eastAsia="pl-PL"/>
        </w:rPr>
      </w:pPr>
    </w:p>
    <w:p w:rsidR="00BC2A12" w:rsidRDefault="00BC2A12" w:rsidP="00BC2A12">
      <w:pPr>
        <w:spacing w:before="0" w:after="0"/>
        <w:rPr>
          <w:b/>
          <w:spacing w:val="-2"/>
          <w:sz w:val="18"/>
          <w:lang w:val="en-US"/>
        </w:rPr>
      </w:pPr>
      <w:r w:rsidRPr="004205F1">
        <w:rPr>
          <w:b/>
          <w:spacing w:val="-2"/>
          <w:sz w:val="18"/>
          <w:lang w:val="en-US"/>
        </w:rPr>
        <w:t>Tab</w:t>
      </w:r>
      <w:r w:rsidR="004205F1" w:rsidRPr="004205F1">
        <w:rPr>
          <w:b/>
          <w:spacing w:val="-2"/>
          <w:sz w:val="18"/>
          <w:lang w:val="en-US"/>
        </w:rPr>
        <w:t>le</w:t>
      </w:r>
      <w:r w:rsidRPr="004205F1">
        <w:rPr>
          <w:b/>
          <w:spacing w:val="-2"/>
          <w:sz w:val="18"/>
          <w:lang w:val="en-US"/>
        </w:rPr>
        <w:t xml:space="preserve"> 1. </w:t>
      </w:r>
      <w:r w:rsidR="004205F1" w:rsidRPr="004205F1">
        <w:rPr>
          <w:b/>
          <w:spacing w:val="-2"/>
          <w:sz w:val="18"/>
          <w:lang w:val="en-US"/>
        </w:rPr>
        <w:t>Dwelling stocks</w:t>
      </w:r>
      <w:r w:rsidRPr="004205F1">
        <w:rPr>
          <w:b/>
          <w:spacing w:val="-2"/>
          <w:sz w:val="18"/>
          <w:lang w:val="en-US"/>
        </w:rPr>
        <w:t xml:space="preserve"> (</w:t>
      </w:r>
      <w:r w:rsidR="004205F1">
        <w:rPr>
          <w:b/>
          <w:spacing w:val="-2"/>
          <w:sz w:val="18"/>
          <w:lang w:val="en-US"/>
        </w:rPr>
        <w:t>as of</w:t>
      </w:r>
      <w:r w:rsidRPr="004205F1">
        <w:rPr>
          <w:b/>
          <w:spacing w:val="-2"/>
          <w:sz w:val="18"/>
          <w:lang w:val="en-US"/>
        </w:rPr>
        <w:t xml:space="preserve"> 31 XII)</w:t>
      </w:r>
    </w:p>
    <w:p w:rsidR="001E2B38" w:rsidRPr="004205F1" w:rsidRDefault="001E2B38" w:rsidP="00BC2A12">
      <w:pPr>
        <w:spacing w:before="0" w:after="0"/>
        <w:rPr>
          <w:spacing w:val="-2"/>
          <w:sz w:val="18"/>
          <w:lang w:val="en-US"/>
        </w:rPr>
      </w:pPr>
    </w:p>
    <w:tbl>
      <w:tblPr>
        <w:tblW w:w="7937"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3969"/>
        <w:gridCol w:w="992"/>
        <w:gridCol w:w="992"/>
        <w:gridCol w:w="992"/>
        <w:gridCol w:w="992"/>
      </w:tblGrid>
      <w:tr w:rsidR="00BC2A12" w:rsidRPr="00FC248A" w:rsidTr="00701A2B">
        <w:trPr>
          <w:trHeight w:val="315"/>
        </w:trPr>
        <w:tc>
          <w:tcPr>
            <w:tcW w:w="3969" w:type="dxa"/>
            <w:tcBorders>
              <w:top w:val="nil"/>
              <w:bottom w:val="single" w:sz="12" w:space="0" w:color="001D77"/>
            </w:tcBorders>
            <w:shd w:val="clear" w:color="auto" w:fill="auto"/>
            <w:vAlign w:val="center"/>
            <w:hideMark/>
          </w:tcPr>
          <w:p w:rsidR="00BC2A12" w:rsidRPr="00FC248A" w:rsidRDefault="004205F1" w:rsidP="00C8541A">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992" w:type="dxa"/>
            <w:tcBorders>
              <w:top w:val="nil"/>
              <w:bottom w:val="single" w:sz="12" w:space="0" w:color="001D77"/>
            </w:tcBorders>
            <w:shd w:val="clear" w:color="auto" w:fill="auto"/>
            <w:vAlign w:val="center"/>
            <w:hideMark/>
          </w:tcPr>
          <w:p w:rsidR="00BC2A12" w:rsidRPr="00FC248A" w:rsidRDefault="00BC2A12" w:rsidP="00C8541A">
            <w:pPr>
              <w:spacing w:before="0" w:after="0"/>
              <w:jc w:val="center"/>
              <w:rPr>
                <w:rFonts w:eastAsia="Times New Roman" w:cs="Calibri"/>
                <w:sz w:val="16"/>
                <w:szCs w:val="16"/>
                <w:lang w:eastAsia="pl-PL"/>
              </w:rPr>
            </w:pPr>
            <w:r w:rsidRPr="00FC248A">
              <w:rPr>
                <w:rFonts w:eastAsia="Times New Roman" w:cs="Calibri"/>
                <w:sz w:val="16"/>
                <w:szCs w:val="16"/>
                <w:lang w:eastAsia="pl-PL"/>
              </w:rPr>
              <w:t>201</w:t>
            </w:r>
            <w:r>
              <w:rPr>
                <w:rFonts w:eastAsia="Times New Roman" w:cs="Calibri"/>
                <w:sz w:val="16"/>
                <w:szCs w:val="16"/>
                <w:lang w:eastAsia="pl-PL"/>
              </w:rPr>
              <w:t>6</w:t>
            </w:r>
          </w:p>
        </w:tc>
        <w:tc>
          <w:tcPr>
            <w:tcW w:w="992" w:type="dxa"/>
            <w:tcBorders>
              <w:top w:val="nil"/>
              <w:bottom w:val="single" w:sz="12" w:space="0" w:color="001D77"/>
            </w:tcBorders>
            <w:shd w:val="clear" w:color="auto" w:fill="auto"/>
            <w:vAlign w:val="center"/>
            <w:hideMark/>
          </w:tcPr>
          <w:p w:rsidR="00BC2A12" w:rsidRPr="00FC248A" w:rsidRDefault="00BC2A12" w:rsidP="00C8541A">
            <w:pPr>
              <w:spacing w:before="0" w:after="0"/>
              <w:jc w:val="center"/>
              <w:rPr>
                <w:rFonts w:eastAsia="Times New Roman" w:cs="Calibri"/>
                <w:sz w:val="16"/>
                <w:szCs w:val="16"/>
                <w:lang w:eastAsia="pl-PL"/>
              </w:rPr>
            </w:pPr>
            <w:r>
              <w:rPr>
                <w:rFonts w:eastAsia="Times New Roman" w:cs="Calibri"/>
                <w:sz w:val="16"/>
                <w:szCs w:val="16"/>
                <w:lang w:eastAsia="pl-PL"/>
              </w:rPr>
              <w:t>2015</w:t>
            </w:r>
            <w:r w:rsidR="00701A2B">
              <w:rPr>
                <w:rFonts w:eastAsia="Times New Roman" w:cs="Calibri"/>
                <w:sz w:val="16"/>
                <w:szCs w:val="16"/>
                <w:lang w:eastAsia="pl-PL"/>
              </w:rPr>
              <w:t xml:space="preserve"> </w:t>
            </w:r>
            <w:r>
              <w:rPr>
                <w:rFonts w:eastAsia="Times New Roman" w:cs="Calibri"/>
                <w:sz w:val="16"/>
                <w:szCs w:val="16"/>
                <w:lang w:eastAsia="pl-PL"/>
              </w:rPr>
              <w:t>=</w:t>
            </w:r>
            <w:r w:rsidR="00701A2B">
              <w:rPr>
                <w:rFonts w:eastAsia="Times New Roman" w:cs="Calibri"/>
                <w:sz w:val="16"/>
                <w:szCs w:val="16"/>
                <w:lang w:eastAsia="pl-PL"/>
              </w:rPr>
              <w:t xml:space="preserve"> </w:t>
            </w:r>
            <w:r>
              <w:rPr>
                <w:rFonts w:eastAsia="Times New Roman" w:cs="Calibri"/>
                <w:sz w:val="16"/>
                <w:szCs w:val="16"/>
                <w:lang w:eastAsia="pl-PL"/>
              </w:rPr>
              <w:t>100</w:t>
            </w:r>
          </w:p>
        </w:tc>
        <w:tc>
          <w:tcPr>
            <w:tcW w:w="992" w:type="dxa"/>
            <w:tcBorders>
              <w:top w:val="nil"/>
              <w:bottom w:val="single" w:sz="12" w:space="0" w:color="001D77"/>
            </w:tcBorders>
            <w:shd w:val="clear" w:color="auto" w:fill="auto"/>
            <w:vAlign w:val="center"/>
            <w:hideMark/>
          </w:tcPr>
          <w:p w:rsidR="00BC2A12" w:rsidRPr="00FC248A" w:rsidRDefault="00BC2A12" w:rsidP="00C8541A">
            <w:pPr>
              <w:spacing w:before="0" w:after="0"/>
              <w:jc w:val="center"/>
              <w:rPr>
                <w:rFonts w:eastAsia="Times New Roman" w:cs="Calibri"/>
                <w:sz w:val="16"/>
                <w:szCs w:val="16"/>
                <w:lang w:eastAsia="pl-PL"/>
              </w:rPr>
            </w:pPr>
            <w:r w:rsidRPr="00FC248A">
              <w:rPr>
                <w:rFonts w:eastAsia="Times New Roman" w:cs="Calibri"/>
                <w:sz w:val="16"/>
                <w:szCs w:val="16"/>
                <w:lang w:eastAsia="pl-PL"/>
              </w:rPr>
              <w:t>201</w:t>
            </w:r>
            <w:r>
              <w:rPr>
                <w:rFonts w:eastAsia="Times New Roman" w:cs="Calibri"/>
                <w:sz w:val="16"/>
                <w:szCs w:val="16"/>
                <w:lang w:eastAsia="pl-PL"/>
              </w:rPr>
              <w:t>7</w:t>
            </w:r>
          </w:p>
        </w:tc>
        <w:tc>
          <w:tcPr>
            <w:tcW w:w="992" w:type="dxa"/>
            <w:tcBorders>
              <w:top w:val="nil"/>
              <w:bottom w:val="single" w:sz="12" w:space="0" w:color="001D77"/>
            </w:tcBorders>
            <w:shd w:val="clear" w:color="auto" w:fill="auto"/>
            <w:vAlign w:val="center"/>
            <w:hideMark/>
          </w:tcPr>
          <w:p w:rsidR="00BC2A12" w:rsidRPr="00FC248A" w:rsidRDefault="00BC2A12" w:rsidP="004205F1">
            <w:pPr>
              <w:spacing w:before="0" w:after="0"/>
              <w:jc w:val="center"/>
              <w:rPr>
                <w:rFonts w:eastAsia="Times New Roman" w:cs="Calibri"/>
                <w:sz w:val="16"/>
                <w:szCs w:val="16"/>
                <w:lang w:eastAsia="pl-PL"/>
              </w:rPr>
            </w:pPr>
            <w:r>
              <w:rPr>
                <w:rFonts w:eastAsia="Times New Roman" w:cs="Calibri"/>
                <w:sz w:val="16"/>
                <w:szCs w:val="16"/>
                <w:lang w:eastAsia="pl-PL"/>
              </w:rPr>
              <w:t>201</w:t>
            </w:r>
            <w:r w:rsidR="004205F1">
              <w:rPr>
                <w:rFonts w:eastAsia="Times New Roman" w:cs="Calibri"/>
                <w:sz w:val="16"/>
                <w:szCs w:val="16"/>
                <w:lang w:eastAsia="pl-PL"/>
              </w:rPr>
              <w:t>6</w:t>
            </w:r>
            <w:r w:rsidR="00701A2B">
              <w:rPr>
                <w:rFonts w:eastAsia="Times New Roman" w:cs="Calibri"/>
                <w:sz w:val="16"/>
                <w:szCs w:val="16"/>
                <w:lang w:eastAsia="pl-PL"/>
              </w:rPr>
              <w:t xml:space="preserve"> </w:t>
            </w:r>
            <w:r>
              <w:rPr>
                <w:rFonts w:eastAsia="Times New Roman" w:cs="Calibri"/>
                <w:sz w:val="16"/>
                <w:szCs w:val="16"/>
                <w:lang w:eastAsia="pl-PL"/>
              </w:rPr>
              <w:t>=</w:t>
            </w:r>
            <w:r w:rsidR="00701A2B">
              <w:rPr>
                <w:rFonts w:eastAsia="Times New Roman" w:cs="Calibri"/>
                <w:sz w:val="16"/>
                <w:szCs w:val="16"/>
                <w:lang w:eastAsia="pl-PL"/>
              </w:rPr>
              <w:t xml:space="preserve"> </w:t>
            </w:r>
            <w:r>
              <w:rPr>
                <w:rFonts w:eastAsia="Times New Roman" w:cs="Calibri"/>
                <w:sz w:val="16"/>
                <w:szCs w:val="16"/>
                <w:lang w:eastAsia="pl-PL"/>
              </w:rPr>
              <w:t>100</w:t>
            </w:r>
          </w:p>
        </w:tc>
      </w:tr>
      <w:tr w:rsidR="00BC2A12" w:rsidRPr="00FC248A" w:rsidTr="00701A2B">
        <w:trPr>
          <w:trHeight w:val="330"/>
        </w:trPr>
        <w:tc>
          <w:tcPr>
            <w:tcW w:w="3969" w:type="dxa"/>
            <w:tcBorders>
              <w:top w:val="single" w:sz="12" w:space="0" w:color="001D77"/>
              <w:bottom w:val="single" w:sz="4" w:space="0" w:color="2F5496" w:themeColor="accent5" w:themeShade="BF"/>
            </w:tcBorders>
            <w:shd w:val="clear" w:color="auto" w:fill="auto"/>
            <w:vAlign w:val="center"/>
            <w:hideMark/>
          </w:tcPr>
          <w:p w:rsidR="00BC2A12" w:rsidRPr="00FC248A" w:rsidRDefault="004205F1" w:rsidP="00C8541A">
            <w:pPr>
              <w:spacing w:before="0" w:after="0"/>
              <w:rPr>
                <w:rFonts w:eastAsia="Times New Roman" w:cs="Calibri"/>
                <w:sz w:val="16"/>
                <w:szCs w:val="16"/>
                <w:lang w:eastAsia="pl-PL"/>
              </w:rPr>
            </w:pPr>
            <w:r>
              <w:rPr>
                <w:rFonts w:eastAsia="Times New Roman" w:cs="Calibri"/>
                <w:sz w:val="16"/>
                <w:szCs w:val="16"/>
                <w:lang w:eastAsia="pl-PL"/>
              </w:rPr>
              <w:t>Dwellings in thous.</w:t>
            </w:r>
          </w:p>
        </w:tc>
        <w:tc>
          <w:tcPr>
            <w:tcW w:w="992" w:type="dxa"/>
            <w:tcBorders>
              <w:top w:val="single" w:sz="12" w:space="0" w:color="001D77"/>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14 272.</w:t>
            </w:r>
            <w:r w:rsidR="00BC2A12">
              <w:rPr>
                <w:rFonts w:eastAsia="Times New Roman" w:cs="Calibri"/>
                <w:sz w:val="16"/>
                <w:szCs w:val="16"/>
                <w:lang w:eastAsia="pl-PL"/>
              </w:rPr>
              <w:t>0</w:t>
            </w:r>
          </w:p>
        </w:tc>
        <w:tc>
          <w:tcPr>
            <w:tcW w:w="992" w:type="dxa"/>
            <w:tcBorders>
              <w:top w:val="single" w:sz="12" w:space="0" w:color="001D77"/>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101.</w:t>
            </w:r>
            <w:r w:rsidR="00BC2A12">
              <w:rPr>
                <w:rFonts w:eastAsia="Times New Roman" w:cs="Calibri"/>
                <w:sz w:val="16"/>
                <w:szCs w:val="16"/>
                <w:lang w:eastAsia="pl-PL"/>
              </w:rPr>
              <w:t>1</w:t>
            </w:r>
          </w:p>
        </w:tc>
        <w:tc>
          <w:tcPr>
            <w:tcW w:w="992" w:type="dxa"/>
            <w:tcBorders>
              <w:top w:val="single" w:sz="12" w:space="0" w:color="001D77"/>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14 439.</w:t>
            </w:r>
            <w:r w:rsidR="00BC2A12">
              <w:rPr>
                <w:rFonts w:eastAsia="Times New Roman" w:cs="Calibri"/>
                <w:sz w:val="16"/>
                <w:szCs w:val="16"/>
                <w:lang w:eastAsia="pl-PL"/>
              </w:rPr>
              <w:t>8</w:t>
            </w:r>
          </w:p>
        </w:tc>
        <w:tc>
          <w:tcPr>
            <w:tcW w:w="992" w:type="dxa"/>
            <w:tcBorders>
              <w:top w:val="single" w:sz="12" w:space="0" w:color="001D77"/>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101.</w:t>
            </w:r>
            <w:r w:rsidR="00BC2A12">
              <w:rPr>
                <w:rFonts w:eastAsia="Times New Roman" w:cs="Calibri"/>
                <w:sz w:val="16"/>
                <w:szCs w:val="16"/>
                <w:lang w:eastAsia="pl-PL"/>
              </w:rPr>
              <w:t>2</w:t>
            </w:r>
          </w:p>
        </w:tc>
      </w:tr>
      <w:tr w:rsidR="00BC2A12" w:rsidRPr="00FC248A" w:rsidTr="00701A2B">
        <w:trPr>
          <w:trHeight w:val="315"/>
        </w:trPr>
        <w:tc>
          <w:tcPr>
            <w:tcW w:w="3969"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4205F1" w:rsidP="00C8541A">
            <w:pPr>
              <w:spacing w:before="0" w:after="0"/>
              <w:rPr>
                <w:rFonts w:eastAsia="Times New Roman" w:cs="Calibri"/>
                <w:sz w:val="16"/>
                <w:szCs w:val="16"/>
                <w:vertAlign w:val="superscript"/>
                <w:lang w:val="en-US" w:eastAsia="pl-PL"/>
              </w:rPr>
            </w:pPr>
            <w:r w:rsidRPr="004205F1">
              <w:rPr>
                <w:rFonts w:eastAsia="Times New Roman" w:cs="Calibri"/>
                <w:sz w:val="16"/>
                <w:szCs w:val="16"/>
                <w:lang w:val="en-US" w:eastAsia="pl-PL"/>
              </w:rPr>
              <w:t>Rooms in dwellings in thous</w:t>
            </w:r>
            <w:r w:rsidR="00BC2A12" w:rsidRPr="004205F1">
              <w:rPr>
                <w:rFonts w:eastAsia="Times New Roman" w:cs="Calibri"/>
                <w:sz w:val="16"/>
                <w:szCs w:val="16"/>
                <w:lang w:val="en-US" w:eastAsia="pl-PL"/>
              </w:rPr>
              <w:t>.</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54 558.</w:t>
            </w:r>
            <w:r w:rsidR="00BC2A12">
              <w:rPr>
                <w:rFonts w:eastAsia="Times New Roman" w:cs="Calibri"/>
                <w:sz w:val="16"/>
                <w:szCs w:val="16"/>
                <w:lang w:eastAsia="pl-PL"/>
              </w:rPr>
              <w:t>3</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101.</w:t>
            </w:r>
            <w:r w:rsidR="00BC2A12">
              <w:rPr>
                <w:rFonts w:eastAsia="Times New Roman" w:cs="Calibri"/>
                <w:sz w:val="16"/>
                <w:szCs w:val="16"/>
                <w:lang w:eastAsia="pl-PL"/>
              </w:rPr>
              <w:t>1</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55 205.</w:t>
            </w:r>
            <w:r w:rsidR="00BC2A12">
              <w:rPr>
                <w:rFonts w:eastAsia="Times New Roman" w:cs="Calibri"/>
                <w:sz w:val="16"/>
                <w:szCs w:val="16"/>
                <w:lang w:eastAsia="pl-PL"/>
              </w:rPr>
              <w:t>6</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101.</w:t>
            </w:r>
            <w:r w:rsidR="00BC2A12">
              <w:rPr>
                <w:rFonts w:eastAsia="Times New Roman" w:cs="Calibri"/>
                <w:sz w:val="16"/>
                <w:szCs w:val="16"/>
                <w:lang w:eastAsia="pl-PL"/>
              </w:rPr>
              <w:t>2</w:t>
            </w:r>
          </w:p>
        </w:tc>
      </w:tr>
      <w:tr w:rsidR="00BC2A12" w:rsidRPr="004205F1" w:rsidTr="00701A2B">
        <w:trPr>
          <w:trHeight w:val="315"/>
        </w:trPr>
        <w:tc>
          <w:tcPr>
            <w:tcW w:w="3969"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4205F1" w:rsidP="004205F1">
            <w:pPr>
              <w:spacing w:before="0" w:after="0"/>
              <w:rPr>
                <w:rFonts w:eastAsia="Times New Roman" w:cs="Calibri"/>
                <w:sz w:val="16"/>
                <w:szCs w:val="16"/>
                <w:lang w:val="en-US" w:eastAsia="pl-PL"/>
              </w:rPr>
            </w:pPr>
            <w:r w:rsidRPr="004205F1">
              <w:rPr>
                <w:rFonts w:eastAsia="Times New Roman" w:cs="Calibri"/>
                <w:sz w:val="16"/>
                <w:szCs w:val="16"/>
                <w:lang w:val="en-US" w:eastAsia="pl-PL"/>
              </w:rPr>
              <w:t xml:space="preserve">Useful floor area of dwellings in thous. </w:t>
            </w:r>
            <w:r>
              <w:rPr>
                <w:rFonts w:eastAsia="Times New Roman" w:cs="Calibri"/>
                <w:sz w:val="16"/>
                <w:szCs w:val="16"/>
                <w:lang w:val="en-US" w:eastAsia="pl-PL"/>
              </w:rPr>
              <w:t>m</w:t>
            </w:r>
            <w:r w:rsidRPr="004205F1">
              <w:rPr>
                <w:rFonts w:eastAsia="Times New Roman" w:cs="Calibri"/>
                <w:sz w:val="16"/>
                <w:szCs w:val="16"/>
                <w:vertAlign w:val="superscript"/>
                <w:lang w:val="en-US" w:eastAsia="pl-PL"/>
              </w:rPr>
              <w:t>2</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6C5D54" w:rsidP="00C8541A">
            <w:pPr>
              <w:spacing w:before="0" w:after="0"/>
              <w:jc w:val="right"/>
              <w:rPr>
                <w:rFonts w:eastAsia="Times New Roman" w:cs="Calibri"/>
                <w:sz w:val="16"/>
                <w:szCs w:val="16"/>
                <w:lang w:val="en-US" w:eastAsia="pl-PL"/>
              </w:rPr>
            </w:pPr>
            <w:r>
              <w:rPr>
                <w:rFonts w:eastAsia="Times New Roman" w:cs="Calibri"/>
                <w:sz w:val="16"/>
                <w:szCs w:val="16"/>
                <w:lang w:val="en-US" w:eastAsia="pl-PL"/>
              </w:rPr>
              <w:t>1 053 251.</w:t>
            </w:r>
            <w:r w:rsidR="00BC2A12" w:rsidRPr="004205F1">
              <w:rPr>
                <w:rFonts w:eastAsia="Times New Roman" w:cs="Calibri"/>
                <w:sz w:val="16"/>
                <w:szCs w:val="16"/>
                <w:lang w:val="en-US" w:eastAsia="pl-PL"/>
              </w:rPr>
              <w:t>8</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6C5D54" w:rsidP="00C8541A">
            <w:pPr>
              <w:spacing w:before="0" w:after="0"/>
              <w:jc w:val="right"/>
              <w:rPr>
                <w:rFonts w:eastAsia="Times New Roman" w:cs="Calibri"/>
                <w:sz w:val="16"/>
                <w:szCs w:val="16"/>
                <w:lang w:val="en-US" w:eastAsia="pl-PL"/>
              </w:rPr>
            </w:pPr>
            <w:r>
              <w:rPr>
                <w:rFonts w:eastAsia="Times New Roman" w:cs="Calibri"/>
                <w:sz w:val="16"/>
                <w:szCs w:val="16"/>
                <w:lang w:val="en-US" w:eastAsia="pl-PL"/>
              </w:rPr>
              <w:t>101.</w:t>
            </w:r>
            <w:r w:rsidR="00BC2A12" w:rsidRPr="004205F1">
              <w:rPr>
                <w:rFonts w:eastAsia="Times New Roman" w:cs="Calibri"/>
                <w:sz w:val="16"/>
                <w:szCs w:val="16"/>
                <w:lang w:val="en-US" w:eastAsia="pl-PL"/>
              </w:rPr>
              <w:t>4</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6C5D54" w:rsidP="00C8541A">
            <w:pPr>
              <w:spacing w:before="0" w:after="0"/>
              <w:jc w:val="right"/>
              <w:rPr>
                <w:rFonts w:eastAsia="Times New Roman" w:cs="Calibri"/>
                <w:sz w:val="16"/>
                <w:szCs w:val="16"/>
                <w:lang w:val="en-US" w:eastAsia="pl-PL"/>
              </w:rPr>
            </w:pPr>
            <w:r>
              <w:rPr>
                <w:rFonts w:eastAsia="Times New Roman" w:cs="Calibri"/>
                <w:sz w:val="16"/>
                <w:szCs w:val="16"/>
                <w:lang w:val="en-US" w:eastAsia="pl-PL"/>
              </w:rPr>
              <w:t>1 068 557.</w:t>
            </w:r>
            <w:r w:rsidR="00BC2A12" w:rsidRPr="004205F1">
              <w:rPr>
                <w:rFonts w:eastAsia="Times New Roman" w:cs="Calibri"/>
                <w:sz w:val="16"/>
                <w:szCs w:val="16"/>
                <w:lang w:val="en-US" w:eastAsia="pl-PL"/>
              </w:rPr>
              <w:t>5</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6C5D54" w:rsidP="00C8541A">
            <w:pPr>
              <w:spacing w:before="0" w:after="0"/>
              <w:jc w:val="right"/>
              <w:rPr>
                <w:rFonts w:eastAsia="Times New Roman" w:cs="Calibri"/>
                <w:sz w:val="16"/>
                <w:szCs w:val="16"/>
                <w:lang w:val="en-US" w:eastAsia="pl-PL"/>
              </w:rPr>
            </w:pPr>
            <w:r>
              <w:rPr>
                <w:rFonts w:eastAsia="Times New Roman" w:cs="Calibri"/>
                <w:sz w:val="16"/>
                <w:szCs w:val="16"/>
                <w:lang w:val="en-US" w:eastAsia="pl-PL"/>
              </w:rPr>
              <w:t>101.</w:t>
            </w:r>
            <w:r w:rsidR="00BC2A12" w:rsidRPr="004205F1">
              <w:rPr>
                <w:rFonts w:eastAsia="Times New Roman" w:cs="Calibri"/>
                <w:sz w:val="16"/>
                <w:szCs w:val="16"/>
                <w:lang w:val="en-US" w:eastAsia="pl-PL"/>
              </w:rPr>
              <w:t>5</w:t>
            </w:r>
          </w:p>
        </w:tc>
      </w:tr>
      <w:tr w:rsidR="00BC2A12" w:rsidRPr="00FC248A" w:rsidTr="00701A2B">
        <w:trPr>
          <w:trHeight w:val="315"/>
        </w:trPr>
        <w:tc>
          <w:tcPr>
            <w:tcW w:w="3969"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4205F1" w:rsidP="004205F1">
            <w:pPr>
              <w:spacing w:before="0" w:after="0"/>
              <w:rPr>
                <w:rFonts w:eastAsia="Times New Roman" w:cs="Calibri"/>
                <w:sz w:val="16"/>
                <w:szCs w:val="16"/>
                <w:lang w:val="en-US" w:eastAsia="pl-PL"/>
              </w:rPr>
            </w:pPr>
            <w:r>
              <w:rPr>
                <w:rFonts w:eastAsia="Times New Roman" w:cs="Calibri"/>
                <w:sz w:val="16"/>
                <w:szCs w:val="16"/>
                <w:lang w:val="en-US" w:eastAsia="pl-PL"/>
              </w:rPr>
              <w:t>Dwellings per</w:t>
            </w:r>
            <w:r w:rsidR="00BC2A12" w:rsidRPr="004205F1">
              <w:rPr>
                <w:rFonts w:eastAsia="Times New Roman" w:cs="Calibri"/>
                <w:sz w:val="16"/>
                <w:szCs w:val="16"/>
                <w:lang w:val="en-US" w:eastAsia="pl-PL"/>
              </w:rPr>
              <w:t xml:space="preserve"> 1000 </w:t>
            </w:r>
            <w:r>
              <w:rPr>
                <w:rFonts w:eastAsia="Times New Roman" w:cs="Calibri"/>
                <w:sz w:val="16"/>
                <w:szCs w:val="16"/>
                <w:lang w:val="en-US" w:eastAsia="pl-PL"/>
              </w:rPr>
              <w:t>population</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6C5D54" w:rsidP="00C8541A">
            <w:pPr>
              <w:spacing w:before="0" w:after="0"/>
              <w:jc w:val="right"/>
              <w:rPr>
                <w:rFonts w:eastAsia="Times New Roman" w:cs="Calibri"/>
                <w:sz w:val="16"/>
                <w:szCs w:val="16"/>
                <w:lang w:val="en-US" w:eastAsia="pl-PL"/>
              </w:rPr>
            </w:pPr>
            <w:r>
              <w:rPr>
                <w:rFonts w:eastAsia="Times New Roman" w:cs="Calibri"/>
                <w:sz w:val="16"/>
                <w:szCs w:val="16"/>
                <w:lang w:val="en-US" w:eastAsia="pl-PL"/>
              </w:rPr>
              <w:t>371.</w:t>
            </w:r>
            <w:r w:rsidR="00BC2A12" w:rsidRPr="004205F1">
              <w:rPr>
                <w:rFonts w:eastAsia="Times New Roman" w:cs="Calibri"/>
                <w:sz w:val="16"/>
                <w:szCs w:val="16"/>
                <w:lang w:val="en-US" w:eastAsia="pl-PL"/>
              </w:rPr>
              <w:t>3</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6C5D54" w:rsidP="00C8541A">
            <w:pPr>
              <w:spacing w:before="0" w:after="0"/>
              <w:jc w:val="right"/>
              <w:rPr>
                <w:rFonts w:eastAsia="Times New Roman" w:cs="Calibri"/>
                <w:sz w:val="16"/>
                <w:szCs w:val="16"/>
                <w:lang w:val="en-US" w:eastAsia="pl-PL"/>
              </w:rPr>
            </w:pPr>
            <w:r>
              <w:rPr>
                <w:rFonts w:eastAsia="Times New Roman" w:cs="Calibri"/>
                <w:sz w:val="16"/>
                <w:szCs w:val="16"/>
                <w:lang w:val="en-US" w:eastAsia="pl-PL"/>
              </w:rPr>
              <w:t>101.</w:t>
            </w:r>
            <w:r w:rsidR="00BC2A12" w:rsidRPr="004205F1">
              <w:rPr>
                <w:rFonts w:eastAsia="Times New Roman" w:cs="Calibri"/>
                <w:sz w:val="16"/>
                <w:szCs w:val="16"/>
                <w:lang w:val="en-US" w:eastAsia="pl-PL"/>
              </w:rPr>
              <w:t>1</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Pr="004205F1" w:rsidRDefault="006C5D54" w:rsidP="00C8541A">
            <w:pPr>
              <w:spacing w:before="0" w:after="0"/>
              <w:jc w:val="right"/>
              <w:rPr>
                <w:rFonts w:eastAsia="Times New Roman" w:cs="Calibri"/>
                <w:sz w:val="16"/>
                <w:szCs w:val="16"/>
                <w:lang w:val="en-US" w:eastAsia="pl-PL"/>
              </w:rPr>
            </w:pPr>
            <w:r>
              <w:rPr>
                <w:rFonts w:eastAsia="Times New Roman" w:cs="Calibri"/>
                <w:sz w:val="16"/>
                <w:szCs w:val="16"/>
                <w:lang w:val="en-US" w:eastAsia="pl-PL"/>
              </w:rPr>
              <w:t>375.</w:t>
            </w:r>
            <w:r w:rsidR="00BC2A12" w:rsidRPr="004205F1">
              <w:rPr>
                <w:rFonts w:eastAsia="Times New Roman" w:cs="Calibri"/>
                <w:sz w:val="16"/>
                <w:szCs w:val="16"/>
                <w:lang w:val="en-US" w:eastAsia="pl-PL"/>
              </w:rPr>
              <w:t>7</w:t>
            </w:r>
          </w:p>
        </w:tc>
        <w:tc>
          <w:tcPr>
            <w:tcW w:w="992" w:type="dxa"/>
            <w:tcBorders>
              <w:top w:val="single" w:sz="4" w:space="0" w:color="2F5496" w:themeColor="accent5" w:themeShade="BF"/>
              <w:bottom w:val="single" w:sz="4" w:space="0" w:color="2F5496" w:themeColor="accent5" w:themeShade="BF"/>
            </w:tcBorders>
            <w:shd w:val="clear" w:color="auto" w:fill="auto"/>
            <w:vAlign w:val="center"/>
          </w:tcPr>
          <w:p w:rsidR="00BC2A12" w:rsidRDefault="006C5D54" w:rsidP="00C8541A">
            <w:pPr>
              <w:spacing w:before="0" w:after="0"/>
              <w:jc w:val="right"/>
              <w:rPr>
                <w:rFonts w:eastAsia="Times New Roman" w:cs="Calibri"/>
                <w:sz w:val="16"/>
                <w:szCs w:val="16"/>
                <w:lang w:eastAsia="pl-PL"/>
              </w:rPr>
            </w:pPr>
            <w:r>
              <w:rPr>
                <w:rFonts w:eastAsia="Times New Roman" w:cs="Calibri"/>
                <w:sz w:val="16"/>
                <w:szCs w:val="16"/>
                <w:lang w:val="en-US" w:eastAsia="pl-PL"/>
              </w:rPr>
              <w:t>101.</w:t>
            </w:r>
            <w:r w:rsidR="00BC2A12">
              <w:rPr>
                <w:rFonts w:eastAsia="Times New Roman" w:cs="Calibri"/>
                <w:sz w:val="16"/>
                <w:szCs w:val="16"/>
                <w:lang w:eastAsia="pl-PL"/>
              </w:rPr>
              <w:t>2</w:t>
            </w:r>
          </w:p>
        </w:tc>
      </w:tr>
      <w:tr w:rsidR="00BC2A12" w:rsidRPr="00FC248A" w:rsidTr="00701A2B">
        <w:trPr>
          <w:trHeight w:val="315"/>
        </w:trPr>
        <w:tc>
          <w:tcPr>
            <w:tcW w:w="3969" w:type="dxa"/>
            <w:tcBorders>
              <w:top w:val="single" w:sz="4" w:space="0" w:color="2F5496" w:themeColor="accent5" w:themeShade="BF"/>
              <w:bottom w:val="nil"/>
            </w:tcBorders>
            <w:shd w:val="clear" w:color="auto" w:fill="auto"/>
            <w:vAlign w:val="center"/>
          </w:tcPr>
          <w:p w:rsidR="00BC2A12" w:rsidRDefault="004205F1" w:rsidP="00C8541A">
            <w:pPr>
              <w:spacing w:before="0" w:after="0"/>
              <w:rPr>
                <w:rFonts w:eastAsia="Times New Roman" w:cs="Calibri"/>
                <w:sz w:val="16"/>
                <w:szCs w:val="16"/>
                <w:lang w:eastAsia="pl-PL"/>
              </w:rPr>
            </w:pPr>
            <w:r>
              <w:rPr>
                <w:rFonts w:eastAsia="Times New Roman" w:cs="Calibri"/>
                <w:sz w:val="16"/>
                <w:szCs w:val="16"/>
                <w:lang w:eastAsia="pl-PL"/>
              </w:rPr>
              <w:t>Dwelling stocks, average</w:t>
            </w:r>
            <w:r w:rsidR="00BC2A12">
              <w:rPr>
                <w:rFonts w:eastAsia="Times New Roman" w:cs="Calibri"/>
                <w:sz w:val="16"/>
                <w:szCs w:val="16"/>
                <w:lang w:eastAsia="pl-PL"/>
              </w:rPr>
              <w:t>:</w:t>
            </w:r>
          </w:p>
        </w:tc>
        <w:tc>
          <w:tcPr>
            <w:tcW w:w="992" w:type="dxa"/>
            <w:tcBorders>
              <w:top w:val="single" w:sz="4" w:space="0" w:color="2F5496" w:themeColor="accent5" w:themeShade="BF"/>
              <w:bottom w:val="nil"/>
            </w:tcBorders>
            <w:shd w:val="clear" w:color="auto" w:fill="auto"/>
            <w:vAlign w:val="center"/>
          </w:tcPr>
          <w:p w:rsidR="00BC2A12" w:rsidRDefault="00BC2A12" w:rsidP="00C8541A">
            <w:pPr>
              <w:spacing w:before="0" w:after="0"/>
              <w:jc w:val="right"/>
              <w:rPr>
                <w:rFonts w:eastAsia="Times New Roman" w:cs="Calibri"/>
                <w:sz w:val="16"/>
                <w:szCs w:val="16"/>
                <w:lang w:eastAsia="pl-PL"/>
              </w:rPr>
            </w:pPr>
          </w:p>
        </w:tc>
        <w:tc>
          <w:tcPr>
            <w:tcW w:w="992" w:type="dxa"/>
            <w:tcBorders>
              <w:top w:val="single" w:sz="4" w:space="0" w:color="2F5496" w:themeColor="accent5" w:themeShade="BF"/>
              <w:bottom w:val="nil"/>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p>
        </w:tc>
        <w:tc>
          <w:tcPr>
            <w:tcW w:w="992" w:type="dxa"/>
            <w:tcBorders>
              <w:top w:val="single" w:sz="4" w:space="0" w:color="2F5496" w:themeColor="accent5" w:themeShade="BF"/>
              <w:bottom w:val="nil"/>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p>
        </w:tc>
        <w:tc>
          <w:tcPr>
            <w:tcW w:w="992" w:type="dxa"/>
            <w:tcBorders>
              <w:top w:val="single" w:sz="4" w:space="0" w:color="2F5496" w:themeColor="accent5" w:themeShade="BF"/>
              <w:bottom w:val="nil"/>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p>
        </w:tc>
      </w:tr>
      <w:tr w:rsidR="00BC2A12" w:rsidRPr="00FC248A" w:rsidTr="00701A2B">
        <w:trPr>
          <w:trHeight w:val="315"/>
        </w:trPr>
        <w:tc>
          <w:tcPr>
            <w:tcW w:w="3969" w:type="dxa"/>
            <w:tcBorders>
              <w:top w:val="nil"/>
              <w:bottom w:val="single" w:sz="4" w:space="0" w:color="2F5496" w:themeColor="accent5" w:themeShade="BF"/>
            </w:tcBorders>
            <w:shd w:val="clear" w:color="auto" w:fill="auto"/>
            <w:vAlign w:val="center"/>
          </w:tcPr>
          <w:p w:rsidR="00BC2A12" w:rsidRPr="004205F1" w:rsidRDefault="004205F1" w:rsidP="00C8541A">
            <w:pPr>
              <w:spacing w:before="0" w:after="0"/>
              <w:rPr>
                <w:rFonts w:eastAsia="Times New Roman" w:cs="Calibri"/>
                <w:sz w:val="16"/>
                <w:szCs w:val="16"/>
                <w:lang w:val="en-US" w:eastAsia="pl-PL"/>
              </w:rPr>
            </w:pPr>
            <w:r>
              <w:rPr>
                <w:rFonts w:eastAsia="Times New Roman" w:cs="Calibri"/>
                <w:sz w:val="16"/>
                <w:szCs w:val="16"/>
                <w:lang w:val="en-US" w:eastAsia="pl-PL"/>
              </w:rPr>
              <w:t>n</w:t>
            </w:r>
            <w:r w:rsidRPr="004205F1">
              <w:rPr>
                <w:rFonts w:eastAsia="Times New Roman" w:cs="Calibri"/>
                <w:sz w:val="16"/>
                <w:szCs w:val="16"/>
                <w:lang w:val="en-US" w:eastAsia="pl-PL"/>
              </w:rPr>
              <w:t>umber of rooms in a dwelling</w:t>
            </w:r>
          </w:p>
        </w:tc>
        <w:tc>
          <w:tcPr>
            <w:tcW w:w="992" w:type="dxa"/>
            <w:tcBorders>
              <w:top w:val="nil"/>
              <w:bottom w:val="single" w:sz="4" w:space="0" w:color="2F5496" w:themeColor="accent5" w:themeShade="BF"/>
            </w:tcBorders>
            <w:shd w:val="clear" w:color="auto" w:fill="auto"/>
            <w:vAlign w:val="center"/>
          </w:tcPr>
          <w:p w:rsidR="00BC2A12"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3.</w:t>
            </w:r>
            <w:r w:rsidR="00BC2A12">
              <w:rPr>
                <w:rFonts w:eastAsia="Times New Roman" w:cs="Calibri"/>
                <w:sz w:val="16"/>
                <w:szCs w:val="16"/>
                <w:lang w:eastAsia="pl-PL"/>
              </w:rPr>
              <w:t>82</w:t>
            </w:r>
          </w:p>
        </w:tc>
        <w:tc>
          <w:tcPr>
            <w:tcW w:w="992" w:type="dxa"/>
            <w:tcBorders>
              <w:top w:val="nil"/>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100.</w:t>
            </w:r>
            <w:r w:rsidR="00BC2A12">
              <w:rPr>
                <w:rFonts w:eastAsia="Times New Roman" w:cs="Calibri"/>
                <w:sz w:val="16"/>
                <w:szCs w:val="16"/>
                <w:lang w:eastAsia="pl-PL"/>
              </w:rPr>
              <w:t>0</w:t>
            </w:r>
          </w:p>
        </w:tc>
        <w:tc>
          <w:tcPr>
            <w:tcW w:w="992" w:type="dxa"/>
            <w:tcBorders>
              <w:top w:val="nil"/>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3.</w:t>
            </w:r>
            <w:r w:rsidR="00BC2A12">
              <w:rPr>
                <w:rFonts w:eastAsia="Times New Roman" w:cs="Calibri"/>
                <w:sz w:val="16"/>
                <w:szCs w:val="16"/>
                <w:lang w:eastAsia="pl-PL"/>
              </w:rPr>
              <w:t>82</w:t>
            </w:r>
          </w:p>
        </w:tc>
        <w:tc>
          <w:tcPr>
            <w:tcW w:w="992" w:type="dxa"/>
            <w:tcBorders>
              <w:top w:val="nil"/>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100.</w:t>
            </w:r>
            <w:r w:rsidR="00BC2A12">
              <w:rPr>
                <w:rFonts w:eastAsia="Times New Roman" w:cs="Calibri"/>
                <w:sz w:val="16"/>
                <w:szCs w:val="16"/>
                <w:lang w:eastAsia="pl-PL"/>
              </w:rPr>
              <w:t>0</w:t>
            </w:r>
          </w:p>
        </w:tc>
      </w:tr>
      <w:tr w:rsidR="00BC2A12" w:rsidRPr="00A74BAE" w:rsidTr="00701A2B">
        <w:trPr>
          <w:trHeight w:val="315"/>
        </w:trPr>
        <w:tc>
          <w:tcPr>
            <w:tcW w:w="3969" w:type="dxa"/>
            <w:tcBorders>
              <w:top w:val="single" w:sz="4" w:space="0" w:color="2F5496" w:themeColor="accent5" w:themeShade="BF"/>
              <w:bottom w:val="nil"/>
            </w:tcBorders>
            <w:shd w:val="clear" w:color="auto" w:fill="auto"/>
            <w:vAlign w:val="center"/>
          </w:tcPr>
          <w:p w:rsidR="00BC2A12" w:rsidRPr="004205F1" w:rsidRDefault="004205F1" w:rsidP="00C8541A">
            <w:pPr>
              <w:spacing w:before="0" w:after="0"/>
              <w:rPr>
                <w:rFonts w:eastAsia="Times New Roman" w:cs="Calibri"/>
                <w:sz w:val="16"/>
                <w:szCs w:val="16"/>
                <w:lang w:val="en-US" w:eastAsia="pl-PL"/>
              </w:rPr>
            </w:pPr>
            <w:r w:rsidRPr="004205F1">
              <w:rPr>
                <w:rFonts w:eastAsia="Times New Roman" w:cs="Calibri"/>
                <w:sz w:val="16"/>
                <w:szCs w:val="16"/>
                <w:lang w:val="en-US" w:eastAsia="pl-PL"/>
              </w:rPr>
              <w:t>Useful floor area in</w:t>
            </w:r>
            <w:r w:rsidR="00BC2A12" w:rsidRPr="004205F1">
              <w:rPr>
                <w:rFonts w:eastAsia="Times New Roman" w:cs="Calibri"/>
                <w:sz w:val="16"/>
                <w:szCs w:val="16"/>
                <w:lang w:val="en-US" w:eastAsia="pl-PL"/>
              </w:rPr>
              <w:t xml:space="preserve"> m</w:t>
            </w:r>
            <w:r w:rsidR="00BC2A12" w:rsidRPr="004205F1">
              <w:rPr>
                <w:rFonts w:eastAsia="Times New Roman" w:cs="Calibri"/>
                <w:sz w:val="16"/>
                <w:szCs w:val="16"/>
                <w:vertAlign w:val="superscript"/>
                <w:lang w:val="en-US" w:eastAsia="pl-PL"/>
              </w:rPr>
              <w:t>2</w:t>
            </w:r>
          </w:p>
        </w:tc>
        <w:tc>
          <w:tcPr>
            <w:tcW w:w="992" w:type="dxa"/>
            <w:tcBorders>
              <w:top w:val="single" w:sz="4" w:space="0" w:color="2F5496" w:themeColor="accent5" w:themeShade="BF"/>
              <w:bottom w:val="nil"/>
            </w:tcBorders>
            <w:shd w:val="clear" w:color="auto" w:fill="auto"/>
            <w:vAlign w:val="center"/>
          </w:tcPr>
          <w:p w:rsidR="00BC2A12" w:rsidRPr="004205F1" w:rsidRDefault="00BC2A12" w:rsidP="00C8541A">
            <w:pPr>
              <w:spacing w:before="0" w:after="0"/>
              <w:jc w:val="right"/>
              <w:rPr>
                <w:rFonts w:eastAsia="Times New Roman" w:cs="Calibri"/>
                <w:sz w:val="16"/>
                <w:szCs w:val="16"/>
                <w:lang w:val="en-US" w:eastAsia="pl-PL"/>
              </w:rPr>
            </w:pPr>
          </w:p>
        </w:tc>
        <w:tc>
          <w:tcPr>
            <w:tcW w:w="992" w:type="dxa"/>
            <w:tcBorders>
              <w:top w:val="single" w:sz="4" w:space="0" w:color="2F5496" w:themeColor="accent5" w:themeShade="BF"/>
              <w:bottom w:val="nil"/>
            </w:tcBorders>
            <w:shd w:val="clear" w:color="auto" w:fill="auto"/>
            <w:vAlign w:val="center"/>
          </w:tcPr>
          <w:p w:rsidR="00BC2A12" w:rsidRPr="004205F1" w:rsidRDefault="00BC2A12" w:rsidP="00C8541A">
            <w:pPr>
              <w:spacing w:before="0" w:after="0"/>
              <w:jc w:val="right"/>
              <w:rPr>
                <w:rFonts w:eastAsia="Times New Roman" w:cs="Calibri"/>
                <w:sz w:val="16"/>
                <w:szCs w:val="16"/>
                <w:lang w:val="en-US" w:eastAsia="pl-PL"/>
              </w:rPr>
            </w:pPr>
          </w:p>
        </w:tc>
        <w:tc>
          <w:tcPr>
            <w:tcW w:w="992" w:type="dxa"/>
            <w:tcBorders>
              <w:top w:val="single" w:sz="4" w:space="0" w:color="2F5496" w:themeColor="accent5" w:themeShade="BF"/>
              <w:bottom w:val="nil"/>
            </w:tcBorders>
            <w:shd w:val="clear" w:color="auto" w:fill="auto"/>
            <w:vAlign w:val="center"/>
          </w:tcPr>
          <w:p w:rsidR="00BC2A12" w:rsidRPr="004205F1" w:rsidRDefault="00BC2A12" w:rsidP="00C8541A">
            <w:pPr>
              <w:spacing w:before="0" w:after="0"/>
              <w:jc w:val="right"/>
              <w:rPr>
                <w:rFonts w:eastAsia="Times New Roman" w:cs="Calibri"/>
                <w:sz w:val="16"/>
                <w:szCs w:val="16"/>
                <w:lang w:val="en-US" w:eastAsia="pl-PL"/>
              </w:rPr>
            </w:pPr>
          </w:p>
        </w:tc>
        <w:tc>
          <w:tcPr>
            <w:tcW w:w="992" w:type="dxa"/>
            <w:tcBorders>
              <w:top w:val="single" w:sz="4" w:space="0" w:color="2F5496" w:themeColor="accent5" w:themeShade="BF"/>
              <w:bottom w:val="nil"/>
            </w:tcBorders>
            <w:shd w:val="clear" w:color="auto" w:fill="auto"/>
            <w:vAlign w:val="center"/>
          </w:tcPr>
          <w:p w:rsidR="00BC2A12" w:rsidRPr="004205F1" w:rsidRDefault="00BC2A12" w:rsidP="00C8541A">
            <w:pPr>
              <w:spacing w:before="0" w:after="0"/>
              <w:jc w:val="right"/>
              <w:rPr>
                <w:rFonts w:eastAsia="Times New Roman" w:cs="Calibri"/>
                <w:sz w:val="16"/>
                <w:szCs w:val="16"/>
                <w:lang w:val="en-US" w:eastAsia="pl-PL"/>
              </w:rPr>
            </w:pPr>
          </w:p>
        </w:tc>
      </w:tr>
      <w:tr w:rsidR="00BC2A12" w:rsidRPr="00FC248A" w:rsidTr="00701A2B">
        <w:trPr>
          <w:trHeight w:val="315"/>
        </w:trPr>
        <w:tc>
          <w:tcPr>
            <w:tcW w:w="3969" w:type="dxa"/>
            <w:tcBorders>
              <w:top w:val="nil"/>
              <w:bottom w:val="nil"/>
            </w:tcBorders>
            <w:shd w:val="clear" w:color="auto" w:fill="auto"/>
            <w:vAlign w:val="center"/>
          </w:tcPr>
          <w:p w:rsidR="00BC2A12" w:rsidRDefault="00BC2A12" w:rsidP="004205F1">
            <w:pPr>
              <w:spacing w:before="0" w:after="0"/>
              <w:rPr>
                <w:rFonts w:eastAsia="Times New Roman" w:cs="Calibri"/>
                <w:sz w:val="16"/>
                <w:szCs w:val="16"/>
                <w:lang w:eastAsia="pl-PL"/>
              </w:rPr>
            </w:pPr>
            <w:r w:rsidRPr="004205F1">
              <w:rPr>
                <w:rFonts w:eastAsia="Times New Roman" w:cs="Calibri"/>
                <w:sz w:val="16"/>
                <w:szCs w:val="16"/>
                <w:lang w:val="en-US" w:eastAsia="pl-PL"/>
              </w:rPr>
              <w:t xml:space="preserve">    </w:t>
            </w:r>
            <w:r w:rsidR="004205F1">
              <w:rPr>
                <w:rFonts w:eastAsia="Times New Roman" w:cs="Calibri"/>
                <w:sz w:val="16"/>
                <w:szCs w:val="16"/>
                <w:lang w:eastAsia="pl-PL"/>
              </w:rPr>
              <w:t>per dwelling</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73.</w:t>
            </w:r>
            <w:r w:rsidR="00BC2A12">
              <w:rPr>
                <w:rFonts w:eastAsia="Times New Roman" w:cs="Calibri"/>
                <w:sz w:val="16"/>
                <w:szCs w:val="16"/>
                <w:lang w:eastAsia="pl-PL"/>
              </w:rPr>
              <w:t>8</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100.</w:t>
            </w:r>
            <w:r w:rsidR="00BC2A12">
              <w:rPr>
                <w:rFonts w:eastAsia="Times New Roman" w:cs="Calibri"/>
                <w:sz w:val="16"/>
                <w:szCs w:val="16"/>
                <w:lang w:eastAsia="pl-PL"/>
              </w:rPr>
              <w:t>3</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74.</w:t>
            </w:r>
            <w:r w:rsidR="00BC2A12">
              <w:rPr>
                <w:rFonts w:eastAsia="Times New Roman" w:cs="Calibri"/>
                <w:sz w:val="16"/>
                <w:szCs w:val="16"/>
                <w:lang w:eastAsia="pl-PL"/>
              </w:rPr>
              <w:t>0</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100.</w:t>
            </w:r>
            <w:r w:rsidR="00BC2A12">
              <w:rPr>
                <w:rFonts w:eastAsia="Times New Roman" w:cs="Calibri"/>
                <w:sz w:val="16"/>
                <w:szCs w:val="16"/>
                <w:lang w:eastAsia="pl-PL"/>
              </w:rPr>
              <w:t>3</w:t>
            </w:r>
          </w:p>
        </w:tc>
      </w:tr>
      <w:tr w:rsidR="00BC2A12" w:rsidRPr="00FC248A" w:rsidTr="00701A2B">
        <w:trPr>
          <w:trHeight w:val="315"/>
        </w:trPr>
        <w:tc>
          <w:tcPr>
            <w:tcW w:w="3969" w:type="dxa"/>
            <w:tcBorders>
              <w:top w:val="nil"/>
              <w:bottom w:val="single" w:sz="4" w:space="0" w:color="2F5496" w:themeColor="accent5" w:themeShade="BF"/>
            </w:tcBorders>
            <w:shd w:val="clear" w:color="auto" w:fill="auto"/>
            <w:vAlign w:val="center"/>
          </w:tcPr>
          <w:p w:rsidR="00BC2A12" w:rsidRDefault="00BC2A12" w:rsidP="004205F1">
            <w:pPr>
              <w:spacing w:before="0" w:after="0"/>
              <w:rPr>
                <w:rFonts w:eastAsia="Times New Roman" w:cs="Calibri"/>
                <w:sz w:val="16"/>
                <w:szCs w:val="16"/>
                <w:lang w:eastAsia="pl-PL"/>
              </w:rPr>
            </w:pPr>
            <w:r>
              <w:rPr>
                <w:rFonts w:eastAsia="Times New Roman" w:cs="Calibri"/>
                <w:sz w:val="16"/>
                <w:szCs w:val="16"/>
                <w:lang w:eastAsia="pl-PL"/>
              </w:rPr>
              <w:t xml:space="preserve">    </w:t>
            </w:r>
            <w:r w:rsidR="004205F1">
              <w:rPr>
                <w:rFonts w:eastAsia="Times New Roman" w:cs="Calibri"/>
                <w:sz w:val="16"/>
                <w:szCs w:val="16"/>
                <w:lang w:eastAsia="pl-PL"/>
              </w:rPr>
              <w:t>per person</w:t>
            </w:r>
          </w:p>
        </w:tc>
        <w:tc>
          <w:tcPr>
            <w:tcW w:w="992" w:type="dxa"/>
            <w:tcBorders>
              <w:top w:val="nil"/>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27.</w:t>
            </w:r>
            <w:r w:rsidR="00BC2A12">
              <w:rPr>
                <w:rFonts w:eastAsia="Times New Roman" w:cs="Calibri"/>
                <w:sz w:val="16"/>
                <w:szCs w:val="16"/>
                <w:lang w:eastAsia="pl-PL"/>
              </w:rPr>
              <w:t>4</w:t>
            </w:r>
          </w:p>
        </w:tc>
        <w:tc>
          <w:tcPr>
            <w:tcW w:w="992" w:type="dxa"/>
            <w:tcBorders>
              <w:top w:val="nil"/>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101.</w:t>
            </w:r>
            <w:r w:rsidR="00BC2A12">
              <w:rPr>
                <w:rFonts w:eastAsia="Times New Roman" w:cs="Calibri"/>
                <w:sz w:val="16"/>
                <w:szCs w:val="16"/>
                <w:lang w:eastAsia="pl-PL"/>
              </w:rPr>
              <w:t>5</w:t>
            </w:r>
          </w:p>
        </w:tc>
        <w:tc>
          <w:tcPr>
            <w:tcW w:w="992" w:type="dxa"/>
            <w:tcBorders>
              <w:top w:val="nil"/>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27.</w:t>
            </w:r>
            <w:r w:rsidR="00BC2A12">
              <w:rPr>
                <w:rFonts w:eastAsia="Times New Roman" w:cs="Calibri"/>
                <w:sz w:val="16"/>
                <w:szCs w:val="16"/>
                <w:lang w:eastAsia="pl-PL"/>
              </w:rPr>
              <w:t>8</w:t>
            </w:r>
          </w:p>
        </w:tc>
        <w:tc>
          <w:tcPr>
            <w:tcW w:w="992" w:type="dxa"/>
            <w:tcBorders>
              <w:top w:val="nil"/>
              <w:bottom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101.</w:t>
            </w:r>
            <w:r w:rsidR="00BC2A12">
              <w:rPr>
                <w:rFonts w:eastAsia="Times New Roman" w:cs="Calibri"/>
                <w:sz w:val="16"/>
                <w:szCs w:val="16"/>
                <w:lang w:eastAsia="pl-PL"/>
              </w:rPr>
              <w:t>5</w:t>
            </w:r>
          </w:p>
        </w:tc>
      </w:tr>
      <w:tr w:rsidR="00BC2A12" w:rsidRPr="00FC248A" w:rsidTr="00701A2B">
        <w:trPr>
          <w:trHeight w:val="315"/>
        </w:trPr>
        <w:tc>
          <w:tcPr>
            <w:tcW w:w="3969" w:type="dxa"/>
            <w:tcBorders>
              <w:top w:val="single" w:sz="4" w:space="0" w:color="2F5496" w:themeColor="accent5" w:themeShade="BF"/>
              <w:bottom w:val="nil"/>
            </w:tcBorders>
            <w:shd w:val="clear" w:color="auto" w:fill="auto"/>
            <w:vAlign w:val="center"/>
          </w:tcPr>
          <w:p w:rsidR="00BC2A12" w:rsidRDefault="004205F1" w:rsidP="00C8541A">
            <w:pPr>
              <w:spacing w:before="0" w:after="0"/>
              <w:rPr>
                <w:rFonts w:eastAsia="Times New Roman" w:cs="Calibri"/>
                <w:sz w:val="16"/>
                <w:szCs w:val="16"/>
                <w:lang w:eastAsia="pl-PL"/>
              </w:rPr>
            </w:pPr>
            <w:r>
              <w:rPr>
                <w:rFonts w:eastAsia="Times New Roman" w:cs="Calibri"/>
                <w:sz w:val="16"/>
                <w:szCs w:val="16"/>
                <w:lang w:eastAsia="pl-PL"/>
              </w:rPr>
              <w:t>Number of persons</w:t>
            </w:r>
            <w:r w:rsidR="00BC2A12">
              <w:rPr>
                <w:rFonts w:eastAsia="Times New Roman" w:cs="Calibri"/>
                <w:sz w:val="16"/>
                <w:szCs w:val="16"/>
                <w:lang w:eastAsia="pl-PL"/>
              </w:rPr>
              <w:t>:</w:t>
            </w:r>
          </w:p>
        </w:tc>
        <w:tc>
          <w:tcPr>
            <w:tcW w:w="992" w:type="dxa"/>
            <w:tcBorders>
              <w:top w:val="single" w:sz="4" w:space="0" w:color="2F5496" w:themeColor="accent5" w:themeShade="BF"/>
              <w:bottom w:val="nil"/>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p>
        </w:tc>
        <w:tc>
          <w:tcPr>
            <w:tcW w:w="992" w:type="dxa"/>
            <w:tcBorders>
              <w:top w:val="single" w:sz="4" w:space="0" w:color="2F5496" w:themeColor="accent5" w:themeShade="BF"/>
              <w:bottom w:val="nil"/>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p>
        </w:tc>
        <w:tc>
          <w:tcPr>
            <w:tcW w:w="992" w:type="dxa"/>
            <w:tcBorders>
              <w:top w:val="single" w:sz="4" w:space="0" w:color="2F5496" w:themeColor="accent5" w:themeShade="BF"/>
              <w:bottom w:val="nil"/>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p>
        </w:tc>
        <w:tc>
          <w:tcPr>
            <w:tcW w:w="992" w:type="dxa"/>
            <w:tcBorders>
              <w:top w:val="single" w:sz="4" w:space="0" w:color="2F5496" w:themeColor="accent5" w:themeShade="BF"/>
              <w:bottom w:val="nil"/>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p>
        </w:tc>
      </w:tr>
      <w:tr w:rsidR="00BC2A12" w:rsidRPr="00FC248A" w:rsidTr="00701A2B">
        <w:trPr>
          <w:trHeight w:val="315"/>
        </w:trPr>
        <w:tc>
          <w:tcPr>
            <w:tcW w:w="3969" w:type="dxa"/>
            <w:tcBorders>
              <w:top w:val="nil"/>
              <w:bottom w:val="nil"/>
            </w:tcBorders>
            <w:shd w:val="clear" w:color="auto" w:fill="auto"/>
            <w:vAlign w:val="center"/>
          </w:tcPr>
          <w:p w:rsidR="00BC2A12" w:rsidRDefault="00BC2A12" w:rsidP="004205F1">
            <w:pPr>
              <w:spacing w:before="0" w:after="0"/>
              <w:rPr>
                <w:rFonts w:eastAsia="Times New Roman" w:cs="Calibri"/>
                <w:sz w:val="16"/>
                <w:szCs w:val="16"/>
                <w:lang w:eastAsia="pl-PL"/>
              </w:rPr>
            </w:pPr>
            <w:r>
              <w:rPr>
                <w:rFonts w:eastAsia="Times New Roman" w:cs="Calibri"/>
                <w:sz w:val="16"/>
                <w:szCs w:val="16"/>
                <w:lang w:eastAsia="pl-PL"/>
              </w:rPr>
              <w:t xml:space="preserve">    </w:t>
            </w:r>
            <w:r w:rsidR="004205F1">
              <w:rPr>
                <w:rFonts w:eastAsia="Times New Roman" w:cs="Calibri"/>
                <w:sz w:val="16"/>
                <w:szCs w:val="16"/>
                <w:lang w:eastAsia="pl-PL"/>
              </w:rPr>
              <w:t>per dwelling</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2.</w:t>
            </w:r>
            <w:r w:rsidR="00BC2A12">
              <w:rPr>
                <w:rFonts w:eastAsia="Times New Roman" w:cs="Calibri"/>
                <w:sz w:val="16"/>
                <w:szCs w:val="16"/>
                <w:lang w:eastAsia="pl-PL"/>
              </w:rPr>
              <w:t>69</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98.</w:t>
            </w:r>
            <w:r w:rsidR="00BC2A12">
              <w:rPr>
                <w:rFonts w:eastAsia="Times New Roman" w:cs="Calibri"/>
                <w:sz w:val="16"/>
                <w:szCs w:val="16"/>
                <w:lang w:eastAsia="pl-PL"/>
              </w:rPr>
              <w:t>9</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2.</w:t>
            </w:r>
            <w:r w:rsidR="00BC2A12">
              <w:rPr>
                <w:rFonts w:eastAsia="Times New Roman" w:cs="Calibri"/>
                <w:sz w:val="16"/>
                <w:szCs w:val="16"/>
                <w:lang w:eastAsia="pl-PL"/>
              </w:rPr>
              <w:t>66</w:t>
            </w:r>
          </w:p>
        </w:tc>
        <w:tc>
          <w:tcPr>
            <w:tcW w:w="992" w:type="dxa"/>
            <w:tcBorders>
              <w:top w:val="nil"/>
              <w:bottom w:val="nil"/>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98.</w:t>
            </w:r>
            <w:r w:rsidR="00BC2A12">
              <w:rPr>
                <w:rFonts w:eastAsia="Times New Roman" w:cs="Calibri"/>
                <w:sz w:val="16"/>
                <w:szCs w:val="16"/>
                <w:lang w:eastAsia="pl-PL"/>
              </w:rPr>
              <w:t>9</w:t>
            </w:r>
          </w:p>
        </w:tc>
      </w:tr>
      <w:tr w:rsidR="004205F1" w:rsidRPr="00FC248A" w:rsidTr="00701A2B">
        <w:trPr>
          <w:trHeight w:val="315"/>
        </w:trPr>
        <w:tc>
          <w:tcPr>
            <w:tcW w:w="3969" w:type="dxa"/>
            <w:tcBorders>
              <w:top w:val="nil"/>
              <w:bottom w:val="single" w:sz="4" w:space="0" w:color="2F5496" w:themeColor="accent5" w:themeShade="BF"/>
            </w:tcBorders>
            <w:shd w:val="clear" w:color="auto" w:fill="auto"/>
            <w:vAlign w:val="center"/>
          </w:tcPr>
          <w:p w:rsidR="004205F1" w:rsidRDefault="004205F1" w:rsidP="004205F1">
            <w:pPr>
              <w:spacing w:before="0" w:after="0"/>
              <w:rPr>
                <w:rFonts w:eastAsia="Times New Roman" w:cs="Calibri"/>
                <w:sz w:val="16"/>
                <w:szCs w:val="16"/>
                <w:lang w:eastAsia="pl-PL"/>
              </w:rPr>
            </w:pPr>
            <w:r>
              <w:rPr>
                <w:rFonts w:eastAsia="Times New Roman" w:cs="Calibri"/>
                <w:sz w:val="16"/>
                <w:szCs w:val="16"/>
                <w:lang w:eastAsia="pl-PL"/>
              </w:rPr>
              <w:t xml:space="preserve">    per room</w:t>
            </w:r>
          </w:p>
        </w:tc>
        <w:tc>
          <w:tcPr>
            <w:tcW w:w="992" w:type="dxa"/>
            <w:tcBorders>
              <w:top w:val="nil"/>
              <w:bottom w:val="single" w:sz="4" w:space="0" w:color="2F5496" w:themeColor="accent5" w:themeShade="BF"/>
            </w:tcBorders>
            <w:shd w:val="clear" w:color="auto" w:fill="auto"/>
            <w:vAlign w:val="center"/>
          </w:tcPr>
          <w:p w:rsidR="004205F1"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0.</w:t>
            </w:r>
            <w:r w:rsidR="004205F1">
              <w:rPr>
                <w:rFonts w:eastAsia="Times New Roman" w:cs="Calibri"/>
                <w:sz w:val="16"/>
                <w:szCs w:val="16"/>
                <w:lang w:eastAsia="pl-PL"/>
              </w:rPr>
              <w:t>70</w:t>
            </w:r>
          </w:p>
        </w:tc>
        <w:tc>
          <w:tcPr>
            <w:tcW w:w="992" w:type="dxa"/>
            <w:tcBorders>
              <w:top w:val="nil"/>
              <w:bottom w:val="single" w:sz="4" w:space="0" w:color="2F5496" w:themeColor="accent5" w:themeShade="BF"/>
            </w:tcBorders>
            <w:shd w:val="clear" w:color="auto" w:fill="auto"/>
            <w:vAlign w:val="center"/>
          </w:tcPr>
          <w:p w:rsidR="004205F1"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98.</w:t>
            </w:r>
            <w:r w:rsidR="00E714F0">
              <w:rPr>
                <w:rFonts w:eastAsia="Times New Roman" w:cs="Calibri"/>
                <w:sz w:val="16"/>
                <w:szCs w:val="16"/>
                <w:lang w:eastAsia="pl-PL"/>
              </w:rPr>
              <w:t>6</w:t>
            </w:r>
          </w:p>
        </w:tc>
        <w:tc>
          <w:tcPr>
            <w:tcW w:w="992" w:type="dxa"/>
            <w:tcBorders>
              <w:top w:val="nil"/>
              <w:bottom w:val="single" w:sz="4" w:space="0" w:color="2F5496" w:themeColor="accent5" w:themeShade="BF"/>
            </w:tcBorders>
            <w:shd w:val="clear" w:color="auto" w:fill="auto"/>
            <w:vAlign w:val="center"/>
          </w:tcPr>
          <w:p w:rsidR="004205F1"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0.</w:t>
            </w:r>
            <w:r w:rsidR="00E714F0">
              <w:rPr>
                <w:rFonts w:eastAsia="Times New Roman" w:cs="Calibri"/>
                <w:sz w:val="16"/>
                <w:szCs w:val="16"/>
                <w:lang w:eastAsia="pl-PL"/>
              </w:rPr>
              <w:t>70</w:t>
            </w:r>
          </w:p>
        </w:tc>
        <w:tc>
          <w:tcPr>
            <w:tcW w:w="992" w:type="dxa"/>
            <w:tcBorders>
              <w:top w:val="nil"/>
              <w:bottom w:val="single" w:sz="4" w:space="0" w:color="2F5496" w:themeColor="accent5" w:themeShade="BF"/>
            </w:tcBorders>
            <w:shd w:val="clear" w:color="auto" w:fill="auto"/>
            <w:vAlign w:val="center"/>
          </w:tcPr>
          <w:p w:rsidR="004205F1"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100.</w:t>
            </w:r>
            <w:r w:rsidR="00E714F0">
              <w:rPr>
                <w:rFonts w:eastAsia="Times New Roman" w:cs="Calibri"/>
                <w:sz w:val="16"/>
                <w:szCs w:val="16"/>
                <w:lang w:eastAsia="pl-PL"/>
              </w:rPr>
              <w:t>0</w:t>
            </w:r>
          </w:p>
        </w:tc>
      </w:tr>
    </w:tbl>
    <w:p w:rsidR="00BC2A12" w:rsidRDefault="000B3F20" w:rsidP="00BC2A12">
      <w:pPr>
        <w:spacing w:before="0" w:after="0"/>
        <w:rPr>
          <w:rFonts w:eastAsia="Times New Roman" w:cs="Times New Roman"/>
          <w:bCs/>
          <w:szCs w:val="19"/>
          <w:lang w:eastAsia="pl-PL"/>
        </w:rPr>
      </w:pPr>
      <w:r w:rsidRPr="00596BDB">
        <w:rPr>
          <w:noProof/>
          <w:color w:val="212492"/>
          <w:szCs w:val="19"/>
          <w:lang w:val="en-GB" w:eastAsia="en-GB"/>
        </w:rPr>
        <mc:AlternateContent>
          <mc:Choice Requires="wps">
            <w:drawing>
              <wp:anchor distT="45720" distB="45720" distL="114300" distR="114300" simplePos="0" relativeHeight="251780096" behindDoc="1" locked="0" layoutInCell="1" allowOverlap="1" wp14:anchorId="624F3FB6" wp14:editId="154C1C36">
                <wp:simplePos x="0" y="0"/>
                <wp:positionH relativeFrom="column">
                  <wp:posOffset>5259070</wp:posOffset>
                </wp:positionH>
                <wp:positionV relativeFrom="paragraph">
                  <wp:posOffset>18072</wp:posOffset>
                </wp:positionV>
                <wp:extent cx="1666875" cy="791210"/>
                <wp:effectExtent l="0" t="0" r="0" b="0"/>
                <wp:wrapTight wrapText="bothSides">
                  <wp:wrapPolygon edited="0">
                    <wp:start x="741" y="0"/>
                    <wp:lineTo x="741" y="20803"/>
                    <wp:lineTo x="20736" y="20803"/>
                    <wp:lineTo x="20736" y="0"/>
                    <wp:lineTo x="741" y="0"/>
                  </wp:wrapPolygon>
                </wp:wrapTight>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791210"/>
                        </a:xfrm>
                        <a:prstGeom prst="rect">
                          <a:avLst/>
                        </a:prstGeom>
                        <a:noFill/>
                        <a:ln w="9525">
                          <a:noFill/>
                          <a:miter lim="800000"/>
                          <a:headEnd/>
                          <a:tailEnd/>
                        </a:ln>
                      </wps:spPr>
                      <wps:txbx>
                        <w:txbxContent>
                          <w:p w:rsidR="00BC2A12" w:rsidRPr="00BC2A12" w:rsidRDefault="00BC2A12" w:rsidP="00BC2A12">
                            <w:pPr>
                              <w:pStyle w:val="tekstzboku"/>
                              <w:rPr>
                                <w:lang w:val="en-US"/>
                              </w:rPr>
                            </w:pPr>
                            <w:r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nditions are slightly improving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F3FB6" id="_x0000_s1029" type="#_x0000_t202" style="position:absolute;margin-left:414.1pt;margin-top:1.4pt;width:131.25pt;height:62.3pt;z-index:-251536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" filled="f" stroked="f">
                <v:textbox>
                  <w:txbxContent>
                    <w:p w:rsidR="00BC2A12" w:rsidRPr="00BC2A12" w:rsidRDefault="00BC2A12" w:rsidP="00BC2A12">
                      <w:pPr>
                        <w:pStyle w:val="tekstzboku"/>
                        <w:rPr>
                          <w:lang w:val="en-US"/>
                        </w:rPr>
                      </w:pPr>
                      <w:r w:rsidRPr="00BC2A12">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In Poland, housing co</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nditions are slightly improving</w:t>
                      </w:r>
                    </w:p>
                  </w:txbxContent>
                </v:textbox>
                <w10:wrap type="tight"/>
              </v:shape>
            </w:pict>
          </mc:Fallback>
        </mc:AlternateContent>
      </w:r>
    </w:p>
    <w:p w:rsidR="00BC2A12" w:rsidRPr="00BC2A12" w:rsidRDefault="00BC2A12" w:rsidP="00BC2A12">
      <w:pPr>
        <w:spacing w:before="0" w:after="0"/>
        <w:rPr>
          <w:rFonts w:eastAsia="Times New Roman" w:cs="Times New Roman"/>
          <w:bCs/>
          <w:szCs w:val="19"/>
          <w:lang w:val="en-US"/>
        </w:rPr>
      </w:pPr>
      <w:r w:rsidRPr="00BC2A12">
        <w:rPr>
          <w:lang w:val="en-US"/>
        </w:rPr>
        <w:t xml:space="preserve">In 2017, housing conditions in Poland slightly improved as compared to the previous years. As of 31 December 2017, average number of rooms per 1 dwelling amounted to 3.82, of which in urban areas </w:t>
      </w:r>
      <w:r w:rsidR="00A91A6B">
        <w:rPr>
          <w:lang w:val="en-US"/>
        </w:rPr>
        <w:t xml:space="preserve">– </w:t>
      </w:r>
      <w:r w:rsidRPr="00BC2A12">
        <w:rPr>
          <w:lang w:val="en-US"/>
        </w:rPr>
        <w:t xml:space="preserve">3.57, and in rural areas </w:t>
      </w:r>
      <w:r w:rsidR="00A91A6B">
        <w:rPr>
          <w:lang w:val="en-US"/>
        </w:rPr>
        <w:t xml:space="preserve">– </w:t>
      </w:r>
      <w:r w:rsidRPr="00BC2A12">
        <w:rPr>
          <w:lang w:val="en-US"/>
        </w:rPr>
        <w:t>4.35.</w:t>
      </w:r>
      <w:r w:rsidR="00A91A6B">
        <w:rPr>
          <w:lang w:val="en-US"/>
        </w:rPr>
        <w:t xml:space="preserve"> However, the</w:t>
      </w:r>
      <w:r w:rsidRPr="00BC2A12">
        <w:rPr>
          <w:lang w:val="en-US"/>
        </w:rPr>
        <w:t xml:space="preserve"> average dwelling size amounted to 74.0</w:t>
      </w:r>
      <w:r w:rsidR="00A33451">
        <w:rPr>
          <w:lang w:val="en-US"/>
        </w:rPr>
        <w:t> </w:t>
      </w:r>
      <w:r w:rsidRPr="00BC2A12">
        <w:rPr>
          <w:lang w:val="en-US"/>
        </w:rPr>
        <w:t>m</w:t>
      </w:r>
      <w:r w:rsidRPr="00BC2A12">
        <w:rPr>
          <w:bCs/>
          <w:szCs w:val="19"/>
          <w:vertAlign w:val="superscript"/>
          <w:lang w:val="en-US"/>
        </w:rPr>
        <w:t>2</w:t>
      </w:r>
      <w:r w:rsidRPr="00BC2A12">
        <w:rPr>
          <w:lang w:val="en-US"/>
        </w:rPr>
        <w:t xml:space="preserve"> and increased by 0.2 m</w:t>
      </w:r>
      <w:r w:rsidRPr="00BC2A12">
        <w:rPr>
          <w:bCs/>
          <w:szCs w:val="19"/>
          <w:vertAlign w:val="superscript"/>
          <w:lang w:val="en-US"/>
        </w:rPr>
        <w:t>2</w:t>
      </w:r>
      <w:r w:rsidRPr="00BC2A12">
        <w:rPr>
          <w:lang w:val="en-US"/>
        </w:rPr>
        <w:t xml:space="preserve"> as compared to the previous year. In rural areas, dwelling</w:t>
      </w:r>
      <w:r w:rsidR="00A91A6B">
        <w:rPr>
          <w:lang w:val="en-US"/>
        </w:rPr>
        <w:t>s</w:t>
      </w:r>
      <w:r w:rsidRPr="00BC2A12">
        <w:rPr>
          <w:lang w:val="en-US"/>
        </w:rPr>
        <w:t xml:space="preserve"> were, on average, by 28.9 m</w:t>
      </w:r>
      <w:r w:rsidRPr="00BC2A12">
        <w:rPr>
          <w:bCs/>
          <w:szCs w:val="19"/>
          <w:vertAlign w:val="superscript"/>
          <w:lang w:val="en-US"/>
        </w:rPr>
        <w:t>2</w:t>
      </w:r>
      <w:r w:rsidRPr="00BC2A12">
        <w:rPr>
          <w:lang w:val="en-US"/>
        </w:rPr>
        <w:t xml:space="preserve"> larger than in urban areas (relevant indicators amount</w:t>
      </w:r>
      <w:r w:rsidR="00A91A6B">
        <w:rPr>
          <w:lang w:val="en-US"/>
        </w:rPr>
        <w:t>ed</w:t>
      </w:r>
      <w:r w:rsidRPr="00BC2A12">
        <w:rPr>
          <w:lang w:val="en-US"/>
        </w:rPr>
        <w:t xml:space="preserve"> to 93.5</w:t>
      </w:r>
      <w:r w:rsidR="00A33451">
        <w:rPr>
          <w:lang w:val="en-US"/>
        </w:rPr>
        <w:t> </w:t>
      </w:r>
      <w:r w:rsidRPr="00BC2A12">
        <w:rPr>
          <w:lang w:val="en-US"/>
        </w:rPr>
        <w:t>m</w:t>
      </w:r>
      <w:r w:rsidRPr="00BC2A12">
        <w:rPr>
          <w:bCs/>
          <w:szCs w:val="19"/>
          <w:vertAlign w:val="superscript"/>
          <w:lang w:val="en-US"/>
        </w:rPr>
        <w:t>2</w:t>
      </w:r>
      <w:r w:rsidR="00D00FEE">
        <w:rPr>
          <w:lang w:val="en-US"/>
        </w:rPr>
        <w:t xml:space="preserve"> for rural areas, and 64.6</w:t>
      </w:r>
      <w:r w:rsidRPr="00BC2A12">
        <w:rPr>
          <w:lang w:val="en-US"/>
        </w:rPr>
        <w:t xml:space="preserve"> m</w:t>
      </w:r>
      <w:r w:rsidRPr="00BC2A12">
        <w:rPr>
          <w:bCs/>
          <w:szCs w:val="19"/>
          <w:vertAlign w:val="superscript"/>
          <w:lang w:val="en-US"/>
        </w:rPr>
        <w:t>2</w:t>
      </w:r>
      <w:r w:rsidRPr="000B3F20">
        <w:rPr>
          <w:lang w:val="en-US"/>
        </w:rPr>
        <w:t xml:space="preserve"> </w:t>
      </w:r>
      <w:r w:rsidRPr="00BC2A12">
        <w:rPr>
          <w:lang w:val="en-US"/>
        </w:rPr>
        <w:t>for urban areas).</w:t>
      </w:r>
    </w:p>
    <w:p w:rsidR="00BC2A12" w:rsidRPr="00BC2A12" w:rsidRDefault="00BC2A12" w:rsidP="00BC2A12">
      <w:pPr>
        <w:spacing w:before="0" w:after="0"/>
        <w:rPr>
          <w:rFonts w:eastAsia="Times New Roman" w:cs="Times New Roman"/>
          <w:bCs/>
          <w:szCs w:val="19"/>
          <w:lang w:val="en-US" w:eastAsia="pl-PL"/>
        </w:rPr>
      </w:pPr>
    </w:p>
    <w:p w:rsidR="00BC2A12" w:rsidRPr="00BC2A12" w:rsidRDefault="00BC2A12" w:rsidP="00BC2A12">
      <w:pPr>
        <w:spacing w:before="0" w:after="0"/>
        <w:rPr>
          <w:rFonts w:eastAsia="Times New Roman" w:cs="Times New Roman"/>
          <w:bCs/>
          <w:szCs w:val="19"/>
          <w:lang w:val="en-US"/>
        </w:rPr>
      </w:pPr>
      <w:r w:rsidRPr="00BC2A12">
        <w:rPr>
          <w:lang w:val="en-US"/>
        </w:rPr>
        <w:t>In 2017, as compared to the previous year, average useful floor area per 1 person increased by 0.4 m</w:t>
      </w:r>
      <w:r w:rsidRPr="00BC2A12">
        <w:rPr>
          <w:bCs/>
          <w:szCs w:val="19"/>
          <w:vertAlign w:val="superscript"/>
          <w:lang w:val="en-US"/>
        </w:rPr>
        <w:t>2</w:t>
      </w:r>
      <w:r w:rsidRPr="00BC2A12">
        <w:rPr>
          <w:lang w:val="en-US"/>
        </w:rPr>
        <w:t xml:space="preserve"> and amounted to 27.8 m</w:t>
      </w:r>
      <w:r w:rsidRPr="00BC2A12">
        <w:rPr>
          <w:bCs/>
          <w:szCs w:val="19"/>
          <w:vertAlign w:val="superscript"/>
          <w:lang w:val="en-US"/>
        </w:rPr>
        <w:t>2</w:t>
      </w:r>
      <w:r w:rsidRPr="00BC2A12">
        <w:rPr>
          <w:lang w:val="en-US"/>
        </w:rPr>
        <w:t xml:space="preserve"> (in urban areas it increased by 26.8 m</w:t>
      </w:r>
      <w:r w:rsidRPr="00BC2A12">
        <w:rPr>
          <w:bCs/>
          <w:szCs w:val="19"/>
          <w:vertAlign w:val="superscript"/>
          <w:lang w:val="en-US"/>
        </w:rPr>
        <w:t>2</w:t>
      </w:r>
      <w:r w:rsidRPr="00BC2A12">
        <w:rPr>
          <w:lang w:val="en-US"/>
        </w:rPr>
        <w:t xml:space="preserve"> to 27.2 m</w:t>
      </w:r>
      <w:r w:rsidRPr="00BC2A12">
        <w:rPr>
          <w:bCs/>
          <w:szCs w:val="19"/>
          <w:vertAlign w:val="superscript"/>
          <w:lang w:val="en-US"/>
        </w:rPr>
        <w:t>2</w:t>
      </w:r>
      <w:r w:rsidRPr="00BC2A12">
        <w:rPr>
          <w:lang w:val="en-US"/>
        </w:rPr>
        <w:t>, and in</w:t>
      </w:r>
      <w:r w:rsidR="00A33451">
        <w:rPr>
          <w:lang w:val="en-US"/>
        </w:rPr>
        <w:t> </w:t>
      </w:r>
      <w:r w:rsidRPr="00BC2A12">
        <w:rPr>
          <w:lang w:val="en-US"/>
        </w:rPr>
        <w:t>rural areas from 28.3 m</w:t>
      </w:r>
      <w:r w:rsidRPr="00BC2A12">
        <w:rPr>
          <w:bCs/>
          <w:szCs w:val="19"/>
          <w:vertAlign w:val="superscript"/>
          <w:lang w:val="en-US"/>
        </w:rPr>
        <w:t>2</w:t>
      </w:r>
      <w:r w:rsidRPr="00BC2A12">
        <w:rPr>
          <w:lang w:val="en-US"/>
        </w:rPr>
        <w:t xml:space="preserve"> to 28.7 m</w:t>
      </w:r>
      <w:r w:rsidRPr="00BC2A12">
        <w:rPr>
          <w:bCs/>
          <w:szCs w:val="19"/>
          <w:vertAlign w:val="superscript"/>
          <w:lang w:val="en-US"/>
        </w:rPr>
        <w:t>2</w:t>
      </w:r>
      <w:r w:rsidRPr="00BC2A12">
        <w:rPr>
          <w:lang w:val="en-US"/>
        </w:rPr>
        <w:t xml:space="preserve">). Disproportions between urban and rural areas also concerned the degree of dwellings occupancy. Rural dwellings were more densely populated than urban dwellings. On average, there were 2.37 person per 1 dwelling in urban areas, while in rural areas 3.26, with Poland’s average being 2.66. Another indicator presenting dwelling </w:t>
      </w:r>
      <w:r w:rsidRPr="00BC2A12">
        <w:rPr>
          <w:lang w:val="en-US"/>
        </w:rPr>
        <w:lastRenderedPageBreak/>
        <w:t>population density i</w:t>
      </w:r>
      <w:r w:rsidR="000B3F20">
        <w:rPr>
          <w:lang w:val="en-US"/>
        </w:rPr>
        <w:t>s</w:t>
      </w:r>
      <w:r w:rsidRPr="00BC2A12">
        <w:rPr>
          <w:lang w:val="en-US"/>
        </w:rPr>
        <w:t xml:space="preserve"> the average number of person</w:t>
      </w:r>
      <w:r w:rsidR="000B3F20">
        <w:rPr>
          <w:lang w:val="en-US"/>
        </w:rPr>
        <w:t>s</w:t>
      </w:r>
      <w:r w:rsidRPr="00BC2A12">
        <w:rPr>
          <w:lang w:val="en-US"/>
        </w:rPr>
        <w:t xml:space="preserve"> per 1 room. For Poland, this indicato</w:t>
      </w:r>
      <w:r w:rsidR="000B3F20">
        <w:rPr>
          <w:lang w:val="en-US"/>
        </w:rPr>
        <w:t>r was at the level of 0.70</w:t>
      </w:r>
      <w:r w:rsidRPr="00BC2A12">
        <w:rPr>
          <w:lang w:val="en-US"/>
        </w:rPr>
        <w:t xml:space="preserve"> </w:t>
      </w:r>
      <w:r w:rsidR="000B3F20">
        <w:rPr>
          <w:lang w:val="en-US"/>
        </w:rPr>
        <w:t>and</w:t>
      </w:r>
      <w:r w:rsidRPr="00BC2A12">
        <w:rPr>
          <w:lang w:val="en-US"/>
        </w:rPr>
        <w:t xml:space="preserve"> in rural areas it was higher and amounted to 0.75, while in urban areas </w:t>
      </w:r>
      <w:r w:rsidR="000B3F20">
        <w:rPr>
          <w:lang w:val="en-US"/>
        </w:rPr>
        <w:t xml:space="preserve">– </w:t>
      </w:r>
      <w:r w:rsidRPr="00BC2A12">
        <w:rPr>
          <w:lang w:val="en-US"/>
        </w:rPr>
        <w:t>0.67 person per 1 room.</w:t>
      </w:r>
    </w:p>
    <w:p w:rsidR="00BC2A12" w:rsidRPr="00BC2A12" w:rsidRDefault="000B3F20" w:rsidP="00BC2A12">
      <w:pPr>
        <w:spacing w:before="0" w:after="0"/>
        <w:rPr>
          <w:rFonts w:eastAsia="Times New Roman" w:cs="Times New Roman"/>
          <w:bCs/>
          <w:szCs w:val="19"/>
          <w:lang w:val="en-US" w:eastAsia="pl-PL"/>
        </w:rPr>
      </w:pPr>
      <w:r w:rsidRPr="00596BDB">
        <w:rPr>
          <w:noProof/>
          <w:color w:val="212492"/>
          <w:spacing w:val="-2"/>
          <w:szCs w:val="19"/>
          <w:lang w:val="en-GB" w:eastAsia="en-GB"/>
        </w:rPr>
        <mc:AlternateContent>
          <mc:Choice Requires="wps">
            <w:drawing>
              <wp:anchor distT="45720" distB="45720" distL="114300" distR="114300" simplePos="0" relativeHeight="251784192" behindDoc="1" locked="0" layoutInCell="1" allowOverlap="1" wp14:anchorId="5AC5AC49" wp14:editId="6C6F58F0">
                <wp:simplePos x="0" y="0"/>
                <wp:positionH relativeFrom="rightMargin">
                  <wp:posOffset>2076</wp:posOffset>
                </wp:positionH>
                <wp:positionV relativeFrom="paragraph">
                  <wp:posOffset>18724</wp:posOffset>
                </wp:positionV>
                <wp:extent cx="1666875" cy="922020"/>
                <wp:effectExtent l="0" t="0" r="0" b="0"/>
                <wp:wrapTight wrapText="bothSides">
                  <wp:wrapPolygon edited="0">
                    <wp:start x="741" y="0"/>
                    <wp:lineTo x="741" y="20975"/>
                    <wp:lineTo x="20736" y="20975"/>
                    <wp:lineTo x="20736" y="0"/>
                    <wp:lineTo x="741" y="0"/>
                  </wp:wrapPolygon>
                </wp:wrapTight>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922020"/>
                        </a:xfrm>
                        <a:prstGeom prst="rect">
                          <a:avLst/>
                        </a:prstGeom>
                        <a:noFill/>
                        <a:ln w="9525">
                          <a:noFill/>
                          <a:miter lim="800000"/>
                          <a:headEnd/>
                          <a:tailEnd/>
                        </a:ln>
                      </wps:spPr>
                      <wps:txbx>
                        <w:txbxContent>
                          <w:p w:rsidR="006C5E56" w:rsidRPr="006C5D54" w:rsidRDefault="006C5E56" w:rsidP="006C5E56">
                            <w:pPr>
                              <w:pStyle w:val="tekstzboku"/>
                              <w:rPr>
                                <w:lang w:val="en-US"/>
                              </w:rPr>
                            </w:pPr>
                            <w:r w:rsidRPr="006C5E56">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ns increased in 2017 in Poland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5AC49" id="_x0000_s1030" type="#_x0000_t202" style="position:absolute;margin-left:.15pt;margin-top:1.45pt;width:131.25pt;height:72.6pt;z-index:-25153228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" filled="f" stroked="f">
                <v:textbox>
                  <w:txbxContent>
                    <w:p w:rsidR="006C5E56" w:rsidRPr="006C5D54" w:rsidRDefault="006C5E56" w:rsidP="006C5E56">
                      <w:pPr>
                        <w:pStyle w:val="tekstzboku"/>
                        <w:rPr>
                          <w:lang w:val="en-US"/>
                        </w:rPr>
                      </w:pPr>
                      <w:r w:rsidRPr="006C5E56">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Number of dwellings fitted with sanitary and technical installatio</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ns increased in 2017 in Poland</w:t>
                      </w:r>
                    </w:p>
                  </w:txbxContent>
                </v:textbox>
                <w10:wrap type="tight" anchorx="margin"/>
              </v:shape>
            </w:pict>
          </mc:Fallback>
        </mc:AlternateContent>
      </w:r>
    </w:p>
    <w:p w:rsidR="00BC2A12" w:rsidRPr="00BC2A12" w:rsidRDefault="00BC2A12" w:rsidP="00BC2A12">
      <w:pPr>
        <w:spacing w:before="0" w:after="0"/>
        <w:rPr>
          <w:rFonts w:eastAsia="Times New Roman" w:cs="Times New Roman"/>
          <w:bCs/>
          <w:szCs w:val="19"/>
          <w:lang w:val="en-US"/>
        </w:rPr>
      </w:pPr>
      <w:r w:rsidRPr="00BC2A12">
        <w:rPr>
          <w:lang w:val="en-US"/>
        </w:rPr>
        <w:t>Description of the dwelling stocks condition includes also the degree of fitting dwellings with sanitary and technical installations. An increasing percentage of dwellings fitted with sanitary and technical installations indicated an improvement in housing conditions of population.</w:t>
      </w:r>
      <w:r w:rsidR="006C5E56" w:rsidRPr="006C5E56">
        <w:rPr>
          <w:noProof/>
          <w:color w:val="212492"/>
          <w:spacing w:val="-2"/>
          <w:szCs w:val="19"/>
          <w:lang w:val="en-US" w:eastAsia="pl-PL"/>
        </w:rPr>
        <w:t xml:space="preserve"> </w:t>
      </w:r>
    </w:p>
    <w:p w:rsidR="00BC2A12" w:rsidRPr="007C0A59" w:rsidRDefault="00BC2A12" w:rsidP="00BC2A12">
      <w:pPr>
        <w:spacing w:before="0" w:after="0"/>
        <w:rPr>
          <w:rFonts w:eastAsia="Times New Roman" w:cs="Times New Roman"/>
          <w:bCs/>
          <w:szCs w:val="19"/>
          <w:lang w:val="en-US"/>
        </w:rPr>
      </w:pPr>
      <w:r w:rsidRPr="00BC2A12">
        <w:rPr>
          <w:lang w:val="en-US"/>
        </w:rPr>
        <w:t xml:space="preserve">Water supply system were fitted </w:t>
      </w:r>
      <w:r w:rsidRPr="007C0A59">
        <w:rPr>
          <w:lang w:val="en-US"/>
        </w:rPr>
        <w:t xml:space="preserve">in </w:t>
      </w:r>
      <w:r w:rsidRPr="007C0A59">
        <w:rPr>
          <w:bCs/>
          <w:szCs w:val="19"/>
          <w:lang w:val="en-US"/>
        </w:rPr>
        <w:t>96.8%</w:t>
      </w:r>
      <w:r w:rsidRPr="007C0A59">
        <w:rPr>
          <w:lang w:val="en-US"/>
        </w:rPr>
        <w:t xml:space="preserve"> of dwellings, lavatory in </w:t>
      </w:r>
      <w:r w:rsidRPr="007C0A59">
        <w:rPr>
          <w:bCs/>
          <w:szCs w:val="19"/>
          <w:lang w:val="en-US"/>
        </w:rPr>
        <w:t>93.7%</w:t>
      </w:r>
      <w:r w:rsidRPr="007C0A59">
        <w:rPr>
          <w:lang w:val="en-US"/>
        </w:rPr>
        <w:t xml:space="preserve"> and bathroom in</w:t>
      </w:r>
      <w:r w:rsidR="00A33451">
        <w:rPr>
          <w:lang w:val="en-US"/>
        </w:rPr>
        <w:t> </w:t>
      </w:r>
      <w:r w:rsidRPr="007C0A59">
        <w:rPr>
          <w:bCs/>
          <w:szCs w:val="19"/>
          <w:lang w:val="en-US"/>
        </w:rPr>
        <w:t>91.</w:t>
      </w:r>
      <w:r w:rsidR="007C0A59" w:rsidRPr="007C0A59">
        <w:rPr>
          <w:bCs/>
          <w:szCs w:val="19"/>
          <w:lang w:val="en-US"/>
        </w:rPr>
        <w:t>4</w:t>
      </w:r>
      <w:r w:rsidRPr="007C0A59">
        <w:rPr>
          <w:bCs/>
          <w:szCs w:val="19"/>
          <w:lang w:val="en-US"/>
        </w:rPr>
        <w:t>%</w:t>
      </w:r>
      <w:r w:rsidRPr="007C0A59">
        <w:rPr>
          <w:lang w:val="en-US"/>
        </w:rPr>
        <w:t xml:space="preserve">. </w:t>
      </w:r>
      <w:r w:rsidR="000B3F20">
        <w:rPr>
          <w:lang w:val="en-US"/>
        </w:rPr>
        <w:t>However</w:t>
      </w:r>
      <w:r w:rsidRPr="007C0A59">
        <w:rPr>
          <w:lang w:val="en-US"/>
        </w:rPr>
        <w:t xml:space="preserve">, every second dwelling was fitted with gas installation. </w:t>
      </w:r>
    </w:p>
    <w:p w:rsidR="00BC2A12" w:rsidRPr="00057D9A" w:rsidRDefault="00BC2A12" w:rsidP="00BC2A12">
      <w:pPr>
        <w:spacing w:before="0" w:after="0"/>
        <w:rPr>
          <w:rFonts w:eastAsia="Times New Roman" w:cs="Times New Roman"/>
          <w:bCs/>
          <w:szCs w:val="19"/>
          <w:lang w:val="en-US"/>
        </w:rPr>
      </w:pPr>
      <w:r w:rsidRPr="007C0A59">
        <w:rPr>
          <w:lang w:val="en-US"/>
        </w:rPr>
        <w:t xml:space="preserve">Disproportions in fitting dwellings with basic installations have been present between urban and rural areas. In urban areas, water supply system were fitted in </w:t>
      </w:r>
      <w:r w:rsidRPr="007C0A59">
        <w:rPr>
          <w:bCs/>
          <w:szCs w:val="19"/>
          <w:lang w:val="en-US"/>
        </w:rPr>
        <w:t>99.1%</w:t>
      </w:r>
      <w:r w:rsidRPr="007C0A59">
        <w:rPr>
          <w:lang w:val="en-US"/>
        </w:rPr>
        <w:t xml:space="preserve"> of dwellings, lavatory in </w:t>
      </w:r>
      <w:r w:rsidRPr="007C0A59">
        <w:rPr>
          <w:bCs/>
          <w:szCs w:val="19"/>
          <w:lang w:val="en-US"/>
        </w:rPr>
        <w:t>97.</w:t>
      </w:r>
      <w:r w:rsidR="007C0A59" w:rsidRPr="007C0A59">
        <w:rPr>
          <w:bCs/>
          <w:szCs w:val="19"/>
          <w:lang w:val="en-US"/>
        </w:rPr>
        <w:t>3</w:t>
      </w:r>
      <w:r w:rsidRPr="007C0A59">
        <w:rPr>
          <w:bCs/>
          <w:szCs w:val="19"/>
          <w:lang w:val="en-US"/>
        </w:rPr>
        <w:t>%</w:t>
      </w:r>
      <w:r w:rsidRPr="007C0A59">
        <w:rPr>
          <w:lang w:val="en-US"/>
        </w:rPr>
        <w:t xml:space="preserve"> and bathroom in </w:t>
      </w:r>
      <w:r w:rsidRPr="007C0A59">
        <w:rPr>
          <w:bCs/>
          <w:szCs w:val="19"/>
          <w:lang w:val="en-US"/>
        </w:rPr>
        <w:t>95.5%</w:t>
      </w:r>
      <w:r w:rsidRPr="007C0A59">
        <w:rPr>
          <w:lang w:val="en-US"/>
        </w:rPr>
        <w:t xml:space="preserve">. In rural areas </w:t>
      </w:r>
      <w:r w:rsidR="006C5D54">
        <w:rPr>
          <w:bCs/>
          <w:szCs w:val="19"/>
          <w:lang w:val="en-US"/>
        </w:rPr>
        <w:t>92.</w:t>
      </w:r>
      <w:r w:rsidR="007C0A59" w:rsidRPr="007C0A59">
        <w:rPr>
          <w:bCs/>
          <w:szCs w:val="19"/>
          <w:lang w:val="en-US"/>
        </w:rPr>
        <w:t>2</w:t>
      </w:r>
      <w:r w:rsidRPr="007C0A59">
        <w:rPr>
          <w:bCs/>
          <w:szCs w:val="19"/>
          <w:lang w:val="en-US"/>
        </w:rPr>
        <w:t>%</w:t>
      </w:r>
      <w:r w:rsidRPr="007C0A59">
        <w:rPr>
          <w:lang w:val="en-US"/>
        </w:rPr>
        <w:t xml:space="preserve"> of dwellings were connected to water supply system, </w:t>
      </w:r>
      <w:r w:rsidRPr="007C0A59">
        <w:rPr>
          <w:bCs/>
          <w:szCs w:val="19"/>
          <w:lang w:val="en-US"/>
        </w:rPr>
        <w:t>86.</w:t>
      </w:r>
      <w:r w:rsidR="007C0A59" w:rsidRPr="007C0A59">
        <w:rPr>
          <w:bCs/>
          <w:szCs w:val="19"/>
          <w:lang w:val="en-US"/>
        </w:rPr>
        <w:t>4</w:t>
      </w:r>
      <w:r w:rsidRPr="007C0A59">
        <w:rPr>
          <w:bCs/>
          <w:szCs w:val="19"/>
          <w:lang w:val="en-US"/>
        </w:rPr>
        <w:t>%</w:t>
      </w:r>
      <w:r w:rsidRPr="007C0A59">
        <w:rPr>
          <w:lang w:val="en-US"/>
        </w:rPr>
        <w:t xml:space="preserve"> dw</w:t>
      </w:r>
      <w:r w:rsidRPr="00BC2A12">
        <w:rPr>
          <w:lang w:val="en-US"/>
        </w:rPr>
        <w:t xml:space="preserve">ellings had </w:t>
      </w:r>
      <w:r w:rsidRPr="00057D9A">
        <w:rPr>
          <w:lang w:val="en-US"/>
        </w:rPr>
        <w:t xml:space="preserve">lavatory and </w:t>
      </w:r>
      <w:r w:rsidR="006C5D54">
        <w:rPr>
          <w:bCs/>
          <w:szCs w:val="19"/>
          <w:lang w:val="en-US"/>
        </w:rPr>
        <w:t>82.</w:t>
      </w:r>
      <w:r w:rsidR="007C0A59" w:rsidRPr="00057D9A">
        <w:rPr>
          <w:bCs/>
          <w:szCs w:val="19"/>
          <w:lang w:val="en-US"/>
        </w:rPr>
        <w:t>8</w:t>
      </w:r>
      <w:r w:rsidRPr="00057D9A">
        <w:rPr>
          <w:bCs/>
          <w:szCs w:val="19"/>
          <w:lang w:val="en-US"/>
        </w:rPr>
        <w:t>%</w:t>
      </w:r>
      <w:r w:rsidRPr="00057D9A">
        <w:rPr>
          <w:lang w:val="en-US"/>
        </w:rPr>
        <w:t xml:space="preserve"> had bathroom.</w:t>
      </w:r>
    </w:p>
    <w:p w:rsidR="00BC2A12" w:rsidRPr="00057D9A" w:rsidRDefault="00BC2A12" w:rsidP="00BC2A12">
      <w:pPr>
        <w:spacing w:before="0" w:after="0"/>
        <w:rPr>
          <w:rFonts w:eastAsia="Times New Roman" w:cs="Times New Roman"/>
          <w:bCs/>
          <w:szCs w:val="19"/>
          <w:lang w:val="en-US"/>
        </w:rPr>
      </w:pPr>
      <w:r w:rsidRPr="00057D9A">
        <w:rPr>
          <w:lang w:val="en-US"/>
        </w:rPr>
        <w:t xml:space="preserve">As compared to 2016, the largest increase of </w:t>
      </w:r>
      <w:r w:rsidRPr="00057D9A">
        <w:rPr>
          <w:bCs/>
          <w:szCs w:val="19"/>
          <w:lang w:val="en-US"/>
        </w:rPr>
        <w:t xml:space="preserve">1.4% </w:t>
      </w:r>
      <w:r w:rsidRPr="00057D9A">
        <w:rPr>
          <w:lang w:val="en-US"/>
        </w:rPr>
        <w:t>was observed in fitting dwelling</w:t>
      </w:r>
      <w:r w:rsidR="000B3F20">
        <w:rPr>
          <w:lang w:val="en-US"/>
        </w:rPr>
        <w:t>s</w:t>
      </w:r>
      <w:r w:rsidRPr="00057D9A">
        <w:rPr>
          <w:lang w:val="en-US"/>
        </w:rPr>
        <w:t xml:space="preserve"> with central heating. For dwellings located in rural areas this increase amounted to </w:t>
      </w:r>
      <w:r w:rsidRPr="00057D9A">
        <w:rPr>
          <w:bCs/>
          <w:szCs w:val="19"/>
          <w:lang w:val="en-US"/>
        </w:rPr>
        <w:t>1.5%</w:t>
      </w:r>
      <w:r w:rsidRPr="00057D9A">
        <w:rPr>
          <w:lang w:val="en-US"/>
        </w:rPr>
        <w:t xml:space="preserve">, while in urban areas  – </w:t>
      </w:r>
      <w:r w:rsidRPr="00057D9A">
        <w:rPr>
          <w:bCs/>
          <w:szCs w:val="19"/>
          <w:lang w:val="en-US"/>
        </w:rPr>
        <w:t>1.4%</w:t>
      </w:r>
      <w:r w:rsidRPr="00057D9A">
        <w:rPr>
          <w:lang w:val="en-US"/>
        </w:rPr>
        <w:t xml:space="preserve">. </w:t>
      </w:r>
    </w:p>
    <w:p w:rsidR="00BC2A12" w:rsidRPr="00057D9A" w:rsidRDefault="00BC2A12" w:rsidP="00BC2A12">
      <w:pPr>
        <w:spacing w:before="0" w:after="0"/>
        <w:rPr>
          <w:rFonts w:eastAsia="Times New Roman" w:cs="Times New Roman"/>
          <w:bCs/>
          <w:szCs w:val="19"/>
          <w:lang w:val="en-US"/>
        </w:rPr>
      </w:pPr>
      <w:r w:rsidRPr="00057D9A">
        <w:rPr>
          <w:lang w:val="en-US"/>
        </w:rPr>
        <w:t xml:space="preserve">Number of dwellings fitted with gas from gas supply system increased, as compared to 2016, by </w:t>
      </w:r>
      <w:r w:rsidR="00057D9A" w:rsidRPr="00057D9A">
        <w:rPr>
          <w:lang w:val="en-US"/>
        </w:rPr>
        <w:t>1.3</w:t>
      </w:r>
      <w:r w:rsidRPr="00057D9A">
        <w:rPr>
          <w:bCs/>
          <w:szCs w:val="19"/>
          <w:lang w:val="en-US"/>
        </w:rPr>
        <w:t>%</w:t>
      </w:r>
      <w:r w:rsidRPr="00057D9A">
        <w:rPr>
          <w:lang w:val="en-US"/>
        </w:rPr>
        <w:t>, of which in rural areas the percentage increase was higher (</w:t>
      </w:r>
      <w:r w:rsidR="00057D9A" w:rsidRPr="00057D9A">
        <w:rPr>
          <w:bCs/>
          <w:szCs w:val="19"/>
          <w:lang w:val="en-US"/>
        </w:rPr>
        <w:t>by 2</w:t>
      </w:r>
      <w:r w:rsidRPr="00057D9A">
        <w:rPr>
          <w:bCs/>
          <w:szCs w:val="19"/>
          <w:lang w:val="en-US"/>
        </w:rPr>
        <w:t>.9%</w:t>
      </w:r>
      <w:r w:rsidRPr="00057D9A">
        <w:rPr>
          <w:lang w:val="en-US"/>
        </w:rPr>
        <w:t xml:space="preserve">) than in urban areas (by </w:t>
      </w:r>
      <w:r w:rsidR="00057D9A" w:rsidRPr="00057D9A">
        <w:rPr>
          <w:bCs/>
          <w:szCs w:val="19"/>
          <w:lang w:val="en-US"/>
        </w:rPr>
        <w:t>1.0</w:t>
      </w:r>
      <w:r w:rsidRPr="00057D9A">
        <w:rPr>
          <w:bCs/>
          <w:szCs w:val="19"/>
          <w:lang w:val="en-US"/>
        </w:rPr>
        <w:t>%</w:t>
      </w:r>
      <w:r w:rsidRPr="00057D9A">
        <w:rPr>
          <w:lang w:val="en-US"/>
        </w:rPr>
        <w:t>).</w:t>
      </w:r>
    </w:p>
    <w:p w:rsidR="00BC2A12" w:rsidRPr="00BC2A12" w:rsidRDefault="00BC2A12" w:rsidP="00BC2A12">
      <w:pPr>
        <w:spacing w:before="0" w:after="0"/>
        <w:rPr>
          <w:rFonts w:eastAsia="Times New Roman" w:cs="Times New Roman"/>
          <w:bCs/>
          <w:szCs w:val="19"/>
          <w:lang w:val="en-US" w:eastAsia="pl-PL"/>
        </w:rPr>
      </w:pPr>
    </w:p>
    <w:p w:rsidR="00BC2A12" w:rsidRPr="004205F1" w:rsidRDefault="004205F1" w:rsidP="00BC2A12">
      <w:pPr>
        <w:spacing w:before="0" w:after="0"/>
        <w:rPr>
          <w:rFonts w:eastAsia="Times New Roman" w:cs="Times New Roman"/>
          <w:bCs/>
          <w:szCs w:val="19"/>
          <w:lang w:val="en-US" w:eastAsia="pl-PL"/>
        </w:rPr>
      </w:pPr>
      <w:r w:rsidRPr="004205F1">
        <w:rPr>
          <w:b/>
          <w:spacing w:val="-2"/>
          <w:sz w:val="18"/>
          <w:lang w:val="en-US"/>
        </w:rPr>
        <w:t>Chart</w:t>
      </w:r>
      <w:r w:rsidR="00BC2A12" w:rsidRPr="004205F1">
        <w:rPr>
          <w:b/>
          <w:spacing w:val="-2"/>
          <w:sz w:val="18"/>
          <w:lang w:val="en-US"/>
        </w:rPr>
        <w:t xml:space="preserve"> 1. </w:t>
      </w:r>
      <w:r w:rsidRPr="004205F1">
        <w:rPr>
          <w:b/>
          <w:spacing w:val="-2"/>
          <w:sz w:val="18"/>
          <w:lang w:val="en-US"/>
        </w:rPr>
        <w:t>Dwellings fitted with installations</w:t>
      </w:r>
      <w:r w:rsidR="00BC2A12" w:rsidRPr="004205F1">
        <w:rPr>
          <w:b/>
          <w:spacing w:val="-2"/>
          <w:sz w:val="18"/>
          <w:lang w:val="en-US"/>
        </w:rPr>
        <w:t xml:space="preserve"> </w:t>
      </w:r>
      <w:r w:rsidRPr="004205F1">
        <w:rPr>
          <w:b/>
          <w:spacing w:val="-2"/>
          <w:sz w:val="18"/>
          <w:lang w:val="en-US"/>
        </w:rPr>
        <w:t>in</w:t>
      </w:r>
      <w:r w:rsidR="00BC2A12" w:rsidRPr="004205F1">
        <w:rPr>
          <w:b/>
          <w:spacing w:val="-2"/>
          <w:sz w:val="18"/>
          <w:lang w:val="en-US"/>
        </w:rPr>
        <w:t xml:space="preserve"> % </w:t>
      </w:r>
      <w:r>
        <w:rPr>
          <w:b/>
          <w:spacing w:val="-2"/>
          <w:sz w:val="18"/>
          <w:lang w:val="en-US"/>
        </w:rPr>
        <w:t>of total in</w:t>
      </w:r>
      <w:r w:rsidR="00BC2A12" w:rsidRPr="004205F1">
        <w:rPr>
          <w:b/>
          <w:spacing w:val="-2"/>
          <w:sz w:val="18"/>
          <w:lang w:val="en-US"/>
        </w:rPr>
        <w:t xml:space="preserve"> 2017 (</w:t>
      </w:r>
      <w:r>
        <w:rPr>
          <w:b/>
          <w:spacing w:val="-2"/>
          <w:sz w:val="18"/>
          <w:lang w:val="en-US"/>
        </w:rPr>
        <w:t xml:space="preserve">as of </w:t>
      </w:r>
      <w:r w:rsidR="00BC2A12" w:rsidRPr="004205F1">
        <w:rPr>
          <w:b/>
          <w:spacing w:val="-2"/>
          <w:sz w:val="18"/>
          <w:lang w:val="en-US"/>
        </w:rPr>
        <w:t>31 XII)</w:t>
      </w: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r>
        <w:rPr>
          <w:noProof/>
          <w:lang w:val="en-GB" w:eastAsia="en-GB"/>
        </w:rPr>
        <w:drawing>
          <wp:anchor distT="0" distB="0" distL="114300" distR="114300" simplePos="0" relativeHeight="251782144" behindDoc="0" locked="0" layoutInCell="1" allowOverlap="1" wp14:anchorId="6CF3DB5E" wp14:editId="6233A354">
            <wp:simplePos x="0" y="0"/>
            <wp:positionH relativeFrom="margin">
              <wp:posOffset>242048</wp:posOffset>
            </wp:positionH>
            <wp:positionV relativeFrom="paragraph">
              <wp:posOffset>3949</wp:posOffset>
            </wp:positionV>
            <wp:extent cx="4518212" cy="2220685"/>
            <wp:effectExtent l="0" t="0" r="0" b="8255"/>
            <wp:wrapNone/>
            <wp:docPr id="15"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4205F1" w:rsidRDefault="00BC2A12" w:rsidP="00BC2A12">
      <w:pPr>
        <w:spacing w:before="0" w:after="0"/>
        <w:rPr>
          <w:rFonts w:eastAsia="Times New Roman" w:cs="Times New Roman"/>
          <w:bCs/>
          <w:szCs w:val="19"/>
          <w:lang w:val="en-US" w:eastAsia="pl-PL"/>
        </w:rPr>
      </w:pPr>
    </w:p>
    <w:p w:rsidR="00BC2A12" w:rsidRPr="00BC2A12" w:rsidRDefault="004B2628" w:rsidP="00BC2A12">
      <w:pPr>
        <w:pStyle w:val="Nagwek1"/>
        <w:spacing w:before="0" w:after="0"/>
        <w:rPr>
          <w:rFonts w:ascii="Fira Sans" w:hAnsi="Fira Sans"/>
          <w:b/>
          <w:lang w:val="en-US"/>
        </w:rPr>
      </w:pPr>
      <w:r>
        <w:rPr>
          <w:b/>
          <w:noProof/>
          <w:szCs w:val="19"/>
          <w:lang w:val="en-GB" w:eastAsia="en-GB"/>
        </w:rPr>
        <mc:AlternateContent>
          <mc:Choice Requires="wps">
            <w:drawing>
              <wp:anchor distT="45720" distB="45720" distL="114300" distR="114300" simplePos="0" relativeHeight="251776000" behindDoc="1" locked="0" layoutInCell="1" allowOverlap="1" wp14:anchorId="23E2F718" wp14:editId="552E2564">
                <wp:simplePos x="0" y="0"/>
                <wp:positionH relativeFrom="rightMargin">
                  <wp:posOffset>24113</wp:posOffset>
                </wp:positionH>
                <wp:positionV relativeFrom="paragraph">
                  <wp:posOffset>91337</wp:posOffset>
                </wp:positionV>
                <wp:extent cx="1667510" cy="1298575"/>
                <wp:effectExtent l="0" t="0" r="0" b="0"/>
                <wp:wrapTight wrapText="bothSides">
                  <wp:wrapPolygon edited="0">
                    <wp:start x="740" y="0"/>
                    <wp:lineTo x="740" y="21230"/>
                    <wp:lineTo x="20728" y="21230"/>
                    <wp:lineTo x="20728" y="0"/>
                    <wp:lineTo x="74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298575"/>
                        </a:xfrm>
                        <a:prstGeom prst="rect">
                          <a:avLst/>
                        </a:prstGeom>
                        <a:noFill/>
                        <a:ln w="9525">
                          <a:noFill/>
                          <a:miter lim="800000"/>
                          <a:headEnd/>
                          <a:tailEnd/>
                        </a:ln>
                      </wps:spPr>
                      <wps:txb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compared to the previous year, the number of social premises increased by 4.2%. Its</w:t>
                            </w:r>
                            <w:r w:rsidR="004B2628"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average useful floor areas amounted to 33 m</w:t>
                            </w:r>
                            <w:r w:rsidRPr="004407E0">
                              <w:rPr>
                                <w:vertAlign w:val="superscript"/>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2F718" id="Pole tekstowe 5" o:spid="_x0000_s1031" type="#_x0000_t202" style="position:absolute;margin-left:1.9pt;margin-top:7.2pt;width:131.3pt;height:102.25pt;z-index:-251540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" filled="f" stroked="f">
                <v:textbo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compared to the previous year, the number of social premises increased by 4.2%. Its</w:t>
                      </w:r>
                      <w:r w:rsidR="004B2628"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average useful floor areas amounted to 33 m</w:t>
                      </w:r>
                      <w:r w:rsidRPr="004407E0">
                        <w:rPr>
                          <w:vertAlign w:val="superscript"/>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2</w:t>
                      </w:r>
                    </w:p>
                  </w:txbxContent>
                </v:textbox>
                <w10:wrap type="tight" anchorx="margin"/>
              </v:shape>
            </w:pict>
          </mc:Fallback>
        </mc:AlternateContent>
      </w:r>
      <w:r w:rsidR="00BC2A12" w:rsidRPr="00BC2A12">
        <w:rPr>
          <w:rFonts w:ascii="Fira Sans" w:hAnsi="Fira Sans"/>
          <w:b/>
          <w:lang w:val="en-US"/>
        </w:rPr>
        <w:t>Social premises</w:t>
      </w:r>
    </w:p>
    <w:p w:rsidR="00BC2A12" w:rsidRPr="00BC2A12" w:rsidRDefault="00BC2A12" w:rsidP="00BC2A12">
      <w:pPr>
        <w:spacing w:before="0" w:after="0" w:line="240" w:lineRule="auto"/>
        <w:rPr>
          <w:sz w:val="12"/>
          <w:szCs w:val="12"/>
          <w:lang w:val="en-US" w:eastAsia="pl-PL"/>
        </w:rPr>
      </w:pPr>
    </w:p>
    <w:p w:rsidR="00BC2A12" w:rsidRPr="00BC2A12" w:rsidRDefault="00BC2A12" w:rsidP="00BC2A12">
      <w:pPr>
        <w:spacing w:before="0" w:after="0"/>
        <w:rPr>
          <w:shd w:val="clear" w:color="auto" w:fill="FFFFFF"/>
          <w:lang w:val="en-US"/>
        </w:rPr>
      </w:pPr>
      <w:r w:rsidRPr="00BC2A12">
        <w:rPr>
          <w:shd w:val="clear" w:color="auto" w:fill="FFFFFF"/>
          <w:lang w:val="en-US"/>
        </w:rPr>
        <w:t>Social premises are a form of State aid for persons unable to independently maintain a dwelling due to poverty or for the homeless persons. Gmina is responsible for providing (renting) them. In 2017, gmina stocks had 98.6 thous. social premises with the total useful area of 3</w:t>
      </w:r>
      <w:r w:rsidRPr="00BC2A12">
        <w:rPr>
          <w:sz w:val="16"/>
          <w:szCs w:val="16"/>
          <w:lang w:val="en-US"/>
        </w:rPr>
        <w:t> </w:t>
      </w:r>
      <w:r w:rsidRPr="00BC2A12">
        <w:rPr>
          <w:shd w:val="clear" w:color="auto" w:fill="FFFFFF"/>
          <w:lang w:val="en-US"/>
        </w:rPr>
        <w:t>257.3 thous. m</w:t>
      </w:r>
      <w:r w:rsidRPr="00BC2A12">
        <w:rPr>
          <w:shd w:val="clear" w:color="auto" w:fill="FFFFFF"/>
          <w:vertAlign w:val="superscript"/>
          <w:lang w:val="en-US"/>
        </w:rPr>
        <w:t>2</w:t>
      </w:r>
      <w:r w:rsidRPr="00BC2A12">
        <w:rPr>
          <w:shd w:val="clear" w:color="auto" w:fill="FFFFFF"/>
          <w:lang w:val="en-US"/>
        </w:rPr>
        <w:t>.</w:t>
      </w:r>
    </w:p>
    <w:p w:rsidR="00BC2A12" w:rsidRPr="00BC2A12" w:rsidRDefault="00BC2A12" w:rsidP="00BC2A12">
      <w:pPr>
        <w:spacing w:before="0" w:after="0" w:line="240" w:lineRule="auto"/>
        <w:rPr>
          <w:shd w:val="clear" w:color="auto" w:fill="FFFFFF"/>
          <w:lang w:val="en-US"/>
        </w:rPr>
      </w:pPr>
    </w:p>
    <w:p w:rsidR="00BC2A12" w:rsidRDefault="00BC2A12" w:rsidP="00BC2A12">
      <w:pPr>
        <w:spacing w:before="0" w:after="0"/>
        <w:rPr>
          <w:spacing w:val="-2"/>
          <w:sz w:val="18"/>
        </w:rPr>
      </w:pPr>
      <w:r w:rsidRPr="007A38B8">
        <w:rPr>
          <w:b/>
          <w:spacing w:val="-2"/>
          <w:sz w:val="18"/>
        </w:rPr>
        <w:t>Tabl</w:t>
      </w:r>
      <w:r w:rsidR="004C0398">
        <w:rPr>
          <w:b/>
          <w:spacing w:val="-2"/>
          <w:sz w:val="18"/>
        </w:rPr>
        <w:t>e</w:t>
      </w:r>
      <w:r w:rsidRPr="007A38B8">
        <w:rPr>
          <w:b/>
          <w:spacing w:val="-2"/>
          <w:sz w:val="18"/>
        </w:rPr>
        <w:t xml:space="preserve"> </w:t>
      </w:r>
      <w:r w:rsidR="006C5D54">
        <w:rPr>
          <w:b/>
          <w:spacing w:val="-2"/>
          <w:sz w:val="18"/>
        </w:rPr>
        <w:t>2</w:t>
      </w:r>
      <w:r w:rsidRPr="007A38B8">
        <w:rPr>
          <w:b/>
          <w:spacing w:val="-2"/>
          <w:sz w:val="18"/>
        </w:rPr>
        <w:t xml:space="preserve">. </w:t>
      </w:r>
      <w:r w:rsidR="004C0398">
        <w:rPr>
          <w:b/>
          <w:spacing w:val="-2"/>
          <w:sz w:val="18"/>
        </w:rPr>
        <w:t>Social premises</w:t>
      </w:r>
    </w:p>
    <w:p w:rsidR="00BC2A12" w:rsidRPr="00F0243D" w:rsidRDefault="00BC2A12" w:rsidP="00BC2A12">
      <w:pPr>
        <w:spacing w:before="0" w:after="0" w:line="240" w:lineRule="auto"/>
        <w:rPr>
          <w:sz w:val="12"/>
          <w:szCs w:val="12"/>
          <w:lang w:eastAsia="pl-PL"/>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253"/>
        <w:gridCol w:w="850"/>
        <w:gridCol w:w="989"/>
        <w:gridCol w:w="854"/>
        <w:gridCol w:w="932"/>
      </w:tblGrid>
      <w:tr w:rsidR="00BC2A12" w:rsidRPr="00FC248A" w:rsidTr="00C8541A">
        <w:trPr>
          <w:trHeight w:val="315"/>
        </w:trPr>
        <w:tc>
          <w:tcPr>
            <w:tcW w:w="4253" w:type="dxa"/>
            <w:tcBorders>
              <w:top w:val="nil"/>
              <w:bottom w:val="single" w:sz="12" w:space="0" w:color="001D77"/>
            </w:tcBorders>
            <w:shd w:val="clear" w:color="auto" w:fill="auto"/>
            <w:vAlign w:val="center"/>
            <w:hideMark/>
          </w:tcPr>
          <w:p w:rsidR="00BC2A12" w:rsidRPr="00FC248A" w:rsidRDefault="004C0398" w:rsidP="00C8541A">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850" w:type="dxa"/>
            <w:tcBorders>
              <w:top w:val="nil"/>
              <w:bottom w:val="single" w:sz="12" w:space="0" w:color="001D77"/>
            </w:tcBorders>
            <w:shd w:val="clear" w:color="auto" w:fill="auto"/>
            <w:vAlign w:val="center"/>
            <w:hideMark/>
          </w:tcPr>
          <w:p w:rsidR="00BC2A12" w:rsidRPr="00FC248A" w:rsidRDefault="00BC2A12" w:rsidP="00C8541A">
            <w:pPr>
              <w:spacing w:before="0" w:after="0"/>
              <w:jc w:val="center"/>
              <w:rPr>
                <w:rFonts w:eastAsia="Times New Roman" w:cs="Calibri"/>
                <w:sz w:val="16"/>
                <w:szCs w:val="16"/>
                <w:lang w:eastAsia="pl-PL"/>
              </w:rPr>
            </w:pPr>
            <w:r w:rsidRPr="00FC248A">
              <w:rPr>
                <w:rFonts w:eastAsia="Times New Roman" w:cs="Calibri"/>
                <w:sz w:val="16"/>
                <w:szCs w:val="16"/>
                <w:lang w:eastAsia="pl-PL"/>
              </w:rPr>
              <w:t>2014</w:t>
            </w:r>
          </w:p>
        </w:tc>
        <w:tc>
          <w:tcPr>
            <w:tcW w:w="989" w:type="dxa"/>
            <w:tcBorders>
              <w:top w:val="nil"/>
              <w:bottom w:val="single" w:sz="12" w:space="0" w:color="001D77"/>
            </w:tcBorders>
            <w:shd w:val="clear" w:color="auto" w:fill="auto"/>
            <w:vAlign w:val="center"/>
            <w:hideMark/>
          </w:tcPr>
          <w:p w:rsidR="00BC2A12" w:rsidRPr="00FC248A" w:rsidRDefault="00BC2A12" w:rsidP="00C8541A">
            <w:pPr>
              <w:spacing w:before="0" w:after="0"/>
              <w:jc w:val="center"/>
              <w:rPr>
                <w:rFonts w:eastAsia="Times New Roman" w:cs="Calibri"/>
                <w:sz w:val="16"/>
                <w:szCs w:val="16"/>
                <w:lang w:eastAsia="pl-PL"/>
              </w:rPr>
            </w:pPr>
            <w:r w:rsidRPr="00FC248A">
              <w:rPr>
                <w:rFonts w:eastAsia="Times New Roman" w:cs="Calibri"/>
                <w:sz w:val="16"/>
                <w:szCs w:val="16"/>
                <w:lang w:eastAsia="pl-PL"/>
              </w:rPr>
              <w:t>2015</w:t>
            </w:r>
          </w:p>
        </w:tc>
        <w:tc>
          <w:tcPr>
            <w:tcW w:w="854" w:type="dxa"/>
            <w:tcBorders>
              <w:top w:val="nil"/>
              <w:bottom w:val="single" w:sz="12" w:space="0" w:color="001D77"/>
            </w:tcBorders>
            <w:shd w:val="clear" w:color="auto" w:fill="auto"/>
            <w:vAlign w:val="center"/>
            <w:hideMark/>
          </w:tcPr>
          <w:p w:rsidR="00BC2A12" w:rsidRPr="00FC248A" w:rsidRDefault="00BC2A12" w:rsidP="00C8541A">
            <w:pPr>
              <w:spacing w:before="0" w:after="0"/>
              <w:jc w:val="center"/>
              <w:rPr>
                <w:rFonts w:eastAsia="Times New Roman" w:cs="Calibri"/>
                <w:sz w:val="16"/>
                <w:szCs w:val="16"/>
                <w:lang w:eastAsia="pl-PL"/>
              </w:rPr>
            </w:pPr>
            <w:r w:rsidRPr="00FC248A">
              <w:rPr>
                <w:rFonts w:eastAsia="Times New Roman" w:cs="Calibri"/>
                <w:sz w:val="16"/>
                <w:szCs w:val="16"/>
                <w:lang w:eastAsia="pl-PL"/>
              </w:rPr>
              <w:t>2016</w:t>
            </w:r>
          </w:p>
        </w:tc>
        <w:tc>
          <w:tcPr>
            <w:tcW w:w="932" w:type="dxa"/>
            <w:tcBorders>
              <w:top w:val="nil"/>
              <w:bottom w:val="single" w:sz="12" w:space="0" w:color="001D77"/>
            </w:tcBorders>
            <w:shd w:val="clear" w:color="auto" w:fill="auto"/>
            <w:vAlign w:val="center"/>
            <w:hideMark/>
          </w:tcPr>
          <w:p w:rsidR="00BC2A12" w:rsidRPr="00FC248A" w:rsidRDefault="00BC2A12" w:rsidP="00C8541A">
            <w:pPr>
              <w:spacing w:before="0" w:after="0"/>
              <w:jc w:val="center"/>
              <w:rPr>
                <w:rFonts w:eastAsia="Times New Roman" w:cs="Calibri"/>
                <w:sz w:val="16"/>
                <w:szCs w:val="16"/>
                <w:lang w:eastAsia="pl-PL"/>
              </w:rPr>
            </w:pPr>
            <w:r w:rsidRPr="00FC248A">
              <w:rPr>
                <w:rFonts w:eastAsia="Times New Roman" w:cs="Calibri"/>
                <w:sz w:val="16"/>
                <w:szCs w:val="16"/>
                <w:lang w:eastAsia="pl-PL"/>
              </w:rPr>
              <w:t>2017</w:t>
            </w:r>
          </w:p>
        </w:tc>
      </w:tr>
      <w:tr w:rsidR="00BC2A12" w:rsidRPr="00FC248A" w:rsidTr="00C8541A">
        <w:trPr>
          <w:trHeight w:val="330"/>
        </w:trPr>
        <w:tc>
          <w:tcPr>
            <w:tcW w:w="4253" w:type="dxa"/>
            <w:tcBorders>
              <w:top w:val="single" w:sz="12" w:space="0" w:color="001D77"/>
              <w:bottom w:val="single" w:sz="4" w:space="0" w:color="2F5496" w:themeColor="accent5" w:themeShade="BF"/>
            </w:tcBorders>
            <w:shd w:val="clear" w:color="auto" w:fill="auto"/>
            <w:vAlign w:val="center"/>
            <w:hideMark/>
          </w:tcPr>
          <w:p w:rsidR="00BC2A12" w:rsidRPr="00FC248A" w:rsidRDefault="004C0398" w:rsidP="00C8541A">
            <w:pPr>
              <w:spacing w:before="0" w:after="0"/>
              <w:rPr>
                <w:rFonts w:eastAsia="Times New Roman" w:cs="Calibri"/>
                <w:sz w:val="16"/>
                <w:szCs w:val="16"/>
                <w:lang w:eastAsia="pl-PL"/>
              </w:rPr>
            </w:pPr>
            <w:r>
              <w:rPr>
                <w:rFonts w:eastAsia="Times New Roman" w:cs="Calibri"/>
                <w:sz w:val="16"/>
                <w:szCs w:val="16"/>
                <w:lang w:eastAsia="pl-PL"/>
              </w:rPr>
              <w:t>Number of social premises</w:t>
            </w:r>
          </w:p>
        </w:tc>
        <w:tc>
          <w:tcPr>
            <w:tcW w:w="850" w:type="dxa"/>
            <w:tcBorders>
              <w:top w:val="single" w:sz="12"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86 334</w:t>
            </w:r>
          </w:p>
        </w:tc>
        <w:tc>
          <w:tcPr>
            <w:tcW w:w="989" w:type="dxa"/>
            <w:tcBorders>
              <w:top w:val="single" w:sz="12"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91 706</w:t>
            </w:r>
          </w:p>
        </w:tc>
        <w:tc>
          <w:tcPr>
            <w:tcW w:w="854" w:type="dxa"/>
            <w:tcBorders>
              <w:top w:val="single" w:sz="12"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94 651</w:t>
            </w:r>
          </w:p>
        </w:tc>
        <w:tc>
          <w:tcPr>
            <w:tcW w:w="932" w:type="dxa"/>
            <w:tcBorders>
              <w:top w:val="single" w:sz="12"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98 631</w:t>
            </w:r>
          </w:p>
        </w:tc>
      </w:tr>
      <w:tr w:rsidR="00BC2A12" w:rsidRPr="00FC248A" w:rsidTr="00C8541A">
        <w:trPr>
          <w:trHeight w:val="315"/>
        </w:trPr>
        <w:tc>
          <w:tcPr>
            <w:tcW w:w="4253"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4C0398" w:rsidP="004C0398">
            <w:pPr>
              <w:spacing w:before="0" w:after="0"/>
              <w:rPr>
                <w:rFonts w:eastAsia="Times New Roman" w:cs="Calibri"/>
                <w:sz w:val="16"/>
                <w:szCs w:val="16"/>
                <w:lang w:eastAsia="pl-PL"/>
              </w:rPr>
            </w:pPr>
            <w:r>
              <w:rPr>
                <w:rFonts w:eastAsia="Times New Roman" w:cs="Calibri"/>
                <w:sz w:val="16"/>
                <w:szCs w:val="16"/>
                <w:lang w:eastAsia="pl-PL"/>
              </w:rPr>
              <w:t>Previous year</w:t>
            </w:r>
            <w:r w:rsidR="00BC2A12" w:rsidRPr="00FC248A">
              <w:rPr>
                <w:rFonts w:eastAsia="Times New Roman" w:cs="Calibri"/>
                <w:sz w:val="16"/>
                <w:szCs w:val="16"/>
                <w:lang w:eastAsia="pl-PL"/>
              </w:rPr>
              <w:t xml:space="preserve"> = 100</w:t>
            </w:r>
          </w:p>
        </w:tc>
        <w:tc>
          <w:tcPr>
            <w:tcW w:w="850"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 103.</w:t>
            </w:r>
            <w:r w:rsidR="00BC2A12" w:rsidRPr="00FC248A">
              <w:rPr>
                <w:rFonts w:eastAsia="Times New Roman" w:cs="Calibri"/>
                <w:sz w:val="16"/>
                <w:szCs w:val="16"/>
                <w:lang w:eastAsia="pl-PL"/>
              </w:rPr>
              <w:t>7</w:t>
            </w:r>
          </w:p>
        </w:tc>
        <w:tc>
          <w:tcPr>
            <w:tcW w:w="989"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 106.</w:t>
            </w:r>
            <w:r w:rsidR="00BC2A12" w:rsidRPr="00FC248A">
              <w:rPr>
                <w:rFonts w:eastAsia="Times New Roman" w:cs="Calibri"/>
                <w:sz w:val="16"/>
                <w:szCs w:val="16"/>
                <w:lang w:eastAsia="pl-PL"/>
              </w:rPr>
              <w:t>2</w:t>
            </w:r>
          </w:p>
        </w:tc>
        <w:tc>
          <w:tcPr>
            <w:tcW w:w="854"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 103.</w:t>
            </w:r>
            <w:r w:rsidR="00BC2A12" w:rsidRPr="00FC248A">
              <w:rPr>
                <w:rFonts w:eastAsia="Times New Roman" w:cs="Calibri"/>
                <w:sz w:val="16"/>
                <w:szCs w:val="16"/>
                <w:lang w:eastAsia="pl-PL"/>
              </w:rPr>
              <w:t>2</w:t>
            </w:r>
          </w:p>
        </w:tc>
        <w:tc>
          <w:tcPr>
            <w:tcW w:w="932"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 104.</w:t>
            </w:r>
            <w:r w:rsidR="00BC2A12" w:rsidRPr="00FC248A">
              <w:rPr>
                <w:rFonts w:eastAsia="Times New Roman" w:cs="Calibri"/>
                <w:sz w:val="16"/>
                <w:szCs w:val="16"/>
                <w:lang w:eastAsia="pl-PL"/>
              </w:rPr>
              <w:t>2</w:t>
            </w:r>
          </w:p>
        </w:tc>
      </w:tr>
      <w:tr w:rsidR="00BC2A12" w:rsidRPr="00FC248A" w:rsidTr="00C8541A">
        <w:trPr>
          <w:trHeight w:val="315"/>
        </w:trPr>
        <w:tc>
          <w:tcPr>
            <w:tcW w:w="4253" w:type="dxa"/>
            <w:tcBorders>
              <w:top w:val="single" w:sz="4" w:space="0" w:color="2F5496" w:themeColor="accent5" w:themeShade="BF"/>
            </w:tcBorders>
            <w:shd w:val="clear" w:color="auto" w:fill="auto"/>
            <w:vAlign w:val="center"/>
          </w:tcPr>
          <w:p w:rsidR="00BC2A12" w:rsidRPr="004C0398" w:rsidRDefault="004C0398" w:rsidP="004C0398">
            <w:pPr>
              <w:spacing w:before="0" w:after="0"/>
              <w:rPr>
                <w:rFonts w:eastAsia="Times New Roman" w:cs="Calibri"/>
                <w:sz w:val="16"/>
                <w:szCs w:val="16"/>
                <w:vertAlign w:val="superscript"/>
                <w:lang w:val="en-US" w:eastAsia="pl-PL"/>
              </w:rPr>
            </w:pPr>
            <w:r w:rsidRPr="004C0398">
              <w:rPr>
                <w:rFonts w:eastAsia="Times New Roman" w:cs="Calibri"/>
                <w:sz w:val="16"/>
                <w:szCs w:val="16"/>
                <w:lang w:val="en-US" w:eastAsia="pl-PL"/>
              </w:rPr>
              <w:t>Average useful floor area of premises in</w:t>
            </w:r>
            <w:r w:rsidR="00BC2A12" w:rsidRPr="004C0398">
              <w:rPr>
                <w:rFonts w:eastAsia="Times New Roman" w:cs="Calibri"/>
                <w:sz w:val="16"/>
                <w:szCs w:val="16"/>
                <w:lang w:val="en-US" w:eastAsia="pl-PL"/>
              </w:rPr>
              <w:t xml:space="preserve"> m</w:t>
            </w:r>
            <w:r w:rsidR="00BC2A12" w:rsidRPr="004C0398">
              <w:rPr>
                <w:rFonts w:eastAsia="Times New Roman" w:cs="Calibri"/>
                <w:sz w:val="16"/>
                <w:szCs w:val="16"/>
                <w:vertAlign w:val="superscript"/>
                <w:lang w:val="en-US" w:eastAsia="pl-PL"/>
              </w:rPr>
              <w:t>2</w:t>
            </w:r>
          </w:p>
        </w:tc>
        <w:tc>
          <w:tcPr>
            <w:tcW w:w="850" w:type="dxa"/>
            <w:tcBorders>
              <w:top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32.</w:t>
            </w:r>
            <w:r w:rsidR="00BC2A12" w:rsidRPr="00FC248A">
              <w:rPr>
                <w:rFonts w:eastAsia="Times New Roman" w:cs="Calibri"/>
                <w:sz w:val="16"/>
                <w:szCs w:val="16"/>
                <w:lang w:eastAsia="pl-PL"/>
              </w:rPr>
              <w:t>6</w:t>
            </w:r>
          </w:p>
        </w:tc>
        <w:tc>
          <w:tcPr>
            <w:tcW w:w="989" w:type="dxa"/>
            <w:tcBorders>
              <w:top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32.</w:t>
            </w:r>
            <w:r w:rsidR="00BC2A12" w:rsidRPr="00FC248A">
              <w:rPr>
                <w:rFonts w:eastAsia="Times New Roman" w:cs="Calibri"/>
                <w:sz w:val="16"/>
                <w:szCs w:val="16"/>
                <w:lang w:eastAsia="pl-PL"/>
              </w:rPr>
              <w:t>6</w:t>
            </w:r>
          </w:p>
        </w:tc>
        <w:tc>
          <w:tcPr>
            <w:tcW w:w="854" w:type="dxa"/>
            <w:tcBorders>
              <w:top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32.</w:t>
            </w:r>
            <w:r w:rsidR="00BC2A12" w:rsidRPr="00FC248A">
              <w:rPr>
                <w:rFonts w:eastAsia="Times New Roman" w:cs="Calibri"/>
                <w:sz w:val="16"/>
                <w:szCs w:val="16"/>
                <w:lang w:eastAsia="pl-PL"/>
              </w:rPr>
              <w:t>8</w:t>
            </w:r>
          </w:p>
        </w:tc>
        <w:tc>
          <w:tcPr>
            <w:tcW w:w="932" w:type="dxa"/>
            <w:tcBorders>
              <w:top w:val="single" w:sz="4" w:space="0" w:color="2F5496" w:themeColor="accent5" w:themeShade="BF"/>
            </w:tcBorders>
            <w:shd w:val="clear" w:color="auto" w:fill="auto"/>
            <w:vAlign w:val="center"/>
          </w:tcPr>
          <w:p w:rsidR="00BC2A12" w:rsidRPr="00FC248A"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33.</w:t>
            </w:r>
            <w:r w:rsidR="00BC2A12" w:rsidRPr="00FC248A">
              <w:rPr>
                <w:rFonts w:eastAsia="Times New Roman" w:cs="Calibri"/>
                <w:sz w:val="16"/>
                <w:szCs w:val="16"/>
                <w:lang w:eastAsia="pl-PL"/>
              </w:rPr>
              <w:t>0</w:t>
            </w:r>
          </w:p>
        </w:tc>
      </w:tr>
    </w:tbl>
    <w:p w:rsidR="00BC2A12" w:rsidRPr="00BC2A12" w:rsidRDefault="00BC2A12" w:rsidP="00BC2A12">
      <w:pPr>
        <w:spacing w:before="0" w:after="0"/>
        <w:rPr>
          <w:shd w:val="clear" w:color="auto" w:fill="FFFFFF"/>
          <w:lang w:val="en-US"/>
        </w:rPr>
      </w:pPr>
    </w:p>
    <w:p w:rsidR="00BC2A12" w:rsidRPr="00BC2A12" w:rsidRDefault="00BC2A12" w:rsidP="00BC2A12">
      <w:pPr>
        <w:spacing w:before="0" w:after="0"/>
        <w:rPr>
          <w:shd w:val="clear" w:color="auto" w:fill="FFFFFF"/>
          <w:lang w:val="en-US"/>
        </w:rPr>
      </w:pPr>
    </w:p>
    <w:p w:rsidR="00BC2A12" w:rsidRPr="00BC2A12" w:rsidRDefault="00BC2A12" w:rsidP="00BC2A12">
      <w:pPr>
        <w:pStyle w:val="Nagwek1"/>
        <w:spacing w:before="0" w:after="0"/>
        <w:rPr>
          <w:rFonts w:ascii="Fira Sans" w:hAnsi="Fira Sans"/>
          <w:b/>
          <w:lang w:val="en-US"/>
        </w:rPr>
      </w:pPr>
      <w:r>
        <w:rPr>
          <w:rFonts w:ascii="Fira Sans" w:hAnsi="Fira Sans"/>
          <w:b/>
          <w:noProof/>
          <w:szCs w:val="19"/>
          <w:lang w:val="en-GB" w:eastAsia="en-GB"/>
        </w:rPr>
        <mc:AlternateContent>
          <mc:Choice Requires="wps">
            <w:drawing>
              <wp:anchor distT="45720" distB="45720" distL="114300" distR="114300" simplePos="0" relativeHeight="251777024" behindDoc="1" locked="0" layoutInCell="1" allowOverlap="1" wp14:anchorId="665D46B7" wp14:editId="236ECF12">
                <wp:simplePos x="0" y="0"/>
                <wp:positionH relativeFrom="rightMargin">
                  <wp:align>left</wp:align>
                </wp:positionH>
                <wp:positionV relativeFrom="paragraph">
                  <wp:posOffset>92178</wp:posOffset>
                </wp:positionV>
                <wp:extent cx="1667510" cy="1133475"/>
                <wp:effectExtent l="0" t="0" r="0" b="0"/>
                <wp:wrapTight wrapText="bothSides">
                  <wp:wrapPolygon edited="0">
                    <wp:start x="740" y="0"/>
                    <wp:lineTo x="740" y="21055"/>
                    <wp:lineTo x="20728" y="21055"/>
                    <wp:lineTo x="20728" y="0"/>
                    <wp:lineTo x="740" y="0"/>
                  </wp:wrapPolygon>
                </wp:wrapTight>
                <wp:docPr id="20" name="Pole tekstow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1133475"/>
                        </a:xfrm>
                        <a:prstGeom prst="rect">
                          <a:avLst/>
                        </a:prstGeom>
                        <a:noFill/>
                        <a:ln w="9525">
                          <a:noFill/>
                          <a:miter lim="800000"/>
                          <a:headEnd/>
                          <a:tailEnd/>
                        </a:ln>
                      </wps:spPr>
                      <wps:txb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compared to the previous year, the number of households waiting for residential premises renta</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l from gminas decreased by 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46B7" id="Pole tekstowe 20" o:spid="_x0000_s1032" type="#_x0000_t202" style="position:absolute;margin-left:0;margin-top:7.25pt;width:131.3pt;height:89.25pt;z-index:-251539456;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" filled="f" stroked="f">
                <v:textbo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As compared to the previous year, the number of households waiting for residential premises renta</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l from </w:t>
                      </w:r>
                      <w:proofErr w:type="spellStart"/>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decreased by 3.0%</w:t>
                      </w:r>
                    </w:p>
                  </w:txbxContent>
                </v:textbox>
                <w10:wrap type="tight" anchorx="margin"/>
              </v:shape>
            </w:pict>
          </mc:Fallback>
        </mc:AlternateContent>
      </w:r>
      <w:r w:rsidRPr="00BC2A12">
        <w:rPr>
          <w:rFonts w:ascii="Fira Sans" w:hAnsi="Fira Sans"/>
          <w:b/>
          <w:szCs w:val="19"/>
          <w:lang w:val="en-US"/>
        </w:rPr>
        <w:t>Demand for renting premises from gmina</w:t>
      </w:r>
    </w:p>
    <w:p w:rsidR="00BC2A12" w:rsidRPr="00BC2A12" w:rsidRDefault="00BC2A12" w:rsidP="00BC2A12">
      <w:pPr>
        <w:spacing w:before="0" w:after="0" w:line="240" w:lineRule="auto"/>
        <w:rPr>
          <w:sz w:val="12"/>
          <w:szCs w:val="12"/>
          <w:lang w:val="en-US" w:eastAsia="pl-PL"/>
        </w:rPr>
      </w:pPr>
    </w:p>
    <w:p w:rsidR="00BC2A12" w:rsidRPr="00BC2A12" w:rsidRDefault="00BC2A12" w:rsidP="00BC2A12">
      <w:pPr>
        <w:spacing w:before="0" w:after="0"/>
        <w:rPr>
          <w:shd w:val="clear" w:color="auto" w:fill="FFFFFF"/>
          <w:lang w:val="en-US"/>
        </w:rPr>
      </w:pPr>
      <w:r w:rsidRPr="00BC2A12">
        <w:rPr>
          <w:shd w:val="clear" w:color="auto" w:fill="FFFFFF"/>
          <w:lang w:val="en-US"/>
        </w:rPr>
        <w:t>In 2017, 154 182 households waited for gminas stocks rental (excluding replacement premises and temporary rooms). As compared to 2016, the demand for rental of premises being part of</w:t>
      </w:r>
      <w:r w:rsidR="00A33451">
        <w:rPr>
          <w:shd w:val="clear" w:color="auto" w:fill="FFFFFF"/>
          <w:lang w:val="en-US"/>
        </w:rPr>
        <w:t> </w:t>
      </w:r>
      <w:r w:rsidRPr="00BC2A12">
        <w:rPr>
          <w:shd w:val="clear" w:color="auto" w:fill="FFFFFF"/>
          <w:lang w:val="en-US"/>
        </w:rPr>
        <w:t>gminas dwelling stock is still decreasing, and it amounted to 97.0%.</w:t>
      </w:r>
    </w:p>
    <w:p w:rsidR="00BC2A12" w:rsidRPr="00BC2A12" w:rsidRDefault="00BC2A12" w:rsidP="00BC2A12">
      <w:pPr>
        <w:spacing w:before="0" w:after="0"/>
        <w:rPr>
          <w:shd w:val="clear" w:color="auto" w:fill="FFFFFF"/>
          <w:lang w:val="en-US"/>
        </w:rPr>
      </w:pPr>
      <w:r w:rsidRPr="00BC2A12">
        <w:rPr>
          <w:shd w:val="clear" w:color="auto" w:fill="FFFFFF"/>
          <w:lang w:val="en-US"/>
        </w:rPr>
        <w:t>In the total number of households waiting for gminas housing stocks rental, 63 864 households waited for municipal dwelling rental (which is 41.4% of all households waiting for premises rental), while 90 318 for social premises, of which 53 579 households under execution of eviction sentences.</w:t>
      </w:r>
    </w:p>
    <w:p w:rsidR="00BC2A12" w:rsidRPr="004C0398" w:rsidRDefault="00BC2A12" w:rsidP="00BC2A12">
      <w:pPr>
        <w:spacing w:before="0" w:after="0"/>
        <w:rPr>
          <w:spacing w:val="-2"/>
          <w:sz w:val="18"/>
          <w:lang w:val="en-US"/>
        </w:rPr>
      </w:pPr>
      <w:r w:rsidRPr="006C5D54">
        <w:rPr>
          <w:b/>
          <w:spacing w:val="-2"/>
          <w:sz w:val="18"/>
          <w:lang w:val="en-US"/>
        </w:rPr>
        <w:lastRenderedPageBreak/>
        <w:t>Tab</w:t>
      </w:r>
      <w:r w:rsidR="000B3F20">
        <w:rPr>
          <w:b/>
          <w:spacing w:val="-2"/>
          <w:sz w:val="18"/>
          <w:lang w:val="en-US"/>
        </w:rPr>
        <w:t>le</w:t>
      </w:r>
      <w:r w:rsidRPr="006C5D54">
        <w:rPr>
          <w:b/>
          <w:spacing w:val="-2"/>
          <w:sz w:val="18"/>
          <w:lang w:val="en-US"/>
        </w:rPr>
        <w:t xml:space="preserve"> </w:t>
      </w:r>
      <w:r w:rsidR="006C5D54">
        <w:rPr>
          <w:b/>
          <w:spacing w:val="-2"/>
          <w:sz w:val="18"/>
          <w:lang w:val="en-US"/>
        </w:rPr>
        <w:t>3</w:t>
      </w:r>
      <w:r w:rsidRPr="006C5D54">
        <w:rPr>
          <w:b/>
          <w:spacing w:val="-2"/>
          <w:sz w:val="18"/>
          <w:lang w:val="en-US"/>
        </w:rPr>
        <w:t xml:space="preserve">. </w:t>
      </w:r>
      <w:r w:rsidR="004C0398" w:rsidRPr="004C0398">
        <w:rPr>
          <w:b/>
          <w:spacing w:val="-2"/>
          <w:sz w:val="18"/>
          <w:lang w:val="en-US"/>
        </w:rPr>
        <w:t>Households waiting for residential premises rental from gmina</w:t>
      </w:r>
      <w:r w:rsidRPr="004C0398">
        <w:rPr>
          <w:b/>
          <w:spacing w:val="-2"/>
          <w:sz w:val="18"/>
          <w:lang w:val="en-US"/>
        </w:rPr>
        <w:t xml:space="preserve"> – </w:t>
      </w:r>
      <w:r w:rsidR="004C0398">
        <w:rPr>
          <w:b/>
          <w:spacing w:val="-2"/>
          <w:sz w:val="18"/>
          <w:lang w:val="en-US"/>
        </w:rPr>
        <w:t>as of</w:t>
      </w:r>
      <w:r w:rsidRPr="004C0398">
        <w:rPr>
          <w:b/>
          <w:spacing w:val="-2"/>
          <w:sz w:val="18"/>
          <w:lang w:val="en-US"/>
        </w:rPr>
        <w:t xml:space="preserve"> 31</w:t>
      </w:r>
      <w:r w:rsidR="000B3F20">
        <w:rPr>
          <w:b/>
          <w:spacing w:val="-2"/>
          <w:sz w:val="18"/>
          <w:lang w:val="en-US"/>
        </w:rPr>
        <w:t xml:space="preserve"> </w:t>
      </w:r>
      <w:r w:rsidRPr="004C0398">
        <w:rPr>
          <w:b/>
          <w:spacing w:val="-2"/>
          <w:sz w:val="18"/>
          <w:lang w:val="en-US"/>
        </w:rPr>
        <w:t>XII</w:t>
      </w:r>
    </w:p>
    <w:p w:rsidR="00BC2A12" w:rsidRPr="004C0398" w:rsidRDefault="00BC2A12" w:rsidP="00BC2A12">
      <w:pPr>
        <w:spacing w:before="0" w:after="0"/>
        <w:rPr>
          <w:rFonts w:eastAsia="Times New Roman" w:cs="Times New Roman"/>
          <w:bCs/>
          <w:color w:val="001D77"/>
          <w:sz w:val="12"/>
          <w:szCs w:val="12"/>
          <w:lang w:val="en-US" w:eastAsia="pl-PL"/>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127"/>
        <w:gridCol w:w="1417"/>
        <w:gridCol w:w="1418"/>
        <w:gridCol w:w="1417"/>
        <w:gridCol w:w="1499"/>
      </w:tblGrid>
      <w:tr w:rsidR="00BC2A12" w:rsidRPr="00FC248A" w:rsidTr="00C8541A">
        <w:trPr>
          <w:trHeight w:val="315"/>
        </w:trPr>
        <w:tc>
          <w:tcPr>
            <w:tcW w:w="2127" w:type="dxa"/>
            <w:vMerge w:val="restart"/>
            <w:tcBorders>
              <w:top w:val="nil"/>
            </w:tcBorders>
            <w:shd w:val="clear" w:color="auto" w:fill="auto"/>
            <w:vAlign w:val="center"/>
            <w:hideMark/>
          </w:tcPr>
          <w:p w:rsidR="00BC2A12" w:rsidRPr="00FC248A" w:rsidRDefault="004C0398" w:rsidP="00C8541A">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1417" w:type="dxa"/>
            <w:vMerge w:val="restart"/>
            <w:tcBorders>
              <w:top w:val="nil"/>
            </w:tcBorders>
            <w:shd w:val="clear" w:color="auto" w:fill="auto"/>
            <w:vAlign w:val="center"/>
            <w:hideMark/>
          </w:tcPr>
          <w:p w:rsidR="00BC2A12" w:rsidRPr="00FC248A" w:rsidRDefault="004C0398" w:rsidP="00C8541A">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1418" w:type="dxa"/>
            <w:vMerge w:val="restart"/>
            <w:tcBorders>
              <w:top w:val="nil"/>
            </w:tcBorders>
            <w:shd w:val="clear" w:color="auto" w:fill="auto"/>
            <w:vAlign w:val="center"/>
            <w:hideMark/>
          </w:tcPr>
          <w:p w:rsidR="00BC2A12" w:rsidRPr="00FC248A" w:rsidRDefault="00FF58EC" w:rsidP="00C8541A">
            <w:pPr>
              <w:spacing w:before="0" w:after="0"/>
              <w:jc w:val="center"/>
              <w:rPr>
                <w:rFonts w:eastAsia="Times New Roman" w:cs="Calibri"/>
                <w:sz w:val="16"/>
                <w:szCs w:val="16"/>
                <w:lang w:eastAsia="pl-PL"/>
              </w:rPr>
            </w:pPr>
            <w:r>
              <w:rPr>
                <w:rFonts w:eastAsia="Times New Roman" w:cs="Calibri"/>
                <w:sz w:val="16"/>
                <w:szCs w:val="16"/>
                <w:lang w:eastAsia="pl-PL"/>
              </w:rPr>
              <w:t>For municipal dwellings</w:t>
            </w:r>
          </w:p>
        </w:tc>
        <w:tc>
          <w:tcPr>
            <w:tcW w:w="2916" w:type="dxa"/>
            <w:gridSpan w:val="2"/>
            <w:tcBorders>
              <w:top w:val="nil"/>
              <w:bottom w:val="single" w:sz="4" w:space="0" w:color="001D77"/>
            </w:tcBorders>
            <w:shd w:val="clear" w:color="auto" w:fill="auto"/>
            <w:vAlign w:val="center"/>
            <w:hideMark/>
          </w:tcPr>
          <w:p w:rsidR="00BC2A12" w:rsidRPr="00FC248A" w:rsidRDefault="004C0398" w:rsidP="00C8541A">
            <w:pPr>
              <w:spacing w:before="0" w:after="0"/>
              <w:jc w:val="center"/>
              <w:rPr>
                <w:rFonts w:eastAsia="Times New Roman" w:cs="Calibri"/>
                <w:sz w:val="16"/>
                <w:szCs w:val="16"/>
                <w:lang w:eastAsia="pl-PL"/>
              </w:rPr>
            </w:pPr>
            <w:r>
              <w:rPr>
                <w:rFonts w:eastAsia="Times New Roman" w:cs="Calibri"/>
                <w:sz w:val="16"/>
                <w:szCs w:val="16"/>
                <w:lang w:eastAsia="pl-PL"/>
              </w:rPr>
              <w:t>For social premises</w:t>
            </w:r>
          </w:p>
        </w:tc>
      </w:tr>
      <w:tr w:rsidR="00BC2A12" w:rsidRPr="00A74BAE" w:rsidTr="00C8541A">
        <w:trPr>
          <w:trHeight w:val="315"/>
        </w:trPr>
        <w:tc>
          <w:tcPr>
            <w:tcW w:w="2127" w:type="dxa"/>
            <w:vMerge/>
            <w:tcBorders>
              <w:bottom w:val="single" w:sz="12" w:space="0" w:color="001D77"/>
            </w:tcBorders>
            <w:shd w:val="clear" w:color="auto" w:fill="auto"/>
            <w:vAlign w:val="center"/>
          </w:tcPr>
          <w:p w:rsidR="00BC2A12" w:rsidRPr="00FC248A" w:rsidRDefault="00BC2A12" w:rsidP="00C8541A">
            <w:pPr>
              <w:spacing w:before="0" w:after="0"/>
              <w:jc w:val="center"/>
              <w:rPr>
                <w:rFonts w:eastAsia="Times New Roman" w:cs="Calibri"/>
                <w:sz w:val="16"/>
                <w:szCs w:val="16"/>
                <w:lang w:eastAsia="pl-PL"/>
              </w:rPr>
            </w:pPr>
          </w:p>
        </w:tc>
        <w:tc>
          <w:tcPr>
            <w:tcW w:w="1417" w:type="dxa"/>
            <w:vMerge/>
            <w:tcBorders>
              <w:bottom w:val="single" w:sz="12" w:space="0" w:color="001D77"/>
            </w:tcBorders>
            <w:shd w:val="clear" w:color="auto" w:fill="auto"/>
            <w:vAlign w:val="center"/>
          </w:tcPr>
          <w:p w:rsidR="00BC2A12" w:rsidRPr="00FC248A" w:rsidRDefault="00BC2A12" w:rsidP="00C8541A">
            <w:pPr>
              <w:spacing w:before="0" w:after="0"/>
              <w:jc w:val="center"/>
              <w:rPr>
                <w:rFonts w:eastAsia="Times New Roman" w:cs="Calibri"/>
                <w:sz w:val="16"/>
                <w:szCs w:val="16"/>
                <w:lang w:eastAsia="pl-PL"/>
              </w:rPr>
            </w:pPr>
          </w:p>
        </w:tc>
        <w:tc>
          <w:tcPr>
            <w:tcW w:w="1418" w:type="dxa"/>
            <w:vMerge/>
            <w:tcBorders>
              <w:bottom w:val="single" w:sz="12" w:space="0" w:color="001D77"/>
            </w:tcBorders>
            <w:shd w:val="clear" w:color="auto" w:fill="auto"/>
            <w:vAlign w:val="center"/>
          </w:tcPr>
          <w:p w:rsidR="00BC2A12" w:rsidRPr="00FC248A" w:rsidRDefault="00BC2A12" w:rsidP="00C8541A">
            <w:pPr>
              <w:spacing w:before="0" w:after="0"/>
              <w:jc w:val="center"/>
              <w:rPr>
                <w:rFonts w:eastAsia="Times New Roman" w:cs="Calibri"/>
                <w:sz w:val="16"/>
                <w:szCs w:val="16"/>
                <w:lang w:eastAsia="pl-PL"/>
              </w:rPr>
            </w:pPr>
          </w:p>
        </w:tc>
        <w:tc>
          <w:tcPr>
            <w:tcW w:w="1417" w:type="dxa"/>
            <w:tcBorders>
              <w:top w:val="single" w:sz="4" w:space="0" w:color="001D77"/>
              <w:bottom w:val="single" w:sz="12" w:space="0" w:color="001D77"/>
            </w:tcBorders>
            <w:shd w:val="clear" w:color="auto" w:fill="auto"/>
            <w:vAlign w:val="center"/>
          </w:tcPr>
          <w:p w:rsidR="00BC2A12" w:rsidRPr="00FC248A" w:rsidRDefault="004C0398" w:rsidP="00C8541A">
            <w:pPr>
              <w:spacing w:before="0" w:after="0"/>
              <w:jc w:val="center"/>
              <w:rPr>
                <w:rFonts w:eastAsia="Times New Roman" w:cs="Calibri"/>
                <w:sz w:val="16"/>
                <w:szCs w:val="16"/>
                <w:lang w:eastAsia="pl-PL"/>
              </w:rPr>
            </w:pPr>
            <w:r>
              <w:rPr>
                <w:rFonts w:eastAsia="Times New Roman" w:cs="Calibri"/>
                <w:sz w:val="16"/>
                <w:szCs w:val="16"/>
                <w:lang w:eastAsia="pl-PL"/>
              </w:rPr>
              <w:t>total</w:t>
            </w:r>
          </w:p>
        </w:tc>
        <w:tc>
          <w:tcPr>
            <w:tcW w:w="1499" w:type="dxa"/>
            <w:tcBorders>
              <w:top w:val="single" w:sz="4" w:space="0" w:color="001D77"/>
              <w:bottom w:val="single" w:sz="12" w:space="0" w:color="001D77"/>
            </w:tcBorders>
            <w:shd w:val="clear" w:color="auto" w:fill="auto"/>
            <w:vAlign w:val="center"/>
          </w:tcPr>
          <w:p w:rsidR="00BC2A12" w:rsidRPr="00FF58EC" w:rsidRDefault="00FF58EC" w:rsidP="00FF58EC">
            <w:pPr>
              <w:spacing w:before="0" w:after="0"/>
              <w:jc w:val="center"/>
              <w:rPr>
                <w:rFonts w:eastAsia="Times New Roman" w:cs="Calibri"/>
                <w:sz w:val="16"/>
                <w:szCs w:val="16"/>
                <w:lang w:val="en-US" w:eastAsia="pl-PL"/>
              </w:rPr>
            </w:pPr>
            <w:r w:rsidRPr="00FF58EC">
              <w:rPr>
                <w:rFonts w:eastAsia="Times New Roman" w:cs="Calibri"/>
                <w:sz w:val="16"/>
                <w:szCs w:val="16"/>
                <w:lang w:val="en-US" w:eastAsia="pl-PL"/>
              </w:rPr>
              <w:t xml:space="preserve">of which under </w:t>
            </w:r>
            <w:r>
              <w:rPr>
                <w:rFonts w:eastAsia="Times New Roman" w:cs="Calibri"/>
                <w:sz w:val="16"/>
                <w:szCs w:val="16"/>
                <w:lang w:val="en-US" w:eastAsia="pl-PL"/>
              </w:rPr>
              <w:t>execution of eviction sentences</w:t>
            </w:r>
          </w:p>
        </w:tc>
      </w:tr>
      <w:tr w:rsidR="00BC2A12" w:rsidRPr="00FC248A" w:rsidTr="00C8541A">
        <w:trPr>
          <w:trHeight w:val="330"/>
        </w:trPr>
        <w:tc>
          <w:tcPr>
            <w:tcW w:w="7878" w:type="dxa"/>
            <w:gridSpan w:val="5"/>
            <w:tcBorders>
              <w:top w:val="single" w:sz="12" w:space="0" w:color="001D77"/>
              <w:bottom w:val="single" w:sz="4" w:space="0" w:color="001D77"/>
            </w:tcBorders>
            <w:shd w:val="clear" w:color="auto" w:fill="auto"/>
            <w:vAlign w:val="center"/>
          </w:tcPr>
          <w:p w:rsidR="00BC2A12" w:rsidRPr="00FC248A" w:rsidRDefault="000B3F20" w:rsidP="00C8541A">
            <w:pPr>
              <w:spacing w:before="0" w:after="0"/>
              <w:jc w:val="center"/>
              <w:rPr>
                <w:rFonts w:eastAsia="Times New Roman" w:cs="Calibri"/>
                <w:sz w:val="16"/>
                <w:szCs w:val="16"/>
                <w:lang w:eastAsia="pl-PL"/>
              </w:rPr>
            </w:pPr>
            <w:r>
              <w:rPr>
                <w:rFonts w:eastAsia="Times New Roman" w:cs="Calibri"/>
                <w:sz w:val="16"/>
                <w:szCs w:val="16"/>
                <w:lang w:eastAsia="pl-PL"/>
              </w:rPr>
              <w:t>In absolute number</w:t>
            </w:r>
            <w:r w:rsidR="00A11AE9">
              <w:rPr>
                <w:rFonts w:eastAsia="Times New Roman" w:cs="Calibri"/>
                <w:sz w:val="16"/>
                <w:szCs w:val="16"/>
                <w:lang w:eastAsia="pl-PL"/>
              </w:rPr>
              <w:t>s</w:t>
            </w:r>
          </w:p>
        </w:tc>
      </w:tr>
      <w:tr w:rsidR="00BC2A12" w:rsidRPr="00FC248A" w:rsidTr="00C8541A">
        <w:trPr>
          <w:trHeight w:val="330"/>
        </w:trPr>
        <w:tc>
          <w:tcPr>
            <w:tcW w:w="2127"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BC2A12" w:rsidP="004C0398">
            <w:pPr>
              <w:spacing w:before="0" w:after="0"/>
              <w:rPr>
                <w:rFonts w:eastAsia="Times New Roman" w:cs="Calibri"/>
                <w:sz w:val="16"/>
                <w:szCs w:val="16"/>
                <w:lang w:eastAsia="pl-PL"/>
              </w:rPr>
            </w:pPr>
            <w:r w:rsidRPr="00FC248A">
              <w:rPr>
                <w:rFonts w:eastAsia="Times New Roman" w:cs="Calibri"/>
                <w:sz w:val="16"/>
                <w:szCs w:val="16"/>
                <w:lang w:eastAsia="pl-PL"/>
              </w:rPr>
              <w:t>Pol</w:t>
            </w:r>
            <w:r w:rsidR="004C0398">
              <w:rPr>
                <w:rFonts w:eastAsia="Times New Roman" w:cs="Calibri"/>
                <w:sz w:val="16"/>
                <w:szCs w:val="16"/>
                <w:lang w:eastAsia="pl-PL"/>
              </w:rPr>
              <w:t>and</w:t>
            </w:r>
          </w:p>
        </w:tc>
        <w:tc>
          <w:tcPr>
            <w:tcW w:w="1417" w:type="dxa"/>
            <w:tcBorders>
              <w:top w:val="single" w:sz="4"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154 182</w:t>
            </w:r>
          </w:p>
        </w:tc>
        <w:tc>
          <w:tcPr>
            <w:tcW w:w="1418" w:type="dxa"/>
            <w:tcBorders>
              <w:top w:val="single" w:sz="4"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63 864</w:t>
            </w:r>
          </w:p>
        </w:tc>
        <w:tc>
          <w:tcPr>
            <w:tcW w:w="1417" w:type="dxa"/>
            <w:tcBorders>
              <w:top w:val="single" w:sz="4"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90 318</w:t>
            </w:r>
          </w:p>
        </w:tc>
        <w:tc>
          <w:tcPr>
            <w:tcW w:w="1499" w:type="dxa"/>
            <w:tcBorders>
              <w:top w:val="single" w:sz="4" w:space="0" w:color="001D77"/>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53 579</w:t>
            </w:r>
          </w:p>
        </w:tc>
      </w:tr>
      <w:tr w:rsidR="00BC2A12" w:rsidRPr="00FC248A" w:rsidTr="00C8541A">
        <w:trPr>
          <w:trHeight w:val="315"/>
        </w:trPr>
        <w:tc>
          <w:tcPr>
            <w:tcW w:w="2127"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4C0398" w:rsidP="00C8541A">
            <w:pPr>
              <w:spacing w:before="0" w:after="0"/>
              <w:rPr>
                <w:rFonts w:eastAsia="Times New Roman" w:cs="Calibri"/>
                <w:sz w:val="16"/>
                <w:szCs w:val="16"/>
                <w:lang w:eastAsia="pl-PL"/>
              </w:rPr>
            </w:pPr>
            <w:r>
              <w:rPr>
                <w:rFonts w:eastAsia="Times New Roman" w:cs="Calibri"/>
                <w:sz w:val="16"/>
                <w:szCs w:val="16"/>
                <w:lang w:eastAsia="pl-PL"/>
              </w:rPr>
              <w:t>Urban areas</w:t>
            </w:r>
          </w:p>
        </w:tc>
        <w:tc>
          <w:tcPr>
            <w:tcW w:w="1417" w:type="dxa"/>
            <w:tcBorders>
              <w:top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132 408</w:t>
            </w:r>
          </w:p>
        </w:tc>
        <w:tc>
          <w:tcPr>
            <w:tcW w:w="1418"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50 166</w:t>
            </w:r>
          </w:p>
        </w:tc>
        <w:tc>
          <w:tcPr>
            <w:tcW w:w="1417"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82 242</w:t>
            </w:r>
          </w:p>
        </w:tc>
        <w:tc>
          <w:tcPr>
            <w:tcW w:w="1499" w:type="dxa"/>
            <w:tcBorders>
              <w:top w:val="single" w:sz="4" w:space="0" w:color="2F5496" w:themeColor="accent5" w:themeShade="BF"/>
              <w:bottom w:val="single" w:sz="4" w:space="0" w:color="2F5496" w:themeColor="accent5" w:themeShade="BF"/>
            </w:tcBorders>
            <w:shd w:val="clear" w:color="auto" w:fill="auto"/>
            <w:vAlign w:val="center"/>
            <w:hideMark/>
          </w:tcPr>
          <w:p w:rsidR="00BC2A12" w:rsidRPr="00FC248A" w:rsidRDefault="00BC2A12" w:rsidP="00D00FEE">
            <w:pPr>
              <w:spacing w:before="0" w:after="0"/>
              <w:jc w:val="right"/>
              <w:rPr>
                <w:rFonts w:eastAsia="Times New Roman" w:cs="Calibri"/>
                <w:sz w:val="16"/>
                <w:szCs w:val="16"/>
                <w:lang w:eastAsia="pl-PL"/>
              </w:rPr>
            </w:pPr>
            <w:r w:rsidRPr="00FC248A">
              <w:rPr>
                <w:rFonts w:eastAsia="Times New Roman" w:cs="Calibri"/>
                <w:sz w:val="16"/>
                <w:szCs w:val="16"/>
                <w:lang w:eastAsia="pl-PL"/>
              </w:rPr>
              <w:t> </w:t>
            </w:r>
            <w:r w:rsidR="00D00FEE">
              <w:rPr>
                <w:rFonts w:eastAsia="Times New Roman" w:cs="Calibri"/>
                <w:sz w:val="16"/>
                <w:szCs w:val="16"/>
                <w:lang w:eastAsia="pl-PL"/>
              </w:rPr>
              <w:t>52</w:t>
            </w:r>
            <w:r w:rsidRPr="00FC248A">
              <w:rPr>
                <w:rFonts w:eastAsia="Times New Roman" w:cs="Calibri"/>
                <w:sz w:val="16"/>
                <w:szCs w:val="16"/>
                <w:lang w:eastAsia="pl-PL"/>
              </w:rPr>
              <w:t> 312</w:t>
            </w:r>
          </w:p>
        </w:tc>
      </w:tr>
      <w:tr w:rsidR="00BC2A12" w:rsidRPr="00FC248A" w:rsidTr="00C8541A">
        <w:trPr>
          <w:trHeight w:val="315"/>
        </w:trPr>
        <w:tc>
          <w:tcPr>
            <w:tcW w:w="2127" w:type="dxa"/>
            <w:tcBorders>
              <w:top w:val="single" w:sz="4" w:space="0" w:color="2F5496" w:themeColor="accent5" w:themeShade="BF"/>
            </w:tcBorders>
            <w:shd w:val="clear" w:color="auto" w:fill="auto"/>
            <w:vAlign w:val="center"/>
          </w:tcPr>
          <w:p w:rsidR="00BC2A12" w:rsidRPr="00FC248A" w:rsidRDefault="004C0398" w:rsidP="00C8541A">
            <w:pPr>
              <w:spacing w:before="0" w:after="0"/>
              <w:rPr>
                <w:rFonts w:eastAsia="Times New Roman" w:cs="Calibri"/>
                <w:sz w:val="16"/>
                <w:szCs w:val="16"/>
                <w:lang w:eastAsia="pl-PL"/>
              </w:rPr>
            </w:pPr>
            <w:r>
              <w:rPr>
                <w:rFonts w:eastAsia="Times New Roman" w:cs="Calibri"/>
                <w:sz w:val="16"/>
                <w:szCs w:val="16"/>
                <w:lang w:eastAsia="pl-PL"/>
              </w:rPr>
              <w:t>Rural areas</w:t>
            </w:r>
          </w:p>
        </w:tc>
        <w:tc>
          <w:tcPr>
            <w:tcW w:w="1417" w:type="dxa"/>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21 774</w:t>
            </w:r>
          </w:p>
        </w:tc>
        <w:tc>
          <w:tcPr>
            <w:tcW w:w="1418" w:type="dxa"/>
            <w:tcBorders>
              <w:top w:val="single" w:sz="4" w:space="0" w:color="2F5496" w:themeColor="accent5" w:themeShade="BF"/>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13 698</w:t>
            </w:r>
          </w:p>
        </w:tc>
        <w:tc>
          <w:tcPr>
            <w:tcW w:w="1417" w:type="dxa"/>
            <w:tcBorders>
              <w:top w:val="single" w:sz="4" w:space="0" w:color="2F5496" w:themeColor="accent5" w:themeShade="BF"/>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8 076</w:t>
            </w:r>
          </w:p>
        </w:tc>
        <w:tc>
          <w:tcPr>
            <w:tcW w:w="1499" w:type="dxa"/>
            <w:tcBorders>
              <w:top w:val="single" w:sz="4" w:space="0" w:color="2F5496" w:themeColor="accent5" w:themeShade="BF"/>
            </w:tcBorders>
            <w:shd w:val="clear" w:color="auto" w:fill="auto"/>
            <w:vAlign w:val="center"/>
          </w:tcPr>
          <w:p w:rsidR="00BC2A12" w:rsidRPr="00FC248A" w:rsidRDefault="00BC2A12" w:rsidP="00C8541A">
            <w:pPr>
              <w:spacing w:before="0" w:after="0"/>
              <w:jc w:val="right"/>
              <w:rPr>
                <w:rFonts w:eastAsia="Times New Roman" w:cs="Calibri"/>
                <w:sz w:val="16"/>
                <w:szCs w:val="16"/>
                <w:lang w:eastAsia="pl-PL"/>
              </w:rPr>
            </w:pPr>
            <w:r w:rsidRPr="00FC248A">
              <w:rPr>
                <w:rFonts w:eastAsia="Times New Roman" w:cs="Calibri"/>
                <w:sz w:val="16"/>
                <w:szCs w:val="16"/>
                <w:lang w:eastAsia="pl-PL"/>
              </w:rPr>
              <w:t> 1 267</w:t>
            </w:r>
          </w:p>
        </w:tc>
      </w:tr>
      <w:tr w:rsidR="00BC2A12" w:rsidRPr="00FC248A" w:rsidTr="00C8541A">
        <w:trPr>
          <w:trHeight w:val="315"/>
        </w:trPr>
        <w:tc>
          <w:tcPr>
            <w:tcW w:w="7878" w:type="dxa"/>
            <w:gridSpan w:val="5"/>
            <w:tcBorders>
              <w:top w:val="single" w:sz="4" w:space="0" w:color="2F5496" w:themeColor="accent5" w:themeShade="BF"/>
              <w:bottom w:val="single" w:sz="4" w:space="0" w:color="001D77"/>
            </w:tcBorders>
            <w:shd w:val="clear" w:color="auto" w:fill="auto"/>
            <w:vAlign w:val="center"/>
          </w:tcPr>
          <w:p w:rsidR="00BC2A12" w:rsidRPr="00FC248A" w:rsidRDefault="00BC2A12" w:rsidP="004C0398">
            <w:pPr>
              <w:spacing w:before="0" w:after="0"/>
              <w:jc w:val="center"/>
              <w:rPr>
                <w:rFonts w:eastAsia="Times New Roman" w:cs="Calibri"/>
                <w:sz w:val="16"/>
                <w:szCs w:val="16"/>
                <w:lang w:eastAsia="pl-PL"/>
              </w:rPr>
            </w:pPr>
            <w:r w:rsidRPr="00FC248A">
              <w:rPr>
                <w:rFonts w:eastAsia="Times New Roman" w:cs="Calibri"/>
                <w:sz w:val="16"/>
                <w:szCs w:val="16"/>
                <w:lang w:eastAsia="pl-PL"/>
              </w:rPr>
              <w:t>Pol</w:t>
            </w:r>
            <w:r w:rsidR="004C0398">
              <w:rPr>
                <w:rFonts w:eastAsia="Times New Roman" w:cs="Calibri"/>
                <w:sz w:val="16"/>
                <w:szCs w:val="16"/>
                <w:lang w:eastAsia="pl-PL"/>
              </w:rPr>
              <w:t>and</w:t>
            </w:r>
            <w:r w:rsidRPr="00FC248A">
              <w:rPr>
                <w:rFonts w:eastAsia="Times New Roman" w:cs="Calibri"/>
                <w:sz w:val="16"/>
                <w:szCs w:val="16"/>
                <w:lang w:eastAsia="pl-PL"/>
              </w:rPr>
              <w:t xml:space="preserve"> = 100</w:t>
            </w:r>
            <w:r w:rsidR="00D00FEE">
              <w:rPr>
                <w:rFonts w:eastAsia="Times New Roman" w:cs="Calibri"/>
                <w:sz w:val="16"/>
                <w:szCs w:val="16"/>
                <w:lang w:eastAsia="pl-PL"/>
              </w:rPr>
              <w:t>%</w:t>
            </w:r>
          </w:p>
        </w:tc>
      </w:tr>
      <w:tr w:rsidR="004C0398" w:rsidRPr="00FC248A" w:rsidTr="006F4EA5">
        <w:trPr>
          <w:trHeight w:val="315"/>
        </w:trPr>
        <w:tc>
          <w:tcPr>
            <w:tcW w:w="2127" w:type="dxa"/>
            <w:tcBorders>
              <w:top w:val="single" w:sz="4" w:space="0" w:color="2F5496" w:themeColor="accent5" w:themeShade="BF"/>
              <w:bottom w:val="single" w:sz="4" w:space="0" w:color="2F5496" w:themeColor="accent5" w:themeShade="BF"/>
            </w:tcBorders>
            <w:shd w:val="clear" w:color="auto" w:fill="auto"/>
            <w:vAlign w:val="center"/>
          </w:tcPr>
          <w:p w:rsidR="004C0398" w:rsidRPr="00FC248A" w:rsidRDefault="004C0398" w:rsidP="004C0398">
            <w:pPr>
              <w:spacing w:before="0" w:after="0"/>
              <w:rPr>
                <w:rFonts w:eastAsia="Times New Roman" w:cs="Calibri"/>
                <w:sz w:val="16"/>
                <w:szCs w:val="16"/>
                <w:lang w:eastAsia="pl-PL"/>
              </w:rPr>
            </w:pPr>
            <w:r>
              <w:rPr>
                <w:rFonts w:eastAsia="Times New Roman" w:cs="Calibri"/>
                <w:sz w:val="16"/>
                <w:szCs w:val="16"/>
                <w:lang w:eastAsia="pl-PL"/>
              </w:rPr>
              <w:t>Urban areas</w:t>
            </w:r>
          </w:p>
        </w:tc>
        <w:tc>
          <w:tcPr>
            <w:tcW w:w="1417"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4C0398" w:rsidRPr="00FC248A" w:rsidRDefault="004C0398" w:rsidP="00FF58EC">
            <w:pPr>
              <w:spacing w:before="0" w:after="0"/>
              <w:jc w:val="right"/>
              <w:rPr>
                <w:rFonts w:eastAsia="Times New Roman" w:cs="Calibri"/>
                <w:sz w:val="16"/>
                <w:szCs w:val="16"/>
                <w:lang w:eastAsia="pl-PL"/>
              </w:rPr>
            </w:pPr>
            <w:r w:rsidRPr="00FC248A">
              <w:rPr>
                <w:rFonts w:eastAsia="Times New Roman" w:cs="Calibri"/>
                <w:sz w:val="16"/>
                <w:szCs w:val="16"/>
                <w:lang w:eastAsia="pl-PL"/>
              </w:rPr>
              <w:t> 85</w:t>
            </w:r>
            <w:r w:rsidR="00FF58EC">
              <w:rPr>
                <w:rFonts w:eastAsia="Times New Roman" w:cs="Calibri"/>
                <w:sz w:val="16"/>
                <w:szCs w:val="16"/>
                <w:lang w:eastAsia="pl-PL"/>
              </w:rPr>
              <w:t>.</w:t>
            </w:r>
            <w:r w:rsidRPr="00FC248A">
              <w:rPr>
                <w:rFonts w:eastAsia="Times New Roman" w:cs="Calibri"/>
                <w:sz w:val="16"/>
                <w:szCs w:val="16"/>
                <w:lang w:eastAsia="pl-PL"/>
              </w:rPr>
              <w:t>9</w:t>
            </w:r>
          </w:p>
        </w:tc>
        <w:tc>
          <w:tcPr>
            <w:tcW w:w="1418"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4C0398" w:rsidRPr="00FC248A" w:rsidRDefault="004C0398" w:rsidP="004C0398">
            <w:pPr>
              <w:spacing w:before="0" w:after="0"/>
              <w:jc w:val="right"/>
              <w:rPr>
                <w:rFonts w:eastAsia="Times New Roman" w:cs="Calibri"/>
                <w:sz w:val="16"/>
                <w:szCs w:val="16"/>
                <w:lang w:eastAsia="pl-PL"/>
              </w:rPr>
            </w:pPr>
            <w:r w:rsidRPr="00FC248A">
              <w:rPr>
                <w:rFonts w:eastAsia="Times New Roman" w:cs="Calibri"/>
                <w:sz w:val="16"/>
                <w:szCs w:val="16"/>
                <w:lang w:eastAsia="pl-PL"/>
              </w:rPr>
              <w:t> </w:t>
            </w:r>
            <w:r w:rsidR="00FF58EC">
              <w:rPr>
                <w:rFonts w:eastAsia="Times New Roman" w:cs="Calibri"/>
                <w:sz w:val="16"/>
                <w:szCs w:val="16"/>
                <w:lang w:eastAsia="pl-PL"/>
              </w:rPr>
              <w:t>78.</w:t>
            </w:r>
            <w:r w:rsidRPr="00FC248A">
              <w:rPr>
                <w:rFonts w:eastAsia="Times New Roman" w:cs="Calibri"/>
                <w:sz w:val="16"/>
                <w:szCs w:val="16"/>
                <w:lang w:eastAsia="pl-PL"/>
              </w:rPr>
              <w:t>6</w:t>
            </w:r>
          </w:p>
        </w:tc>
        <w:tc>
          <w:tcPr>
            <w:tcW w:w="1417" w:type="dxa"/>
            <w:tcBorders>
              <w:top w:val="single" w:sz="4" w:space="0" w:color="2F5496" w:themeColor="accent5" w:themeShade="BF"/>
              <w:left w:val="single" w:sz="4" w:space="0" w:color="001D77"/>
              <w:bottom w:val="single" w:sz="4" w:space="0" w:color="2F5496" w:themeColor="accent5" w:themeShade="BF"/>
              <w:right w:val="single" w:sz="4" w:space="0" w:color="001D77"/>
            </w:tcBorders>
            <w:shd w:val="clear" w:color="auto" w:fill="auto"/>
            <w:vAlign w:val="center"/>
          </w:tcPr>
          <w:p w:rsidR="004C0398" w:rsidRPr="00FC248A" w:rsidRDefault="00FF58EC" w:rsidP="004C0398">
            <w:pPr>
              <w:spacing w:before="0" w:after="0"/>
              <w:jc w:val="right"/>
              <w:rPr>
                <w:rFonts w:eastAsia="Times New Roman" w:cs="Calibri"/>
                <w:sz w:val="16"/>
                <w:szCs w:val="16"/>
                <w:lang w:eastAsia="pl-PL"/>
              </w:rPr>
            </w:pPr>
            <w:r>
              <w:rPr>
                <w:rFonts w:eastAsia="Times New Roman" w:cs="Calibri"/>
                <w:sz w:val="16"/>
                <w:szCs w:val="16"/>
                <w:lang w:eastAsia="pl-PL"/>
              </w:rPr>
              <w:t> 91.</w:t>
            </w:r>
            <w:r w:rsidR="004C0398" w:rsidRPr="00FC248A">
              <w:rPr>
                <w:rFonts w:eastAsia="Times New Roman" w:cs="Calibri"/>
                <w:sz w:val="16"/>
                <w:szCs w:val="16"/>
                <w:lang w:eastAsia="pl-PL"/>
              </w:rPr>
              <w:t>1</w:t>
            </w:r>
          </w:p>
        </w:tc>
        <w:tc>
          <w:tcPr>
            <w:tcW w:w="1499" w:type="dxa"/>
            <w:tcBorders>
              <w:top w:val="single" w:sz="4" w:space="0" w:color="2F5496" w:themeColor="accent5" w:themeShade="BF"/>
              <w:left w:val="single" w:sz="4" w:space="0" w:color="001D77"/>
              <w:bottom w:val="single" w:sz="4" w:space="0" w:color="2F5496" w:themeColor="accent5" w:themeShade="BF"/>
            </w:tcBorders>
            <w:shd w:val="clear" w:color="auto" w:fill="auto"/>
            <w:vAlign w:val="center"/>
          </w:tcPr>
          <w:p w:rsidR="004C0398" w:rsidRPr="00FC248A" w:rsidRDefault="004C0398" w:rsidP="00FF58EC">
            <w:pPr>
              <w:spacing w:before="0" w:after="0"/>
              <w:jc w:val="right"/>
              <w:rPr>
                <w:rFonts w:eastAsia="Times New Roman" w:cs="Calibri"/>
                <w:sz w:val="16"/>
                <w:szCs w:val="16"/>
                <w:lang w:eastAsia="pl-PL"/>
              </w:rPr>
            </w:pPr>
            <w:r w:rsidRPr="00FC248A">
              <w:rPr>
                <w:rFonts w:eastAsia="Times New Roman" w:cs="Calibri"/>
                <w:sz w:val="16"/>
                <w:szCs w:val="16"/>
                <w:lang w:eastAsia="pl-PL"/>
              </w:rPr>
              <w:t> 97</w:t>
            </w:r>
            <w:r w:rsidR="00FF58EC">
              <w:rPr>
                <w:rFonts w:eastAsia="Times New Roman" w:cs="Calibri"/>
                <w:sz w:val="16"/>
                <w:szCs w:val="16"/>
                <w:lang w:eastAsia="pl-PL"/>
              </w:rPr>
              <w:t>.</w:t>
            </w:r>
            <w:r w:rsidRPr="00FC248A">
              <w:rPr>
                <w:rFonts w:eastAsia="Times New Roman" w:cs="Calibri"/>
                <w:sz w:val="16"/>
                <w:szCs w:val="16"/>
                <w:lang w:eastAsia="pl-PL"/>
              </w:rPr>
              <w:t>6</w:t>
            </w:r>
          </w:p>
        </w:tc>
      </w:tr>
      <w:tr w:rsidR="004C0398" w:rsidRPr="00FC248A" w:rsidTr="006F4EA5">
        <w:trPr>
          <w:trHeight w:val="315"/>
        </w:trPr>
        <w:tc>
          <w:tcPr>
            <w:tcW w:w="2127" w:type="dxa"/>
            <w:tcBorders>
              <w:top w:val="single" w:sz="4" w:space="0" w:color="2F5496" w:themeColor="accent5" w:themeShade="BF"/>
            </w:tcBorders>
            <w:shd w:val="clear" w:color="auto" w:fill="auto"/>
            <w:vAlign w:val="center"/>
          </w:tcPr>
          <w:p w:rsidR="004C0398" w:rsidRPr="00FC248A" w:rsidRDefault="004C0398" w:rsidP="004C0398">
            <w:pPr>
              <w:spacing w:before="0" w:after="0"/>
              <w:rPr>
                <w:rFonts w:eastAsia="Times New Roman" w:cs="Calibri"/>
                <w:sz w:val="16"/>
                <w:szCs w:val="16"/>
                <w:lang w:eastAsia="pl-PL"/>
              </w:rPr>
            </w:pPr>
            <w:r>
              <w:rPr>
                <w:rFonts w:eastAsia="Times New Roman" w:cs="Calibri"/>
                <w:sz w:val="16"/>
                <w:szCs w:val="16"/>
                <w:lang w:eastAsia="pl-PL"/>
              </w:rPr>
              <w:t>Rural areas</w:t>
            </w:r>
          </w:p>
        </w:tc>
        <w:tc>
          <w:tcPr>
            <w:tcW w:w="1417" w:type="dxa"/>
            <w:tcBorders>
              <w:top w:val="single" w:sz="4" w:space="0" w:color="2F5496" w:themeColor="accent5" w:themeShade="BF"/>
              <w:left w:val="single" w:sz="4" w:space="0" w:color="001D77"/>
              <w:right w:val="single" w:sz="4" w:space="0" w:color="001D77"/>
            </w:tcBorders>
            <w:shd w:val="clear" w:color="auto" w:fill="auto"/>
            <w:vAlign w:val="center"/>
          </w:tcPr>
          <w:p w:rsidR="004C0398" w:rsidRPr="00FC248A" w:rsidRDefault="00FF58EC" w:rsidP="004C0398">
            <w:pPr>
              <w:spacing w:before="0" w:after="0"/>
              <w:jc w:val="right"/>
              <w:rPr>
                <w:rFonts w:eastAsia="Times New Roman" w:cs="Calibri"/>
                <w:sz w:val="16"/>
                <w:szCs w:val="16"/>
                <w:lang w:eastAsia="pl-PL"/>
              </w:rPr>
            </w:pPr>
            <w:r>
              <w:rPr>
                <w:rFonts w:eastAsia="Times New Roman" w:cs="Calibri"/>
                <w:sz w:val="16"/>
                <w:szCs w:val="16"/>
                <w:lang w:eastAsia="pl-PL"/>
              </w:rPr>
              <w:t>14.</w:t>
            </w:r>
            <w:r w:rsidR="004C0398">
              <w:rPr>
                <w:rFonts w:eastAsia="Times New Roman" w:cs="Calibri"/>
                <w:sz w:val="16"/>
                <w:szCs w:val="16"/>
                <w:lang w:eastAsia="pl-PL"/>
              </w:rPr>
              <w:t>1</w:t>
            </w:r>
          </w:p>
        </w:tc>
        <w:tc>
          <w:tcPr>
            <w:tcW w:w="1418" w:type="dxa"/>
            <w:tcBorders>
              <w:top w:val="single" w:sz="4" w:space="0" w:color="2F5496" w:themeColor="accent5" w:themeShade="BF"/>
              <w:left w:val="single" w:sz="4" w:space="0" w:color="001D77"/>
              <w:right w:val="single" w:sz="4" w:space="0" w:color="001D77"/>
            </w:tcBorders>
            <w:shd w:val="clear" w:color="auto" w:fill="auto"/>
            <w:vAlign w:val="center"/>
          </w:tcPr>
          <w:p w:rsidR="004C0398" w:rsidRPr="00FC248A" w:rsidRDefault="00FF58EC" w:rsidP="004C0398">
            <w:pPr>
              <w:spacing w:before="0" w:after="0"/>
              <w:jc w:val="right"/>
              <w:rPr>
                <w:rFonts w:eastAsia="Times New Roman" w:cs="Calibri"/>
                <w:sz w:val="16"/>
                <w:szCs w:val="16"/>
                <w:lang w:eastAsia="pl-PL"/>
              </w:rPr>
            </w:pPr>
            <w:r>
              <w:rPr>
                <w:rFonts w:eastAsia="Times New Roman" w:cs="Calibri"/>
                <w:sz w:val="16"/>
                <w:szCs w:val="16"/>
                <w:lang w:eastAsia="pl-PL"/>
              </w:rPr>
              <w:t>21.</w:t>
            </w:r>
            <w:r w:rsidR="004C0398">
              <w:rPr>
                <w:rFonts w:eastAsia="Times New Roman" w:cs="Calibri"/>
                <w:sz w:val="16"/>
                <w:szCs w:val="16"/>
                <w:lang w:eastAsia="pl-PL"/>
              </w:rPr>
              <w:t>4</w:t>
            </w:r>
          </w:p>
        </w:tc>
        <w:tc>
          <w:tcPr>
            <w:tcW w:w="1417" w:type="dxa"/>
            <w:tcBorders>
              <w:top w:val="single" w:sz="4" w:space="0" w:color="2F5496" w:themeColor="accent5" w:themeShade="BF"/>
              <w:left w:val="single" w:sz="4" w:space="0" w:color="001D77"/>
              <w:right w:val="single" w:sz="4" w:space="0" w:color="001D77"/>
            </w:tcBorders>
            <w:shd w:val="clear" w:color="auto" w:fill="auto"/>
            <w:vAlign w:val="center"/>
          </w:tcPr>
          <w:p w:rsidR="004C0398" w:rsidRPr="00FC248A" w:rsidRDefault="00FF58EC" w:rsidP="004C0398">
            <w:pPr>
              <w:spacing w:before="0" w:after="0"/>
              <w:jc w:val="right"/>
              <w:rPr>
                <w:rFonts w:eastAsia="Times New Roman" w:cs="Calibri"/>
                <w:sz w:val="16"/>
                <w:szCs w:val="16"/>
                <w:lang w:eastAsia="pl-PL"/>
              </w:rPr>
            </w:pPr>
            <w:r>
              <w:rPr>
                <w:rFonts w:eastAsia="Times New Roman" w:cs="Calibri"/>
                <w:sz w:val="16"/>
                <w:szCs w:val="16"/>
                <w:lang w:eastAsia="pl-PL"/>
              </w:rPr>
              <w:t>8.</w:t>
            </w:r>
            <w:r w:rsidR="004C0398">
              <w:rPr>
                <w:rFonts w:eastAsia="Times New Roman" w:cs="Calibri"/>
                <w:sz w:val="16"/>
                <w:szCs w:val="16"/>
                <w:lang w:eastAsia="pl-PL"/>
              </w:rPr>
              <w:t>9</w:t>
            </w:r>
          </w:p>
        </w:tc>
        <w:tc>
          <w:tcPr>
            <w:tcW w:w="1499" w:type="dxa"/>
            <w:tcBorders>
              <w:top w:val="single" w:sz="4" w:space="0" w:color="2F5496" w:themeColor="accent5" w:themeShade="BF"/>
              <w:left w:val="single" w:sz="4" w:space="0" w:color="001D77"/>
            </w:tcBorders>
            <w:shd w:val="clear" w:color="auto" w:fill="auto"/>
            <w:vAlign w:val="center"/>
          </w:tcPr>
          <w:p w:rsidR="004C0398" w:rsidRPr="00FC248A" w:rsidRDefault="00FF58EC" w:rsidP="004C0398">
            <w:pPr>
              <w:spacing w:before="0" w:after="0"/>
              <w:jc w:val="right"/>
              <w:rPr>
                <w:rFonts w:eastAsia="Times New Roman" w:cs="Calibri"/>
                <w:sz w:val="16"/>
                <w:szCs w:val="16"/>
                <w:lang w:eastAsia="pl-PL"/>
              </w:rPr>
            </w:pPr>
            <w:r>
              <w:rPr>
                <w:rFonts w:eastAsia="Times New Roman" w:cs="Calibri"/>
                <w:sz w:val="16"/>
                <w:szCs w:val="16"/>
                <w:lang w:eastAsia="pl-PL"/>
              </w:rPr>
              <w:t>2.</w:t>
            </w:r>
            <w:r w:rsidR="004C0398" w:rsidRPr="00FC248A">
              <w:rPr>
                <w:rFonts w:eastAsia="Times New Roman" w:cs="Calibri"/>
                <w:sz w:val="16"/>
                <w:szCs w:val="16"/>
                <w:lang w:eastAsia="pl-PL"/>
              </w:rPr>
              <w:t>4</w:t>
            </w:r>
          </w:p>
        </w:tc>
      </w:tr>
    </w:tbl>
    <w:p w:rsidR="00BC2A12" w:rsidRPr="00BC2A12" w:rsidRDefault="00BC2A12" w:rsidP="00BC2A12">
      <w:pPr>
        <w:spacing w:before="0" w:after="160" w:line="259" w:lineRule="auto"/>
        <w:rPr>
          <w:b/>
          <w:shd w:val="clear" w:color="auto" w:fill="FFFFFF"/>
          <w:lang w:val="en-US"/>
        </w:rPr>
      </w:pPr>
    </w:p>
    <w:p w:rsidR="00BC2A12" w:rsidRPr="00BC2A12" w:rsidRDefault="00BC2A12" w:rsidP="00BC2A12">
      <w:pPr>
        <w:pStyle w:val="Nagwek1"/>
        <w:spacing w:before="0" w:after="0"/>
        <w:rPr>
          <w:rFonts w:ascii="Fira Sans" w:hAnsi="Fira Sans"/>
          <w:b/>
          <w:lang w:val="en-US"/>
        </w:rPr>
      </w:pPr>
      <w:r>
        <w:rPr>
          <w:rFonts w:ascii="Fira Sans" w:hAnsi="Fira Sans"/>
          <w:b/>
          <w:noProof/>
          <w:szCs w:val="19"/>
          <w:lang w:val="en-GB" w:eastAsia="en-GB"/>
        </w:rPr>
        <mc:AlternateContent>
          <mc:Choice Requires="wps">
            <w:drawing>
              <wp:anchor distT="45720" distB="45720" distL="114300" distR="114300" simplePos="0" relativeHeight="251774976" behindDoc="1" locked="0" layoutInCell="1" allowOverlap="1" wp14:anchorId="6D0AB14A" wp14:editId="4E405639">
                <wp:simplePos x="0" y="0"/>
                <wp:positionH relativeFrom="rightMargin">
                  <wp:align>left</wp:align>
                </wp:positionH>
                <wp:positionV relativeFrom="paragraph">
                  <wp:posOffset>100415</wp:posOffset>
                </wp:positionV>
                <wp:extent cx="1667510" cy="914400"/>
                <wp:effectExtent l="0" t="0" r="0" b="0"/>
                <wp:wrapTight wrapText="bothSides">
                  <wp:wrapPolygon edited="0">
                    <wp:start x="740" y="0"/>
                    <wp:lineTo x="740" y="21150"/>
                    <wp:lineTo x="20728" y="21150"/>
                    <wp:lineTo x="20728" y="0"/>
                    <wp:lineTo x="740"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914400"/>
                        </a:xfrm>
                        <a:prstGeom prst="rect">
                          <a:avLst/>
                        </a:prstGeom>
                        <a:noFill/>
                        <a:ln w="9525">
                          <a:noFill/>
                          <a:miter lim="800000"/>
                          <a:headEnd/>
                          <a:tailEnd/>
                        </a:ln>
                      </wps:spPr>
                      <wps:txb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increased by 9</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.2%, while their amount </w:t>
                            </w:r>
                            <w:r w:rsidR="00045EEB">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by 8.6%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AB14A" id="Pole tekstowe 16" o:spid="_x0000_s1033" type="#_x0000_t202" style="position:absolute;margin-left:0;margin-top:7.9pt;width:131.3pt;height:1in;z-index:-25154150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" filled="f" stroked="f">
                <v:textbo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The number of paid housing allowances increased by 9</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.2%, while their amount </w:t>
                      </w:r>
                      <w:r w:rsidR="00045EEB">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by 8.6%</w:t>
                      </w:r>
                    </w:p>
                  </w:txbxContent>
                </v:textbox>
                <w10:wrap type="tight" anchorx="margin"/>
              </v:shape>
            </w:pict>
          </mc:Fallback>
        </mc:AlternateContent>
      </w:r>
      <w:r w:rsidRPr="00BC2A12">
        <w:rPr>
          <w:rFonts w:ascii="Fira Sans" w:hAnsi="Fira Sans"/>
          <w:b/>
          <w:lang w:val="en-US"/>
        </w:rPr>
        <w:t>Housing allowances</w:t>
      </w:r>
    </w:p>
    <w:p w:rsidR="00BC2A12" w:rsidRPr="00BC2A12" w:rsidRDefault="00BC2A12" w:rsidP="00BC2A12">
      <w:pPr>
        <w:spacing w:before="0" w:after="0" w:line="240" w:lineRule="auto"/>
        <w:rPr>
          <w:sz w:val="12"/>
          <w:szCs w:val="12"/>
          <w:lang w:val="en-US" w:eastAsia="pl-PL"/>
        </w:rPr>
      </w:pPr>
    </w:p>
    <w:p w:rsidR="00BC2A12" w:rsidRPr="00BC2A12" w:rsidRDefault="00BC2A12" w:rsidP="00BC2A12">
      <w:pPr>
        <w:spacing w:before="0" w:after="0"/>
        <w:rPr>
          <w:shd w:val="clear" w:color="auto" w:fill="FFFFFF"/>
          <w:lang w:val="en-US"/>
        </w:rPr>
      </w:pPr>
      <w:r w:rsidRPr="00BC2A12">
        <w:rPr>
          <w:shd w:val="clear" w:color="auto" w:fill="FFFFFF"/>
          <w:lang w:val="en-US"/>
        </w:rPr>
        <w:t>In 2017, there was paid approx. 3.6 mln housing allowances for the total amount of PLN</w:t>
      </w:r>
      <w:r w:rsidR="00A33451">
        <w:rPr>
          <w:shd w:val="clear" w:color="auto" w:fill="FFFFFF"/>
          <w:lang w:val="en-US"/>
        </w:rPr>
        <w:t> </w:t>
      </w:r>
      <w:r w:rsidRPr="00BC2A12">
        <w:rPr>
          <w:shd w:val="clear" w:color="auto" w:fill="FFFFFF"/>
          <w:lang w:val="en-US"/>
        </w:rPr>
        <w:t>746.8</w:t>
      </w:r>
      <w:r w:rsidR="00A33451">
        <w:rPr>
          <w:shd w:val="clear" w:color="auto" w:fill="FFFFFF"/>
          <w:lang w:val="en-US"/>
        </w:rPr>
        <w:t> </w:t>
      </w:r>
      <w:r w:rsidRPr="00BC2A12">
        <w:rPr>
          <w:shd w:val="clear" w:color="auto" w:fill="FFFFFF"/>
          <w:lang w:val="en-US"/>
        </w:rPr>
        <w:t>mln. Analogically to the previous year, the highest number of housing allowances was paid to the users of gminas premises, i.e. 40.6%</w:t>
      </w:r>
      <w:r w:rsidR="00045EEB">
        <w:rPr>
          <w:shd w:val="clear" w:color="auto" w:fill="FFFFFF"/>
          <w:lang w:val="en-US"/>
        </w:rPr>
        <w:t>,</w:t>
      </w:r>
      <w:r w:rsidRPr="00BC2A12">
        <w:rPr>
          <w:shd w:val="clear" w:color="auto" w:fill="FFFFFF"/>
          <w:lang w:val="en-US"/>
        </w:rPr>
        <w:t xml:space="preserve"> and housing cooperative dwellings – 26.7%, while the lowest number was paid to the users of dwellings of public building societies – 2.0% and other entities – 6.0%.</w:t>
      </w:r>
    </w:p>
    <w:p w:rsidR="00BC2A12" w:rsidRPr="00BC2A12" w:rsidRDefault="00BC2A12" w:rsidP="00BC2A12">
      <w:pPr>
        <w:spacing w:before="0" w:after="0"/>
        <w:rPr>
          <w:spacing w:val="-2"/>
          <w:szCs w:val="19"/>
          <w:lang w:val="en-US"/>
        </w:rPr>
      </w:pPr>
      <w:r w:rsidRPr="00BC2A12">
        <w:rPr>
          <w:lang w:val="en-US"/>
        </w:rPr>
        <w:t>Average amount of housing allowances was PLN 205.9. The highest average amount of the</w:t>
      </w:r>
      <w:r w:rsidR="00A33451">
        <w:rPr>
          <w:lang w:val="en-US"/>
        </w:rPr>
        <w:t> </w:t>
      </w:r>
      <w:r w:rsidRPr="00BC2A12">
        <w:rPr>
          <w:lang w:val="en-US"/>
        </w:rPr>
        <w:t>allowance was paid to the users of premises being part of public building societies stocks –</w:t>
      </w:r>
      <w:r w:rsidR="00045EEB">
        <w:rPr>
          <w:lang w:val="en-US"/>
        </w:rPr>
        <w:t> </w:t>
      </w:r>
      <w:r w:rsidRPr="00BC2A12">
        <w:rPr>
          <w:lang w:val="en-US"/>
        </w:rPr>
        <w:t>PLN 248.9, while the lowest – to the users of premises being part of housing condominium stocks – PLN 184.8.</w:t>
      </w:r>
    </w:p>
    <w:p w:rsidR="00BC2A12" w:rsidRPr="00BC2A12" w:rsidRDefault="00BC2A12" w:rsidP="00BC2A12">
      <w:pPr>
        <w:spacing w:before="0" w:after="0"/>
        <w:rPr>
          <w:spacing w:val="-2"/>
          <w:szCs w:val="19"/>
          <w:lang w:val="en-US"/>
        </w:rPr>
      </w:pPr>
    </w:p>
    <w:p w:rsidR="00BC2A12" w:rsidRPr="00F0243D" w:rsidRDefault="00BC2A12" w:rsidP="00BC2A12">
      <w:pPr>
        <w:spacing w:before="0" w:after="0"/>
        <w:rPr>
          <w:b/>
          <w:spacing w:val="-2"/>
          <w:sz w:val="18"/>
        </w:rPr>
      </w:pPr>
      <w:r w:rsidRPr="00F0243D">
        <w:rPr>
          <w:b/>
          <w:spacing w:val="-2"/>
          <w:sz w:val="18"/>
        </w:rPr>
        <w:t>Tabl</w:t>
      </w:r>
      <w:r w:rsidR="00045EEB">
        <w:rPr>
          <w:b/>
          <w:spacing w:val="-2"/>
          <w:sz w:val="18"/>
        </w:rPr>
        <w:t>e</w:t>
      </w:r>
      <w:r w:rsidRPr="00F0243D">
        <w:rPr>
          <w:b/>
          <w:spacing w:val="-2"/>
          <w:sz w:val="18"/>
        </w:rPr>
        <w:t xml:space="preserve"> </w:t>
      </w:r>
      <w:r w:rsidR="006C5D54">
        <w:rPr>
          <w:b/>
          <w:spacing w:val="-2"/>
          <w:sz w:val="18"/>
        </w:rPr>
        <w:t>4</w:t>
      </w:r>
      <w:r w:rsidRPr="00F0243D">
        <w:rPr>
          <w:b/>
          <w:spacing w:val="-2"/>
          <w:sz w:val="18"/>
        </w:rPr>
        <w:t xml:space="preserve">. </w:t>
      </w:r>
      <w:r w:rsidR="00FF58EC">
        <w:rPr>
          <w:b/>
          <w:spacing w:val="-2"/>
          <w:sz w:val="18"/>
        </w:rPr>
        <w:t>Housing allowances</w:t>
      </w:r>
    </w:p>
    <w:p w:rsidR="00BC2A12" w:rsidRPr="00F0243D" w:rsidRDefault="00BC2A12" w:rsidP="00BC2A12">
      <w:pPr>
        <w:spacing w:before="0" w:after="0"/>
        <w:rPr>
          <w:sz w:val="12"/>
          <w:szCs w:val="12"/>
          <w:shd w:val="clear" w:color="auto" w:fill="FFFFFF"/>
        </w:rPr>
      </w:pPr>
    </w:p>
    <w:tbl>
      <w:tblPr>
        <w:tblW w:w="7878"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4239"/>
        <w:gridCol w:w="850"/>
        <w:gridCol w:w="987"/>
        <w:gridCol w:w="872"/>
        <w:gridCol w:w="930"/>
      </w:tblGrid>
      <w:tr w:rsidR="00BC2A12" w:rsidRPr="00F0243D" w:rsidTr="00C8541A">
        <w:trPr>
          <w:trHeight w:val="315"/>
        </w:trPr>
        <w:tc>
          <w:tcPr>
            <w:tcW w:w="4253" w:type="dxa"/>
            <w:tcBorders>
              <w:top w:val="nil"/>
              <w:bottom w:val="single" w:sz="12" w:space="0" w:color="001D77"/>
            </w:tcBorders>
            <w:shd w:val="clear" w:color="auto" w:fill="auto"/>
            <w:vAlign w:val="center"/>
            <w:hideMark/>
          </w:tcPr>
          <w:p w:rsidR="00BC2A12" w:rsidRPr="00F0243D" w:rsidRDefault="00FF58EC" w:rsidP="00C8541A">
            <w:pPr>
              <w:spacing w:before="0" w:after="0"/>
              <w:jc w:val="center"/>
              <w:rPr>
                <w:rFonts w:eastAsia="Times New Roman" w:cs="Calibri"/>
                <w:sz w:val="16"/>
                <w:szCs w:val="16"/>
                <w:lang w:eastAsia="pl-PL"/>
              </w:rPr>
            </w:pPr>
            <w:r>
              <w:rPr>
                <w:rFonts w:eastAsia="Times New Roman" w:cs="Calibri"/>
                <w:sz w:val="16"/>
                <w:szCs w:val="16"/>
                <w:lang w:eastAsia="pl-PL"/>
              </w:rPr>
              <w:t>Specification</w:t>
            </w:r>
          </w:p>
        </w:tc>
        <w:tc>
          <w:tcPr>
            <w:tcW w:w="850" w:type="dxa"/>
            <w:tcBorders>
              <w:top w:val="nil"/>
              <w:bottom w:val="single" w:sz="12" w:space="0" w:color="001D77"/>
            </w:tcBorders>
            <w:shd w:val="clear" w:color="auto" w:fill="auto"/>
            <w:vAlign w:val="center"/>
            <w:hideMark/>
          </w:tcPr>
          <w:p w:rsidR="00BC2A12" w:rsidRPr="00F0243D" w:rsidRDefault="00BC2A12" w:rsidP="00C8541A">
            <w:pPr>
              <w:spacing w:before="0" w:after="0"/>
              <w:jc w:val="center"/>
              <w:rPr>
                <w:rFonts w:eastAsia="Times New Roman" w:cs="Calibri"/>
                <w:sz w:val="16"/>
                <w:szCs w:val="16"/>
                <w:lang w:eastAsia="pl-PL"/>
              </w:rPr>
            </w:pPr>
            <w:r w:rsidRPr="00F0243D">
              <w:rPr>
                <w:rFonts w:eastAsia="Times New Roman" w:cs="Calibri"/>
                <w:sz w:val="16"/>
                <w:szCs w:val="16"/>
                <w:lang w:eastAsia="pl-PL"/>
              </w:rPr>
              <w:t>2016</w:t>
            </w:r>
          </w:p>
        </w:tc>
        <w:tc>
          <w:tcPr>
            <w:tcW w:w="989" w:type="dxa"/>
            <w:tcBorders>
              <w:top w:val="nil"/>
              <w:bottom w:val="single" w:sz="12" w:space="0" w:color="001D77"/>
            </w:tcBorders>
            <w:shd w:val="clear" w:color="auto" w:fill="auto"/>
            <w:vAlign w:val="center"/>
            <w:hideMark/>
          </w:tcPr>
          <w:p w:rsidR="00BC2A12" w:rsidRPr="00F0243D" w:rsidRDefault="00BC2A12" w:rsidP="00C8541A">
            <w:pPr>
              <w:spacing w:before="0" w:after="0"/>
              <w:jc w:val="center"/>
              <w:rPr>
                <w:rFonts w:eastAsia="Times New Roman" w:cs="Calibri"/>
                <w:sz w:val="16"/>
                <w:szCs w:val="16"/>
                <w:lang w:eastAsia="pl-PL"/>
              </w:rPr>
            </w:pPr>
            <w:r w:rsidRPr="00F0243D">
              <w:rPr>
                <w:rFonts w:eastAsia="Times New Roman" w:cs="Calibri"/>
                <w:sz w:val="16"/>
                <w:szCs w:val="16"/>
                <w:lang w:eastAsia="pl-PL"/>
              </w:rPr>
              <w:t>2015 = 100</w:t>
            </w:r>
          </w:p>
        </w:tc>
        <w:tc>
          <w:tcPr>
            <w:tcW w:w="854" w:type="dxa"/>
            <w:tcBorders>
              <w:top w:val="nil"/>
              <w:bottom w:val="single" w:sz="12" w:space="0" w:color="001D77"/>
            </w:tcBorders>
            <w:shd w:val="clear" w:color="auto" w:fill="auto"/>
            <w:vAlign w:val="center"/>
            <w:hideMark/>
          </w:tcPr>
          <w:p w:rsidR="00BC2A12" w:rsidRPr="00F0243D" w:rsidRDefault="00BC2A12" w:rsidP="00C8541A">
            <w:pPr>
              <w:spacing w:before="0" w:after="0"/>
              <w:jc w:val="center"/>
              <w:rPr>
                <w:rFonts w:eastAsia="Times New Roman" w:cs="Calibri"/>
                <w:sz w:val="16"/>
                <w:szCs w:val="16"/>
                <w:lang w:eastAsia="pl-PL"/>
              </w:rPr>
            </w:pPr>
            <w:r w:rsidRPr="00F0243D">
              <w:rPr>
                <w:rFonts w:eastAsia="Times New Roman" w:cs="Calibri"/>
                <w:sz w:val="16"/>
                <w:szCs w:val="16"/>
                <w:lang w:eastAsia="pl-PL"/>
              </w:rPr>
              <w:t>2017</w:t>
            </w:r>
          </w:p>
        </w:tc>
        <w:tc>
          <w:tcPr>
            <w:tcW w:w="932" w:type="dxa"/>
            <w:tcBorders>
              <w:top w:val="nil"/>
              <w:bottom w:val="single" w:sz="12" w:space="0" w:color="001D77"/>
            </w:tcBorders>
            <w:shd w:val="clear" w:color="auto" w:fill="auto"/>
            <w:vAlign w:val="center"/>
            <w:hideMark/>
          </w:tcPr>
          <w:p w:rsidR="00BC2A12" w:rsidRPr="00F0243D" w:rsidRDefault="00BC2A12" w:rsidP="00C8541A">
            <w:pPr>
              <w:spacing w:before="0" w:after="0"/>
              <w:jc w:val="center"/>
              <w:rPr>
                <w:rFonts w:eastAsia="Times New Roman" w:cs="Calibri"/>
                <w:sz w:val="16"/>
                <w:szCs w:val="16"/>
                <w:lang w:eastAsia="pl-PL"/>
              </w:rPr>
            </w:pPr>
            <w:r w:rsidRPr="00F0243D">
              <w:rPr>
                <w:rFonts w:eastAsia="Times New Roman" w:cs="Calibri"/>
                <w:sz w:val="16"/>
                <w:szCs w:val="16"/>
                <w:lang w:eastAsia="pl-PL"/>
              </w:rPr>
              <w:t>2016 = 100</w:t>
            </w:r>
          </w:p>
        </w:tc>
      </w:tr>
      <w:tr w:rsidR="00BC2A12" w:rsidRPr="00F0243D" w:rsidTr="00C8541A">
        <w:trPr>
          <w:trHeight w:val="330"/>
        </w:trPr>
        <w:tc>
          <w:tcPr>
            <w:tcW w:w="4253" w:type="dxa"/>
            <w:tcBorders>
              <w:top w:val="single" w:sz="12" w:space="0" w:color="001D77"/>
            </w:tcBorders>
            <w:shd w:val="clear" w:color="auto" w:fill="auto"/>
            <w:vAlign w:val="center"/>
            <w:hideMark/>
          </w:tcPr>
          <w:p w:rsidR="00BC2A12" w:rsidRPr="00FF58EC" w:rsidRDefault="00FF58EC" w:rsidP="00FF58EC">
            <w:pPr>
              <w:spacing w:before="0" w:after="0"/>
              <w:rPr>
                <w:rFonts w:eastAsia="Times New Roman" w:cs="Calibri"/>
                <w:sz w:val="16"/>
                <w:szCs w:val="16"/>
                <w:lang w:val="en-US" w:eastAsia="pl-PL"/>
              </w:rPr>
            </w:pPr>
            <w:r w:rsidRPr="00FF58EC">
              <w:rPr>
                <w:rFonts w:eastAsia="Times New Roman" w:cs="Calibri"/>
                <w:sz w:val="16"/>
                <w:szCs w:val="16"/>
                <w:lang w:val="en-US" w:eastAsia="pl-PL"/>
              </w:rPr>
              <w:t>Number of paid housing allowances in thous.</w:t>
            </w:r>
          </w:p>
        </w:tc>
        <w:tc>
          <w:tcPr>
            <w:tcW w:w="850" w:type="dxa"/>
            <w:tcBorders>
              <w:top w:val="single" w:sz="12" w:space="0" w:color="001D77"/>
            </w:tcBorders>
            <w:shd w:val="clear" w:color="auto" w:fill="auto"/>
            <w:vAlign w:val="center"/>
            <w:hideMark/>
          </w:tcPr>
          <w:p w:rsidR="00BC2A12" w:rsidRPr="00F0243D" w:rsidRDefault="00BC2A12" w:rsidP="00C8541A">
            <w:pPr>
              <w:spacing w:before="0" w:after="0"/>
              <w:jc w:val="right"/>
              <w:rPr>
                <w:rFonts w:eastAsia="Times New Roman" w:cs="Calibri"/>
                <w:sz w:val="16"/>
                <w:szCs w:val="16"/>
                <w:lang w:eastAsia="pl-PL"/>
              </w:rPr>
            </w:pPr>
            <w:r w:rsidRPr="00FF58EC">
              <w:rPr>
                <w:rFonts w:eastAsia="Times New Roman" w:cs="Calibri"/>
                <w:sz w:val="16"/>
                <w:szCs w:val="16"/>
                <w:lang w:val="en-US" w:eastAsia="pl-PL"/>
              </w:rPr>
              <w:t> </w:t>
            </w:r>
            <w:r w:rsidR="006C5D54">
              <w:rPr>
                <w:rFonts w:eastAsia="Times New Roman" w:cs="Calibri"/>
                <w:sz w:val="16"/>
                <w:szCs w:val="16"/>
                <w:lang w:eastAsia="pl-PL"/>
              </w:rPr>
              <w:t>3 994.</w:t>
            </w:r>
            <w:r w:rsidRPr="00F0243D">
              <w:rPr>
                <w:rFonts w:eastAsia="Times New Roman" w:cs="Calibri"/>
                <w:sz w:val="16"/>
                <w:szCs w:val="16"/>
                <w:lang w:eastAsia="pl-PL"/>
              </w:rPr>
              <w:t>3</w:t>
            </w:r>
          </w:p>
        </w:tc>
        <w:tc>
          <w:tcPr>
            <w:tcW w:w="989" w:type="dxa"/>
            <w:tcBorders>
              <w:top w:val="single" w:sz="12" w:space="0" w:color="001D77"/>
            </w:tcBorders>
            <w:shd w:val="clear" w:color="auto" w:fill="auto"/>
            <w:vAlign w:val="center"/>
            <w:hideMark/>
          </w:tcPr>
          <w:p w:rsidR="00BC2A12" w:rsidRPr="00F0243D"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91.</w:t>
            </w:r>
            <w:r w:rsidR="00BC2A12" w:rsidRPr="00F0243D">
              <w:rPr>
                <w:rFonts w:eastAsia="Times New Roman" w:cs="Calibri"/>
                <w:sz w:val="16"/>
                <w:szCs w:val="16"/>
                <w:lang w:eastAsia="pl-PL"/>
              </w:rPr>
              <w:t>6 </w:t>
            </w:r>
          </w:p>
        </w:tc>
        <w:tc>
          <w:tcPr>
            <w:tcW w:w="854" w:type="dxa"/>
            <w:tcBorders>
              <w:top w:val="single" w:sz="12" w:space="0" w:color="001D77"/>
            </w:tcBorders>
            <w:shd w:val="clear" w:color="auto" w:fill="auto"/>
            <w:vAlign w:val="center"/>
            <w:hideMark/>
          </w:tcPr>
          <w:p w:rsidR="00BC2A12" w:rsidRPr="00F0243D" w:rsidRDefault="00BC2A12" w:rsidP="00C8541A">
            <w:pPr>
              <w:spacing w:before="0" w:after="0"/>
              <w:jc w:val="right"/>
              <w:rPr>
                <w:rFonts w:eastAsia="Times New Roman" w:cs="Calibri"/>
                <w:sz w:val="16"/>
                <w:szCs w:val="16"/>
                <w:lang w:eastAsia="pl-PL"/>
              </w:rPr>
            </w:pPr>
            <w:r w:rsidRPr="00F0243D">
              <w:rPr>
                <w:rFonts w:eastAsia="Times New Roman" w:cs="Calibri"/>
                <w:sz w:val="16"/>
                <w:szCs w:val="16"/>
                <w:lang w:eastAsia="pl-PL"/>
              </w:rPr>
              <w:t> 3</w:t>
            </w:r>
            <w:r w:rsidR="006C5D54">
              <w:rPr>
                <w:rFonts w:eastAsia="Times New Roman" w:cs="Calibri"/>
                <w:sz w:val="16"/>
                <w:szCs w:val="16"/>
                <w:lang w:eastAsia="pl-PL"/>
              </w:rPr>
              <w:t> </w:t>
            </w:r>
            <w:r w:rsidRPr="00F0243D">
              <w:rPr>
                <w:rFonts w:eastAsia="Times New Roman" w:cs="Calibri"/>
                <w:sz w:val="16"/>
                <w:szCs w:val="16"/>
                <w:lang w:eastAsia="pl-PL"/>
              </w:rPr>
              <w:t>6</w:t>
            </w:r>
            <w:r w:rsidR="006C5D54">
              <w:rPr>
                <w:rFonts w:eastAsia="Times New Roman" w:cs="Calibri"/>
                <w:sz w:val="16"/>
                <w:szCs w:val="16"/>
                <w:lang w:eastAsia="pl-PL"/>
              </w:rPr>
              <w:t>27.</w:t>
            </w:r>
            <w:r>
              <w:rPr>
                <w:rFonts w:eastAsia="Times New Roman" w:cs="Calibri"/>
                <w:sz w:val="16"/>
                <w:szCs w:val="16"/>
                <w:lang w:eastAsia="pl-PL"/>
              </w:rPr>
              <w:t>7</w:t>
            </w:r>
            <w:r w:rsidRPr="00F0243D">
              <w:rPr>
                <w:rFonts w:eastAsia="Times New Roman" w:cs="Calibri"/>
                <w:sz w:val="16"/>
                <w:szCs w:val="16"/>
                <w:lang w:eastAsia="pl-PL"/>
              </w:rPr>
              <w:t> </w:t>
            </w:r>
          </w:p>
        </w:tc>
        <w:tc>
          <w:tcPr>
            <w:tcW w:w="932" w:type="dxa"/>
            <w:tcBorders>
              <w:top w:val="single" w:sz="12" w:space="0" w:color="001D77"/>
            </w:tcBorders>
            <w:shd w:val="clear" w:color="auto" w:fill="auto"/>
            <w:vAlign w:val="center"/>
            <w:hideMark/>
          </w:tcPr>
          <w:p w:rsidR="00BC2A12" w:rsidRPr="00F0243D" w:rsidRDefault="00BC2A12" w:rsidP="00C8541A">
            <w:pPr>
              <w:spacing w:before="0" w:after="0"/>
              <w:jc w:val="right"/>
              <w:rPr>
                <w:rFonts w:eastAsia="Times New Roman" w:cs="Calibri"/>
                <w:sz w:val="16"/>
                <w:szCs w:val="16"/>
                <w:lang w:eastAsia="pl-PL"/>
              </w:rPr>
            </w:pPr>
            <w:r w:rsidRPr="00F0243D">
              <w:rPr>
                <w:rFonts w:eastAsia="Times New Roman" w:cs="Calibri"/>
                <w:sz w:val="16"/>
                <w:szCs w:val="16"/>
                <w:lang w:eastAsia="pl-PL"/>
              </w:rPr>
              <w:t>9</w:t>
            </w:r>
            <w:r w:rsidR="006C5D54">
              <w:rPr>
                <w:rFonts w:eastAsia="Times New Roman" w:cs="Calibri"/>
                <w:sz w:val="16"/>
                <w:szCs w:val="16"/>
                <w:lang w:eastAsia="pl-PL"/>
              </w:rPr>
              <w:t>0.</w:t>
            </w:r>
            <w:r>
              <w:rPr>
                <w:rFonts w:eastAsia="Times New Roman" w:cs="Calibri"/>
                <w:sz w:val="16"/>
                <w:szCs w:val="16"/>
                <w:lang w:eastAsia="pl-PL"/>
              </w:rPr>
              <w:t>8</w:t>
            </w:r>
          </w:p>
        </w:tc>
      </w:tr>
      <w:tr w:rsidR="00BC2A12" w:rsidRPr="00F0243D" w:rsidTr="00C8541A">
        <w:trPr>
          <w:trHeight w:val="315"/>
        </w:trPr>
        <w:tc>
          <w:tcPr>
            <w:tcW w:w="4253" w:type="dxa"/>
            <w:shd w:val="clear" w:color="auto" w:fill="auto"/>
            <w:vAlign w:val="center"/>
            <w:hideMark/>
          </w:tcPr>
          <w:p w:rsidR="00BC2A12" w:rsidRPr="00FF58EC" w:rsidRDefault="00FF58EC" w:rsidP="00FF58EC">
            <w:pPr>
              <w:spacing w:before="0" w:after="0"/>
              <w:rPr>
                <w:rFonts w:eastAsia="Times New Roman" w:cs="Calibri"/>
                <w:sz w:val="16"/>
                <w:szCs w:val="16"/>
                <w:lang w:val="en-US" w:eastAsia="pl-PL"/>
              </w:rPr>
            </w:pPr>
            <w:r>
              <w:rPr>
                <w:rFonts w:eastAsia="Times New Roman" w:cs="Calibri"/>
                <w:sz w:val="16"/>
                <w:szCs w:val="16"/>
                <w:lang w:val="en-US" w:eastAsia="pl-PL"/>
              </w:rPr>
              <w:t>Amount of</w:t>
            </w:r>
            <w:r w:rsidR="00BC2A12" w:rsidRPr="00FF58EC">
              <w:rPr>
                <w:rFonts w:eastAsia="Times New Roman" w:cs="Calibri"/>
                <w:sz w:val="16"/>
                <w:szCs w:val="16"/>
                <w:lang w:val="en-US" w:eastAsia="pl-PL"/>
              </w:rPr>
              <w:t xml:space="preserve"> </w:t>
            </w:r>
            <w:r w:rsidRPr="00FF58EC">
              <w:rPr>
                <w:rFonts w:eastAsia="Times New Roman" w:cs="Calibri"/>
                <w:sz w:val="16"/>
                <w:szCs w:val="16"/>
                <w:lang w:val="en-US" w:eastAsia="pl-PL"/>
              </w:rPr>
              <w:t>housing allowances in thous.</w:t>
            </w:r>
            <w:r w:rsidR="00BC2A12" w:rsidRPr="00FF58EC">
              <w:rPr>
                <w:rFonts w:eastAsia="Times New Roman" w:cs="Calibri"/>
                <w:sz w:val="16"/>
                <w:szCs w:val="16"/>
                <w:lang w:val="en-US" w:eastAsia="pl-PL"/>
              </w:rPr>
              <w:t xml:space="preserve"> </w:t>
            </w:r>
            <w:r>
              <w:rPr>
                <w:rFonts w:eastAsia="Times New Roman" w:cs="Calibri"/>
                <w:sz w:val="16"/>
                <w:szCs w:val="16"/>
                <w:lang w:val="en-US" w:eastAsia="pl-PL"/>
              </w:rPr>
              <w:t>PLN</w:t>
            </w:r>
          </w:p>
        </w:tc>
        <w:tc>
          <w:tcPr>
            <w:tcW w:w="850" w:type="dxa"/>
            <w:shd w:val="clear" w:color="auto" w:fill="auto"/>
            <w:vAlign w:val="center"/>
            <w:hideMark/>
          </w:tcPr>
          <w:p w:rsidR="00BC2A12" w:rsidRPr="00F0243D" w:rsidRDefault="00BC2A12" w:rsidP="00C8541A">
            <w:pPr>
              <w:spacing w:before="0" w:after="0"/>
              <w:jc w:val="right"/>
              <w:rPr>
                <w:rFonts w:eastAsia="Times New Roman" w:cs="Calibri"/>
                <w:sz w:val="16"/>
                <w:szCs w:val="16"/>
                <w:lang w:eastAsia="pl-PL"/>
              </w:rPr>
            </w:pPr>
            <w:r w:rsidRPr="00FF58EC">
              <w:rPr>
                <w:rFonts w:eastAsia="Times New Roman" w:cs="Calibri"/>
                <w:sz w:val="16"/>
                <w:szCs w:val="16"/>
                <w:lang w:val="en-US" w:eastAsia="pl-PL"/>
              </w:rPr>
              <w:t> </w:t>
            </w:r>
            <w:r w:rsidR="006C5D54">
              <w:rPr>
                <w:rFonts w:eastAsia="Times New Roman" w:cs="Calibri"/>
                <w:sz w:val="16"/>
                <w:szCs w:val="16"/>
                <w:lang w:eastAsia="pl-PL"/>
              </w:rPr>
              <w:t>817 175.</w:t>
            </w:r>
            <w:r w:rsidRPr="00F0243D">
              <w:rPr>
                <w:rFonts w:eastAsia="Times New Roman" w:cs="Calibri"/>
                <w:sz w:val="16"/>
                <w:szCs w:val="16"/>
                <w:lang w:eastAsia="pl-PL"/>
              </w:rPr>
              <w:t>5</w:t>
            </w:r>
          </w:p>
        </w:tc>
        <w:tc>
          <w:tcPr>
            <w:tcW w:w="989" w:type="dxa"/>
            <w:shd w:val="clear" w:color="auto" w:fill="auto"/>
            <w:vAlign w:val="center"/>
            <w:hideMark/>
          </w:tcPr>
          <w:p w:rsidR="00BC2A12" w:rsidRPr="00F0243D"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91.</w:t>
            </w:r>
            <w:r w:rsidR="00BC2A12" w:rsidRPr="00F0243D">
              <w:rPr>
                <w:rFonts w:eastAsia="Times New Roman" w:cs="Calibri"/>
                <w:sz w:val="16"/>
                <w:szCs w:val="16"/>
                <w:lang w:eastAsia="pl-PL"/>
              </w:rPr>
              <w:t>4 </w:t>
            </w:r>
          </w:p>
        </w:tc>
        <w:tc>
          <w:tcPr>
            <w:tcW w:w="854" w:type="dxa"/>
            <w:shd w:val="clear" w:color="auto" w:fill="auto"/>
            <w:vAlign w:val="center"/>
            <w:hideMark/>
          </w:tcPr>
          <w:p w:rsidR="00BC2A12" w:rsidRPr="00F0243D" w:rsidRDefault="00BC2A12" w:rsidP="00C8541A">
            <w:pPr>
              <w:spacing w:before="0" w:after="0"/>
              <w:jc w:val="right"/>
              <w:rPr>
                <w:rFonts w:eastAsia="Times New Roman" w:cs="Calibri"/>
                <w:sz w:val="16"/>
                <w:szCs w:val="16"/>
                <w:lang w:eastAsia="pl-PL"/>
              </w:rPr>
            </w:pPr>
            <w:r w:rsidRPr="00F0243D">
              <w:rPr>
                <w:rFonts w:eastAsia="Times New Roman" w:cs="Calibri"/>
                <w:sz w:val="16"/>
                <w:szCs w:val="16"/>
                <w:lang w:eastAsia="pl-PL"/>
              </w:rPr>
              <w:t> </w:t>
            </w:r>
            <w:r w:rsidR="006C5D54">
              <w:rPr>
                <w:rFonts w:eastAsia="Times New Roman" w:cs="Calibri"/>
                <w:sz w:val="16"/>
                <w:szCs w:val="16"/>
                <w:lang w:eastAsia="pl-PL"/>
              </w:rPr>
              <w:t>746 760.</w:t>
            </w:r>
            <w:r>
              <w:rPr>
                <w:rFonts w:eastAsia="Times New Roman" w:cs="Calibri"/>
                <w:sz w:val="16"/>
                <w:szCs w:val="16"/>
                <w:lang w:eastAsia="pl-PL"/>
              </w:rPr>
              <w:t>2</w:t>
            </w:r>
            <w:r w:rsidRPr="00F0243D">
              <w:rPr>
                <w:rFonts w:eastAsia="Times New Roman" w:cs="Calibri"/>
                <w:sz w:val="16"/>
                <w:szCs w:val="16"/>
                <w:lang w:eastAsia="pl-PL"/>
              </w:rPr>
              <w:t> </w:t>
            </w:r>
          </w:p>
        </w:tc>
        <w:tc>
          <w:tcPr>
            <w:tcW w:w="932" w:type="dxa"/>
            <w:shd w:val="clear" w:color="auto" w:fill="auto"/>
            <w:vAlign w:val="center"/>
            <w:hideMark/>
          </w:tcPr>
          <w:p w:rsidR="00BC2A12" w:rsidRPr="00F0243D" w:rsidRDefault="00BC2A12" w:rsidP="00C8541A">
            <w:pPr>
              <w:spacing w:before="0" w:after="0"/>
              <w:jc w:val="right"/>
              <w:rPr>
                <w:rFonts w:eastAsia="Times New Roman" w:cs="Calibri"/>
                <w:sz w:val="16"/>
                <w:szCs w:val="16"/>
                <w:lang w:eastAsia="pl-PL"/>
              </w:rPr>
            </w:pPr>
            <w:r>
              <w:rPr>
                <w:rFonts w:eastAsia="Times New Roman" w:cs="Calibri"/>
                <w:sz w:val="16"/>
                <w:szCs w:val="16"/>
                <w:lang w:eastAsia="pl-PL"/>
              </w:rPr>
              <w:t>91</w:t>
            </w:r>
            <w:r w:rsidR="006C5D54">
              <w:rPr>
                <w:rFonts w:eastAsia="Times New Roman" w:cs="Calibri"/>
                <w:sz w:val="16"/>
                <w:szCs w:val="16"/>
                <w:lang w:eastAsia="pl-PL"/>
              </w:rPr>
              <w:t>.</w:t>
            </w:r>
            <w:r w:rsidRPr="00F0243D">
              <w:rPr>
                <w:rFonts w:eastAsia="Times New Roman" w:cs="Calibri"/>
                <w:sz w:val="16"/>
                <w:szCs w:val="16"/>
                <w:lang w:eastAsia="pl-PL"/>
              </w:rPr>
              <w:t>4</w:t>
            </w:r>
          </w:p>
        </w:tc>
      </w:tr>
      <w:tr w:rsidR="00BC2A12" w:rsidRPr="00F0243D" w:rsidTr="00C8541A">
        <w:trPr>
          <w:trHeight w:val="315"/>
        </w:trPr>
        <w:tc>
          <w:tcPr>
            <w:tcW w:w="4253" w:type="dxa"/>
            <w:shd w:val="clear" w:color="auto" w:fill="auto"/>
            <w:vAlign w:val="center"/>
          </w:tcPr>
          <w:p w:rsidR="00BC2A12" w:rsidRPr="00FF58EC" w:rsidRDefault="00FF58EC" w:rsidP="00FF58EC">
            <w:pPr>
              <w:spacing w:before="0" w:after="0"/>
              <w:rPr>
                <w:rFonts w:eastAsia="Times New Roman" w:cs="Calibri"/>
                <w:sz w:val="16"/>
                <w:szCs w:val="16"/>
                <w:lang w:val="en-US" w:eastAsia="pl-PL"/>
              </w:rPr>
            </w:pPr>
            <w:r w:rsidRPr="00FF58EC">
              <w:rPr>
                <w:rFonts w:eastAsia="Times New Roman" w:cs="Calibri"/>
                <w:sz w:val="16"/>
                <w:szCs w:val="16"/>
                <w:lang w:val="en-US" w:eastAsia="pl-PL"/>
              </w:rPr>
              <w:t>Average amount of housing allowance</w:t>
            </w:r>
            <w:r>
              <w:rPr>
                <w:rFonts w:eastAsia="Times New Roman" w:cs="Calibri"/>
                <w:sz w:val="16"/>
                <w:szCs w:val="16"/>
                <w:lang w:val="en-US" w:eastAsia="pl-PL"/>
              </w:rPr>
              <w:t xml:space="preserve"> in PLN</w:t>
            </w:r>
          </w:p>
        </w:tc>
        <w:tc>
          <w:tcPr>
            <w:tcW w:w="850" w:type="dxa"/>
            <w:shd w:val="clear" w:color="auto" w:fill="auto"/>
            <w:vAlign w:val="center"/>
          </w:tcPr>
          <w:p w:rsidR="00BC2A12" w:rsidRPr="00F0243D"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204.</w:t>
            </w:r>
            <w:r w:rsidR="00BC2A12" w:rsidRPr="00F0243D">
              <w:rPr>
                <w:rFonts w:eastAsia="Times New Roman" w:cs="Calibri"/>
                <w:sz w:val="16"/>
                <w:szCs w:val="16"/>
                <w:lang w:eastAsia="pl-PL"/>
              </w:rPr>
              <w:t>6</w:t>
            </w:r>
          </w:p>
        </w:tc>
        <w:tc>
          <w:tcPr>
            <w:tcW w:w="989" w:type="dxa"/>
            <w:shd w:val="clear" w:color="auto" w:fill="auto"/>
            <w:vAlign w:val="center"/>
          </w:tcPr>
          <w:p w:rsidR="00BC2A12" w:rsidRPr="00F0243D"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100.</w:t>
            </w:r>
            <w:r w:rsidR="00BC2A12" w:rsidRPr="00F0243D">
              <w:rPr>
                <w:rFonts w:eastAsia="Times New Roman" w:cs="Calibri"/>
                <w:sz w:val="16"/>
                <w:szCs w:val="16"/>
                <w:lang w:eastAsia="pl-PL"/>
              </w:rPr>
              <w:t>2</w:t>
            </w:r>
          </w:p>
        </w:tc>
        <w:tc>
          <w:tcPr>
            <w:tcW w:w="854" w:type="dxa"/>
            <w:shd w:val="clear" w:color="auto" w:fill="auto"/>
            <w:vAlign w:val="center"/>
          </w:tcPr>
          <w:p w:rsidR="00BC2A12" w:rsidRPr="00F0243D" w:rsidRDefault="006C5D54" w:rsidP="00C8541A">
            <w:pPr>
              <w:spacing w:before="0" w:after="0"/>
              <w:jc w:val="right"/>
              <w:rPr>
                <w:rFonts w:eastAsia="Times New Roman" w:cs="Calibri"/>
                <w:sz w:val="16"/>
                <w:szCs w:val="16"/>
                <w:lang w:eastAsia="pl-PL"/>
              </w:rPr>
            </w:pPr>
            <w:r>
              <w:rPr>
                <w:rFonts w:eastAsia="Times New Roman" w:cs="Calibri"/>
                <w:sz w:val="16"/>
                <w:szCs w:val="16"/>
                <w:lang w:eastAsia="pl-PL"/>
              </w:rPr>
              <w:t>205.</w:t>
            </w:r>
            <w:r w:rsidR="00BC2A12">
              <w:rPr>
                <w:rFonts w:eastAsia="Times New Roman" w:cs="Calibri"/>
                <w:sz w:val="16"/>
                <w:szCs w:val="16"/>
                <w:lang w:eastAsia="pl-PL"/>
              </w:rPr>
              <w:t>9</w:t>
            </w:r>
          </w:p>
        </w:tc>
        <w:tc>
          <w:tcPr>
            <w:tcW w:w="932" w:type="dxa"/>
            <w:shd w:val="clear" w:color="auto" w:fill="auto"/>
            <w:vAlign w:val="center"/>
          </w:tcPr>
          <w:p w:rsidR="00BC2A12" w:rsidRPr="00F0243D" w:rsidRDefault="00BC2A12" w:rsidP="00C8541A">
            <w:pPr>
              <w:spacing w:before="0" w:after="0"/>
              <w:jc w:val="right"/>
              <w:rPr>
                <w:rFonts w:eastAsia="Times New Roman" w:cs="Calibri"/>
                <w:sz w:val="16"/>
                <w:szCs w:val="16"/>
                <w:lang w:eastAsia="pl-PL"/>
              </w:rPr>
            </w:pPr>
            <w:r w:rsidRPr="00F0243D">
              <w:rPr>
                <w:rFonts w:eastAsia="Times New Roman" w:cs="Calibri"/>
                <w:sz w:val="16"/>
                <w:szCs w:val="16"/>
                <w:lang w:eastAsia="pl-PL"/>
              </w:rPr>
              <w:t>1</w:t>
            </w:r>
            <w:r w:rsidR="006C5D54">
              <w:rPr>
                <w:rFonts w:eastAsia="Times New Roman" w:cs="Calibri"/>
                <w:sz w:val="16"/>
                <w:szCs w:val="16"/>
                <w:lang w:eastAsia="pl-PL"/>
              </w:rPr>
              <w:t>00.</w:t>
            </w:r>
            <w:r>
              <w:rPr>
                <w:rFonts w:eastAsia="Times New Roman" w:cs="Calibri"/>
                <w:sz w:val="16"/>
                <w:szCs w:val="16"/>
                <w:lang w:eastAsia="pl-PL"/>
              </w:rPr>
              <w:t>6</w:t>
            </w:r>
          </w:p>
        </w:tc>
      </w:tr>
    </w:tbl>
    <w:p w:rsidR="00BC2A12" w:rsidRDefault="00BC2A12" w:rsidP="00BC2A12">
      <w:pPr>
        <w:spacing w:before="0" w:after="0"/>
        <w:rPr>
          <w:spacing w:val="-2"/>
          <w:szCs w:val="19"/>
        </w:rPr>
      </w:pPr>
    </w:p>
    <w:p w:rsidR="00BC2A12" w:rsidRPr="00BC2A12" w:rsidRDefault="00BC2A12" w:rsidP="00BC2A12">
      <w:pPr>
        <w:pStyle w:val="Nagwek1"/>
        <w:spacing w:before="0" w:after="0"/>
        <w:rPr>
          <w:rFonts w:ascii="Fira Sans" w:hAnsi="Fira Sans"/>
          <w:b/>
          <w:szCs w:val="19"/>
          <w:lang w:val="en-US"/>
        </w:rPr>
      </w:pPr>
      <w:r w:rsidRPr="00347A69">
        <w:rPr>
          <w:rFonts w:ascii="Fira Sans" w:hAnsi="Fira Sans"/>
          <w:b/>
          <w:noProof/>
          <w:szCs w:val="19"/>
          <w:lang w:val="en-GB" w:eastAsia="en-GB"/>
        </w:rPr>
        <mc:AlternateContent>
          <mc:Choice Requires="wps">
            <w:drawing>
              <wp:anchor distT="45720" distB="45720" distL="114300" distR="114300" simplePos="0" relativeHeight="251778048" behindDoc="1" locked="0" layoutInCell="1" allowOverlap="1" wp14:anchorId="1538A9BE" wp14:editId="39D49A1E">
                <wp:simplePos x="0" y="0"/>
                <wp:positionH relativeFrom="rightMargin">
                  <wp:align>left</wp:align>
                </wp:positionH>
                <wp:positionV relativeFrom="paragraph">
                  <wp:posOffset>108653</wp:posOffset>
                </wp:positionV>
                <wp:extent cx="1743710" cy="977900"/>
                <wp:effectExtent l="0" t="0" r="0" b="0"/>
                <wp:wrapTight wrapText="bothSides">
                  <wp:wrapPolygon edited="0">
                    <wp:start x="708" y="0"/>
                    <wp:lineTo x="708" y="21039"/>
                    <wp:lineTo x="20766" y="21039"/>
                    <wp:lineTo x="20766" y="0"/>
                    <wp:lineTo x="708" y="0"/>
                  </wp:wrapPolygon>
                </wp:wrapTight>
                <wp:docPr id="25" name="Pole tekstow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977900"/>
                        </a:xfrm>
                        <a:prstGeom prst="rect">
                          <a:avLst/>
                        </a:prstGeom>
                        <a:noFill/>
                        <a:ln w="9525">
                          <a:noFill/>
                          <a:miter lim="800000"/>
                          <a:headEnd/>
                          <a:tailEnd/>
                        </a:ln>
                      </wps:spPr>
                      <wps:txb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 owned 25 800 ha of lands destined for housing construction, of which 76.5% of their total</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area for single-family housing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8A9BE" id="Pole tekstowe 25" o:spid="_x0000_s1034" type="#_x0000_t202" style="position:absolute;margin-left:0;margin-top:8.55pt;width:137.3pt;height:77pt;z-index:-251538432;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" filled="f" stroked="f">
                <v:textbox>
                  <w:txbxContent>
                    <w:p w:rsidR="00BC2A12" w:rsidRPr="004407E0" w:rsidRDefault="00BC2A12" w:rsidP="00BC2A12">
                      <w:pPr>
                        <w:pStyle w:val="tekstzboku"/>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pPr>
                      <w:proofErr w:type="spellStart"/>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Gminas</w:t>
                      </w:r>
                      <w:proofErr w:type="spellEnd"/>
                      <w:r w:rsidRPr="004407E0">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owned 25 800 ha of lands destined for housing construction, of which 76.5% of their total</w:t>
                      </w:r>
                      <w:r w:rsidR="00E0440D">
                        <w:rPr>
                          <w:lang w:val="en-US"/>
                          <w14:textFill>
                            <w14:gradFill>
                              <w14:gsLst>
                                <w14:gs w14:pos="0">
                                  <w14:srgbClr w14:val="001D77">
                                    <w14:shade w14:val="30000"/>
                                    <w14:satMod w14:val="115000"/>
                                  </w14:srgbClr>
                                </w14:gs>
                                <w14:gs w14:pos="50000">
                                  <w14:srgbClr w14:val="001D77">
                                    <w14:shade w14:val="67500"/>
                                    <w14:satMod w14:val="115000"/>
                                  </w14:srgbClr>
                                </w14:gs>
                                <w14:gs w14:pos="100000">
                                  <w14:srgbClr w14:val="001D77">
                                    <w14:shade w14:val="100000"/>
                                    <w14:satMod w14:val="115000"/>
                                  </w14:srgbClr>
                                </w14:gs>
                              </w14:gsLst>
                              <w14:lin w14:ang="13500000" w14:scaled="0"/>
                            </w14:gradFill>
                          </w14:textFill>
                        </w:rPr>
                        <w:t xml:space="preserve"> area for single-family housing</w:t>
                      </w:r>
                    </w:p>
                  </w:txbxContent>
                </v:textbox>
                <w10:wrap type="tight" anchorx="margin"/>
              </v:shape>
            </w:pict>
          </mc:Fallback>
        </mc:AlternateContent>
      </w:r>
      <w:r w:rsidRPr="00BC2A12">
        <w:rPr>
          <w:rFonts w:ascii="Fira Sans" w:hAnsi="Fira Sans"/>
          <w:b/>
          <w:szCs w:val="19"/>
          <w:lang w:val="en-US"/>
        </w:rPr>
        <w:t>Management of land for housing construction</w:t>
      </w:r>
    </w:p>
    <w:p w:rsidR="00BC2A12" w:rsidRPr="00BC2A12" w:rsidRDefault="00BC2A12" w:rsidP="00BC2A12">
      <w:pPr>
        <w:spacing w:before="0" w:after="0" w:line="240" w:lineRule="auto"/>
        <w:rPr>
          <w:sz w:val="12"/>
          <w:szCs w:val="12"/>
          <w:lang w:val="en-US" w:eastAsia="pl-PL"/>
        </w:rPr>
      </w:pPr>
    </w:p>
    <w:p w:rsidR="00BC2A12" w:rsidRPr="00BC2A12" w:rsidRDefault="00045EEB" w:rsidP="00BC2A12">
      <w:pPr>
        <w:spacing w:before="0" w:after="0"/>
        <w:rPr>
          <w:shd w:val="clear" w:color="auto" w:fill="FFFFFF"/>
          <w:lang w:val="en-US"/>
        </w:rPr>
      </w:pPr>
      <w:r>
        <w:rPr>
          <w:shd w:val="clear" w:color="auto" w:fill="FFFFFF"/>
          <w:lang w:val="en-US"/>
        </w:rPr>
        <w:t>Regarding</w:t>
      </w:r>
      <w:r w:rsidR="00BC2A12" w:rsidRPr="00BC2A12">
        <w:rPr>
          <w:shd w:val="clear" w:color="auto" w:fill="FFFFFF"/>
          <w:lang w:val="en-US"/>
        </w:rPr>
        <w:t xml:space="preserve"> the land being part of gminas stocks intended for housing construction by the end of 2017, 60% was located in urban areas, of which 63.3% of land was destined for single-family housing.</w:t>
      </w:r>
    </w:p>
    <w:p w:rsidR="00BC2A12" w:rsidRPr="00BC2A12" w:rsidRDefault="00BC2A12" w:rsidP="00BC2A12">
      <w:pPr>
        <w:spacing w:before="0" w:after="0"/>
        <w:rPr>
          <w:shd w:val="clear" w:color="auto" w:fill="FFFFFF"/>
          <w:lang w:val="en-US"/>
        </w:rPr>
      </w:pPr>
      <w:r w:rsidRPr="00BC2A12">
        <w:rPr>
          <w:shd w:val="clear" w:color="auto" w:fill="FFFFFF"/>
          <w:lang w:val="en-US"/>
        </w:rPr>
        <w:t>From the total area of land provided for housing construction, 49.9% accounted for non-developed land (of which 50.6% was recorded in rural areas).</w:t>
      </w:r>
    </w:p>
    <w:p w:rsidR="00BC2A12" w:rsidRPr="00BC2A12" w:rsidRDefault="00BC2A12" w:rsidP="00BC2A12">
      <w:pPr>
        <w:spacing w:before="0" w:after="0"/>
        <w:rPr>
          <w:shd w:val="clear" w:color="auto" w:fill="FFFFFF"/>
          <w:lang w:val="en-US"/>
        </w:rPr>
      </w:pPr>
      <w:r w:rsidRPr="00BC2A12">
        <w:rPr>
          <w:shd w:val="clear" w:color="auto" w:fill="FFFFFF"/>
          <w:lang w:val="en-US"/>
        </w:rPr>
        <w:t>In 2017 gminas handed over to investors for housing construction 815 ha of land, of which 84.1% were meant for single-family housing. From the total area of land provided for housing construction 59.3% accounted for land in urban areas.</w:t>
      </w:r>
    </w:p>
    <w:p w:rsidR="00BC2A12" w:rsidRPr="00BC2A12" w:rsidRDefault="00BC2A12" w:rsidP="00BC2A12">
      <w:pPr>
        <w:rPr>
          <w:sz w:val="18"/>
          <w:lang w:val="en-US"/>
        </w:rPr>
      </w:pPr>
    </w:p>
    <w:p w:rsidR="00694AF0" w:rsidRPr="00370968" w:rsidRDefault="00694AF0" w:rsidP="00E76D26">
      <w:pPr>
        <w:rPr>
          <w:sz w:val="18"/>
          <w:lang w:val="en-US"/>
        </w:rPr>
        <w:sectPr w:rsidR="00694AF0" w:rsidRPr="00370968" w:rsidSect="00D02CCD">
          <w:headerReference w:type="default" r:id="rId14"/>
          <w:footerReference w:type="default" r:id="rId15"/>
          <w:headerReference w:type="first" r:id="rId16"/>
          <w:footerReference w:type="first" r:id="rId17"/>
          <w:pgSz w:w="11906" w:h="16838"/>
          <w:pgMar w:top="720" w:right="2975" w:bottom="720" w:left="720" w:header="284" w:footer="284" w:gutter="0"/>
          <w:cols w:space="708"/>
          <w:titlePg/>
          <w:docGrid w:linePitch="360"/>
        </w:sectPr>
      </w:pPr>
    </w:p>
    <w:p w:rsidR="000470AA" w:rsidRPr="00370968" w:rsidRDefault="000470AA" w:rsidP="000470AA">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165"/>
        <w:gridCol w:w="3728"/>
      </w:tblGrid>
      <w:tr w:rsidR="00222E38" w:rsidRPr="00A74BAE" w:rsidTr="00B5158A">
        <w:trPr>
          <w:trHeight w:val="1506"/>
        </w:trPr>
        <w:tc>
          <w:tcPr>
            <w:tcW w:w="4165" w:type="dxa"/>
          </w:tcPr>
          <w:p w:rsidR="00222E38" w:rsidRPr="00370968" w:rsidRDefault="00222E38" w:rsidP="00222E38">
            <w:pPr>
              <w:spacing w:before="0" w:after="0" w:line="276" w:lineRule="auto"/>
              <w:rPr>
                <w:rFonts w:cs="Arial"/>
                <w:color w:val="000000" w:themeColor="text1"/>
                <w:sz w:val="20"/>
                <w:lang w:val="en-US"/>
              </w:rPr>
            </w:pPr>
            <w:r w:rsidRPr="00370968">
              <w:rPr>
                <w:rFonts w:cs="Arial"/>
                <w:color w:val="000000" w:themeColor="text1"/>
                <w:sz w:val="20"/>
                <w:lang w:val="en-US"/>
              </w:rPr>
              <w:t>Prepared by:</w:t>
            </w:r>
          </w:p>
          <w:p w:rsidR="00222E38" w:rsidRPr="00370968" w:rsidRDefault="00222E38" w:rsidP="00222E38">
            <w:pPr>
              <w:pStyle w:val="Nagwek3"/>
              <w:spacing w:before="0" w:line="240" w:lineRule="auto"/>
              <w:rPr>
                <w:rFonts w:ascii="Fira Sans" w:eastAsiaTheme="minorHAnsi" w:hAnsi="Fira Sans" w:cs="Arial"/>
                <w:b/>
                <w:bCs/>
                <w:color w:val="000000" w:themeColor="text1"/>
                <w:sz w:val="20"/>
                <w:szCs w:val="22"/>
                <w:lang w:val="en-US"/>
              </w:rPr>
            </w:pPr>
            <w:r w:rsidRPr="00370968">
              <w:rPr>
                <w:rFonts w:ascii="Fira Sans" w:eastAsiaTheme="minorHAnsi" w:hAnsi="Fira Sans" w:cs="Arial"/>
                <w:b/>
                <w:color w:val="000000" w:themeColor="text1"/>
                <w:sz w:val="20"/>
                <w:szCs w:val="22"/>
                <w:lang w:val="en-US"/>
              </w:rPr>
              <w:br/>
            </w:r>
            <w:r w:rsidRPr="00370968">
              <w:rPr>
                <w:rFonts w:ascii="Fira Sans" w:eastAsiaTheme="minorHAnsi" w:hAnsi="Fira Sans" w:cs="Arial"/>
                <w:b/>
                <w:bCs/>
                <w:color w:val="000000" w:themeColor="text1"/>
                <w:sz w:val="20"/>
                <w:szCs w:val="22"/>
                <w:lang w:val="en-US"/>
              </w:rPr>
              <w:t>Trade and Services Department</w:t>
            </w:r>
          </w:p>
          <w:p w:rsidR="00222E38" w:rsidRPr="00BB4F09" w:rsidRDefault="00222E38" w:rsidP="00222E38">
            <w:pPr>
              <w:pStyle w:val="Nagwek3"/>
              <w:spacing w:before="0" w:line="240" w:lineRule="auto"/>
              <w:rPr>
                <w:rFonts w:ascii="Fira Sans" w:hAnsi="Fira Sans" w:cs="Arial"/>
                <w:b/>
                <w:color w:val="000000" w:themeColor="text1"/>
                <w:sz w:val="20"/>
                <w:szCs w:val="28"/>
              </w:rPr>
            </w:pPr>
            <w:r>
              <w:rPr>
                <w:rFonts w:ascii="Fira Sans" w:hAnsi="Fira Sans" w:cs="Arial"/>
                <w:b/>
                <w:color w:val="000000" w:themeColor="text1"/>
                <w:sz w:val="20"/>
                <w:szCs w:val="28"/>
              </w:rPr>
              <w:t>Izabella Adamczyk</w:t>
            </w:r>
          </w:p>
          <w:p w:rsidR="00222E38" w:rsidRPr="008F3638" w:rsidRDefault="00222E38" w:rsidP="00222E38">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Pr>
                <w:rFonts w:ascii="Fira Sans" w:hAnsi="Fira Sans" w:cs="Arial"/>
                <w:color w:val="000000" w:themeColor="text1"/>
                <w:sz w:val="20"/>
                <w:lang w:val="fi-FI"/>
              </w:rPr>
              <w:t>22</w:t>
            </w:r>
            <w:r w:rsidRPr="008F3638">
              <w:rPr>
                <w:rFonts w:ascii="Fira Sans" w:hAnsi="Fira Sans" w:cs="Arial"/>
                <w:color w:val="000000" w:themeColor="text1"/>
                <w:sz w:val="20"/>
                <w:lang w:val="fi-FI"/>
              </w:rPr>
              <w:t> </w:t>
            </w:r>
            <w:r>
              <w:rPr>
                <w:rFonts w:ascii="Fira Sans" w:hAnsi="Fira Sans" w:cs="Arial"/>
                <w:color w:val="000000" w:themeColor="text1"/>
                <w:sz w:val="20"/>
                <w:lang w:val="fi-FI"/>
              </w:rPr>
              <w:t>608 34 73</w:t>
            </w:r>
          </w:p>
          <w:p w:rsidR="00222E38" w:rsidRPr="008F3638" w:rsidRDefault="00222E38" w:rsidP="00222E38">
            <w:pPr>
              <w:pStyle w:val="Nagwek3"/>
              <w:spacing w:before="0" w:line="240" w:lineRule="auto"/>
              <w:rPr>
                <w:rFonts w:ascii="Fira Sans" w:hAnsi="Fira Sans"/>
                <w:color w:val="000000" w:themeColor="text1"/>
                <w:lang w:val="fi-FI"/>
              </w:rPr>
            </w:pPr>
            <w:r w:rsidRPr="008F3638">
              <w:rPr>
                <w:rFonts w:ascii="Fira Sans" w:hAnsi="Fira Sans" w:cs="Arial"/>
                <w:b/>
                <w:color w:val="000000" w:themeColor="text1"/>
                <w:sz w:val="20"/>
                <w:szCs w:val="20"/>
                <w:lang w:val="en-US"/>
              </w:rPr>
              <w:t xml:space="preserve">e-mail: </w:t>
            </w:r>
            <w:r w:rsidR="00045EEB" w:rsidRPr="00820C18">
              <w:rPr>
                <w:rStyle w:val="Hipercze"/>
                <w:rFonts w:cs="Arial"/>
                <w:lang w:val="en-US"/>
              </w:rPr>
              <w:t xml:space="preserve"> i</w:t>
            </w:r>
            <w:hyperlink r:id="rId18" w:history="1">
              <w:r w:rsidR="00045EEB" w:rsidRPr="00981BC7">
                <w:rPr>
                  <w:rStyle w:val="Hipercze"/>
                  <w:rFonts w:ascii="Fira Sans" w:hAnsi="Fira Sans" w:cs="Arial"/>
                  <w:b/>
                  <w:sz w:val="20"/>
                  <w:szCs w:val="20"/>
                  <w:lang w:val="en-US"/>
                </w:rPr>
                <w:t>.adamczyk@stat.gov.pl</w:t>
              </w:r>
            </w:hyperlink>
          </w:p>
        </w:tc>
        <w:tc>
          <w:tcPr>
            <w:tcW w:w="3728" w:type="dxa"/>
          </w:tcPr>
          <w:p w:rsidR="00222E38" w:rsidRPr="00370968" w:rsidRDefault="00222E38" w:rsidP="00222E38">
            <w:pPr>
              <w:spacing w:before="0" w:after="0" w:line="276" w:lineRule="auto"/>
              <w:rPr>
                <w:rFonts w:cs="Arial"/>
                <w:b/>
                <w:color w:val="000000" w:themeColor="text1"/>
                <w:sz w:val="20"/>
                <w:lang w:val="en-US"/>
              </w:rPr>
            </w:pPr>
            <w:r w:rsidRPr="00370968">
              <w:rPr>
                <w:rFonts w:cs="Arial"/>
                <w:color w:val="000000" w:themeColor="text1"/>
                <w:sz w:val="20"/>
                <w:lang w:val="en-US"/>
              </w:rPr>
              <w:t>Issued by:</w:t>
            </w:r>
            <w:r w:rsidRPr="00370968">
              <w:rPr>
                <w:rFonts w:cs="Arial"/>
                <w:color w:val="000000" w:themeColor="text1"/>
                <w:sz w:val="20"/>
                <w:lang w:val="en-US"/>
              </w:rPr>
              <w:br/>
            </w:r>
            <w:r w:rsidRPr="00370968">
              <w:rPr>
                <w:rFonts w:cs="Arial"/>
                <w:b/>
                <w:color w:val="000000" w:themeColor="text1"/>
                <w:sz w:val="20"/>
                <w:lang w:val="en-US"/>
              </w:rPr>
              <w:t xml:space="preserve">The Spokeperson for the President </w:t>
            </w:r>
          </w:p>
          <w:p w:rsidR="00222E38" w:rsidRPr="00370968" w:rsidRDefault="00222E38" w:rsidP="00222E38">
            <w:pPr>
              <w:spacing w:before="0" w:after="0" w:line="276" w:lineRule="auto"/>
              <w:rPr>
                <w:rFonts w:cs="Arial"/>
                <w:b/>
                <w:color w:val="000000" w:themeColor="text1"/>
                <w:sz w:val="20"/>
                <w:lang w:val="en-US"/>
              </w:rPr>
            </w:pPr>
            <w:r w:rsidRPr="00370968">
              <w:rPr>
                <w:rFonts w:cs="Arial"/>
                <w:b/>
                <w:color w:val="000000" w:themeColor="text1"/>
                <w:sz w:val="20"/>
                <w:lang w:val="en-US"/>
              </w:rPr>
              <w:t>of the Statistic Poland</w:t>
            </w:r>
          </w:p>
          <w:p w:rsidR="00222E38" w:rsidRPr="00370968" w:rsidRDefault="00222E38" w:rsidP="00222E38">
            <w:pPr>
              <w:pStyle w:val="Nagwek3"/>
              <w:spacing w:before="0" w:line="240" w:lineRule="auto"/>
              <w:rPr>
                <w:rFonts w:ascii="Fira Sans" w:hAnsi="Fira Sans" w:cs="Arial"/>
                <w:b/>
                <w:color w:val="000000" w:themeColor="text1"/>
                <w:sz w:val="20"/>
                <w:szCs w:val="28"/>
                <w:lang w:val="en-US"/>
              </w:rPr>
            </w:pPr>
            <w:r w:rsidRPr="00370968">
              <w:rPr>
                <w:rFonts w:ascii="Fira Sans" w:hAnsi="Fira Sans" w:cs="Arial"/>
                <w:b/>
                <w:color w:val="000000" w:themeColor="text1"/>
                <w:sz w:val="20"/>
                <w:szCs w:val="28"/>
                <w:lang w:val="en-US"/>
              </w:rPr>
              <w:t>Karolina Dawidziuk</w:t>
            </w:r>
          </w:p>
          <w:p w:rsidR="00222E38" w:rsidRPr="008F3638" w:rsidRDefault="00222E38" w:rsidP="00222E38">
            <w:pPr>
              <w:pStyle w:val="Nagwek3"/>
              <w:spacing w:before="0" w:line="240" w:lineRule="auto"/>
              <w:rPr>
                <w:rFonts w:ascii="Fira Sans" w:hAnsi="Fira Sans" w:cs="Arial"/>
                <w:color w:val="000000" w:themeColor="text1"/>
                <w:sz w:val="20"/>
                <w:lang w:val="fi-FI"/>
              </w:rPr>
            </w:pPr>
            <w:r w:rsidRPr="008F3638">
              <w:rPr>
                <w:rFonts w:ascii="Fira Sans" w:hAnsi="Fira Sans" w:cs="Arial"/>
                <w:color w:val="000000" w:themeColor="text1"/>
                <w:sz w:val="20"/>
                <w:lang w:val="fi-FI"/>
              </w:rPr>
              <w:t>Tel: 22 608 3475, 22 608 3009</w:t>
            </w:r>
          </w:p>
          <w:p w:rsidR="00222E38" w:rsidRPr="008F3638" w:rsidRDefault="00222E38" w:rsidP="00222E38">
            <w:pPr>
              <w:pStyle w:val="Nagwek3"/>
              <w:spacing w:before="0" w:line="240" w:lineRule="auto"/>
              <w:rPr>
                <w:rFonts w:ascii="Fira Sans" w:hAnsi="Fira Sans" w:cs="Arial"/>
                <w:color w:val="000000" w:themeColor="text1"/>
                <w:sz w:val="20"/>
                <w:szCs w:val="20"/>
                <w:lang w:val="en-US"/>
              </w:rPr>
            </w:pPr>
            <w:r w:rsidRPr="008F3638">
              <w:rPr>
                <w:rFonts w:ascii="Fira Sans" w:hAnsi="Fira Sans" w:cs="Arial"/>
                <w:b/>
                <w:color w:val="000000" w:themeColor="text1"/>
                <w:sz w:val="20"/>
                <w:szCs w:val="20"/>
                <w:lang w:val="en-US"/>
              </w:rPr>
              <w:t xml:space="preserve">e-mail: </w:t>
            </w:r>
            <w:hyperlink r:id="rId19" w:history="1">
              <w:r w:rsidRPr="008F3638">
                <w:rPr>
                  <w:rStyle w:val="Hipercze"/>
                  <w:rFonts w:ascii="Fira Sans" w:hAnsi="Fira Sans" w:cs="Arial"/>
                  <w:b/>
                  <w:color w:val="000000" w:themeColor="text1"/>
                  <w:sz w:val="20"/>
                  <w:szCs w:val="20"/>
                  <w:lang w:val="en-US"/>
                </w:rPr>
                <w:t>rzecznik@stat.gov.pl</w:t>
              </w:r>
            </w:hyperlink>
          </w:p>
        </w:tc>
      </w:tr>
    </w:tbl>
    <w:p w:rsidR="00222E38" w:rsidRPr="00370968" w:rsidRDefault="00222E38" w:rsidP="00222E38">
      <w:pPr>
        <w:rPr>
          <w:sz w:val="20"/>
          <w:lang w:val="en-US"/>
        </w:rPr>
      </w:pPr>
    </w:p>
    <w:p w:rsidR="00222E38" w:rsidRPr="00370968" w:rsidRDefault="00222E38" w:rsidP="00222E38">
      <w:pPr>
        <w:rPr>
          <w:sz w:val="18"/>
          <w:lang w:val="en-US"/>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222E38" w:rsidRPr="00A74BAE" w:rsidTr="00B5158A">
        <w:trPr>
          <w:trHeight w:val="610"/>
        </w:trPr>
        <w:tc>
          <w:tcPr>
            <w:tcW w:w="2721" w:type="pct"/>
            <w:vMerge w:val="restart"/>
            <w:vAlign w:val="center"/>
          </w:tcPr>
          <w:p w:rsidR="00222E38" w:rsidRPr="00370968" w:rsidRDefault="00222E38" w:rsidP="00222E38">
            <w:pPr>
              <w:rPr>
                <w:b/>
                <w:sz w:val="20"/>
                <w:lang w:val="en-US"/>
              </w:rPr>
            </w:pPr>
            <w:r w:rsidRPr="00370968">
              <w:rPr>
                <w:b/>
                <w:sz w:val="20"/>
                <w:lang w:val="en-US"/>
              </w:rPr>
              <w:t>Press Office</w:t>
            </w:r>
          </w:p>
          <w:p w:rsidR="00222E38" w:rsidRPr="00370968" w:rsidRDefault="00222E38" w:rsidP="00222E38">
            <w:pPr>
              <w:rPr>
                <w:sz w:val="20"/>
                <w:lang w:val="en-US"/>
              </w:rPr>
            </w:pPr>
            <w:r w:rsidRPr="00370968">
              <w:rPr>
                <w:b/>
                <w:sz w:val="20"/>
                <w:lang w:val="en-US"/>
              </w:rPr>
              <w:t xml:space="preserve">tel.: </w:t>
            </w:r>
            <w:r w:rsidRPr="00370968">
              <w:rPr>
                <w:sz w:val="20"/>
                <w:lang w:val="en-US"/>
              </w:rPr>
              <w:t xml:space="preserve">22 608 34 91, 22 608 38 04 </w:t>
            </w:r>
          </w:p>
          <w:p w:rsidR="00222E38" w:rsidRPr="00370968" w:rsidRDefault="00222E38" w:rsidP="00222E38">
            <w:pPr>
              <w:rPr>
                <w:sz w:val="20"/>
                <w:lang w:val="en-US"/>
              </w:rPr>
            </w:pPr>
            <w:r w:rsidRPr="00370968">
              <w:rPr>
                <w:b/>
                <w:sz w:val="20"/>
                <w:lang w:val="en-US"/>
              </w:rPr>
              <w:t>fax:</w:t>
            </w:r>
            <w:r w:rsidRPr="00370968">
              <w:rPr>
                <w:sz w:val="20"/>
                <w:lang w:val="en-US"/>
              </w:rPr>
              <w:t xml:space="preserve"> 22 608 38 86 </w:t>
            </w:r>
          </w:p>
          <w:p w:rsidR="00222E38" w:rsidRPr="00370968" w:rsidRDefault="00222E38" w:rsidP="00222E38">
            <w:pPr>
              <w:rPr>
                <w:sz w:val="18"/>
                <w:lang w:val="en-US"/>
              </w:rPr>
            </w:pPr>
            <w:r w:rsidRPr="00370968">
              <w:rPr>
                <w:b/>
                <w:sz w:val="20"/>
                <w:lang w:val="en-US"/>
              </w:rPr>
              <w:t>e-mail:</w:t>
            </w:r>
            <w:r w:rsidRPr="00370968">
              <w:rPr>
                <w:sz w:val="20"/>
                <w:lang w:val="en-US"/>
              </w:rPr>
              <w:t xml:space="preserve"> </w:t>
            </w:r>
            <w:hyperlink r:id="rId20" w:history="1">
              <w:r w:rsidRPr="00370968">
                <w:rPr>
                  <w:rStyle w:val="Hipercze"/>
                  <w:rFonts w:cstheme="minorBidi"/>
                  <w:sz w:val="20"/>
                  <w:lang w:val="en-US"/>
                </w:rPr>
                <w:t>obslugaprasowa@stat.gov.pl</w:t>
              </w:r>
            </w:hyperlink>
          </w:p>
        </w:tc>
        <w:tc>
          <w:tcPr>
            <w:tcW w:w="369" w:type="pct"/>
            <w:vAlign w:val="center"/>
          </w:tcPr>
          <w:p w:rsidR="00222E38" w:rsidRPr="00370968" w:rsidRDefault="00222E38" w:rsidP="00222E38">
            <w:pPr>
              <w:rPr>
                <w:sz w:val="18"/>
                <w:lang w:val="en-US"/>
              </w:rPr>
            </w:pPr>
            <w:r>
              <w:rPr>
                <w:noProof/>
                <w:sz w:val="20"/>
                <w:lang w:val="en-GB" w:eastAsia="en-GB"/>
              </w:rPr>
              <w:drawing>
                <wp:anchor distT="0" distB="0" distL="114300" distR="114300" simplePos="0" relativeHeight="251770880" behindDoc="0" locked="0" layoutInCell="1" allowOverlap="1" wp14:anchorId="1503B56A" wp14:editId="4A5366A5">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rsidR="00222E38" w:rsidRPr="00370968" w:rsidRDefault="00222E38" w:rsidP="00222E38">
            <w:pPr>
              <w:rPr>
                <w:sz w:val="18"/>
                <w:lang w:val="en-US"/>
              </w:rPr>
            </w:pPr>
            <w:r w:rsidRPr="00370968">
              <w:rPr>
                <w:sz w:val="20"/>
                <w:lang w:val="en-US"/>
              </w:rPr>
              <w:t>www.stat.gov.pl/en/</w:t>
            </w:r>
          </w:p>
        </w:tc>
      </w:tr>
      <w:tr w:rsidR="00222E38" w:rsidTr="00B5158A">
        <w:trPr>
          <w:trHeight w:val="436"/>
        </w:trPr>
        <w:tc>
          <w:tcPr>
            <w:tcW w:w="2721" w:type="pct"/>
            <w:vMerge/>
            <w:vAlign w:val="center"/>
          </w:tcPr>
          <w:p w:rsidR="00222E38" w:rsidRPr="00370968" w:rsidRDefault="00222E38" w:rsidP="00222E38">
            <w:pPr>
              <w:rPr>
                <w:sz w:val="18"/>
                <w:lang w:val="en-US"/>
              </w:rPr>
            </w:pPr>
          </w:p>
        </w:tc>
        <w:tc>
          <w:tcPr>
            <w:tcW w:w="369" w:type="pct"/>
            <w:vAlign w:val="center"/>
          </w:tcPr>
          <w:p w:rsidR="00222E38" w:rsidRPr="00370968" w:rsidRDefault="00222E38" w:rsidP="00222E38">
            <w:pPr>
              <w:rPr>
                <w:sz w:val="18"/>
                <w:lang w:val="en-US"/>
              </w:rPr>
            </w:pPr>
            <w:r>
              <w:rPr>
                <w:noProof/>
                <w:sz w:val="20"/>
                <w:lang w:val="en-GB" w:eastAsia="en-GB"/>
              </w:rPr>
              <w:drawing>
                <wp:anchor distT="0" distB="0" distL="114300" distR="114300" simplePos="0" relativeHeight="251772928" behindDoc="0" locked="0" layoutInCell="1" allowOverlap="1" wp14:anchorId="7C959830" wp14:editId="11FC57E3">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222E38" w:rsidRDefault="00222E38" w:rsidP="00222E38">
            <w:pPr>
              <w:rPr>
                <w:sz w:val="18"/>
              </w:rPr>
            </w:pPr>
            <w:r>
              <w:rPr>
                <w:sz w:val="20"/>
              </w:rPr>
              <w:t>@StatPoland</w:t>
            </w:r>
          </w:p>
        </w:tc>
      </w:tr>
      <w:tr w:rsidR="00222E38" w:rsidTr="00B5158A">
        <w:trPr>
          <w:trHeight w:val="436"/>
        </w:trPr>
        <w:tc>
          <w:tcPr>
            <w:tcW w:w="2721" w:type="pct"/>
            <w:vMerge/>
            <w:vAlign w:val="center"/>
          </w:tcPr>
          <w:p w:rsidR="00222E38" w:rsidRDefault="00222E38" w:rsidP="00222E38">
            <w:pPr>
              <w:rPr>
                <w:sz w:val="18"/>
              </w:rPr>
            </w:pPr>
          </w:p>
        </w:tc>
        <w:tc>
          <w:tcPr>
            <w:tcW w:w="369" w:type="pct"/>
            <w:vAlign w:val="center"/>
          </w:tcPr>
          <w:p w:rsidR="00222E38" w:rsidRDefault="00222E38" w:rsidP="00222E38">
            <w:pPr>
              <w:rPr>
                <w:sz w:val="18"/>
              </w:rPr>
            </w:pPr>
            <w:r>
              <w:rPr>
                <w:noProof/>
                <w:sz w:val="20"/>
                <w:lang w:val="en-GB" w:eastAsia="en-GB"/>
              </w:rPr>
              <w:drawing>
                <wp:anchor distT="0" distB="0" distL="114300" distR="114300" simplePos="0" relativeHeight="251771904" behindDoc="0" locked="0" layoutInCell="1" allowOverlap="1" wp14:anchorId="18C4490E" wp14:editId="3D334A4B">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rsidR="00222E38" w:rsidRDefault="00222E38" w:rsidP="00222E38">
            <w:pPr>
              <w:rPr>
                <w:sz w:val="20"/>
              </w:rPr>
            </w:pPr>
            <w:r w:rsidRPr="003D5F42">
              <w:rPr>
                <w:sz w:val="20"/>
              </w:rPr>
              <w:t>@GlownyUrzadStatystyczny</w:t>
            </w:r>
          </w:p>
        </w:tc>
      </w:tr>
    </w:tbl>
    <w:p w:rsidR="00222E38" w:rsidRPr="00001C5B" w:rsidRDefault="00943440" w:rsidP="00222E38">
      <w:pPr>
        <w:rPr>
          <w:sz w:val="18"/>
        </w:rPr>
      </w:pPr>
      <w:r>
        <w:rPr>
          <w:noProof/>
          <w:lang w:val="en-GB" w:eastAsia="en-GB"/>
        </w:rPr>
        <mc:AlternateContent>
          <mc:Choice Requires="wps">
            <w:drawing>
              <wp:anchor distT="45720" distB="45720" distL="114300" distR="114300" simplePos="0" relativeHeight="251769856" behindDoc="0" locked="0" layoutInCell="1" allowOverlap="1">
                <wp:simplePos x="0" y="0"/>
                <wp:positionH relativeFrom="margin">
                  <wp:posOffset>19050</wp:posOffset>
                </wp:positionH>
                <wp:positionV relativeFrom="paragraph">
                  <wp:posOffset>425450</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rsidR="00222E38" w:rsidRDefault="00222E38" w:rsidP="00222E38">
                            <w:pPr>
                              <w:rPr>
                                <w:b/>
                              </w:rPr>
                            </w:pPr>
                          </w:p>
                          <w:p w:rsidR="00222E38" w:rsidRPr="00370968" w:rsidRDefault="00222E38" w:rsidP="00222E38">
                            <w:pPr>
                              <w:rPr>
                                <w:b/>
                                <w:lang w:val="en-US"/>
                              </w:rPr>
                            </w:pPr>
                            <w:r w:rsidRPr="00370968">
                              <w:rPr>
                                <w:b/>
                                <w:lang w:val="en-US"/>
                              </w:rPr>
                              <w:t>Related information</w:t>
                            </w:r>
                          </w:p>
                          <w:p w:rsidR="00222E38" w:rsidRPr="00370968" w:rsidRDefault="004C60B5" w:rsidP="00222E38">
                            <w:pPr>
                              <w:rPr>
                                <w:rFonts w:cs="Arial"/>
                                <w:color w:val="001D77"/>
                                <w:sz w:val="18"/>
                                <w:szCs w:val="30"/>
                                <w:u w:val="single"/>
                                <w:shd w:val="clear" w:color="auto" w:fill="F0F0F0"/>
                                <w:lang w:val="en-US"/>
                              </w:rPr>
                            </w:pPr>
                            <w:hyperlink r:id="rId24" w:history="1">
                              <w:r w:rsidR="00D87594" w:rsidRPr="008F345E">
                                <w:rPr>
                                  <w:rStyle w:val="Hipercze"/>
                                  <w:rFonts w:cs="Arial"/>
                                  <w:sz w:val="18"/>
                                  <w:szCs w:val="30"/>
                                  <w:shd w:val="clear" w:color="auto" w:fill="F0F0F0"/>
                                  <w:lang w:val="en-US"/>
                                </w:rPr>
                                <w:t>Housing economy in</w:t>
                              </w:r>
                              <w:r w:rsidR="00222E38" w:rsidRPr="008F345E">
                                <w:rPr>
                                  <w:rStyle w:val="Hipercze"/>
                                  <w:rFonts w:cs="Arial"/>
                                  <w:sz w:val="18"/>
                                  <w:szCs w:val="30"/>
                                  <w:shd w:val="clear" w:color="auto" w:fill="F0F0F0"/>
                                  <w:lang w:val="en-US"/>
                                </w:rPr>
                                <w:t xml:space="preserve"> 201</w:t>
                              </w:r>
                              <w:r w:rsidR="005F5F10" w:rsidRPr="008F345E">
                                <w:rPr>
                                  <w:rStyle w:val="Hipercze"/>
                                  <w:rFonts w:cs="Arial"/>
                                  <w:sz w:val="18"/>
                                  <w:szCs w:val="30"/>
                                  <w:shd w:val="clear" w:color="auto" w:fill="F0F0F0"/>
                                  <w:lang w:val="en-US"/>
                                </w:rPr>
                                <w:t>6</w:t>
                              </w:r>
                            </w:hyperlink>
                          </w:p>
                          <w:p w:rsidR="00222E38" w:rsidRPr="00370968" w:rsidRDefault="00222E38" w:rsidP="00222E38">
                            <w:pPr>
                              <w:rPr>
                                <w:b/>
                                <w:color w:val="000000" w:themeColor="text1"/>
                                <w:szCs w:val="24"/>
                                <w:lang w:val="en-US"/>
                              </w:rPr>
                            </w:pPr>
                          </w:p>
                          <w:p w:rsidR="00222E38" w:rsidRPr="00370968" w:rsidRDefault="00222E38" w:rsidP="00222E38">
                            <w:pPr>
                              <w:rPr>
                                <w:b/>
                                <w:color w:val="000000" w:themeColor="text1"/>
                                <w:szCs w:val="24"/>
                                <w:lang w:val="en-US"/>
                              </w:rPr>
                            </w:pPr>
                            <w:r w:rsidRPr="00370968">
                              <w:rPr>
                                <w:b/>
                                <w:color w:val="000000" w:themeColor="text1"/>
                                <w:szCs w:val="24"/>
                                <w:lang w:val="en-US"/>
                              </w:rPr>
                              <w:t>Data available in databases</w:t>
                            </w:r>
                          </w:p>
                          <w:p w:rsidR="00CB6C00" w:rsidRPr="00370968" w:rsidRDefault="004C60B5" w:rsidP="00CB6C00">
                            <w:pPr>
                              <w:rPr>
                                <w:rFonts w:cs="Arial"/>
                                <w:color w:val="001D77"/>
                                <w:sz w:val="18"/>
                                <w:szCs w:val="30"/>
                                <w:u w:val="single"/>
                                <w:shd w:val="clear" w:color="auto" w:fill="F0F0F0"/>
                                <w:lang w:val="en-US"/>
                              </w:rPr>
                            </w:pPr>
                            <w:hyperlink r:id="rId25" w:history="1">
                              <w:r w:rsidR="00CB6C00" w:rsidRPr="00370968">
                                <w:rPr>
                                  <w:rStyle w:val="Hipercze"/>
                                  <w:rFonts w:cs="Arial"/>
                                  <w:sz w:val="18"/>
                                  <w:szCs w:val="30"/>
                                  <w:shd w:val="clear" w:color="auto" w:fill="F0F0F0"/>
                                  <w:lang w:val="en-US"/>
                                </w:rPr>
                                <w:t>Local Data Base</w:t>
                              </w:r>
                            </w:hyperlink>
                          </w:p>
                          <w:p w:rsidR="00222E38" w:rsidRPr="00370968" w:rsidRDefault="004C60B5" w:rsidP="00222E38">
                            <w:pPr>
                              <w:rPr>
                                <w:b/>
                                <w:color w:val="000000" w:themeColor="text1"/>
                                <w:szCs w:val="24"/>
                                <w:lang w:val="en-US"/>
                              </w:rPr>
                            </w:pPr>
                            <w:hyperlink r:id="rId26" w:history="1">
                              <w:r w:rsidR="00CB6C00" w:rsidRPr="00370968">
                                <w:rPr>
                                  <w:rStyle w:val="Hipercze"/>
                                  <w:rFonts w:cs="Arial"/>
                                  <w:sz w:val="18"/>
                                  <w:szCs w:val="30"/>
                                  <w:shd w:val="clear" w:color="auto" w:fill="F0F0F0"/>
                                  <w:lang w:val="en-US"/>
                                </w:rPr>
                                <w:t>Knownledge Databases</w:t>
                              </w:r>
                            </w:hyperlink>
                          </w:p>
                          <w:p w:rsidR="00222E38" w:rsidRPr="00370968" w:rsidRDefault="00222E38" w:rsidP="00222E38">
                            <w:pPr>
                              <w:rPr>
                                <w:b/>
                                <w:color w:val="000000" w:themeColor="text1"/>
                                <w:szCs w:val="24"/>
                                <w:lang w:val="en-US"/>
                              </w:rPr>
                            </w:pPr>
                            <w:r w:rsidRPr="00370968">
                              <w:rPr>
                                <w:b/>
                                <w:color w:val="000000" w:themeColor="text1"/>
                                <w:szCs w:val="24"/>
                                <w:lang w:val="en-US"/>
                              </w:rPr>
                              <w:t>Terms used in official statistics</w:t>
                            </w:r>
                          </w:p>
                          <w:p w:rsidR="00222E38" w:rsidRPr="00370968" w:rsidRDefault="004C60B5" w:rsidP="00222E38">
                            <w:pPr>
                              <w:rPr>
                                <w:rStyle w:val="Hipercze"/>
                                <w:rFonts w:cs="Arial"/>
                                <w:color w:val="001D77"/>
                                <w:sz w:val="18"/>
                                <w:szCs w:val="30"/>
                                <w:shd w:val="clear" w:color="auto" w:fill="F0F0F0"/>
                                <w:lang w:val="en-US"/>
                              </w:rPr>
                            </w:pPr>
                            <w:hyperlink r:id="rId27" w:history="1">
                              <w:r w:rsidR="008F345E" w:rsidRPr="008F345E">
                                <w:rPr>
                                  <w:rStyle w:val="Hipercze"/>
                                  <w:rFonts w:cs="Arial"/>
                                  <w:sz w:val="18"/>
                                  <w:szCs w:val="30"/>
                                  <w:shd w:val="clear" w:color="auto" w:fill="F0F0F0"/>
                                  <w:lang w:val="en-US"/>
                                </w:rPr>
                                <w:t>Dwelling</w:t>
                              </w:r>
                            </w:hyperlink>
                          </w:p>
                          <w:p w:rsidR="00222E38" w:rsidRPr="00370968" w:rsidRDefault="004C60B5" w:rsidP="00222E38">
                            <w:pPr>
                              <w:rPr>
                                <w:rStyle w:val="Hipercze"/>
                                <w:rFonts w:cs="Arial"/>
                                <w:color w:val="001D77"/>
                                <w:sz w:val="18"/>
                                <w:szCs w:val="30"/>
                                <w:shd w:val="clear" w:color="auto" w:fill="F0F0F0"/>
                                <w:lang w:val="en-US"/>
                              </w:rPr>
                            </w:pPr>
                            <w:hyperlink r:id="rId28" w:history="1">
                              <w:r w:rsidR="008F345E" w:rsidRPr="008F345E">
                                <w:rPr>
                                  <w:rStyle w:val="Hipercze"/>
                                  <w:rFonts w:cs="Arial"/>
                                  <w:sz w:val="18"/>
                                  <w:szCs w:val="30"/>
                                  <w:shd w:val="clear" w:color="auto" w:fill="F0F0F0"/>
                                  <w:lang w:val="en-US"/>
                                </w:rPr>
                                <w:t>Useful floor area of dwelling</w:t>
                              </w:r>
                            </w:hyperlink>
                          </w:p>
                          <w:p w:rsidR="000E2F7E" w:rsidRDefault="004C60B5" w:rsidP="00222E38">
                            <w:pPr>
                              <w:rPr>
                                <w:rFonts w:cs="Arial"/>
                                <w:sz w:val="18"/>
                                <w:szCs w:val="30"/>
                                <w:shd w:val="clear" w:color="auto" w:fill="F0F0F0"/>
                                <w:lang w:val="en-US"/>
                              </w:rPr>
                            </w:pPr>
                            <w:hyperlink r:id="rId29" w:history="1">
                              <w:r w:rsidR="008F345E" w:rsidRPr="008F345E">
                                <w:rPr>
                                  <w:rStyle w:val="Hipercze"/>
                                  <w:rFonts w:cs="Arial"/>
                                  <w:sz w:val="18"/>
                                  <w:szCs w:val="30"/>
                                  <w:shd w:val="clear" w:color="auto" w:fill="F0F0F0"/>
                                  <w:lang w:val="en-US"/>
                                </w:rPr>
                                <w:t>Room</w:t>
                              </w:r>
                            </w:hyperlink>
                          </w:p>
                          <w:p w:rsidR="008F345E" w:rsidRPr="008F345E" w:rsidRDefault="004C60B5" w:rsidP="00222E38">
                            <w:pPr>
                              <w:rPr>
                                <w:rFonts w:cs="Arial"/>
                                <w:sz w:val="18"/>
                                <w:szCs w:val="30"/>
                                <w:shd w:val="clear" w:color="auto" w:fill="F0F0F0"/>
                                <w:lang w:val="en-US"/>
                              </w:rPr>
                            </w:pPr>
                            <w:hyperlink r:id="rId30" w:history="1">
                              <w:r w:rsidR="008F345E" w:rsidRPr="008F345E">
                                <w:rPr>
                                  <w:rStyle w:val="Hipercze"/>
                                  <w:rFonts w:cs="Arial"/>
                                  <w:sz w:val="18"/>
                                  <w:szCs w:val="30"/>
                                  <w:shd w:val="clear" w:color="auto" w:fill="F0F0F0"/>
                                  <w:lang w:val="en-US"/>
                                </w:rPr>
                                <w:t>Social dwelling</w:t>
                              </w:r>
                            </w:hyperlink>
                          </w:p>
                          <w:p w:rsidR="008F345E" w:rsidRPr="008F345E" w:rsidRDefault="004C60B5" w:rsidP="00222E38">
                            <w:pPr>
                              <w:rPr>
                                <w:rStyle w:val="Hipercze"/>
                                <w:rFonts w:cs="Arial"/>
                                <w:sz w:val="18"/>
                                <w:szCs w:val="30"/>
                                <w:shd w:val="clear" w:color="auto" w:fill="F0F0F0"/>
                                <w:lang w:val="en-US"/>
                              </w:rPr>
                            </w:pPr>
                            <w:hyperlink r:id="rId31" w:history="1">
                              <w:r w:rsidR="008F345E" w:rsidRPr="008F345E">
                                <w:rPr>
                                  <w:rStyle w:val="Hipercze"/>
                                  <w:rFonts w:cs="Arial"/>
                                  <w:sz w:val="18"/>
                                  <w:szCs w:val="30"/>
                                  <w:shd w:val="clear" w:color="auto" w:fill="F0F0F0"/>
                                  <w:lang w:val="en-US"/>
                                </w:rPr>
                                <w:t>Housing allowance</w:t>
                              </w:r>
                            </w:hyperlink>
                          </w:p>
                          <w:p w:rsidR="008F345E" w:rsidRPr="008F345E" w:rsidRDefault="004C60B5" w:rsidP="00222E38">
                            <w:pPr>
                              <w:rPr>
                                <w:rStyle w:val="Hipercze"/>
                                <w:rFonts w:cs="Arial"/>
                                <w:sz w:val="18"/>
                                <w:szCs w:val="30"/>
                                <w:shd w:val="clear" w:color="auto" w:fill="F0F0F0"/>
                                <w:lang w:val="en-US"/>
                              </w:rPr>
                            </w:pPr>
                            <w:hyperlink r:id="rId32" w:history="1">
                              <w:r w:rsidR="00D2682C" w:rsidRPr="00D2682C">
                                <w:rPr>
                                  <w:rStyle w:val="Hipercze"/>
                                  <w:rFonts w:cs="Arial"/>
                                  <w:sz w:val="18"/>
                                  <w:szCs w:val="30"/>
                                  <w:shd w:val="clear" w:color="auto" w:fill="F0F0F0"/>
                                  <w:lang w:val="en-US"/>
                                </w:rPr>
                                <w:t>Common land</w:t>
                              </w:r>
                            </w:hyperlink>
                          </w:p>
                          <w:p w:rsidR="00222E38" w:rsidRPr="008F345E" w:rsidRDefault="00222E38" w:rsidP="00222E38">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5pt;margin-top:33.5pt;width:516.5pt;height:349.8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Afe2JRPwIAAHMEAAAO&#10;AAAAAAAAAAAAAAAAAC4CAABkcnMvZTJvRG9jLnhtbFBLAQItABQABgAIAAAAIQBuwDF83wAAAAkB&#10;AAAPAAAAAAAAAAAAAAAAAJkEAABkcnMvZG93bnJldi54bWxQSwUGAAAAAAQABADzAAAApQUAAAAA&#10;" fillcolor="#f2f2f2 [3052]" strokecolor="white [3212]">
                <v:textbox>
                  <w:txbxContent>
                    <w:p w:rsidR="00222E38" w:rsidRDefault="00222E38" w:rsidP="00222E38">
                      <w:pPr>
                        <w:rPr>
                          <w:b/>
                        </w:rPr>
                      </w:pPr>
                    </w:p>
                    <w:p w:rsidR="00222E38" w:rsidRPr="00370968" w:rsidRDefault="00222E38" w:rsidP="00222E38">
                      <w:pPr>
                        <w:rPr>
                          <w:b/>
                          <w:lang w:val="en-US"/>
                        </w:rPr>
                      </w:pPr>
                      <w:r w:rsidRPr="00370968">
                        <w:rPr>
                          <w:b/>
                          <w:lang w:val="en-US"/>
                        </w:rPr>
                        <w:t>Related information</w:t>
                      </w:r>
                    </w:p>
                    <w:p w:rsidR="00222E38" w:rsidRPr="00370968" w:rsidRDefault="00D2682C" w:rsidP="00222E38">
                      <w:pPr>
                        <w:rPr>
                          <w:rFonts w:cs="Arial"/>
                          <w:color w:val="001D77"/>
                          <w:sz w:val="18"/>
                          <w:szCs w:val="30"/>
                          <w:u w:val="single"/>
                          <w:shd w:val="clear" w:color="auto" w:fill="F0F0F0"/>
                          <w:lang w:val="en-US"/>
                        </w:rPr>
                      </w:pPr>
                      <w:hyperlink r:id="rId33" w:history="1">
                        <w:r w:rsidR="00D87594" w:rsidRPr="008F345E">
                          <w:rPr>
                            <w:rStyle w:val="Hipercze"/>
                            <w:rFonts w:cs="Arial"/>
                            <w:sz w:val="18"/>
                            <w:szCs w:val="30"/>
                            <w:shd w:val="clear" w:color="auto" w:fill="F0F0F0"/>
                            <w:lang w:val="en-US"/>
                          </w:rPr>
                          <w:t>Housing economy in</w:t>
                        </w:r>
                        <w:r w:rsidR="00222E38" w:rsidRPr="008F345E">
                          <w:rPr>
                            <w:rStyle w:val="Hipercze"/>
                            <w:rFonts w:cs="Arial"/>
                            <w:sz w:val="18"/>
                            <w:szCs w:val="30"/>
                            <w:shd w:val="clear" w:color="auto" w:fill="F0F0F0"/>
                            <w:lang w:val="en-US"/>
                          </w:rPr>
                          <w:t xml:space="preserve"> 201</w:t>
                        </w:r>
                        <w:r w:rsidR="005F5F10" w:rsidRPr="008F345E">
                          <w:rPr>
                            <w:rStyle w:val="Hipercze"/>
                            <w:rFonts w:cs="Arial"/>
                            <w:sz w:val="18"/>
                            <w:szCs w:val="30"/>
                            <w:shd w:val="clear" w:color="auto" w:fill="F0F0F0"/>
                            <w:lang w:val="en-US"/>
                          </w:rPr>
                          <w:t>6</w:t>
                        </w:r>
                      </w:hyperlink>
                    </w:p>
                    <w:p w:rsidR="00222E38" w:rsidRPr="00370968" w:rsidRDefault="00222E38" w:rsidP="00222E38">
                      <w:pPr>
                        <w:rPr>
                          <w:b/>
                          <w:color w:val="000000" w:themeColor="text1"/>
                          <w:szCs w:val="24"/>
                          <w:lang w:val="en-US"/>
                        </w:rPr>
                      </w:pPr>
                    </w:p>
                    <w:p w:rsidR="00222E38" w:rsidRPr="00370968" w:rsidRDefault="00222E38" w:rsidP="00222E38">
                      <w:pPr>
                        <w:rPr>
                          <w:b/>
                          <w:color w:val="000000" w:themeColor="text1"/>
                          <w:szCs w:val="24"/>
                          <w:lang w:val="en-US"/>
                        </w:rPr>
                      </w:pPr>
                      <w:r w:rsidRPr="00370968">
                        <w:rPr>
                          <w:b/>
                          <w:color w:val="000000" w:themeColor="text1"/>
                          <w:szCs w:val="24"/>
                          <w:lang w:val="en-US"/>
                        </w:rPr>
                        <w:t>Data available in databases</w:t>
                      </w:r>
                    </w:p>
                    <w:p w:rsidR="00CB6C00" w:rsidRPr="00370968" w:rsidRDefault="00D2682C" w:rsidP="00CB6C00">
                      <w:pPr>
                        <w:rPr>
                          <w:rFonts w:cs="Arial"/>
                          <w:color w:val="001D77"/>
                          <w:sz w:val="18"/>
                          <w:szCs w:val="30"/>
                          <w:u w:val="single"/>
                          <w:shd w:val="clear" w:color="auto" w:fill="F0F0F0"/>
                          <w:lang w:val="en-US"/>
                        </w:rPr>
                      </w:pPr>
                      <w:hyperlink r:id="rId34" w:history="1">
                        <w:r w:rsidR="00CB6C00" w:rsidRPr="00370968">
                          <w:rPr>
                            <w:rStyle w:val="Hipercze"/>
                            <w:rFonts w:cs="Arial"/>
                            <w:sz w:val="18"/>
                            <w:szCs w:val="30"/>
                            <w:shd w:val="clear" w:color="auto" w:fill="F0F0F0"/>
                            <w:lang w:val="en-US"/>
                          </w:rPr>
                          <w:t>Local Data Base</w:t>
                        </w:r>
                      </w:hyperlink>
                    </w:p>
                    <w:p w:rsidR="00222E38" w:rsidRPr="00370968" w:rsidRDefault="00D2682C" w:rsidP="00222E38">
                      <w:pPr>
                        <w:rPr>
                          <w:b/>
                          <w:color w:val="000000" w:themeColor="text1"/>
                          <w:szCs w:val="24"/>
                          <w:lang w:val="en-US"/>
                        </w:rPr>
                      </w:pPr>
                      <w:hyperlink r:id="rId35" w:history="1">
                        <w:proofErr w:type="spellStart"/>
                        <w:r w:rsidR="00CB6C00" w:rsidRPr="00370968">
                          <w:rPr>
                            <w:rStyle w:val="Hipercze"/>
                            <w:rFonts w:cs="Arial"/>
                            <w:sz w:val="18"/>
                            <w:szCs w:val="30"/>
                            <w:shd w:val="clear" w:color="auto" w:fill="F0F0F0"/>
                            <w:lang w:val="en-US"/>
                          </w:rPr>
                          <w:t>Knownledge</w:t>
                        </w:r>
                        <w:proofErr w:type="spellEnd"/>
                        <w:r w:rsidR="00CB6C00" w:rsidRPr="00370968">
                          <w:rPr>
                            <w:rStyle w:val="Hipercze"/>
                            <w:rFonts w:cs="Arial"/>
                            <w:sz w:val="18"/>
                            <w:szCs w:val="30"/>
                            <w:shd w:val="clear" w:color="auto" w:fill="F0F0F0"/>
                            <w:lang w:val="en-US"/>
                          </w:rPr>
                          <w:t xml:space="preserve"> Databases</w:t>
                        </w:r>
                      </w:hyperlink>
                    </w:p>
                    <w:p w:rsidR="00222E38" w:rsidRPr="00370968" w:rsidRDefault="00222E38" w:rsidP="00222E38">
                      <w:pPr>
                        <w:rPr>
                          <w:b/>
                          <w:color w:val="000000" w:themeColor="text1"/>
                          <w:szCs w:val="24"/>
                          <w:lang w:val="en-US"/>
                        </w:rPr>
                      </w:pPr>
                      <w:r w:rsidRPr="00370968">
                        <w:rPr>
                          <w:b/>
                          <w:color w:val="000000" w:themeColor="text1"/>
                          <w:szCs w:val="24"/>
                          <w:lang w:val="en-US"/>
                        </w:rPr>
                        <w:t>Terms used in official statistics</w:t>
                      </w:r>
                    </w:p>
                    <w:p w:rsidR="00222E38" w:rsidRPr="00370968" w:rsidRDefault="00D2682C" w:rsidP="00222E38">
                      <w:pPr>
                        <w:rPr>
                          <w:rStyle w:val="Hipercze"/>
                          <w:rFonts w:cs="Arial"/>
                          <w:color w:val="001D77"/>
                          <w:sz w:val="18"/>
                          <w:szCs w:val="30"/>
                          <w:shd w:val="clear" w:color="auto" w:fill="F0F0F0"/>
                          <w:lang w:val="en-US"/>
                        </w:rPr>
                      </w:pPr>
                      <w:hyperlink r:id="rId36" w:history="1">
                        <w:r w:rsidR="008F345E" w:rsidRPr="008F345E">
                          <w:rPr>
                            <w:rStyle w:val="Hipercze"/>
                            <w:rFonts w:cs="Arial"/>
                            <w:sz w:val="18"/>
                            <w:szCs w:val="30"/>
                            <w:shd w:val="clear" w:color="auto" w:fill="F0F0F0"/>
                            <w:lang w:val="en-US"/>
                          </w:rPr>
                          <w:t>Dwelling</w:t>
                        </w:r>
                      </w:hyperlink>
                    </w:p>
                    <w:p w:rsidR="00222E38" w:rsidRPr="00370968" w:rsidRDefault="00D2682C" w:rsidP="00222E38">
                      <w:pPr>
                        <w:rPr>
                          <w:rStyle w:val="Hipercze"/>
                          <w:rFonts w:cs="Arial"/>
                          <w:color w:val="001D77"/>
                          <w:sz w:val="18"/>
                          <w:szCs w:val="30"/>
                          <w:shd w:val="clear" w:color="auto" w:fill="F0F0F0"/>
                          <w:lang w:val="en-US"/>
                        </w:rPr>
                      </w:pPr>
                      <w:hyperlink r:id="rId37" w:history="1">
                        <w:r w:rsidR="008F345E" w:rsidRPr="008F345E">
                          <w:rPr>
                            <w:rStyle w:val="Hipercze"/>
                            <w:rFonts w:cs="Arial"/>
                            <w:sz w:val="18"/>
                            <w:szCs w:val="30"/>
                            <w:shd w:val="clear" w:color="auto" w:fill="F0F0F0"/>
                            <w:lang w:val="en-US"/>
                          </w:rPr>
                          <w:t>Useful floor area of dwelling</w:t>
                        </w:r>
                      </w:hyperlink>
                    </w:p>
                    <w:p w:rsidR="000E2F7E" w:rsidRDefault="00D2682C" w:rsidP="00222E38">
                      <w:pPr>
                        <w:rPr>
                          <w:rFonts w:cs="Arial"/>
                          <w:sz w:val="18"/>
                          <w:szCs w:val="30"/>
                          <w:shd w:val="clear" w:color="auto" w:fill="F0F0F0"/>
                          <w:lang w:val="en-US"/>
                        </w:rPr>
                      </w:pPr>
                      <w:hyperlink r:id="rId38" w:history="1">
                        <w:r w:rsidR="008F345E" w:rsidRPr="008F345E">
                          <w:rPr>
                            <w:rStyle w:val="Hipercze"/>
                            <w:rFonts w:cs="Arial"/>
                            <w:sz w:val="18"/>
                            <w:szCs w:val="30"/>
                            <w:shd w:val="clear" w:color="auto" w:fill="F0F0F0"/>
                            <w:lang w:val="en-US"/>
                          </w:rPr>
                          <w:t>Room</w:t>
                        </w:r>
                      </w:hyperlink>
                    </w:p>
                    <w:p w:rsidR="008F345E" w:rsidRPr="008F345E" w:rsidRDefault="00D2682C" w:rsidP="00222E38">
                      <w:pPr>
                        <w:rPr>
                          <w:rFonts w:cs="Arial"/>
                          <w:sz w:val="18"/>
                          <w:szCs w:val="30"/>
                          <w:shd w:val="clear" w:color="auto" w:fill="F0F0F0"/>
                          <w:lang w:val="en-US"/>
                        </w:rPr>
                      </w:pPr>
                      <w:hyperlink r:id="rId39" w:history="1">
                        <w:r w:rsidR="008F345E" w:rsidRPr="008F345E">
                          <w:rPr>
                            <w:rStyle w:val="Hipercze"/>
                            <w:rFonts w:cs="Arial"/>
                            <w:sz w:val="18"/>
                            <w:szCs w:val="30"/>
                            <w:shd w:val="clear" w:color="auto" w:fill="F0F0F0"/>
                            <w:lang w:val="en-US"/>
                          </w:rPr>
                          <w:t>Social dwelling</w:t>
                        </w:r>
                      </w:hyperlink>
                    </w:p>
                    <w:p w:rsidR="008F345E" w:rsidRPr="008F345E" w:rsidRDefault="00D2682C" w:rsidP="00222E38">
                      <w:pPr>
                        <w:rPr>
                          <w:rStyle w:val="Hipercze"/>
                          <w:rFonts w:cs="Arial"/>
                          <w:sz w:val="18"/>
                          <w:szCs w:val="30"/>
                          <w:shd w:val="clear" w:color="auto" w:fill="F0F0F0"/>
                          <w:lang w:val="en-US"/>
                        </w:rPr>
                      </w:pPr>
                      <w:hyperlink r:id="rId40" w:history="1">
                        <w:r w:rsidR="008F345E" w:rsidRPr="008F345E">
                          <w:rPr>
                            <w:rStyle w:val="Hipercze"/>
                            <w:rFonts w:cs="Arial"/>
                            <w:sz w:val="18"/>
                            <w:szCs w:val="30"/>
                            <w:shd w:val="clear" w:color="auto" w:fill="F0F0F0"/>
                            <w:lang w:val="en-US"/>
                          </w:rPr>
                          <w:t>Housing allowance</w:t>
                        </w:r>
                      </w:hyperlink>
                    </w:p>
                    <w:p w:rsidR="008F345E" w:rsidRPr="008F345E" w:rsidRDefault="00D2682C" w:rsidP="00222E38">
                      <w:pPr>
                        <w:rPr>
                          <w:rStyle w:val="Hipercze"/>
                          <w:rFonts w:cs="Arial"/>
                          <w:sz w:val="18"/>
                          <w:szCs w:val="30"/>
                          <w:shd w:val="clear" w:color="auto" w:fill="F0F0F0"/>
                          <w:lang w:val="en-US"/>
                        </w:rPr>
                      </w:pPr>
                      <w:hyperlink r:id="rId41" w:history="1">
                        <w:r w:rsidRPr="00D2682C">
                          <w:rPr>
                            <w:rStyle w:val="Hipercze"/>
                            <w:rFonts w:cs="Arial"/>
                            <w:sz w:val="18"/>
                            <w:szCs w:val="30"/>
                            <w:shd w:val="clear" w:color="auto" w:fill="F0F0F0"/>
                            <w:lang w:val="en-US"/>
                          </w:rPr>
                          <w:t>Comm</w:t>
                        </w:r>
                        <w:bookmarkStart w:id="1" w:name="_GoBack"/>
                        <w:bookmarkEnd w:id="1"/>
                        <w:r w:rsidRPr="00D2682C">
                          <w:rPr>
                            <w:rStyle w:val="Hipercze"/>
                            <w:rFonts w:cs="Arial"/>
                            <w:sz w:val="18"/>
                            <w:szCs w:val="30"/>
                            <w:shd w:val="clear" w:color="auto" w:fill="F0F0F0"/>
                            <w:lang w:val="en-US"/>
                          </w:rPr>
                          <w:t>o</w:t>
                        </w:r>
                        <w:r w:rsidRPr="00D2682C">
                          <w:rPr>
                            <w:rStyle w:val="Hipercze"/>
                            <w:rFonts w:cs="Arial"/>
                            <w:sz w:val="18"/>
                            <w:szCs w:val="30"/>
                            <w:shd w:val="clear" w:color="auto" w:fill="F0F0F0"/>
                            <w:lang w:val="en-US"/>
                          </w:rPr>
                          <w:t>n land</w:t>
                        </w:r>
                      </w:hyperlink>
                    </w:p>
                    <w:p w:rsidR="00222E38" w:rsidRPr="008F345E" w:rsidRDefault="00222E38" w:rsidP="00222E38">
                      <w:pPr>
                        <w:rPr>
                          <w:b/>
                          <w:color w:val="000000" w:themeColor="text1"/>
                          <w:szCs w:val="24"/>
                          <w:lang w:val="en-US"/>
                        </w:rPr>
                      </w:pPr>
                    </w:p>
                  </w:txbxContent>
                </v:textbox>
                <w10:wrap type="square" anchorx="margin"/>
              </v:shape>
            </w:pict>
          </mc:Fallback>
        </mc:AlternateContent>
      </w:r>
    </w:p>
    <w:p w:rsidR="00D261A2" w:rsidRPr="00001C5B" w:rsidRDefault="00D261A2" w:rsidP="00E76D26">
      <w:pPr>
        <w:rPr>
          <w:sz w:val="18"/>
        </w:rPr>
      </w:pPr>
    </w:p>
    <w:sectPr w:rsidR="00D261A2" w:rsidRPr="00001C5B" w:rsidSect="003B18B6">
      <w:headerReference w:type="default" r:id="rId42"/>
      <w:footerReference w:type="default" r:id="rId43"/>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95D" w:rsidRDefault="00CB695D" w:rsidP="000662E2">
      <w:pPr>
        <w:spacing w:after="0" w:line="240" w:lineRule="auto"/>
      </w:pPr>
      <w:r>
        <w:separator/>
      </w:r>
    </w:p>
  </w:endnote>
  <w:endnote w:type="continuationSeparator" w:id="0">
    <w:p w:rsidR="00CB695D" w:rsidRDefault="00CB695D"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rsidR="00EB556D" w:rsidRDefault="003C7BCB" w:rsidP="003B18B6">
        <w:pPr>
          <w:pStyle w:val="Stopka"/>
          <w:jc w:val="center"/>
        </w:pPr>
        <w:r>
          <w:fldChar w:fldCharType="begin"/>
        </w:r>
        <w:r w:rsidR="00541E6E">
          <w:instrText>PAGE   \* MERGEFORMAT</w:instrText>
        </w:r>
        <w:r>
          <w:fldChar w:fldCharType="separate"/>
        </w:r>
        <w:r w:rsidR="004C60B5">
          <w:rPr>
            <w:noProof/>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rsidR="00EB556D" w:rsidRDefault="003C7BCB" w:rsidP="003B18B6">
        <w:pPr>
          <w:pStyle w:val="Stopka"/>
          <w:jc w:val="center"/>
        </w:pPr>
        <w:r>
          <w:fldChar w:fldCharType="begin"/>
        </w:r>
        <w:r w:rsidR="00541E6E">
          <w:instrText>PAGE   \* MERGEFORMAT</w:instrText>
        </w:r>
        <w:r>
          <w:fldChar w:fldCharType="separate"/>
        </w:r>
        <w:r w:rsidR="004C60B5">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8B6" w:rsidRDefault="003C7BCB" w:rsidP="003B18B6">
    <w:pPr>
      <w:pStyle w:val="Stopka"/>
      <w:jc w:val="center"/>
    </w:pPr>
    <w:r>
      <w:fldChar w:fldCharType="begin"/>
    </w:r>
    <w:r w:rsidR="003B18B6">
      <w:instrText>PAGE   \* MERGEFORMAT</w:instrText>
    </w:r>
    <w:r>
      <w:fldChar w:fldCharType="separate"/>
    </w:r>
    <w:r w:rsidR="004C60B5">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95D" w:rsidRDefault="00CB695D" w:rsidP="000662E2">
      <w:pPr>
        <w:spacing w:after="0" w:line="240" w:lineRule="auto"/>
      </w:pPr>
      <w:r>
        <w:separator/>
      </w:r>
    </w:p>
  </w:footnote>
  <w:footnote w:type="continuationSeparator" w:id="0">
    <w:p w:rsidR="00CB695D" w:rsidRDefault="00CB695D"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2E2" w:rsidRDefault="00943440">
    <w:pPr>
      <w:pStyle w:val="Nagwek"/>
    </w:pPr>
    <w:r>
      <w:rPr>
        <w:noProof/>
        <w:lang w:val="en-GB" w:eastAsia="en-GB"/>
      </w:rPr>
      <mc:AlternateContent>
        <mc:Choice Requires="wps">
          <w:drawing>
            <wp:anchor distT="0" distB="0" distL="114300" distR="114300" simplePos="0" relativeHeight="251662336" behindDoc="1" locked="0" layoutInCell="1" allowOverlap="1">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E2140"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" fillcolor="#f2f2f2 [3052]" stroked="f" strokeweight="1pt">
              <v:path arrowok="t"/>
            </v:rect>
          </w:pict>
        </mc:Fallback>
      </mc:AlternateContent>
    </w:r>
  </w:p>
  <w:p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437" w:rsidRDefault="00943440">
    <w:pPr>
      <w:pStyle w:val="Nagwek"/>
      <w:rPr>
        <w:noProof/>
        <w:lang w:eastAsia="pl-PL"/>
      </w:rPr>
    </w:pPr>
    <w:r>
      <w:rPr>
        <w:noProof/>
        <w:lang w:val="en-GB" w:eastAsia="en-GB"/>
      </w:rPr>
      <mc:AlternateContent>
        <mc:Choice Requires="wps">
          <w:drawing>
            <wp:anchor distT="0" distB="0" distL="114300" distR="114300" simplePos="0" relativeHeight="251666432" behindDoc="1" locked="0" layoutInCell="1" allowOverlap="1">
              <wp:simplePos x="0" y="0"/>
              <wp:positionH relativeFrom="page">
                <wp:align>right</wp:align>
              </wp:positionH>
              <wp:positionV relativeFrom="paragraph">
                <wp:posOffset>483235</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6E781" id="Prostokąt 10" o:spid="_x0000_s1026" style="position:absolute;margin-left:96.2pt;margin-top:38.05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" fillcolor="#f2f2f2" stroked="f" strokeweight="1pt">
              <v:path arrowok="t"/>
              <w10:wrap type="tight" anchorx="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7172" w:rsidRPr="003C6C8D" w:rsidRDefault="002670FC" w:rsidP="002670FC">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Schemat blokowy: opóźnienie 6" o:spid="_x0000_s1036"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F37172" w:rsidRPr="003C6C8D" w:rsidRDefault="002670FC" w:rsidP="002670FC">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DE58BF">
      <w:rPr>
        <w:noProof/>
        <w:lang w:val="en-GB" w:eastAsia="en-GB"/>
      </w:rPr>
      <w:drawing>
        <wp:inline distT="0" distB="0" distL="0" distR="0" wp14:anchorId="4C607098" wp14:editId="2ACC49DE">
          <wp:extent cx="2512060" cy="430306"/>
          <wp:effectExtent l="0" t="0" r="2540" b="8255"/>
          <wp:docPr id="19" name="Obraz 2"/>
          <wp:cNvGraphicFramePr/>
          <a:graphic xmlns:a="http://schemas.openxmlformats.org/drawingml/2006/main">
            <a:graphicData uri="http://schemas.openxmlformats.org/drawingml/2006/picture">
              <pic:pic xmlns:pic="http://schemas.openxmlformats.org/drawingml/2006/picture">
                <pic:nvPicPr>
                  <pic:cNvPr id="1" name="Obraz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966" cy="443308"/>
                  </a:xfrm>
                  <a:prstGeom prst="rect">
                    <a:avLst/>
                  </a:prstGeom>
                  <a:noFill/>
                  <a:ln>
                    <a:noFill/>
                  </a:ln>
                </pic:spPr>
              </pic:pic>
            </a:graphicData>
          </a:graphic>
        </wp:inline>
      </w:drawing>
    </w:r>
  </w:p>
  <w:p w:rsidR="00F32749" w:rsidRDefault="00943440">
    <w:pPr>
      <w:pStyle w:val="Nagwek"/>
      <w:rPr>
        <w:noProof/>
        <w:lang w:eastAsia="pl-PL"/>
      </w:rPr>
    </w:pPr>
    <w:r>
      <w:rPr>
        <w:noProof/>
        <w:lang w:val="en-GB" w:eastAsia="en-GB"/>
      </w:rPr>
      <mc:AlternateContent>
        <mc:Choice Requires="wps">
          <w:drawing>
            <wp:anchor distT="45720" distB="45720" distL="114300" distR="114300" simplePos="0" relativeHeight="251669504" behindDoc="0" locked="0" layoutInCell="1" allowOverlap="1">
              <wp:simplePos x="0" y="0"/>
              <wp:positionH relativeFrom="column">
                <wp:posOffset>5219700</wp:posOffset>
              </wp:positionH>
              <wp:positionV relativeFrom="paragraph">
                <wp:posOffset>266065</wp:posOffset>
              </wp:positionV>
              <wp:extent cx="1432560" cy="336550"/>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rsidR="00F37172" w:rsidRPr="00C97596" w:rsidRDefault="00370968" w:rsidP="00F37172">
                          <w:pPr>
                            <w:jc w:val="both"/>
                            <w:rPr>
                              <w:rFonts w:ascii="Fira Sans SemiBold" w:hAnsi="Fira Sans SemiBold"/>
                              <w:color w:val="001D77"/>
                            </w:rPr>
                          </w:pPr>
                          <w:r>
                            <w:rPr>
                              <w:rFonts w:ascii="Fira Sans SemiBold" w:hAnsi="Fira Sans SemiBold"/>
                              <w:color w:val="001D77"/>
                            </w:rPr>
                            <w:t>14</w:t>
                          </w:r>
                          <w:r w:rsidR="00A810F9">
                            <w:rPr>
                              <w:rFonts w:ascii="Fira Sans SemiBold" w:hAnsi="Fira Sans SemiBold"/>
                              <w:color w:val="001D77"/>
                            </w:rPr>
                            <w:t>.</w:t>
                          </w:r>
                          <w:r w:rsidR="00692576">
                            <w:rPr>
                              <w:rFonts w:ascii="Fira Sans SemiBold" w:hAnsi="Fira Sans SemiBold"/>
                              <w:color w:val="001D77"/>
                            </w:rPr>
                            <w:t>0</w:t>
                          </w:r>
                          <w:r>
                            <w:rPr>
                              <w:rFonts w:ascii="Fira Sans SemiBold" w:hAnsi="Fira Sans SemiBold"/>
                              <w:color w:val="001D77"/>
                            </w:rPr>
                            <w:t>9</w:t>
                          </w:r>
                          <w:r w:rsidR="00A810F9">
                            <w:rPr>
                              <w:rFonts w:ascii="Fira Sans SemiBold" w:hAnsi="Fira Sans SemiBold"/>
                              <w:color w:val="001D77"/>
                            </w:rPr>
                            <w:t>.</w:t>
                          </w:r>
                          <w:r w:rsidR="00692576">
                            <w:rPr>
                              <w:rFonts w:ascii="Fira Sans SemiBold" w:hAnsi="Fira Sans SemiBold"/>
                              <w:color w:val="001D77"/>
                            </w:rPr>
                            <w:t>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CwiKQ7&#10;EAIAAP4DAAAOAAAAAAAAAAAAAAAAAC4CAABkcnMvZTJvRG9jLnhtbFBLAQItABQABgAIAAAAIQBr&#10;Z3Ed3gAAAAoBAAAPAAAAAAAAAAAAAAAAAGoEAABkcnMvZG93bnJldi54bWxQSwUGAAAAAAQABADz&#10;AAAAdQUAAAAA&#10;" filled="f" stroked="f">
              <v:textbox>
                <w:txbxContent>
                  <w:p w:rsidR="00F37172" w:rsidRPr="00C97596" w:rsidRDefault="00370968" w:rsidP="00F37172">
                    <w:pPr>
                      <w:jc w:val="both"/>
                      <w:rPr>
                        <w:rFonts w:ascii="Fira Sans SemiBold" w:hAnsi="Fira Sans SemiBold"/>
                        <w:color w:val="001D77"/>
                      </w:rPr>
                    </w:pPr>
                    <w:r>
                      <w:rPr>
                        <w:rFonts w:ascii="Fira Sans SemiBold" w:hAnsi="Fira Sans SemiBold"/>
                        <w:color w:val="001D77"/>
                      </w:rPr>
                      <w:t>14</w:t>
                    </w:r>
                    <w:r w:rsidR="00A810F9">
                      <w:rPr>
                        <w:rFonts w:ascii="Fira Sans SemiBold" w:hAnsi="Fira Sans SemiBold"/>
                        <w:color w:val="001D77"/>
                      </w:rPr>
                      <w:t>.</w:t>
                    </w:r>
                    <w:r w:rsidR="00692576">
                      <w:rPr>
                        <w:rFonts w:ascii="Fira Sans SemiBold" w:hAnsi="Fira Sans SemiBold"/>
                        <w:color w:val="001D77"/>
                      </w:rPr>
                      <w:t>0</w:t>
                    </w:r>
                    <w:r>
                      <w:rPr>
                        <w:rFonts w:ascii="Fira Sans SemiBold" w:hAnsi="Fira Sans SemiBold"/>
                        <w:color w:val="001D77"/>
                      </w:rPr>
                      <w:t>9</w:t>
                    </w:r>
                    <w:r w:rsidR="00A810F9">
                      <w:rPr>
                        <w:rFonts w:ascii="Fira Sans SemiBold" w:hAnsi="Fira Sans SemiBold"/>
                        <w:color w:val="001D77"/>
                      </w:rPr>
                      <w:t>.</w:t>
                    </w:r>
                    <w:r w:rsidR="00692576">
                      <w:rPr>
                        <w:rFonts w:ascii="Fira Sans SemiBold" w:hAnsi="Fira Sans SemiBold"/>
                        <w:color w:val="001D77"/>
                      </w:rPr>
                      <w:t>2018</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CC5" w:rsidRDefault="00607CC5">
    <w:pPr>
      <w:pStyle w:val="Nagwek"/>
    </w:pPr>
  </w:p>
  <w:p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pt;height:124pt;visibility:visible;mso-wrap-style:square" o:bullet="t">
        <v:imagedata r:id="rId1" o:title=""/>
      </v:shape>
    </w:pict>
  </w:numPicBullet>
  <w:numPicBullet w:numPicBulletId="1">
    <w:pict>
      <v:shape id="_x0000_i1027" type="#_x0000_t75" style="width:122.5pt;height:124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41C"/>
    <w:rsid w:val="000108B8"/>
    <w:rsid w:val="00012758"/>
    <w:rsid w:val="00013DC3"/>
    <w:rsid w:val="000152F5"/>
    <w:rsid w:val="00040BD5"/>
    <w:rsid w:val="0004582E"/>
    <w:rsid w:val="00045EEB"/>
    <w:rsid w:val="000470AA"/>
    <w:rsid w:val="00051E39"/>
    <w:rsid w:val="00052330"/>
    <w:rsid w:val="00057CA1"/>
    <w:rsid w:val="00057D9A"/>
    <w:rsid w:val="000662E2"/>
    <w:rsid w:val="00066883"/>
    <w:rsid w:val="00070963"/>
    <w:rsid w:val="00074DD8"/>
    <w:rsid w:val="000806F7"/>
    <w:rsid w:val="0008281C"/>
    <w:rsid w:val="00097840"/>
    <w:rsid w:val="000A3422"/>
    <w:rsid w:val="000B0727"/>
    <w:rsid w:val="000B3F20"/>
    <w:rsid w:val="000C072D"/>
    <w:rsid w:val="000C135D"/>
    <w:rsid w:val="000D1D43"/>
    <w:rsid w:val="000D225C"/>
    <w:rsid w:val="000D2A5C"/>
    <w:rsid w:val="000D578D"/>
    <w:rsid w:val="000E0918"/>
    <w:rsid w:val="000E218E"/>
    <w:rsid w:val="000E2F7E"/>
    <w:rsid w:val="001011C3"/>
    <w:rsid w:val="001022EA"/>
    <w:rsid w:val="00110D87"/>
    <w:rsid w:val="00113606"/>
    <w:rsid w:val="00114DB9"/>
    <w:rsid w:val="00116087"/>
    <w:rsid w:val="00130296"/>
    <w:rsid w:val="00137E3D"/>
    <w:rsid w:val="00141F9D"/>
    <w:rsid w:val="001423B6"/>
    <w:rsid w:val="001448A7"/>
    <w:rsid w:val="00146621"/>
    <w:rsid w:val="00162325"/>
    <w:rsid w:val="001651D7"/>
    <w:rsid w:val="0017685D"/>
    <w:rsid w:val="001951DA"/>
    <w:rsid w:val="00196599"/>
    <w:rsid w:val="001A6B1E"/>
    <w:rsid w:val="001C3269"/>
    <w:rsid w:val="001C3DB8"/>
    <w:rsid w:val="001D1214"/>
    <w:rsid w:val="001D1DB4"/>
    <w:rsid w:val="001E159D"/>
    <w:rsid w:val="001E2B38"/>
    <w:rsid w:val="00202C00"/>
    <w:rsid w:val="002072FC"/>
    <w:rsid w:val="00207D57"/>
    <w:rsid w:val="002205AF"/>
    <w:rsid w:val="00222E38"/>
    <w:rsid w:val="0022731A"/>
    <w:rsid w:val="002311DA"/>
    <w:rsid w:val="00231F5E"/>
    <w:rsid w:val="00235562"/>
    <w:rsid w:val="00240ABF"/>
    <w:rsid w:val="002574F9"/>
    <w:rsid w:val="00261383"/>
    <w:rsid w:val="00262B61"/>
    <w:rsid w:val="00264DBF"/>
    <w:rsid w:val="00265051"/>
    <w:rsid w:val="00265626"/>
    <w:rsid w:val="002670FC"/>
    <w:rsid w:val="00276811"/>
    <w:rsid w:val="00282699"/>
    <w:rsid w:val="002847F1"/>
    <w:rsid w:val="00286F19"/>
    <w:rsid w:val="002915BA"/>
    <w:rsid w:val="002926DF"/>
    <w:rsid w:val="00296697"/>
    <w:rsid w:val="002A1D83"/>
    <w:rsid w:val="002B0472"/>
    <w:rsid w:val="002B5932"/>
    <w:rsid w:val="002B6B12"/>
    <w:rsid w:val="002C6197"/>
    <w:rsid w:val="002D63C1"/>
    <w:rsid w:val="002E3864"/>
    <w:rsid w:val="002E5444"/>
    <w:rsid w:val="002E6140"/>
    <w:rsid w:val="002E6985"/>
    <w:rsid w:val="002E71B6"/>
    <w:rsid w:val="002F113C"/>
    <w:rsid w:val="002F2493"/>
    <w:rsid w:val="002F5CB4"/>
    <w:rsid w:val="002F77C8"/>
    <w:rsid w:val="00300931"/>
    <w:rsid w:val="0030130D"/>
    <w:rsid w:val="00304F22"/>
    <w:rsid w:val="00306C7C"/>
    <w:rsid w:val="00310683"/>
    <w:rsid w:val="00322EDD"/>
    <w:rsid w:val="00325B5B"/>
    <w:rsid w:val="00332320"/>
    <w:rsid w:val="00334BC6"/>
    <w:rsid w:val="00347D72"/>
    <w:rsid w:val="003509C1"/>
    <w:rsid w:val="00357611"/>
    <w:rsid w:val="00363878"/>
    <w:rsid w:val="00365427"/>
    <w:rsid w:val="00367237"/>
    <w:rsid w:val="0037077F"/>
    <w:rsid w:val="00370968"/>
    <w:rsid w:val="00372411"/>
    <w:rsid w:val="00373882"/>
    <w:rsid w:val="003843DB"/>
    <w:rsid w:val="0038440D"/>
    <w:rsid w:val="0038453C"/>
    <w:rsid w:val="00393761"/>
    <w:rsid w:val="00397D18"/>
    <w:rsid w:val="003A1B36"/>
    <w:rsid w:val="003B1454"/>
    <w:rsid w:val="003B18B6"/>
    <w:rsid w:val="003C59E0"/>
    <w:rsid w:val="003C65B9"/>
    <w:rsid w:val="003C6C8D"/>
    <w:rsid w:val="003C7BCB"/>
    <w:rsid w:val="003D4F95"/>
    <w:rsid w:val="003D5F42"/>
    <w:rsid w:val="003D60A9"/>
    <w:rsid w:val="003E5D54"/>
    <w:rsid w:val="003F4C97"/>
    <w:rsid w:val="003F7FE6"/>
    <w:rsid w:val="00400193"/>
    <w:rsid w:val="00415351"/>
    <w:rsid w:val="00416C79"/>
    <w:rsid w:val="004205F1"/>
    <w:rsid w:val="004212E7"/>
    <w:rsid w:val="00422082"/>
    <w:rsid w:val="0042446D"/>
    <w:rsid w:val="00427BF8"/>
    <w:rsid w:val="00431C02"/>
    <w:rsid w:val="00437395"/>
    <w:rsid w:val="004407E0"/>
    <w:rsid w:val="00442767"/>
    <w:rsid w:val="00445047"/>
    <w:rsid w:val="00460444"/>
    <w:rsid w:val="00463E39"/>
    <w:rsid w:val="004657FC"/>
    <w:rsid w:val="004733F6"/>
    <w:rsid w:val="00474E69"/>
    <w:rsid w:val="00482BF3"/>
    <w:rsid w:val="0049138C"/>
    <w:rsid w:val="0049621B"/>
    <w:rsid w:val="004A7486"/>
    <w:rsid w:val="004B2628"/>
    <w:rsid w:val="004C0398"/>
    <w:rsid w:val="004C1895"/>
    <w:rsid w:val="004C60B5"/>
    <w:rsid w:val="004C6D40"/>
    <w:rsid w:val="004D51E6"/>
    <w:rsid w:val="004E1826"/>
    <w:rsid w:val="004E1FDB"/>
    <w:rsid w:val="004F0C3C"/>
    <w:rsid w:val="004F63FC"/>
    <w:rsid w:val="00505A92"/>
    <w:rsid w:val="00511B40"/>
    <w:rsid w:val="005203F1"/>
    <w:rsid w:val="00521BC3"/>
    <w:rsid w:val="00531348"/>
    <w:rsid w:val="00533632"/>
    <w:rsid w:val="00541E6E"/>
    <w:rsid w:val="0054251F"/>
    <w:rsid w:val="00542998"/>
    <w:rsid w:val="005520D8"/>
    <w:rsid w:val="00556CF1"/>
    <w:rsid w:val="0057102B"/>
    <w:rsid w:val="005762A7"/>
    <w:rsid w:val="005916D7"/>
    <w:rsid w:val="005A698C"/>
    <w:rsid w:val="005B438D"/>
    <w:rsid w:val="005B655D"/>
    <w:rsid w:val="005C4B2A"/>
    <w:rsid w:val="005C5A96"/>
    <w:rsid w:val="005D59A8"/>
    <w:rsid w:val="005E0799"/>
    <w:rsid w:val="005E5CA7"/>
    <w:rsid w:val="005E6CAA"/>
    <w:rsid w:val="005F37BA"/>
    <w:rsid w:val="005F5A80"/>
    <w:rsid w:val="005F5F10"/>
    <w:rsid w:val="006044FF"/>
    <w:rsid w:val="006064EC"/>
    <w:rsid w:val="0060749B"/>
    <w:rsid w:val="00607796"/>
    <w:rsid w:val="00607CC5"/>
    <w:rsid w:val="0062763C"/>
    <w:rsid w:val="006317C7"/>
    <w:rsid w:val="00633014"/>
    <w:rsid w:val="0063437B"/>
    <w:rsid w:val="00636388"/>
    <w:rsid w:val="00652655"/>
    <w:rsid w:val="0065395C"/>
    <w:rsid w:val="006573ED"/>
    <w:rsid w:val="00660001"/>
    <w:rsid w:val="006673CA"/>
    <w:rsid w:val="00667D50"/>
    <w:rsid w:val="00671847"/>
    <w:rsid w:val="006735CC"/>
    <w:rsid w:val="00673C26"/>
    <w:rsid w:val="006812AF"/>
    <w:rsid w:val="006829C1"/>
    <w:rsid w:val="0068327D"/>
    <w:rsid w:val="00692576"/>
    <w:rsid w:val="00694AF0"/>
    <w:rsid w:val="006955E8"/>
    <w:rsid w:val="00695E71"/>
    <w:rsid w:val="006A4686"/>
    <w:rsid w:val="006B0E9E"/>
    <w:rsid w:val="006B5AE4"/>
    <w:rsid w:val="006C3259"/>
    <w:rsid w:val="006C5D54"/>
    <w:rsid w:val="006C5E56"/>
    <w:rsid w:val="006C61DC"/>
    <w:rsid w:val="006D0F90"/>
    <w:rsid w:val="006D1507"/>
    <w:rsid w:val="006D4054"/>
    <w:rsid w:val="006E02EC"/>
    <w:rsid w:val="006E0786"/>
    <w:rsid w:val="006F5DCB"/>
    <w:rsid w:val="00701A2B"/>
    <w:rsid w:val="007029A1"/>
    <w:rsid w:val="007112C2"/>
    <w:rsid w:val="007211B1"/>
    <w:rsid w:val="00741D4F"/>
    <w:rsid w:val="007448F7"/>
    <w:rsid w:val="00746187"/>
    <w:rsid w:val="00746BBA"/>
    <w:rsid w:val="00747E59"/>
    <w:rsid w:val="007573F9"/>
    <w:rsid w:val="0076254F"/>
    <w:rsid w:val="007801F5"/>
    <w:rsid w:val="00783CA4"/>
    <w:rsid w:val="007842FB"/>
    <w:rsid w:val="00786124"/>
    <w:rsid w:val="0079514B"/>
    <w:rsid w:val="007A2DC1"/>
    <w:rsid w:val="007A38B8"/>
    <w:rsid w:val="007C049E"/>
    <w:rsid w:val="007C0A59"/>
    <w:rsid w:val="007D3319"/>
    <w:rsid w:val="007D335D"/>
    <w:rsid w:val="007E3314"/>
    <w:rsid w:val="007E4B03"/>
    <w:rsid w:val="007F324B"/>
    <w:rsid w:val="0080553C"/>
    <w:rsid w:val="00805B46"/>
    <w:rsid w:val="0080613E"/>
    <w:rsid w:val="00806878"/>
    <w:rsid w:val="008079F8"/>
    <w:rsid w:val="00820C18"/>
    <w:rsid w:val="00824A20"/>
    <w:rsid w:val="00825DC2"/>
    <w:rsid w:val="00834A43"/>
    <w:rsid w:val="00834AD3"/>
    <w:rsid w:val="0083727A"/>
    <w:rsid w:val="00837EFE"/>
    <w:rsid w:val="00840C7C"/>
    <w:rsid w:val="00843795"/>
    <w:rsid w:val="00847F0F"/>
    <w:rsid w:val="008514C5"/>
    <w:rsid w:val="00852448"/>
    <w:rsid w:val="008531B0"/>
    <w:rsid w:val="008620CE"/>
    <w:rsid w:val="00876F94"/>
    <w:rsid w:val="0088258A"/>
    <w:rsid w:val="00885AD2"/>
    <w:rsid w:val="00886332"/>
    <w:rsid w:val="00896A0B"/>
    <w:rsid w:val="008A26D9"/>
    <w:rsid w:val="008B3161"/>
    <w:rsid w:val="008C0C29"/>
    <w:rsid w:val="008D3C14"/>
    <w:rsid w:val="008F345E"/>
    <w:rsid w:val="008F3638"/>
    <w:rsid w:val="008F4441"/>
    <w:rsid w:val="008F54D4"/>
    <w:rsid w:val="008F6F31"/>
    <w:rsid w:val="008F74DF"/>
    <w:rsid w:val="00901121"/>
    <w:rsid w:val="00905965"/>
    <w:rsid w:val="00906EE7"/>
    <w:rsid w:val="00911C62"/>
    <w:rsid w:val="009127BA"/>
    <w:rsid w:val="00917388"/>
    <w:rsid w:val="00920A55"/>
    <w:rsid w:val="009227A6"/>
    <w:rsid w:val="009302EF"/>
    <w:rsid w:val="00933EC1"/>
    <w:rsid w:val="009417C0"/>
    <w:rsid w:val="00943440"/>
    <w:rsid w:val="009530DB"/>
    <w:rsid w:val="00953676"/>
    <w:rsid w:val="009554E2"/>
    <w:rsid w:val="009705EE"/>
    <w:rsid w:val="00975484"/>
    <w:rsid w:val="00976067"/>
    <w:rsid w:val="00977927"/>
    <w:rsid w:val="0098135C"/>
    <w:rsid w:val="0098156A"/>
    <w:rsid w:val="009817A4"/>
    <w:rsid w:val="00991BAC"/>
    <w:rsid w:val="00997A7D"/>
    <w:rsid w:val="009A3802"/>
    <w:rsid w:val="009A6EA0"/>
    <w:rsid w:val="009B03C5"/>
    <w:rsid w:val="009B3644"/>
    <w:rsid w:val="009B44F1"/>
    <w:rsid w:val="009C1335"/>
    <w:rsid w:val="009C1AB2"/>
    <w:rsid w:val="009C7251"/>
    <w:rsid w:val="009E2E91"/>
    <w:rsid w:val="009F1320"/>
    <w:rsid w:val="009F270F"/>
    <w:rsid w:val="00A11AE9"/>
    <w:rsid w:val="00A12C70"/>
    <w:rsid w:val="00A139F5"/>
    <w:rsid w:val="00A33451"/>
    <w:rsid w:val="00A365F4"/>
    <w:rsid w:val="00A47D80"/>
    <w:rsid w:val="00A53132"/>
    <w:rsid w:val="00A55947"/>
    <w:rsid w:val="00A563F2"/>
    <w:rsid w:val="00A566E8"/>
    <w:rsid w:val="00A57CA1"/>
    <w:rsid w:val="00A72918"/>
    <w:rsid w:val="00A74BAE"/>
    <w:rsid w:val="00A77702"/>
    <w:rsid w:val="00A810F9"/>
    <w:rsid w:val="00A84ADE"/>
    <w:rsid w:val="00A86ECC"/>
    <w:rsid w:val="00A86FCC"/>
    <w:rsid w:val="00A911C5"/>
    <w:rsid w:val="00A91A6B"/>
    <w:rsid w:val="00AA4FDB"/>
    <w:rsid w:val="00AA710D"/>
    <w:rsid w:val="00AB6D25"/>
    <w:rsid w:val="00AD4A02"/>
    <w:rsid w:val="00AE2D4B"/>
    <w:rsid w:val="00AE4EFD"/>
    <w:rsid w:val="00AE4F99"/>
    <w:rsid w:val="00AE5B74"/>
    <w:rsid w:val="00AE686E"/>
    <w:rsid w:val="00AF2DF1"/>
    <w:rsid w:val="00AF323E"/>
    <w:rsid w:val="00B04EE6"/>
    <w:rsid w:val="00B055D2"/>
    <w:rsid w:val="00B11B69"/>
    <w:rsid w:val="00B13BC3"/>
    <w:rsid w:val="00B14789"/>
    <w:rsid w:val="00B14952"/>
    <w:rsid w:val="00B174F0"/>
    <w:rsid w:val="00B20162"/>
    <w:rsid w:val="00B222E9"/>
    <w:rsid w:val="00B24FAF"/>
    <w:rsid w:val="00B251F9"/>
    <w:rsid w:val="00B30E95"/>
    <w:rsid w:val="00B31E5A"/>
    <w:rsid w:val="00B46DE6"/>
    <w:rsid w:val="00B54313"/>
    <w:rsid w:val="00B653AB"/>
    <w:rsid w:val="00B65F9E"/>
    <w:rsid w:val="00B66B19"/>
    <w:rsid w:val="00B754AD"/>
    <w:rsid w:val="00B77C4E"/>
    <w:rsid w:val="00B914E9"/>
    <w:rsid w:val="00B956EE"/>
    <w:rsid w:val="00BA1994"/>
    <w:rsid w:val="00BA2BA1"/>
    <w:rsid w:val="00BA3562"/>
    <w:rsid w:val="00BB4F09"/>
    <w:rsid w:val="00BC2A12"/>
    <w:rsid w:val="00BC2A97"/>
    <w:rsid w:val="00BC7172"/>
    <w:rsid w:val="00BD31CC"/>
    <w:rsid w:val="00BD3467"/>
    <w:rsid w:val="00BD4E33"/>
    <w:rsid w:val="00BE3E23"/>
    <w:rsid w:val="00BF3836"/>
    <w:rsid w:val="00BF578A"/>
    <w:rsid w:val="00C030DE"/>
    <w:rsid w:val="00C03B6D"/>
    <w:rsid w:val="00C114AB"/>
    <w:rsid w:val="00C211C3"/>
    <w:rsid w:val="00C22105"/>
    <w:rsid w:val="00C244B6"/>
    <w:rsid w:val="00C31CA6"/>
    <w:rsid w:val="00C36A86"/>
    <w:rsid w:val="00C3702F"/>
    <w:rsid w:val="00C41FDA"/>
    <w:rsid w:val="00C4500A"/>
    <w:rsid w:val="00C52918"/>
    <w:rsid w:val="00C5796B"/>
    <w:rsid w:val="00C64A37"/>
    <w:rsid w:val="00C7158E"/>
    <w:rsid w:val="00C7250B"/>
    <w:rsid w:val="00C7346B"/>
    <w:rsid w:val="00C765EC"/>
    <w:rsid w:val="00C77C0E"/>
    <w:rsid w:val="00C87891"/>
    <w:rsid w:val="00C91687"/>
    <w:rsid w:val="00C924A8"/>
    <w:rsid w:val="00C945FE"/>
    <w:rsid w:val="00C96FAA"/>
    <w:rsid w:val="00C97A04"/>
    <w:rsid w:val="00CA0CAA"/>
    <w:rsid w:val="00CA107B"/>
    <w:rsid w:val="00CA484D"/>
    <w:rsid w:val="00CA4FB6"/>
    <w:rsid w:val="00CB695D"/>
    <w:rsid w:val="00CB6C00"/>
    <w:rsid w:val="00CB72A1"/>
    <w:rsid w:val="00CB7B09"/>
    <w:rsid w:val="00CC739E"/>
    <w:rsid w:val="00CD2891"/>
    <w:rsid w:val="00CD58B7"/>
    <w:rsid w:val="00CD790B"/>
    <w:rsid w:val="00CE7335"/>
    <w:rsid w:val="00CF141E"/>
    <w:rsid w:val="00CF4099"/>
    <w:rsid w:val="00D00796"/>
    <w:rsid w:val="00D00FEE"/>
    <w:rsid w:val="00D02B9F"/>
    <w:rsid w:val="00D02CCD"/>
    <w:rsid w:val="00D144E5"/>
    <w:rsid w:val="00D261A2"/>
    <w:rsid w:val="00D2682C"/>
    <w:rsid w:val="00D4181C"/>
    <w:rsid w:val="00D56D33"/>
    <w:rsid w:val="00D616D2"/>
    <w:rsid w:val="00D63B5F"/>
    <w:rsid w:val="00D64AAD"/>
    <w:rsid w:val="00D65847"/>
    <w:rsid w:val="00D70EF7"/>
    <w:rsid w:val="00D7413A"/>
    <w:rsid w:val="00D77510"/>
    <w:rsid w:val="00D8397C"/>
    <w:rsid w:val="00D87594"/>
    <w:rsid w:val="00D91092"/>
    <w:rsid w:val="00D94786"/>
    <w:rsid w:val="00D94EED"/>
    <w:rsid w:val="00D96026"/>
    <w:rsid w:val="00DA5462"/>
    <w:rsid w:val="00DA632D"/>
    <w:rsid w:val="00DA7C1C"/>
    <w:rsid w:val="00DB147A"/>
    <w:rsid w:val="00DB1B7A"/>
    <w:rsid w:val="00DB31A0"/>
    <w:rsid w:val="00DB6942"/>
    <w:rsid w:val="00DC17C5"/>
    <w:rsid w:val="00DC6708"/>
    <w:rsid w:val="00DE58BF"/>
    <w:rsid w:val="00DF2A73"/>
    <w:rsid w:val="00DF5866"/>
    <w:rsid w:val="00E01436"/>
    <w:rsid w:val="00E0440D"/>
    <w:rsid w:val="00E045BD"/>
    <w:rsid w:val="00E127B0"/>
    <w:rsid w:val="00E17B77"/>
    <w:rsid w:val="00E23337"/>
    <w:rsid w:val="00E259EA"/>
    <w:rsid w:val="00E2731E"/>
    <w:rsid w:val="00E32061"/>
    <w:rsid w:val="00E33E33"/>
    <w:rsid w:val="00E42FF9"/>
    <w:rsid w:val="00E4714C"/>
    <w:rsid w:val="00E51AEB"/>
    <w:rsid w:val="00E522A7"/>
    <w:rsid w:val="00E5255B"/>
    <w:rsid w:val="00E54452"/>
    <w:rsid w:val="00E55805"/>
    <w:rsid w:val="00E664C5"/>
    <w:rsid w:val="00E671A2"/>
    <w:rsid w:val="00E714F0"/>
    <w:rsid w:val="00E72A65"/>
    <w:rsid w:val="00E72B3E"/>
    <w:rsid w:val="00E76D26"/>
    <w:rsid w:val="00EA742A"/>
    <w:rsid w:val="00EB1390"/>
    <w:rsid w:val="00EB2C71"/>
    <w:rsid w:val="00EB4340"/>
    <w:rsid w:val="00EB556D"/>
    <w:rsid w:val="00EB5A7D"/>
    <w:rsid w:val="00EC1A34"/>
    <w:rsid w:val="00ED55C0"/>
    <w:rsid w:val="00ED682B"/>
    <w:rsid w:val="00EE41D5"/>
    <w:rsid w:val="00EF1AAF"/>
    <w:rsid w:val="00F037A4"/>
    <w:rsid w:val="00F121E5"/>
    <w:rsid w:val="00F26489"/>
    <w:rsid w:val="00F27C8F"/>
    <w:rsid w:val="00F32590"/>
    <w:rsid w:val="00F32749"/>
    <w:rsid w:val="00F37172"/>
    <w:rsid w:val="00F4477E"/>
    <w:rsid w:val="00F458CE"/>
    <w:rsid w:val="00F6727E"/>
    <w:rsid w:val="00F67D8F"/>
    <w:rsid w:val="00F769CE"/>
    <w:rsid w:val="00F802BE"/>
    <w:rsid w:val="00F80E93"/>
    <w:rsid w:val="00F81CDC"/>
    <w:rsid w:val="00F86024"/>
    <w:rsid w:val="00F8611A"/>
    <w:rsid w:val="00F87C30"/>
    <w:rsid w:val="00F964C3"/>
    <w:rsid w:val="00FA1A2B"/>
    <w:rsid w:val="00FA32C0"/>
    <w:rsid w:val="00FA5128"/>
    <w:rsid w:val="00FB42D4"/>
    <w:rsid w:val="00FB5906"/>
    <w:rsid w:val="00FB762F"/>
    <w:rsid w:val="00FC2AED"/>
    <w:rsid w:val="00FC5D93"/>
    <w:rsid w:val="00FD428E"/>
    <w:rsid w:val="00FD5EA7"/>
    <w:rsid w:val="00FE6B60"/>
    <w:rsid w:val="00FF58EC"/>
    <w:rsid w:val="00FF78C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EC2E08-BC70-4C96-8E25-8F63F0E0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
    <w:name w:val="Body Text"/>
    <w:basedOn w:val="Normalny"/>
    <w:link w:val="TekstpodstawowyZnak"/>
    <w:uiPriority w:val="1"/>
    <w:qFormat/>
    <w:rsid w:val="00C03B6D"/>
    <w:pPr>
      <w:widowControl w:val="0"/>
      <w:autoSpaceDE w:val="0"/>
      <w:autoSpaceDN w:val="0"/>
      <w:adjustRightInd w:val="0"/>
      <w:spacing w:before="0" w:after="0" w:line="240" w:lineRule="auto"/>
      <w:ind w:left="100"/>
    </w:pPr>
    <w:rPr>
      <w:rFonts w:eastAsia="Times New Roman" w:cs="Fira Sans"/>
      <w:szCs w:val="19"/>
      <w:lang w:eastAsia="pl-PL"/>
    </w:rPr>
  </w:style>
  <w:style w:type="character" w:customStyle="1" w:styleId="TekstpodstawowyZnak">
    <w:name w:val="Tekst podstawowy Znak"/>
    <w:basedOn w:val="Domylnaczcionkaakapitu"/>
    <w:link w:val="Tekstpodstawowy"/>
    <w:uiPriority w:val="1"/>
    <w:rsid w:val="00C03B6D"/>
    <w:rPr>
      <w:rFonts w:ascii="Fira Sans" w:eastAsia="Times New Roman" w:hAnsi="Fira Sans" w:cs="Fira Sans"/>
      <w:sz w:val="19"/>
      <w:szCs w:val="19"/>
      <w:lang w:eastAsia="pl-PL"/>
    </w:rPr>
  </w:style>
  <w:style w:type="character" w:styleId="Odwoaniedokomentarza">
    <w:name w:val="annotation reference"/>
    <w:basedOn w:val="Domylnaczcionkaakapitu"/>
    <w:uiPriority w:val="99"/>
    <w:semiHidden/>
    <w:unhideWhenUsed/>
    <w:rsid w:val="003509C1"/>
    <w:rPr>
      <w:sz w:val="16"/>
      <w:szCs w:val="16"/>
    </w:rPr>
  </w:style>
  <w:style w:type="paragraph" w:styleId="Tekstkomentarza">
    <w:name w:val="annotation text"/>
    <w:basedOn w:val="Normalny"/>
    <w:link w:val="TekstkomentarzaZnak"/>
    <w:uiPriority w:val="99"/>
    <w:semiHidden/>
    <w:unhideWhenUsed/>
    <w:rsid w:val="003509C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9C1"/>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509C1"/>
    <w:rPr>
      <w:b/>
      <w:bCs/>
    </w:rPr>
  </w:style>
  <w:style w:type="character" w:customStyle="1" w:styleId="TematkomentarzaZnak">
    <w:name w:val="Temat komentarza Znak"/>
    <w:basedOn w:val="TekstkomentarzaZnak"/>
    <w:link w:val="Tematkomentarza"/>
    <w:uiPriority w:val="99"/>
    <w:semiHidden/>
    <w:rsid w:val="003509C1"/>
    <w:rPr>
      <w:rFonts w:ascii="Fira Sans" w:hAnsi="Fira Sans"/>
      <w:b/>
      <w:bCs/>
      <w:sz w:val="20"/>
      <w:szCs w:val="20"/>
    </w:rPr>
  </w:style>
  <w:style w:type="table" w:customStyle="1" w:styleId="Tabela-Siatka1">
    <w:name w:val="Tabela - Siatka1"/>
    <w:basedOn w:val="Standardowy"/>
    <w:next w:val="Tabela-Siatka"/>
    <w:rsid w:val="00D64AA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D64AAD"/>
    <w:pPr>
      <w:spacing w:before="0" w:after="200" w:line="276" w:lineRule="auto"/>
    </w:pPr>
    <w:rPr>
      <w:rFonts w:ascii="Times New Roman" w:hAnsi="Times New Roman" w:cs="Times New Roman"/>
      <w:sz w:val="24"/>
      <w:szCs w:val="24"/>
    </w:rPr>
  </w:style>
  <w:style w:type="character" w:styleId="UyteHipercze">
    <w:name w:val="FollowedHyperlink"/>
    <w:basedOn w:val="Domylnaczcionkaakapitu"/>
    <w:uiPriority w:val="99"/>
    <w:semiHidden/>
    <w:unhideWhenUsed/>
    <w:rsid w:val="000E218E"/>
    <w:rPr>
      <w:color w:val="954F72" w:themeColor="followedHyperlink"/>
      <w:u w:val="single"/>
    </w:rPr>
  </w:style>
  <w:style w:type="character" w:customStyle="1" w:styleId="shorttext">
    <w:name w:val="short_text"/>
    <w:basedOn w:val="Domylnaczcionkaakapitu"/>
    <w:rsid w:val="002847F1"/>
  </w:style>
  <w:style w:type="character" w:customStyle="1" w:styleId="gt-card-ttl-txt">
    <w:name w:val="gt-card-ttl-txt"/>
    <w:basedOn w:val="Domylnaczcionkaakapitu"/>
    <w:rsid w:val="00E5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6699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4770051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99294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95551668">
      <w:bodyDiv w:val="1"/>
      <w:marLeft w:val="0"/>
      <w:marRight w:val="0"/>
      <w:marTop w:val="0"/>
      <w:marBottom w:val="0"/>
      <w:divBdr>
        <w:top w:val="none" w:sz="0" w:space="0" w:color="auto"/>
        <w:left w:val="none" w:sz="0" w:space="0" w:color="auto"/>
        <w:bottom w:val="none" w:sz="0" w:space="0" w:color="auto"/>
        <w:right w:val="none" w:sz="0" w:space="0" w:color="auto"/>
      </w:divBdr>
    </w:div>
    <w:div w:id="723672951">
      <w:bodyDiv w:val="1"/>
      <w:marLeft w:val="0"/>
      <w:marRight w:val="0"/>
      <w:marTop w:val="0"/>
      <w:marBottom w:val="0"/>
      <w:divBdr>
        <w:top w:val="none" w:sz="0" w:space="0" w:color="auto"/>
        <w:left w:val="none" w:sz="0" w:space="0" w:color="auto"/>
        <w:bottom w:val="none" w:sz="0" w:space="0" w:color="auto"/>
        <w:right w:val="none" w:sz="0" w:space="0" w:color="auto"/>
      </w:divBdr>
    </w:div>
    <w:div w:id="729039505">
      <w:bodyDiv w:val="1"/>
      <w:marLeft w:val="0"/>
      <w:marRight w:val="0"/>
      <w:marTop w:val="0"/>
      <w:marBottom w:val="0"/>
      <w:divBdr>
        <w:top w:val="none" w:sz="0" w:space="0" w:color="auto"/>
        <w:left w:val="none" w:sz="0" w:space="0" w:color="auto"/>
        <w:bottom w:val="none" w:sz="0" w:space="0" w:color="auto"/>
        <w:right w:val="none" w:sz="0" w:space="0" w:color="auto"/>
      </w:divBdr>
    </w:div>
    <w:div w:id="750007876">
      <w:bodyDiv w:val="1"/>
      <w:marLeft w:val="0"/>
      <w:marRight w:val="0"/>
      <w:marTop w:val="0"/>
      <w:marBottom w:val="0"/>
      <w:divBdr>
        <w:top w:val="none" w:sz="0" w:space="0" w:color="auto"/>
        <w:left w:val="none" w:sz="0" w:space="0" w:color="auto"/>
        <w:bottom w:val="none" w:sz="0" w:space="0" w:color="auto"/>
        <w:right w:val="none" w:sz="0" w:space="0" w:color="auto"/>
      </w:divBdr>
    </w:div>
    <w:div w:id="843322887">
      <w:bodyDiv w:val="1"/>
      <w:marLeft w:val="0"/>
      <w:marRight w:val="0"/>
      <w:marTop w:val="0"/>
      <w:marBottom w:val="0"/>
      <w:divBdr>
        <w:top w:val="none" w:sz="0" w:space="0" w:color="auto"/>
        <w:left w:val="none" w:sz="0" w:space="0" w:color="auto"/>
        <w:bottom w:val="none" w:sz="0" w:space="0" w:color="auto"/>
        <w:right w:val="none" w:sz="0" w:space="0" w:color="auto"/>
      </w:divBdr>
      <w:divsChild>
        <w:div w:id="877088368">
          <w:marLeft w:val="0"/>
          <w:marRight w:val="0"/>
          <w:marTop w:val="0"/>
          <w:marBottom w:val="0"/>
          <w:divBdr>
            <w:top w:val="none" w:sz="0" w:space="0" w:color="auto"/>
            <w:left w:val="none" w:sz="0" w:space="0" w:color="auto"/>
            <w:bottom w:val="none" w:sz="0" w:space="0" w:color="auto"/>
            <w:right w:val="none" w:sz="0" w:space="0" w:color="auto"/>
          </w:divBdr>
          <w:divsChild>
            <w:div w:id="204455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8366">
      <w:bodyDiv w:val="1"/>
      <w:marLeft w:val="0"/>
      <w:marRight w:val="0"/>
      <w:marTop w:val="0"/>
      <w:marBottom w:val="0"/>
      <w:divBdr>
        <w:top w:val="none" w:sz="0" w:space="0" w:color="auto"/>
        <w:left w:val="none" w:sz="0" w:space="0" w:color="auto"/>
        <w:bottom w:val="none" w:sz="0" w:space="0" w:color="auto"/>
        <w:right w:val="none" w:sz="0" w:space="0" w:color="auto"/>
      </w:divBdr>
    </w:div>
    <w:div w:id="1224176626">
      <w:bodyDiv w:val="1"/>
      <w:marLeft w:val="0"/>
      <w:marRight w:val="0"/>
      <w:marTop w:val="0"/>
      <w:marBottom w:val="0"/>
      <w:divBdr>
        <w:top w:val="none" w:sz="0" w:space="0" w:color="auto"/>
        <w:left w:val="none" w:sz="0" w:space="0" w:color="auto"/>
        <w:bottom w:val="none" w:sz="0" w:space="0" w:color="auto"/>
        <w:right w:val="none" w:sz="0" w:space="0" w:color="auto"/>
      </w:divBdr>
      <w:divsChild>
        <w:div w:id="38669982">
          <w:marLeft w:val="0"/>
          <w:marRight w:val="0"/>
          <w:marTop w:val="0"/>
          <w:marBottom w:val="0"/>
          <w:divBdr>
            <w:top w:val="none" w:sz="0" w:space="0" w:color="auto"/>
            <w:left w:val="none" w:sz="0" w:space="0" w:color="auto"/>
            <w:bottom w:val="none" w:sz="0" w:space="0" w:color="auto"/>
            <w:right w:val="none" w:sz="0" w:space="0" w:color="auto"/>
          </w:divBdr>
          <w:divsChild>
            <w:div w:id="1265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63339251">
      <w:bodyDiv w:val="1"/>
      <w:marLeft w:val="0"/>
      <w:marRight w:val="0"/>
      <w:marTop w:val="0"/>
      <w:marBottom w:val="0"/>
      <w:divBdr>
        <w:top w:val="none" w:sz="0" w:space="0" w:color="auto"/>
        <w:left w:val="none" w:sz="0" w:space="0" w:color="auto"/>
        <w:bottom w:val="none" w:sz="0" w:space="0" w:color="auto"/>
        <w:right w:val="none" w:sz="0" w:space="0" w:color="auto"/>
      </w:divBdr>
    </w:div>
    <w:div w:id="1293248202">
      <w:bodyDiv w:val="1"/>
      <w:marLeft w:val="0"/>
      <w:marRight w:val="0"/>
      <w:marTop w:val="0"/>
      <w:marBottom w:val="0"/>
      <w:divBdr>
        <w:top w:val="none" w:sz="0" w:space="0" w:color="auto"/>
        <w:left w:val="none" w:sz="0" w:space="0" w:color="auto"/>
        <w:bottom w:val="none" w:sz="0" w:space="0" w:color="auto"/>
        <w:right w:val="none" w:sz="0" w:space="0" w:color="auto"/>
      </w:divBdr>
    </w:div>
    <w:div w:id="1462381588">
      <w:bodyDiv w:val="1"/>
      <w:marLeft w:val="0"/>
      <w:marRight w:val="0"/>
      <w:marTop w:val="0"/>
      <w:marBottom w:val="0"/>
      <w:divBdr>
        <w:top w:val="none" w:sz="0" w:space="0" w:color="auto"/>
        <w:left w:val="none" w:sz="0" w:space="0" w:color="auto"/>
        <w:bottom w:val="none" w:sz="0" w:space="0" w:color="auto"/>
        <w:right w:val="none" w:sz="0" w:space="0" w:color="auto"/>
      </w:divBdr>
    </w:div>
    <w:div w:id="1684821458">
      <w:bodyDiv w:val="1"/>
      <w:marLeft w:val="0"/>
      <w:marRight w:val="0"/>
      <w:marTop w:val="0"/>
      <w:marBottom w:val="0"/>
      <w:divBdr>
        <w:top w:val="none" w:sz="0" w:space="0" w:color="auto"/>
        <w:left w:val="none" w:sz="0" w:space="0" w:color="auto"/>
        <w:bottom w:val="none" w:sz="0" w:space="0" w:color="auto"/>
        <w:right w:val="none" w:sz="0" w:space="0" w:color="auto"/>
      </w:divBdr>
      <w:divsChild>
        <w:div w:id="719473819">
          <w:marLeft w:val="0"/>
          <w:marRight w:val="0"/>
          <w:marTop w:val="0"/>
          <w:marBottom w:val="0"/>
          <w:divBdr>
            <w:top w:val="none" w:sz="0" w:space="0" w:color="auto"/>
            <w:left w:val="none" w:sz="0" w:space="0" w:color="auto"/>
            <w:bottom w:val="none" w:sz="0" w:space="0" w:color="auto"/>
            <w:right w:val="none" w:sz="0" w:space="0" w:color="auto"/>
          </w:divBdr>
          <w:divsChild>
            <w:div w:id="419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9663">
      <w:bodyDiv w:val="1"/>
      <w:marLeft w:val="0"/>
      <w:marRight w:val="0"/>
      <w:marTop w:val="0"/>
      <w:marBottom w:val="0"/>
      <w:divBdr>
        <w:top w:val="none" w:sz="0" w:space="0" w:color="auto"/>
        <w:left w:val="none" w:sz="0" w:space="0" w:color="auto"/>
        <w:bottom w:val="none" w:sz="0" w:space="0" w:color="auto"/>
        <w:right w:val="none" w:sz="0" w:space="0" w:color="auto"/>
      </w:divBdr>
    </w:div>
    <w:div w:id="1795052736">
      <w:bodyDiv w:val="1"/>
      <w:marLeft w:val="0"/>
      <w:marRight w:val="0"/>
      <w:marTop w:val="0"/>
      <w:marBottom w:val="0"/>
      <w:divBdr>
        <w:top w:val="none" w:sz="0" w:space="0" w:color="auto"/>
        <w:left w:val="none" w:sz="0" w:space="0" w:color="auto"/>
        <w:bottom w:val="none" w:sz="0" w:space="0" w:color="auto"/>
        <w:right w:val="none" w:sz="0" w:space="0" w:color="auto"/>
      </w:divBdr>
    </w:div>
    <w:div w:id="183838264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07727180">
      <w:bodyDiv w:val="1"/>
      <w:marLeft w:val="0"/>
      <w:marRight w:val="0"/>
      <w:marTop w:val="0"/>
      <w:marBottom w:val="0"/>
      <w:divBdr>
        <w:top w:val="none" w:sz="0" w:space="0" w:color="auto"/>
        <w:left w:val="none" w:sz="0" w:space="0" w:color="auto"/>
        <w:bottom w:val="none" w:sz="0" w:space="0" w:color="auto"/>
        <w:right w:val="none" w:sz="0" w:space="0" w:color="auto"/>
      </w:divBdr>
      <w:divsChild>
        <w:div w:id="1387408357">
          <w:marLeft w:val="0"/>
          <w:marRight w:val="0"/>
          <w:marTop w:val="0"/>
          <w:marBottom w:val="0"/>
          <w:divBdr>
            <w:top w:val="none" w:sz="0" w:space="0" w:color="auto"/>
            <w:left w:val="none" w:sz="0" w:space="0" w:color="auto"/>
            <w:bottom w:val="none" w:sz="0" w:space="0" w:color="auto"/>
            <w:right w:val="none" w:sz="0" w:space="0" w:color="auto"/>
          </w:divBdr>
          <w:divsChild>
            <w:div w:id="48373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mailto:.adamczyk@stat.gov.pl" TargetMode="External"/><Relationship Id="rId26" Type="http://schemas.openxmlformats.org/officeDocument/2006/relationships/hyperlink" Target="http://swaid.stat.gov.pl/en/SitePages/StronaGlownaDBW.aspx" TargetMode="External"/><Relationship Id="rId39" Type="http://schemas.openxmlformats.org/officeDocument/2006/relationships/hyperlink" Target="http://stat.gov.pl/en/metainformations/glossary/terms-used-in-official-statistics/207,term.html" TargetMode="External"/><Relationship Id="rId21" Type="http://schemas.openxmlformats.org/officeDocument/2006/relationships/image" Target="media/image5.png"/><Relationship Id="rId34" Type="http://schemas.openxmlformats.org/officeDocument/2006/relationships/hyperlink" Target="https://bdl.stat.gov.pl/BDL/start"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tat.gov.pl/en/metainformations/glossary/terms-used-in-official-statistics/133,term.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http://stat.gov.pl/en/topics/municipal-infrastructure/municipal-infrastructure/housing-economy-in-2016,5,13.html" TargetMode="External"/><Relationship Id="rId32" Type="http://schemas.openxmlformats.org/officeDocument/2006/relationships/hyperlink" Target="http://stat.gov.pl/en/metainformations/glossary/terms-used-in-official-statistics/1375,term.html" TargetMode="External"/><Relationship Id="rId37" Type="http://schemas.openxmlformats.org/officeDocument/2006/relationships/hyperlink" Target="http://stat.gov.pl/en/metainformations/glossary/terms-used-in-official-statistics/324,term.html" TargetMode="External"/><Relationship Id="rId40" Type="http://schemas.openxmlformats.org/officeDocument/2006/relationships/hyperlink" Target="http://stat.gov.pl/en/metainformations/glossary/terms-used-in-official-statistics/1481,term.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yperlink" Target="http://stat.gov.pl/en/metainformations/glossary/terms-used-in-official-statistics/324,term.html" TargetMode="External"/><Relationship Id="rId36" Type="http://schemas.openxmlformats.org/officeDocument/2006/relationships/hyperlink" Target="http://stat.gov.pl/en/metainformations/glossary/terms-used-in-official-statistics/202,term.html" TargetMode="External"/><Relationship Id="rId10" Type="http://schemas.openxmlformats.org/officeDocument/2006/relationships/endnotes" Target="endnotes.xml"/><Relationship Id="rId19" Type="http://schemas.openxmlformats.org/officeDocument/2006/relationships/hyperlink" Target="mailto:rzecznik@stat.gov.pl" TargetMode="External"/><Relationship Id="rId31" Type="http://schemas.openxmlformats.org/officeDocument/2006/relationships/hyperlink" Target="http://stat.gov.pl/en/metainformations/glossary/terms-used-in-official-statistics/1481,term.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 Id="rId27" Type="http://schemas.openxmlformats.org/officeDocument/2006/relationships/hyperlink" Target="http://stat.gov.pl/en/metainformations/glossary/terms-used-in-official-statistics/202,term.html" TargetMode="External"/><Relationship Id="rId30" Type="http://schemas.openxmlformats.org/officeDocument/2006/relationships/hyperlink" Target="http://stat.gov.pl/en/metainformations/glossary/terms-used-in-official-statistics/207,term.html" TargetMode="External"/><Relationship Id="rId35" Type="http://schemas.openxmlformats.org/officeDocument/2006/relationships/hyperlink" Target="http://swaid.stat.gov.pl/en/SitePages/StronaGlownaDBW.aspx"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emf"/><Relationship Id="rId17" Type="http://schemas.openxmlformats.org/officeDocument/2006/relationships/footer" Target="footer2.xml"/><Relationship Id="rId25" Type="http://schemas.openxmlformats.org/officeDocument/2006/relationships/hyperlink" Target="https://bdl.stat.gov.pl/BDL/start" TargetMode="External"/><Relationship Id="rId33" Type="http://schemas.openxmlformats.org/officeDocument/2006/relationships/hyperlink" Target="http://stat.gov.pl/en/topics/municipal-infrastructure/municipal-infrastructure/housing-economy-in-2016,5,13.html" TargetMode="External"/><Relationship Id="rId38" Type="http://schemas.openxmlformats.org/officeDocument/2006/relationships/hyperlink" Target="http://stat.gov.pl/en/metainformations/glossary/terms-used-in-official-statistics/133,term.html" TargetMode="External"/><Relationship Id="rId20" Type="http://schemas.openxmlformats.org/officeDocument/2006/relationships/hyperlink" Target="mailto:obslugaprasowa@stat.gov.pl" TargetMode="External"/><Relationship Id="rId41" Type="http://schemas.openxmlformats.org/officeDocument/2006/relationships/hyperlink" Target="http://stat.gov.pl/en/metainformations/glossary/terms-used-in-official-statistics/137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Arkusz_programu_Microsoft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76373074183572"/>
          <c:y val="4.5900271228875446E-2"/>
          <c:w val="0.73828469396715735"/>
          <c:h val="0.7322000095283312"/>
        </c:manualLayout>
      </c:layout>
      <c:barChart>
        <c:barDir val="bar"/>
        <c:grouping val="clustered"/>
        <c:varyColors val="0"/>
        <c:ser>
          <c:idx val="0"/>
          <c:order val="0"/>
          <c:tx>
            <c:strRef>
              <c:f>Arkusz2!$E$2</c:f>
              <c:strCache>
                <c:ptCount val="1"/>
                <c:pt idx="0">
                  <c:v>Urban areas</c:v>
                </c:pt>
              </c:strCache>
            </c:strRef>
          </c:tx>
          <c:spPr>
            <a:solidFill>
              <a:srgbClr val="001D77">
                <a:alpha val="30000"/>
              </a:srgbClr>
            </a:solidFill>
            <a:ln>
              <a:noFill/>
            </a:ln>
            <a:effectLst/>
          </c:spPr>
          <c:invertIfNegative val="0"/>
          <c:cat>
            <c:strRef>
              <c:f>Arkusz2!$D$3:$D$7</c:f>
              <c:strCache>
                <c:ptCount val="5"/>
                <c:pt idx="0">
                  <c:v>central heating</c:v>
                </c:pt>
                <c:pt idx="1">
                  <c:v>gas from gas supply system</c:v>
                </c:pt>
                <c:pt idx="2">
                  <c:v>bathroom</c:v>
                </c:pt>
                <c:pt idx="3">
                  <c:v>lavatory</c:v>
                </c:pt>
                <c:pt idx="4">
                  <c:v>water supply system</c:v>
                </c:pt>
              </c:strCache>
            </c:strRef>
          </c:cat>
          <c:val>
            <c:numRef>
              <c:f>Arkusz2!$E$3:$E$7</c:f>
              <c:numCache>
                <c:formatCode>0.0</c:formatCode>
                <c:ptCount val="5"/>
                <c:pt idx="0">
                  <c:v>87.5</c:v>
                </c:pt>
                <c:pt idx="1">
                  <c:v>71.7</c:v>
                </c:pt>
                <c:pt idx="2">
                  <c:v>95.5</c:v>
                </c:pt>
                <c:pt idx="3">
                  <c:v>97.3</c:v>
                </c:pt>
                <c:pt idx="4">
                  <c:v>99.1</c:v>
                </c:pt>
              </c:numCache>
            </c:numRef>
          </c:val>
        </c:ser>
        <c:ser>
          <c:idx val="1"/>
          <c:order val="1"/>
          <c:tx>
            <c:strRef>
              <c:f>Arkusz2!$F$2</c:f>
              <c:strCache>
                <c:ptCount val="1"/>
                <c:pt idx="0">
                  <c:v>Rural areas</c:v>
                </c:pt>
              </c:strCache>
            </c:strRef>
          </c:tx>
          <c:spPr>
            <a:solidFill>
              <a:srgbClr val="001D77">
                <a:alpha val="70000"/>
              </a:srgbClr>
            </a:solidFill>
            <a:ln>
              <a:noFill/>
            </a:ln>
            <a:effectLst/>
          </c:spPr>
          <c:invertIfNegative val="0"/>
          <c:cat>
            <c:strRef>
              <c:f>Arkusz2!$D$3:$D$7</c:f>
              <c:strCache>
                <c:ptCount val="5"/>
                <c:pt idx="0">
                  <c:v>central heating</c:v>
                </c:pt>
                <c:pt idx="1">
                  <c:v>gas from gas supply system</c:v>
                </c:pt>
                <c:pt idx="2">
                  <c:v>bathroom</c:v>
                </c:pt>
                <c:pt idx="3">
                  <c:v>lavatory</c:v>
                </c:pt>
                <c:pt idx="4">
                  <c:v>water supply system</c:v>
                </c:pt>
              </c:strCache>
            </c:strRef>
          </c:cat>
          <c:val>
            <c:numRef>
              <c:f>Arkusz2!$F$3:$F$7</c:f>
              <c:numCache>
                <c:formatCode>0.0</c:formatCode>
                <c:ptCount val="5"/>
                <c:pt idx="0">
                  <c:v>71.599999999999994</c:v>
                </c:pt>
                <c:pt idx="1">
                  <c:v>21.9</c:v>
                </c:pt>
                <c:pt idx="2">
                  <c:v>82.8</c:v>
                </c:pt>
                <c:pt idx="3">
                  <c:v>86.4</c:v>
                </c:pt>
                <c:pt idx="4">
                  <c:v>92.2</c:v>
                </c:pt>
              </c:numCache>
            </c:numRef>
          </c:val>
        </c:ser>
        <c:ser>
          <c:idx val="2"/>
          <c:order val="2"/>
          <c:tx>
            <c:strRef>
              <c:f>Arkusz2!$G$2</c:f>
              <c:strCache>
                <c:ptCount val="1"/>
                <c:pt idx="0">
                  <c:v>Total</c:v>
                </c:pt>
              </c:strCache>
            </c:strRef>
          </c:tx>
          <c:spPr>
            <a:solidFill>
              <a:srgbClr val="001D77"/>
            </a:solidFill>
            <a:ln>
              <a:noFill/>
            </a:ln>
            <a:effectLst/>
          </c:spPr>
          <c:invertIfNegative val="0"/>
          <c:cat>
            <c:strRef>
              <c:f>Arkusz2!$D$3:$D$7</c:f>
              <c:strCache>
                <c:ptCount val="5"/>
                <c:pt idx="0">
                  <c:v>central heating</c:v>
                </c:pt>
                <c:pt idx="1">
                  <c:v>gas from gas supply system</c:v>
                </c:pt>
                <c:pt idx="2">
                  <c:v>bathroom</c:v>
                </c:pt>
                <c:pt idx="3">
                  <c:v>lavatory</c:v>
                </c:pt>
                <c:pt idx="4">
                  <c:v>water supply system</c:v>
                </c:pt>
              </c:strCache>
            </c:strRef>
          </c:cat>
          <c:val>
            <c:numRef>
              <c:f>Arkusz2!$G$3:$G$7</c:f>
              <c:numCache>
                <c:formatCode>General</c:formatCode>
                <c:ptCount val="5"/>
                <c:pt idx="0">
                  <c:v>82.3</c:v>
                </c:pt>
                <c:pt idx="1">
                  <c:v>55.5</c:v>
                </c:pt>
                <c:pt idx="2">
                  <c:v>91.4</c:v>
                </c:pt>
                <c:pt idx="3">
                  <c:v>93.7</c:v>
                </c:pt>
                <c:pt idx="4">
                  <c:v>96.8</c:v>
                </c:pt>
              </c:numCache>
            </c:numRef>
          </c:val>
        </c:ser>
        <c:dLbls>
          <c:showLegendKey val="0"/>
          <c:showVal val="0"/>
          <c:showCatName val="0"/>
          <c:showSerName val="0"/>
          <c:showPercent val="0"/>
          <c:showBubbleSize val="0"/>
        </c:dLbls>
        <c:gapWidth val="182"/>
        <c:axId val="2028976336"/>
        <c:axId val="2105785696"/>
      </c:barChart>
      <c:catAx>
        <c:axId val="202897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en-US"/>
          </a:p>
        </c:txPr>
        <c:crossAx val="2105785696"/>
        <c:crossesAt val="0"/>
        <c:auto val="1"/>
        <c:lblAlgn val="ctr"/>
        <c:lblOffset val="100"/>
        <c:noMultiLvlLbl val="0"/>
      </c:catAx>
      <c:valAx>
        <c:axId val="210578569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Fira Sans" panose="020B0503050000020004" pitchFamily="34" charset="0"/>
                <a:ea typeface="+mn-ea"/>
                <a:cs typeface="+mn-cs"/>
              </a:defRPr>
            </a:pPr>
            <a:endParaRPr lang="en-US"/>
          </a:p>
        </c:txPr>
        <c:crossAx val="2028976336"/>
        <c:crosses val="autoZero"/>
        <c:crossBetween val="between"/>
        <c:majorUnit val="10"/>
      </c:valAx>
      <c:spPr>
        <a:noFill/>
        <a:ln>
          <a:noFill/>
        </a:ln>
        <a:effectLst/>
      </c:spPr>
    </c:plotArea>
    <c:legend>
      <c:legendPos val="b"/>
      <c:layout>
        <c:manualLayout>
          <c:xMode val="edge"/>
          <c:yMode val="edge"/>
          <c:x val="0.25211017767760441"/>
          <c:y val="0.89296234173524058"/>
          <c:w val="0.49082301515284565"/>
          <c:h val="4.0273528308961387E-2"/>
        </c:manualLayout>
      </c:layout>
      <c:overlay val="0"/>
      <c:spPr>
        <a:noFill/>
        <a:ln>
          <a:noFill/>
        </a:ln>
        <a:effectLst/>
      </c:spPr>
      <c:txPr>
        <a:bodyPr rot="0" spcFirstLastPara="1" vertOverflow="ellipsis" vert="horz" wrap="square" anchor="ctr" anchorCtr="1"/>
        <a:lstStyle/>
        <a:p>
          <a:pPr>
            <a:defRPr sz="750" b="0" i="0" u="none" strike="noStrike" kern="1200" baseline="0">
              <a:solidFill>
                <a:schemeClr val="tx1">
                  <a:lumMod val="65000"/>
                  <a:lumOff val="35000"/>
                </a:schemeClr>
              </a:solidFill>
              <a:latin typeface="Fira Sans" panose="020B05030500000200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0.82156</cdr:x>
      <cdr:y>0.82857</cdr:y>
    </cdr:from>
    <cdr:to>
      <cdr:x>1</cdr:x>
      <cdr:y>1</cdr:y>
    </cdr:to>
    <cdr:sp macro="" textlink="">
      <cdr:nvSpPr>
        <cdr:cNvPr id="2" name="Pole tekstowe 1"/>
        <cdr:cNvSpPr txBox="1"/>
      </cdr:nvSpPr>
      <cdr:spPr>
        <a:xfrm xmlns:a="http://schemas.openxmlformats.org/drawingml/2006/main">
          <a:off x="5057775" y="5057775"/>
          <a:ext cx="914400" cy="914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pl-PL" sz="1100"/>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lejno_x015b__x0107_ xmlns="30d47203-49ec-4c8c-a442-62231931aa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1" ma:contentTypeDescription="Utwórz nowy dokument." ma:contentTypeScope="" ma:versionID="b20bbc3dded4abcf92e167189ff234f7">
  <xsd:schema xmlns:xsd="http://www.w3.org/2001/XMLSchema" xmlns:xs="http://www.w3.org/2001/XMLSchema" xmlns:p="http://schemas.microsoft.com/office/2006/metadata/properties" xmlns:ns2="30d47203-49ec-4c8c-a442-62231931aabb" targetNamespace="http://schemas.microsoft.com/office/2006/metadata/properties" ma:root="true" ma:fieldsID="c1fa5ad568066013d8ffcd1c33bb2164" ns2:_="">
    <xsd:import namespace="30d47203-49ec-4c8c-a442-62231931aabb"/>
    <xsd:element name="properties">
      <xsd:complexType>
        <xsd:sequence>
          <xsd:element name="documentManagement">
            <xsd:complexType>
              <xsd:all>
                <xsd:element ref="ns2:Kolejno_x015b__x010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47203-49ec-4c8c-a442-62231931aabb" elementFormDefault="qualified">
    <xsd:import namespace="http://schemas.microsoft.com/office/2006/documentManagement/types"/>
    <xsd:import namespace="http://schemas.microsoft.com/office/infopath/2007/PartnerControls"/>
    <xsd:element name="Kolejno_x015b__x0107_" ma:index="8" nillable="true" ma:displayName="Kolejność" ma:decimals="0" ma:description="sortowanie plików" ma:internalName="Kolejno_x015b__x0107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9804-E15D-40D9-A3F2-808567566B96}">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30d47203-49ec-4c8c-a442-62231931aabb"/>
    <ds:schemaRef ds:uri="http://purl.org/dc/terms/"/>
  </ds:schemaRefs>
</ds:datastoreItem>
</file>

<file path=customXml/itemProps2.xml><?xml version="1.0" encoding="utf-8"?>
<ds:datastoreItem xmlns:ds="http://schemas.openxmlformats.org/officeDocument/2006/customXml" ds:itemID="{FCFCB642-C1E9-4590-A884-732586E76322}">
  <ds:schemaRefs>
    <ds:schemaRef ds:uri="http://schemas.microsoft.com/sharepoint/v3/contenttype/forms"/>
  </ds:schemaRefs>
</ds:datastoreItem>
</file>

<file path=customXml/itemProps3.xml><?xml version="1.0" encoding="utf-8"?>
<ds:datastoreItem xmlns:ds="http://schemas.openxmlformats.org/officeDocument/2006/customXml" ds:itemID="{3AF4DC58-EFEE-42A1-9591-F32E189D2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47203-49ec-4c8c-a442-62231931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300C8F-B9D5-499E-B690-8B78A41E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Statistics Poland</Company>
  <LinksUpToDate>false</LinksUpToDate>
  <CharactersWithSpaces>7967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economy in Poland in 2017</dc:title>
  <dc:subject>Housing economy in Poland in 2017</dc:subject>
  <dc:creator>Statistics Poland</dc:creator>
  <cp:lastModifiedBy>Różańska Barbara</cp:lastModifiedBy>
  <cp:revision>2</cp:revision>
  <cp:lastPrinted>2018-09-12T12:11:00Z</cp:lastPrinted>
  <dcterms:created xsi:type="dcterms:W3CDTF">2018-09-13T14:00:00Z</dcterms:created>
  <dcterms:modified xsi:type="dcterms:W3CDTF">2018-09-13T14:00:00Z</dcterms:modified>
  <cp:category>Municipal infrastructure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