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35C" w:rsidRPr="00281994" w:rsidRDefault="00D56D59" w:rsidP="00074DD8">
      <w:pPr>
        <w:pStyle w:val="tytuinformacji"/>
        <w:rPr>
          <w:rFonts w:ascii="Fira Sans Condensed SemiBold" w:hAnsi="Fira Sans Condensed SemiBold"/>
          <w:shd w:val="clear" w:color="auto" w:fill="FFFFFF"/>
          <w:lang w:val="en-GB"/>
        </w:rPr>
      </w:pPr>
      <w:r w:rsidRPr="00281994">
        <w:rPr>
          <w:rFonts w:ascii="Fira Sans Condensed SemiBold" w:hAnsi="Fira Sans Condensed SemiBold" w:cs="Fira Sans Extra Condensed SemiB"/>
          <w:bCs/>
          <w:w w:val="90"/>
          <w:szCs w:val="40"/>
          <w:lang w:val="en-GB"/>
        </w:rPr>
        <w:t xml:space="preserve">Housing economy in </w:t>
      </w:r>
      <w:r w:rsidR="00473C96" w:rsidRPr="00281994">
        <w:rPr>
          <w:rFonts w:ascii="Fira Sans Condensed SemiBold" w:hAnsi="Fira Sans Condensed SemiBold" w:cs="Fira Sans Extra Condensed SemiB"/>
          <w:bCs/>
          <w:w w:val="90"/>
          <w:szCs w:val="40"/>
          <w:lang w:val="en-GB"/>
        </w:rPr>
        <w:t xml:space="preserve">Poland in </w:t>
      </w:r>
      <w:r w:rsidR="00694E98" w:rsidRPr="00281994">
        <w:rPr>
          <w:rFonts w:ascii="Fira Sans Condensed SemiBold" w:hAnsi="Fira Sans Condensed SemiBold" w:cs="Fira Sans Extra Condensed SemiB"/>
          <w:bCs/>
          <w:w w:val="90"/>
          <w:szCs w:val="40"/>
          <w:lang w:val="en-GB"/>
        </w:rPr>
        <w:t>2018</w:t>
      </w:r>
    </w:p>
    <w:p w:rsidR="00393761" w:rsidRPr="00281994" w:rsidRDefault="00E84AB6" w:rsidP="00074DD8">
      <w:pPr>
        <w:pStyle w:val="tytuinformacji"/>
        <w:rPr>
          <w:sz w:val="32"/>
          <w:lang w:val="en-GB"/>
        </w:rPr>
      </w:pPr>
      <w:r>
        <w:rPr>
          <w:noProof/>
          <w:color w:val="212492"/>
          <w:spacing w:val="-2"/>
          <w:lang w:eastAsia="pl-PL"/>
        </w:rPr>
        <mc:AlternateContent>
          <mc:Choice Requires="wps">
            <w:drawing>
              <wp:anchor distT="45720" distB="45720" distL="114300" distR="114300" simplePos="0" relativeHeight="251665408" behindDoc="1" locked="0" layoutInCell="1" allowOverlap="1" wp14:anchorId="3698D156" wp14:editId="1FA3AF41">
                <wp:simplePos x="0" y="0"/>
                <wp:positionH relativeFrom="rightMargin">
                  <wp:posOffset>106680</wp:posOffset>
                </wp:positionH>
                <wp:positionV relativeFrom="paragraph">
                  <wp:posOffset>263525</wp:posOffset>
                </wp:positionV>
                <wp:extent cx="1666875" cy="798830"/>
                <wp:effectExtent l="0" t="0" r="0" b="1270"/>
                <wp:wrapTight wrapText="bothSides">
                  <wp:wrapPolygon edited="0">
                    <wp:start x="741" y="0"/>
                    <wp:lineTo x="741" y="21119"/>
                    <wp:lineTo x="20736" y="21119"/>
                    <wp:lineTo x="20736" y="0"/>
                    <wp:lineTo x="741" y="0"/>
                  </wp:wrapPolygon>
                </wp:wrapTight>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798830"/>
                        </a:xfrm>
                        <a:prstGeom prst="rect">
                          <a:avLst/>
                        </a:prstGeom>
                        <a:noFill/>
                        <a:ln w="9525">
                          <a:noFill/>
                          <a:miter lim="800000"/>
                          <a:headEnd/>
                          <a:tailEnd/>
                        </a:ln>
                      </wps:spPr>
                      <wps:txbx>
                        <w:txbxContent>
                          <w:p w:rsidR="00E84AB6" w:rsidRPr="00281994" w:rsidRDefault="00E84AB6" w:rsidP="009D1927">
                            <w:pPr>
                              <w:pStyle w:val="tekstzboku"/>
                              <w:rPr>
                                <w:lang w:val="en-GB"/>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The number of dwellings in Poland is constantly increasing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98D156" id="_x0000_t202" coordsize="21600,21600" o:spt="202" path="m,l,21600r21600,l21600,xe">
                <v:stroke joinstyle="miter"/>
                <v:path gradientshapeok="t" o:connecttype="rect"/>
              </v:shapetype>
              <v:shape id="Pole tekstowe 2" o:spid="_x0000_s1026" type="#_x0000_t202" style="position:absolute;margin-left:8.4pt;margin-top:20.75pt;width:131.25pt;height:62.9pt;z-index:-25165107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" filled="f" stroked="f">
                <v:textbox>
                  <w:txbxContent>
                    <w:p w:rsidR="00E84AB6" w:rsidRPr="00281994" w:rsidRDefault="00E84AB6" w:rsidP="009D1927">
                      <w:pPr>
                        <w:pStyle w:val="tekstzboku"/>
                        <w:rPr>
                          <w:lang w:val="en-GB"/>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The number of dwellings in Poland is constantly increasing</w:t>
                      </w:r>
                    </w:p>
                  </w:txbxContent>
                </v:textbox>
                <w10:wrap type="tight" anchorx="margin"/>
              </v:shape>
            </w:pict>
          </mc:Fallback>
        </mc:AlternateContent>
      </w:r>
    </w:p>
    <w:p w:rsidR="005916D7" w:rsidRPr="00281994" w:rsidRDefault="00003437" w:rsidP="00633014">
      <w:pPr>
        <w:pStyle w:val="LID"/>
        <w:rPr>
          <w:lang w:val="en-GB"/>
        </w:rPr>
      </w:pPr>
      <w:r w:rsidRPr="00074DD8">
        <mc:AlternateContent>
          <mc:Choice Requires="wps">
            <w:drawing>
              <wp:anchor distT="45720" distB="45720" distL="114300" distR="114300" simplePos="0" relativeHeight="251651072" behindDoc="0" locked="0" layoutInCell="1" allowOverlap="1" wp14:anchorId="30F8EB3B" wp14:editId="586505B5">
                <wp:simplePos x="0" y="0"/>
                <wp:positionH relativeFrom="margin">
                  <wp:align>left</wp:align>
                </wp:positionH>
                <wp:positionV relativeFrom="paragraph">
                  <wp:posOffset>83427</wp:posOffset>
                </wp:positionV>
                <wp:extent cx="1828800" cy="1045845"/>
                <wp:effectExtent l="0" t="0" r="0" b="190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45845"/>
                        </a:xfrm>
                        <a:prstGeom prst="rect">
                          <a:avLst/>
                        </a:prstGeom>
                        <a:solidFill>
                          <a:srgbClr val="001D77"/>
                        </a:solidFill>
                        <a:ln w="9525">
                          <a:noFill/>
                          <a:miter lim="800000"/>
                          <a:headEnd/>
                          <a:tailEnd/>
                        </a:ln>
                      </wps:spPr>
                      <wps:txbx>
                        <w:txbxContent>
                          <w:p w:rsidR="00E84AB6" w:rsidRPr="00B66B19" w:rsidRDefault="00F97C31" w:rsidP="00633014">
                            <w:pPr>
                              <w:spacing w:after="0" w:line="240" w:lineRule="auto"/>
                              <w:rPr>
                                <w:rFonts w:ascii="Fira Sans SemiBold" w:hAnsi="Fira Sans SemiBold"/>
                                <w:color w:val="FFFFFF" w:themeColor="background1"/>
                                <w:sz w:val="72"/>
                              </w:rPr>
                            </w:pPr>
                            <w:r>
                              <w:rPr>
                                <w:rFonts w:asciiTheme="minorHAnsi" w:hAnsiTheme="minorHAnsi"/>
                                <w:b/>
                                <w:color w:val="001D77"/>
                                <w:sz w:val="22"/>
                              </w:rPr>
                              <w:t xml:space="preserve"> </w:t>
                            </w:r>
                            <w:r w:rsidR="00FD150D">
                              <w:rPr>
                                <w:rFonts w:asciiTheme="minorHAnsi" w:hAnsiTheme="minorHAnsi"/>
                                <w:b/>
                                <w:color w:val="001D77"/>
                                <w:sz w:val="22"/>
                              </w:rPr>
                              <w:pict w14:anchorId="561875F7">
                                <v:shape id="Obraz 33" o:spid="_x0000_i1025" type="#_x0000_t75" style="width:26.45pt;height:26.45pt;visibility:visible;mso-wrap-style:square" o:bullet="t">
                                  <v:imagedata r:id="rId11" o:title=""/>
                                </v:shape>
                              </w:pict>
                            </w:r>
                            <w:r w:rsidR="00E84AB6">
                              <w:rPr>
                                <w:noProof/>
                                <w:color w:val="001D77"/>
                                <w:lang w:eastAsia="pl-PL"/>
                              </w:rPr>
                              <w:t xml:space="preserve"> </w:t>
                            </w:r>
                            <w:r w:rsidR="00E84AB6">
                              <w:rPr>
                                <w:rFonts w:ascii="Fira Sans SemiBold" w:hAnsi="Fira Sans SemiBold"/>
                                <w:color w:val="FFFFFF" w:themeColor="background1"/>
                                <w:sz w:val="72"/>
                              </w:rPr>
                              <w:t>101.2</w:t>
                            </w:r>
                          </w:p>
                          <w:p w:rsidR="00E84AB6" w:rsidRPr="00281994" w:rsidRDefault="00E84AB6" w:rsidP="00074DD8">
                            <w:pPr>
                              <w:pStyle w:val="tekstnaniebieskimtle"/>
                              <w:rPr>
                                <w:color w:val="FFFFFF" w:themeColor="background1"/>
                                <w:sz w:val="18"/>
                                <w:szCs w:val="20"/>
                                <w:lang w:val="en-GB"/>
                              </w:rPr>
                            </w:pPr>
                            <w:r w:rsidRPr="00281994">
                              <w:rPr>
                                <w:lang w:val="en-GB"/>
                              </w:rPr>
                              <w:t>The increase in the number of dwellings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8EB3B" id="_x0000_s1027" type="#_x0000_t202" style="position:absolute;margin-left:0;margin-top:6.55pt;width:2in;height:82.35pt;z-index:2516510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" fillcolor="#001d77" stroked="f">
                <v:textbox>
                  <w:txbxContent>
                    <w:p w:rsidR="00E84AB6" w:rsidRPr="00B66B19" w:rsidRDefault="00F97C31" w:rsidP="00633014">
                      <w:pPr>
                        <w:spacing w:after="0" w:line="240" w:lineRule="auto"/>
                        <w:rPr>
                          <w:rFonts w:ascii="Fira Sans SemiBold" w:hAnsi="Fira Sans SemiBold"/>
                          <w:color w:val="FFFFFF" w:themeColor="background1"/>
                          <w:sz w:val="72"/>
                        </w:rPr>
                      </w:pPr>
                      <w:r>
                        <w:rPr>
                          <w:rFonts w:asciiTheme="minorHAnsi" w:hAnsiTheme="minorHAnsi"/>
                          <w:b/>
                          <w:color w:val="001D77"/>
                          <w:sz w:val="22"/>
                        </w:rPr>
                        <w:t xml:space="preserve"> </w:t>
                      </w:r>
                      <w:r w:rsidR="00FD150D">
                        <w:rPr>
                          <w:rFonts w:asciiTheme="minorHAnsi" w:hAnsiTheme="minorHAnsi"/>
                          <w:b/>
                          <w:color w:val="001D77"/>
                          <w:sz w:val="22"/>
                        </w:rPr>
                        <w:pict w14:anchorId="561875F7">
                          <v:shape id="Obraz 33" o:spid="_x0000_i1025" type="#_x0000_t75" style="width:26.45pt;height:26.45pt;visibility:visible;mso-wrap-style:square" o:bullet="t">
                            <v:imagedata r:id="rId11" o:title=""/>
                          </v:shape>
                        </w:pict>
                      </w:r>
                      <w:r w:rsidR="00E84AB6">
                        <w:rPr>
                          <w:noProof/>
                          <w:color w:val="001D77"/>
                          <w:lang w:eastAsia="pl-PL"/>
                        </w:rPr>
                        <w:t xml:space="preserve"> </w:t>
                      </w:r>
                      <w:r w:rsidR="00E84AB6">
                        <w:rPr>
                          <w:rFonts w:ascii="Fira Sans SemiBold" w:hAnsi="Fira Sans SemiBold"/>
                          <w:color w:val="FFFFFF" w:themeColor="background1"/>
                          <w:sz w:val="72"/>
                        </w:rPr>
                        <w:t>101.2</w:t>
                      </w:r>
                    </w:p>
                    <w:p w:rsidR="00E84AB6" w:rsidRPr="00281994" w:rsidRDefault="00E84AB6" w:rsidP="00074DD8">
                      <w:pPr>
                        <w:pStyle w:val="tekstnaniebieskimtle"/>
                        <w:rPr>
                          <w:color w:val="FFFFFF" w:themeColor="background1"/>
                          <w:sz w:val="18"/>
                          <w:szCs w:val="20"/>
                          <w:lang w:val="en-GB"/>
                        </w:rPr>
                      </w:pPr>
                      <w:r w:rsidRPr="00281994">
                        <w:rPr>
                          <w:lang w:val="en-GB"/>
                        </w:rPr>
                        <w:t>The increase in the number of dwellings</w:t>
                      </w:r>
                    </w:p>
                  </w:txbxContent>
                </v:textbox>
                <w10:wrap type="square" anchorx="margin"/>
              </v:shape>
            </w:pict>
          </mc:Fallback>
        </mc:AlternateContent>
      </w:r>
      <w:r w:rsidR="00694E98" w:rsidRPr="00281994">
        <w:rPr>
          <w:lang w:val="en-GB"/>
        </w:rPr>
        <w:t xml:space="preserve">In Poland, as </w:t>
      </w:r>
      <w:r w:rsidR="00A76955" w:rsidRPr="00281994">
        <w:rPr>
          <w:lang w:val="en-GB"/>
        </w:rPr>
        <w:t>of</w:t>
      </w:r>
      <w:r w:rsidR="00694E98" w:rsidRPr="00281994">
        <w:rPr>
          <w:lang w:val="en-GB"/>
        </w:rPr>
        <w:t xml:space="preserve"> the end of 2018, </w:t>
      </w:r>
      <w:r w:rsidR="00A76955" w:rsidRPr="00281994">
        <w:rPr>
          <w:lang w:val="en-GB"/>
        </w:rPr>
        <w:t xml:space="preserve">there </w:t>
      </w:r>
      <w:r w:rsidR="00694E98" w:rsidRPr="00281994">
        <w:rPr>
          <w:lang w:val="en-GB"/>
        </w:rPr>
        <w:t>were recorded 14.6</w:t>
      </w:r>
      <w:r w:rsidR="00A76955" w:rsidRPr="00281994">
        <w:rPr>
          <w:lang w:val="en-GB"/>
        </w:rPr>
        <w:t> </w:t>
      </w:r>
      <w:r w:rsidR="00694E98" w:rsidRPr="00281994">
        <w:rPr>
          <w:lang w:val="en-GB"/>
        </w:rPr>
        <w:t>m</w:t>
      </w:r>
      <w:r w:rsidR="00A76955" w:rsidRPr="00281994">
        <w:rPr>
          <w:lang w:val="en-GB"/>
        </w:rPr>
        <w:t>i</w:t>
      </w:r>
      <w:r w:rsidR="00694E98" w:rsidRPr="00281994">
        <w:rPr>
          <w:lang w:val="en-GB"/>
        </w:rPr>
        <w:t>l</w:t>
      </w:r>
      <w:r w:rsidR="00A76955" w:rsidRPr="00281994">
        <w:rPr>
          <w:lang w:val="en-GB"/>
        </w:rPr>
        <w:t>lio</w:t>
      </w:r>
      <w:r w:rsidR="00694E98" w:rsidRPr="00281994">
        <w:rPr>
          <w:lang w:val="en-GB"/>
        </w:rPr>
        <w:t>n dwellings (an increase of 1.2</w:t>
      </w:r>
      <w:r w:rsidR="00A76955" w:rsidRPr="00281994">
        <w:rPr>
          <w:lang w:val="en-GB"/>
        </w:rPr>
        <w:t> </w:t>
      </w:r>
      <w:r w:rsidR="00694E98" w:rsidRPr="00281994">
        <w:rPr>
          <w:lang w:val="en-GB"/>
        </w:rPr>
        <w:t>% as compared with the end of 2017) with the total useful floor area of 1</w:t>
      </w:r>
      <w:r w:rsidR="00A76955" w:rsidRPr="00281994">
        <w:rPr>
          <w:lang w:val="en-GB"/>
        </w:rPr>
        <w:t> </w:t>
      </w:r>
      <w:r w:rsidR="00694E98" w:rsidRPr="00281994">
        <w:rPr>
          <w:lang w:val="en-GB"/>
        </w:rPr>
        <w:t>084.2 m</w:t>
      </w:r>
      <w:r w:rsidR="00A76955" w:rsidRPr="00281994">
        <w:rPr>
          <w:lang w:val="en-GB"/>
        </w:rPr>
        <w:t>illio</w:t>
      </w:r>
      <w:r w:rsidR="00694E98" w:rsidRPr="00281994">
        <w:rPr>
          <w:lang w:val="en-GB"/>
        </w:rPr>
        <w:t>n m</w:t>
      </w:r>
      <w:r w:rsidR="00694E98" w:rsidRPr="00281994">
        <w:rPr>
          <w:vertAlign w:val="superscript"/>
          <w:lang w:val="en-GB"/>
        </w:rPr>
        <w:t>2</w:t>
      </w:r>
      <w:r w:rsidR="00694E98" w:rsidRPr="00281994">
        <w:rPr>
          <w:lang w:val="en-GB"/>
        </w:rPr>
        <w:t xml:space="preserve">, with 55.9 </w:t>
      </w:r>
      <w:r w:rsidR="00A76955" w:rsidRPr="00281994">
        <w:rPr>
          <w:lang w:val="en-GB"/>
        </w:rPr>
        <w:t>million</w:t>
      </w:r>
      <w:r w:rsidR="00694E98" w:rsidRPr="00281994">
        <w:rPr>
          <w:lang w:val="en-GB"/>
        </w:rPr>
        <w:t xml:space="preserve"> rooms.</w:t>
      </w:r>
    </w:p>
    <w:p w:rsidR="00003437" w:rsidRPr="00281994" w:rsidRDefault="00003437" w:rsidP="00E76D26">
      <w:pPr>
        <w:pStyle w:val="Nagwek1"/>
        <w:spacing w:before="0"/>
        <w:rPr>
          <w:rFonts w:ascii="Fira Sans" w:hAnsi="Fira Sans"/>
          <w:b/>
          <w:color w:val="212492"/>
          <w:spacing w:val="-2"/>
          <w:szCs w:val="19"/>
          <w:lang w:val="en-GB"/>
        </w:rPr>
      </w:pPr>
    </w:p>
    <w:p w:rsidR="00694E98" w:rsidRPr="00281994" w:rsidRDefault="00694E98" w:rsidP="00074DD8">
      <w:pPr>
        <w:pStyle w:val="Nagwek1"/>
        <w:rPr>
          <w:shd w:val="clear" w:color="auto" w:fill="FFFFFF"/>
          <w:lang w:val="en-GB"/>
        </w:rPr>
      </w:pPr>
      <w:bookmarkStart w:id="0" w:name="_GoBack"/>
      <w:bookmarkEnd w:id="0"/>
    </w:p>
    <w:p w:rsidR="00C22105" w:rsidRPr="00CA0A0F" w:rsidRDefault="009D1927" w:rsidP="00074DD8">
      <w:pPr>
        <w:pStyle w:val="Nagwek1"/>
        <w:rPr>
          <w:lang w:val="en-GB"/>
        </w:rPr>
      </w:pPr>
      <w:r w:rsidRPr="00DD60ED">
        <w:rPr>
          <w:noProof/>
          <w:color w:val="212492"/>
          <w:spacing w:val="-2"/>
          <w:szCs w:val="19"/>
        </w:rPr>
        <mc:AlternateContent>
          <mc:Choice Requires="wps">
            <w:drawing>
              <wp:anchor distT="45720" distB="45720" distL="114300" distR="114300" simplePos="0" relativeHeight="251646976" behindDoc="1" locked="0" layoutInCell="1" allowOverlap="1" wp14:anchorId="17824456" wp14:editId="7B8446F8">
                <wp:simplePos x="0" y="0"/>
                <wp:positionH relativeFrom="column">
                  <wp:posOffset>5230495</wp:posOffset>
                </wp:positionH>
                <wp:positionV relativeFrom="paragraph">
                  <wp:posOffset>125095</wp:posOffset>
                </wp:positionV>
                <wp:extent cx="1745615" cy="683895"/>
                <wp:effectExtent l="0" t="0" r="0" b="1905"/>
                <wp:wrapTight wrapText="bothSides">
                  <wp:wrapPolygon edited="0">
                    <wp:start x="707" y="0"/>
                    <wp:lineTo x="707" y="21058"/>
                    <wp:lineTo x="20744" y="21058"/>
                    <wp:lineTo x="20744" y="0"/>
                    <wp:lineTo x="707" y="0"/>
                  </wp:wrapPolygon>
                </wp:wrapTight>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5615" cy="683895"/>
                        </a:xfrm>
                        <a:prstGeom prst="rect">
                          <a:avLst/>
                        </a:prstGeom>
                        <a:noFill/>
                        <a:ln w="9525">
                          <a:noFill/>
                          <a:miter lim="800000"/>
                          <a:headEnd/>
                          <a:tailEnd/>
                        </a:ln>
                      </wps:spPr>
                      <wps:txbx>
                        <w:txbxContent>
                          <w:p w:rsidR="00E84AB6" w:rsidRPr="00281994" w:rsidRDefault="00E84AB6" w:rsidP="009D1927">
                            <w:pPr>
                              <w:pStyle w:val="tekstzboku"/>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As of the end of 2018, dwelling stocks in Poland amounted to 14.6 million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824456" id="_x0000_s1028" type="#_x0000_t202" style="position:absolute;margin-left:411.85pt;margin-top:9.85pt;width:137.45pt;height:53.8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" filled="f" stroked="f">
                <v:textbox>
                  <w:txbxContent>
                    <w:p w:rsidR="00E84AB6" w:rsidRPr="00281994" w:rsidRDefault="00E84AB6" w:rsidP="009D1927">
                      <w:pPr>
                        <w:pStyle w:val="tekstzboku"/>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As of the end of 2018, dwelling stocks in Poland amounted to 14.6 million</w:t>
                      </w:r>
                    </w:p>
                  </w:txbxContent>
                </v:textbox>
                <w10:wrap type="tight"/>
              </v:shape>
            </w:pict>
          </mc:Fallback>
        </mc:AlternateContent>
      </w:r>
      <w:r w:rsidR="00473C96" w:rsidRPr="00CA0A0F">
        <w:rPr>
          <w:lang w:val="en-GB"/>
        </w:rPr>
        <w:t>Dwelling stocks</w:t>
      </w:r>
    </w:p>
    <w:p w:rsidR="00694E98" w:rsidRPr="00281994" w:rsidRDefault="00694E98" w:rsidP="00694E98">
      <w:pPr>
        <w:rPr>
          <w:shd w:val="clear" w:color="auto" w:fill="FFFFFF"/>
          <w:lang w:val="en-GB"/>
        </w:rPr>
      </w:pPr>
      <w:r w:rsidRPr="00281994">
        <w:rPr>
          <w:shd w:val="clear" w:color="auto" w:fill="FFFFFF"/>
          <w:lang w:val="en-GB"/>
        </w:rPr>
        <w:t xml:space="preserve">As </w:t>
      </w:r>
      <w:r w:rsidR="00A76955" w:rsidRPr="00281994">
        <w:rPr>
          <w:shd w:val="clear" w:color="auto" w:fill="FFFFFF"/>
          <w:lang w:val="en-GB"/>
        </w:rPr>
        <w:t>of</w:t>
      </w:r>
      <w:r w:rsidRPr="00281994">
        <w:rPr>
          <w:shd w:val="clear" w:color="auto" w:fill="FFFFFF"/>
          <w:lang w:val="en-GB"/>
        </w:rPr>
        <w:t xml:space="preserve"> 31 December 2018, dwelling stocks in Poland amounted to 14.6 m</w:t>
      </w:r>
      <w:r w:rsidR="00A76955" w:rsidRPr="00281994">
        <w:rPr>
          <w:shd w:val="clear" w:color="auto" w:fill="FFFFFF"/>
          <w:lang w:val="en-GB"/>
        </w:rPr>
        <w:t>illio</w:t>
      </w:r>
      <w:r w:rsidRPr="00281994">
        <w:rPr>
          <w:shd w:val="clear" w:color="auto" w:fill="FFFFFF"/>
          <w:lang w:val="en-GB"/>
        </w:rPr>
        <w:t>n of dwelling</w:t>
      </w:r>
      <w:r w:rsidR="00A76955" w:rsidRPr="00281994">
        <w:rPr>
          <w:shd w:val="clear" w:color="auto" w:fill="FFFFFF"/>
          <w:lang w:val="en-GB"/>
        </w:rPr>
        <w:t>s</w:t>
      </w:r>
      <w:r w:rsidRPr="00281994">
        <w:rPr>
          <w:shd w:val="clear" w:color="auto" w:fill="FFFFFF"/>
          <w:lang w:val="en-GB"/>
        </w:rPr>
        <w:t xml:space="preserve"> with the total useful floor area of 1 0</w:t>
      </w:r>
      <w:r w:rsidR="00A76955" w:rsidRPr="00281994">
        <w:rPr>
          <w:shd w:val="clear" w:color="auto" w:fill="FFFFFF"/>
          <w:lang w:val="en-GB"/>
        </w:rPr>
        <w:t>84</w:t>
      </w:r>
      <w:r w:rsidRPr="00281994">
        <w:rPr>
          <w:shd w:val="clear" w:color="auto" w:fill="FFFFFF"/>
          <w:lang w:val="en-GB"/>
        </w:rPr>
        <w:t>.</w:t>
      </w:r>
      <w:r w:rsidR="00A76955" w:rsidRPr="00281994">
        <w:rPr>
          <w:shd w:val="clear" w:color="auto" w:fill="FFFFFF"/>
          <w:lang w:val="en-GB"/>
        </w:rPr>
        <w:t>2</w:t>
      </w:r>
      <w:r w:rsidRPr="00281994">
        <w:rPr>
          <w:shd w:val="clear" w:color="auto" w:fill="FFFFFF"/>
          <w:lang w:val="en-GB"/>
        </w:rPr>
        <w:t xml:space="preserve"> m</w:t>
      </w:r>
      <w:r w:rsidR="00A76955" w:rsidRPr="00281994">
        <w:rPr>
          <w:shd w:val="clear" w:color="auto" w:fill="FFFFFF"/>
          <w:lang w:val="en-GB"/>
        </w:rPr>
        <w:t>illio</w:t>
      </w:r>
      <w:r w:rsidRPr="00281994">
        <w:rPr>
          <w:shd w:val="clear" w:color="auto" w:fill="FFFFFF"/>
          <w:lang w:val="en-GB"/>
        </w:rPr>
        <w:t>n m</w:t>
      </w:r>
      <w:r w:rsidRPr="00281994">
        <w:rPr>
          <w:shd w:val="clear" w:color="auto" w:fill="FFFFFF"/>
          <w:vertAlign w:val="superscript"/>
          <w:lang w:val="en-GB"/>
        </w:rPr>
        <w:t>2</w:t>
      </w:r>
      <w:r w:rsidRPr="00281994">
        <w:rPr>
          <w:shd w:val="clear" w:color="auto" w:fill="FFFFFF"/>
          <w:lang w:val="en-GB"/>
        </w:rPr>
        <w:t>, with 55.9 m</w:t>
      </w:r>
      <w:r w:rsidR="00A76955" w:rsidRPr="00281994">
        <w:rPr>
          <w:shd w:val="clear" w:color="auto" w:fill="FFFFFF"/>
          <w:lang w:val="en-GB"/>
        </w:rPr>
        <w:t>illion</w:t>
      </w:r>
      <w:r w:rsidRPr="00281994">
        <w:rPr>
          <w:shd w:val="clear" w:color="auto" w:fill="FFFFFF"/>
          <w:lang w:val="en-GB"/>
        </w:rPr>
        <w:t xml:space="preserve"> rooms.</w:t>
      </w:r>
      <w:r w:rsidR="008C407E" w:rsidRPr="00281994">
        <w:rPr>
          <w:shd w:val="clear" w:color="auto" w:fill="FFFFFF"/>
          <w:lang w:val="en-GB"/>
        </w:rPr>
        <w:t xml:space="preserve"> </w:t>
      </w:r>
      <w:r w:rsidRPr="00281994">
        <w:rPr>
          <w:shd w:val="clear" w:color="auto" w:fill="FFFFFF"/>
          <w:lang w:val="en-GB"/>
        </w:rPr>
        <w:t>As compared to the year before 175.3 thous</w:t>
      </w:r>
      <w:r w:rsidR="00A76955" w:rsidRPr="00281994">
        <w:rPr>
          <w:shd w:val="clear" w:color="auto" w:fill="FFFFFF"/>
          <w:lang w:val="en-GB"/>
        </w:rPr>
        <w:t>and</w:t>
      </w:r>
      <w:r w:rsidRPr="00281994">
        <w:rPr>
          <w:shd w:val="clear" w:color="auto" w:fill="FFFFFF"/>
          <w:lang w:val="en-GB"/>
        </w:rPr>
        <w:t xml:space="preserve"> of dwellings </w:t>
      </w:r>
      <w:r w:rsidR="00281994" w:rsidRPr="00281994">
        <w:rPr>
          <w:shd w:val="clear" w:color="auto" w:fill="FFFFFF"/>
          <w:lang w:val="en-GB"/>
        </w:rPr>
        <w:t>were</w:t>
      </w:r>
      <w:r w:rsidR="00281994">
        <w:rPr>
          <w:shd w:val="clear" w:color="auto" w:fill="FFFFFF"/>
          <w:lang w:val="en-GB"/>
        </w:rPr>
        <w:t xml:space="preserve"> built </w:t>
      </w:r>
      <w:r w:rsidRPr="00281994">
        <w:rPr>
          <w:shd w:val="clear" w:color="auto" w:fill="FFFFFF"/>
          <w:lang w:val="en-GB"/>
        </w:rPr>
        <w:t>(an increase of 1.2</w:t>
      </w:r>
      <w:r w:rsidR="00A76955" w:rsidRPr="00281994">
        <w:rPr>
          <w:shd w:val="clear" w:color="auto" w:fill="FFFFFF"/>
          <w:lang w:val="en-GB"/>
        </w:rPr>
        <w:t> </w:t>
      </w:r>
      <w:r w:rsidRPr="00281994">
        <w:rPr>
          <w:shd w:val="clear" w:color="auto" w:fill="FFFFFF"/>
          <w:lang w:val="en-GB"/>
        </w:rPr>
        <w:t>%) with the total useful floor area of 15 609.0 thous</w:t>
      </w:r>
      <w:r w:rsidR="00A76955" w:rsidRPr="00281994">
        <w:rPr>
          <w:shd w:val="clear" w:color="auto" w:fill="FFFFFF"/>
          <w:lang w:val="en-GB"/>
        </w:rPr>
        <w:t>and</w:t>
      </w:r>
      <w:r w:rsidRPr="00281994">
        <w:rPr>
          <w:shd w:val="clear" w:color="auto" w:fill="FFFFFF"/>
          <w:lang w:val="en-GB"/>
        </w:rPr>
        <w:t xml:space="preserve"> m</w:t>
      </w:r>
      <w:r w:rsidRPr="00281994">
        <w:rPr>
          <w:shd w:val="clear" w:color="auto" w:fill="FFFFFF"/>
          <w:vertAlign w:val="superscript"/>
          <w:lang w:val="en-GB"/>
        </w:rPr>
        <w:t>2</w:t>
      </w:r>
      <w:r w:rsidRPr="00281994">
        <w:rPr>
          <w:shd w:val="clear" w:color="auto" w:fill="FFFFFF"/>
          <w:lang w:val="en-GB"/>
        </w:rPr>
        <w:t xml:space="preserve"> (an increase of 1.5</w:t>
      </w:r>
      <w:r w:rsidR="00A76955" w:rsidRPr="00281994">
        <w:rPr>
          <w:shd w:val="clear" w:color="auto" w:fill="FFFFFF"/>
          <w:lang w:val="en-GB"/>
        </w:rPr>
        <w:t> </w:t>
      </w:r>
      <w:r w:rsidRPr="00281994">
        <w:rPr>
          <w:shd w:val="clear" w:color="auto" w:fill="FFFFFF"/>
          <w:lang w:val="en-GB"/>
        </w:rPr>
        <w:t>%) and 668.7</w:t>
      </w:r>
      <w:r w:rsidR="00D56D59" w:rsidRPr="00281994">
        <w:rPr>
          <w:shd w:val="clear" w:color="auto" w:fill="FFFFFF"/>
          <w:lang w:val="en-GB"/>
        </w:rPr>
        <w:t> </w:t>
      </w:r>
      <w:r w:rsidRPr="00281994">
        <w:rPr>
          <w:shd w:val="clear" w:color="auto" w:fill="FFFFFF"/>
          <w:lang w:val="en-GB"/>
        </w:rPr>
        <w:t>thous</w:t>
      </w:r>
      <w:r w:rsidR="00A76955" w:rsidRPr="00281994">
        <w:rPr>
          <w:shd w:val="clear" w:color="auto" w:fill="FFFFFF"/>
          <w:lang w:val="en-GB"/>
        </w:rPr>
        <w:t>and</w:t>
      </w:r>
      <w:r w:rsidRPr="00281994">
        <w:rPr>
          <w:shd w:val="clear" w:color="auto" w:fill="FFFFFF"/>
          <w:lang w:val="en-GB"/>
        </w:rPr>
        <w:t xml:space="preserve"> rooms (an</w:t>
      </w:r>
      <w:r w:rsidR="00A76955" w:rsidRPr="00281994">
        <w:rPr>
          <w:shd w:val="clear" w:color="auto" w:fill="FFFFFF"/>
          <w:lang w:val="en-GB"/>
        </w:rPr>
        <w:t> </w:t>
      </w:r>
      <w:r w:rsidRPr="00281994">
        <w:rPr>
          <w:shd w:val="clear" w:color="auto" w:fill="FFFFFF"/>
          <w:lang w:val="en-GB"/>
        </w:rPr>
        <w:t>increase of 1.2</w:t>
      </w:r>
      <w:r w:rsidR="00A76955" w:rsidRPr="00281994">
        <w:rPr>
          <w:shd w:val="clear" w:color="auto" w:fill="FFFFFF"/>
          <w:lang w:val="en-GB"/>
        </w:rPr>
        <w:t> </w:t>
      </w:r>
      <w:r w:rsidRPr="00281994">
        <w:rPr>
          <w:shd w:val="clear" w:color="auto" w:fill="FFFFFF"/>
          <w:lang w:val="en-GB"/>
        </w:rPr>
        <w:t>%).</w:t>
      </w:r>
    </w:p>
    <w:p w:rsidR="00694E98" w:rsidRPr="00281994" w:rsidRDefault="00A76955" w:rsidP="00694E98">
      <w:pPr>
        <w:rPr>
          <w:shd w:val="clear" w:color="auto" w:fill="FFFFFF"/>
          <w:lang w:val="en-GB"/>
        </w:rPr>
      </w:pPr>
      <w:r>
        <w:rPr>
          <w:noProof/>
          <w:color w:val="212492"/>
          <w:spacing w:val="-2"/>
          <w:lang w:eastAsia="pl-PL"/>
        </w:rPr>
        <mc:AlternateContent>
          <mc:Choice Requires="wps">
            <w:drawing>
              <wp:anchor distT="45720" distB="45720" distL="114300" distR="114300" simplePos="0" relativeHeight="251657216" behindDoc="1" locked="0" layoutInCell="1" allowOverlap="1" wp14:anchorId="65036413" wp14:editId="4E232430">
                <wp:simplePos x="0" y="0"/>
                <wp:positionH relativeFrom="rightMargin">
                  <wp:posOffset>94932</wp:posOffset>
                </wp:positionH>
                <wp:positionV relativeFrom="paragraph">
                  <wp:posOffset>72390</wp:posOffset>
                </wp:positionV>
                <wp:extent cx="1666875" cy="798830"/>
                <wp:effectExtent l="0" t="0" r="0" b="1270"/>
                <wp:wrapTight wrapText="bothSides">
                  <wp:wrapPolygon edited="0">
                    <wp:start x="741" y="0"/>
                    <wp:lineTo x="741" y="21119"/>
                    <wp:lineTo x="20736" y="21119"/>
                    <wp:lineTo x="20736" y="0"/>
                    <wp:lineTo x="741" y="0"/>
                  </wp:wrapPolygon>
                </wp:wrapTight>
                <wp:docPr id="3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798830"/>
                        </a:xfrm>
                        <a:prstGeom prst="rect">
                          <a:avLst/>
                        </a:prstGeom>
                        <a:noFill/>
                        <a:ln w="9525">
                          <a:noFill/>
                          <a:miter lim="800000"/>
                          <a:headEnd/>
                          <a:tailEnd/>
                        </a:ln>
                      </wps:spPr>
                      <wps:txbx>
                        <w:txbxContent>
                          <w:p w:rsidR="00E84AB6" w:rsidRPr="00281994" w:rsidRDefault="00E84AB6" w:rsidP="00A76955">
                            <w:pPr>
                              <w:pStyle w:val="tekstzboku"/>
                              <w:rPr>
                                <w:lang w:val="en-GB"/>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Total useful floor area amounted to 1 084.2 million m</w:t>
                            </w:r>
                            <w:r w:rsidRPr="00281994">
                              <w:rPr>
                                <w:vertAlign w:val="superscript"/>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2</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and the number of rooms to 55.9 million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36413" id="_x0000_s1029" type="#_x0000_t202" style="position:absolute;margin-left:7.45pt;margin-top:5.7pt;width:131.25pt;height:62.9pt;z-index:-25165926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" filled="f" stroked="f">
                <v:textbox>
                  <w:txbxContent>
                    <w:p w:rsidR="00E84AB6" w:rsidRPr="00281994" w:rsidRDefault="00E84AB6" w:rsidP="00A76955">
                      <w:pPr>
                        <w:pStyle w:val="tekstzboku"/>
                        <w:rPr>
                          <w:lang w:val="en-GB"/>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Total useful floor area amounted to 1 084.2 million m</w:t>
                      </w:r>
                      <w:r w:rsidRPr="00281994">
                        <w:rPr>
                          <w:vertAlign w:val="superscript"/>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2</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and the number of rooms to 55.9 million</w:t>
                      </w:r>
                    </w:p>
                  </w:txbxContent>
                </v:textbox>
                <w10:wrap type="tight" anchorx="margin"/>
              </v:shape>
            </w:pict>
          </mc:Fallback>
        </mc:AlternateContent>
      </w:r>
    </w:p>
    <w:p w:rsidR="00746187" w:rsidRPr="00281994" w:rsidRDefault="00694E98" w:rsidP="00694E98">
      <w:pPr>
        <w:rPr>
          <w:shd w:val="clear" w:color="auto" w:fill="FFFFFF"/>
          <w:lang w:val="en-GB"/>
        </w:rPr>
      </w:pPr>
      <w:r w:rsidRPr="00281994">
        <w:rPr>
          <w:shd w:val="clear" w:color="auto" w:fill="FFFFFF"/>
          <w:lang w:val="en-GB"/>
        </w:rPr>
        <w:t>More than 9.</w:t>
      </w:r>
      <w:r w:rsidR="008C407E" w:rsidRPr="00281994">
        <w:rPr>
          <w:shd w:val="clear" w:color="auto" w:fill="FFFFFF"/>
          <w:lang w:val="en-GB"/>
        </w:rPr>
        <w:t>9</w:t>
      </w:r>
      <w:r w:rsidRPr="00281994">
        <w:rPr>
          <w:shd w:val="clear" w:color="auto" w:fill="FFFFFF"/>
          <w:lang w:val="en-GB"/>
        </w:rPr>
        <w:t xml:space="preserve"> m</w:t>
      </w:r>
      <w:r w:rsidR="00A76955" w:rsidRPr="00281994">
        <w:rPr>
          <w:shd w:val="clear" w:color="auto" w:fill="FFFFFF"/>
          <w:lang w:val="en-GB"/>
        </w:rPr>
        <w:t>illion</w:t>
      </w:r>
      <w:r w:rsidRPr="00281994">
        <w:rPr>
          <w:shd w:val="clear" w:color="auto" w:fill="FFFFFF"/>
          <w:lang w:val="en-GB"/>
        </w:rPr>
        <w:t xml:space="preserve"> dwellings with the </w:t>
      </w:r>
      <w:r w:rsidR="00A76955" w:rsidRPr="00281994">
        <w:rPr>
          <w:shd w:val="clear" w:color="auto" w:fill="FFFFFF"/>
          <w:lang w:val="en-GB"/>
        </w:rPr>
        <w:t xml:space="preserve">useful floor </w:t>
      </w:r>
      <w:r w:rsidRPr="00281994">
        <w:rPr>
          <w:shd w:val="clear" w:color="auto" w:fill="FFFFFF"/>
          <w:lang w:val="en-GB"/>
        </w:rPr>
        <w:t>area of 637.8 m</w:t>
      </w:r>
      <w:r w:rsidR="00A76955" w:rsidRPr="00281994">
        <w:rPr>
          <w:shd w:val="clear" w:color="auto" w:fill="FFFFFF"/>
          <w:lang w:val="en-GB"/>
        </w:rPr>
        <w:t>illio</w:t>
      </w:r>
      <w:r w:rsidRPr="00281994">
        <w:rPr>
          <w:shd w:val="clear" w:color="auto" w:fill="FFFFFF"/>
          <w:lang w:val="en-GB"/>
        </w:rPr>
        <w:t>n m</w:t>
      </w:r>
      <w:r w:rsidRPr="00281994">
        <w:rPr>
          <w:shd w:val="clear" w:color="auto" w:fill="FFFFFF"/>
          <w:vertAlign w:val="superscript"/>
          <w:lang w:val="en-GB"/>
        </w:rPr>
        <w:t>2</w:t>
      </w:r>
      <w:r w:rsidR="00A76955" w:rsidRPr="00281994">
        <w:rPr>
          <w:shd w:val="clear" w:color="auto" w:fill="FFFFFF"/>
          <w:lang w:val="en-GB"/>
        </w:rPr>
        <w:t xml:space="preserve"> and 35.1 millio</w:t>
      </w:r>
      <w:r w:rsidRPr="00281994">
        <w:rPr>
          <w:shd w:val="clear" w:color="auto" w:fill="FFFFFF"/>
          <w:lang w:val="en-GB"/>
        </w:rPr>
        <w:t>n rooms were located in urban areas.</w:t>
      </w:r>
      <w:r w:rsidR="00281994">
        <w:rPr>
          <w:shd w:val="clear" w:color="auto" w:fill="FFFFFF"/>
          <w:lang w:val="en-GB"/>
        </w:rPr>
        <w:t xml:space="preserve"> About</w:t>
      </w:r>
      <w:r w:rsidRPr="00281994">
        <w:rPr>
          <w:shd w:val="clear" w:color="auto" w:fill="FFFFFF"/>
          <w:lang w:val="en-GB"/>
        </w:rPr>
        <w:t xml:space="preserve"> 4.8 m</w:t>
      </w:r>
      <w:r w:rsidR="00A76955" w:rsidRPr="00281994">
        <w:rPr>
          <w:shd w:val="clear" w:color="auto" w:fill="FFFFFF"/>
          <w:lang w:val="en-GB"/>
        </w:rPr>
        <w:t>illio</w:t>
      </w:r>
      <w:r w:rsidRPr="00281994">
        <w:rPr>
          <w:shd w:val="clear" w:color="auto" w:fill="FFFFFF"/>
          <w:lang w:val="en-GB"/>
        </w:rPr>
        <w:t>n dwellings with the</w:t>
      </w:r>
      <w:r w:rsidR="008C407E" w:rsidRPr="00281994">
        <w:rPr>
          <w:lang w:val="en-GB"/>
        </w:rPr>
        <w:t xml:space="preserve"> </w:t>
      </w:r>
      <w:r w:rsidR="008C407E" w:rsidRPr="00281994">
        <w:rPr>
          <w:shd w:val="clear" w:color="auto" w:fill="FFFFFF"/>
          <w:lang w:val="en-GB"/>
        </w:rPr>
        <w:t>useful floor</w:t>
      </w:r>
      <w:r w:rsidRPr="00281994">
        <w:rPr>
          <w:shd w:val="clear" w:color="auto" w:fill="FFFFFF"/>
          <w:lang w:val="en-GB"/>
        </w:rPr>
        <w:t xml:space="preserve"> </w:t>
      </w:r>
      <w:r w:rsidR="00A76955" w:rsidRPr="00281994">
        <w:rPr>
          <w:shd w:val="clear" w:color="auto" w:fill="FFFFFF"/>
          <w:lang w:val="en-GB"/>
        </w:rPr>
        <w:t>area of 446.3 millio</w:t>
      </w:r>
      <w:r w:rsidRPr="00281994">
        <w:rPr>
          <w:shd w:val="clear" w:color="auto" w:fill="FFFFFF"/>
          <w:lang w:val="en-GB"/>
        </w:rPr>
        <w:t>n m</w:t>
      </w:r>
      <w:r w:rsidRPr="00281994">
        <w:rPr>
          <w:shd w:val="clear" w:color="auto" w:fill="FFFFFF"/>
          <w:vertAlign w:val="superscript"/>
          <w:lang w:val="en-GB"/>
        </w:rPr>
        <w:t>2</w:t>
      </w:r>
      <w:r w:rsidR="00A76955" w:rsidRPr="00281994">
        <w:rPr>
          <w:shd w:val="clear" w:color="auto" w:fill="FFFFFF"/>
          <w:lang w:val="en-GB"/>
        </w:rPr>
        <w:t xml:space="preserve"> and 20.7 millio</w:t>
      </w:r>
      <w:r w:rsidRPr="00281994">
        <w:rPr>
          <w:shd w:val="clear" w:color="auto" w:fill="FFFFFF"/>
          <w:lang w:val="en-GB"/>
        </w:rPr>
        <w:t>n rooms w</w:t>
      </w:r>
      <w:r w:rsidR="00A76955" w:rsidRPr="00281994">
        <w:rPr>
          <w:shd w:val="clear" w:color="auto" w:fill="FFFFFF"/>
          <w:lang w:val="en-GB"/>
        </w:rPr>
        <w:t>ere</w:t>
      </w:r>
      <w:r w:rsidRPr="00281994">
        <w:rPr>
          <w:shd w:val="clear" w:color="auto" w:fill="FFFFFF"/>
          <w:lang w:val="en-GB"/>
        </w:rPr>
        <w:t xml:space="preserve"> located in rural areas. In urban areas the number of dwellings increased by 125.1 thous</w:t>
      </w:r>
      <w:r w:rsidR="00A76955" w:rsidRPr="00281994">
        <w:rPr>
          <w:shd w:val="clear" w:color="auto" w:fill="FFFFFF"/>
          <w:lang w:val="en-GB"/>
        </w:rPr>
        <w:t>and</w:t>
      </w:r>
      <w:r w:rsidRPr="00281994">
        <w:rPr>
          <w:shd w:val="clear" w:color="auto" w:fill="FFFFFF"/>
          <w:lang w:val="en-GB"/>
        </w:rPr>
        <w:t xml:space="preserve"> (</w:t>
      </w:r>
      <w:r w:rsidR="00A76955" w:rsidRPr="00281994">
        <w:rPr>
          <w:shd w:val="clear" w:color="auto" w:fill="FFFFFF"/>
          <w:lang w:val="en-GB"/>
        </w:rPr>
        <w:t xml:space="preserve">by </w:t>
      </w:r>
      <w:r w:rsidRPr="00281994">
        <w:rPr>
          <w:shd w:val="clear" w:color="auto" w:fill="FFFFFF"/>
          <w:lang w:val="en-GB"/>
        </w:rPr>
        <w:t>1.3</w:t>
      </w:r>
      <w:r w:rsidR="00A76955" w:rsidRPr="00281994">
        <w:rPr>
          <w:shd w:val="clear" w:color="auto" w:fill="FFFFFF"/>
          <w:lang w:val="en-GB"/>
        </w:rPr>
        <w:t> </w:t>
      </w:r>
      <w:r w:rsidRPr="00281994">
        <w:rPr>
          <w:shd w:val="clear" w:color="auto" w:fill="FFFFFF"/>
          <w:lang w:val="en-GB"/>
        </w:rPr>
        <w:t xml:space="preserve">%), while in rural areas the increase </w:t>
      </w:r>
      <w:r w:rsidR="00281994">
        <w:rPr>
          <w:shd w:val="clear" w:color="auto" w:fill="FFFFFF"/>
          <w:lang w:val="en-GB"/>
        </w:rPr>
        <w:t>was of</w:t>
      </w:r>
      <w:r w:rsidRPr="00281994">
        <w:rPr>
          <w:shd w:val="clear" w:color="auto" w:fill="FFFFFF"/>
          <w:lang w:val="en-GB"/>
        </w:rPr>
        <w:t xml:space="preserve"> 50.2 thous</w:t>
      </w:r>
      <w:r w:rsidR="00A76955" w:rsidRPr="00281994">
        <w:rPr>
          <w:shd w:val="clear" w:color="auto" w:fill="FFFFFF"/>
          <w:lang w:val="en-GB"/>
        </w:rPr>
        <w:t>and</w:t>
      </w:r>
      <w:r w:rsidRPr="00281994">
        <w:rPr>
          <w:shd w:val="clear" w:color="auto" w:fill="FFFFFF"/>
          <w:lang w:val="en-GB"/>
        </w:rPr>
        <w:t xml:space="preserve"> (of 1.1</w:t>
      </w:r>
      <w:r w:rsidR="00A76955" w:rsidRPr="00281994">
        <w:rPr>
          <w:shd w:val="clear" w:color="auto" w:fill="FFFFFF"/>
          <w:lang w:val="en-GB"/>
        </w:rPr>
        <w:t> </w:t>
      </w:r>
      <w:r w:rsidRPr="00281994">
        <w:rPr>
          <w:shd w:val="clear" w:color="auto" w:fill="FFFFFF"/>
          <w:lang w:val="en-GB"/>
        </w:rPr>
        <w:t>%).</w:t>
      </w:r>
    </w:p>
    <w:p w:rsidR="008C407E" w:rsidRPr="00281994" w:rsidRDefault="008C407E" w:rsidP="00694E98">
      <w:pPr>
        <w:rPr>
          <w:b/>
          <w:spacing w:val="-2"/>
          <w:sz w:val="18"/>
          <w:lang w:val="en-GB"/>
        </w:rPr>
      </w:pPr>
    </w:p>
    <w:p w:rsidR="00694E98" w:rsidRPr="00281994" w:rsidRDefault="00694E98" w:rsidP="00694E98">
      <w:pPr>
        <w:spacing w:before="0" w:after="0"/>
        <w:rPr>
          <w:b/>
          <w:spacing w:val="-2"/>
          <w:sz w:val="18"/>
          <w:lang w:val="en-GB"/>
        </w:rPr>
      </w:pPr>
      <w:r w:rsidRPr="00281994">
        <w:rPr>
          <w:b/>
          <w:spacing w:val="-2"/>
          <w:sz w:val="18"/>
          <w:lang w:val="en-GB"/>
        </w:rPr>
        <w:t>Tab</w:t>
      </w:r>
      <w:r w:rsidR="00473C96" w:rsidRPr="00281994">
        <w:rPr>
          <w:b/>
          <w:spacing w:val="-2"/>
          <w:sz w:val="18"/>
          <w:lang w:val="en-GB"/>
        </w:rPr>
        <w:t>le</w:t>
      </w:r>
      <w:r w:rsidRPr="00281994">
        <w:rPr>
          <w:b/>
          <w:spacing w:val="-2"/>
          <w:sz w:val="18"/>
          <w:lang w:val="en-GB"/>
        </w:rPr>
        <w:t xml:space="preserve"> 1. </w:t>
      </w:r>
      <w:r w:rsidR="00473C96" w:rsidRPr="00281994">
        <w:rPr>
          <w:b/>
          <w:spacing w:val="-2"/>
          <w:sz w:val="18"/>
          <w:lang w:val="en-GB"/>
        </w:rPr>
        <w:t>Dwelling stocks</w:t>
      </w:r>
      <w:r w:rsidRPr="00281994">
        <w:rPr>
          <w:b/>
          <w:spacing w:val="-2"/>
          <w:sz w:val="18"/>
          <w:lang w:val="en-GB"/>
        </w:rPr>
        <w:t xml:space="preserve"> (</w:t>
      </w:r>
      <w:r w:rsidR="00473C96" w:rsidRPr="00281994">
        <w:rPr>
          <w:b/>
          <w:spacing w:val="-2"/>
          <w:sz w:val="18"/>
          <w:lang w:val="en-GB"/>
        </w:rPr>
        <w:t xml:space="preserve">as of </w:t>
      </w:r>
      <w:r w:rsidR="007F3137" w:rsidRPr="00281994">
        <w:rPr>
          <w:b/>
          <w:spacing w:val="-2"/>
          <w:sz w:val="18"/>
          <w:lang w:val="en-GB"/>
        </w:rPr>
        <w:t>31.12</w:t>
      </w:r>
      <w:r w:rsidRPr="00281994">
        <w:rPr>
          <w:b/>
          <w:spacing w:val="-2"/>
          <w:sz w:val="18"/>
          <w:lang w:val="en-GB"/>
        </w:rPr>
        <w:t>)</w:t>
      </w:r>
    </w:p>
    <w:p w:rsidR="00694E98" w:rsidRPr="00281994" w:rsidRDefault="00694E98" w:rsidP="00694E98">
      <w:pPr>
        <w:spacing w:before="0" w:after="0" w:line="240" w:lineRule="auto"/>
        <w:rPr>
          <w:spacing w:val="-2"/>
          <w:szCs w:val="19"/>
          <w:lang w:val="en-GB"/>
        </w:rPr>
      </w:pPr>
    </w:p>
    <w:tbl>
      <w:tblPr>
        <w:tblW w:w="7538" w:type="dxa"/>
        <w:tblBorders>
          <w:top w:val="single" w:sz="4" w:space="0" w:color="auto"/>
          <w:left w:val="single" w:sz="4" w:space="0" w:color="auto"/>
          <w:bottom w:val="single" w:sz="4" w:space="0" w:color="auto"/>
          <w:right w:val="single" w:sz="4" w:space="0" w:color="auto"/>
          <w:insideH w:val="single" w:sz="12" w:space="0" w:color="auto"/>
          <w:insideV w:val="single" w:sz="4" w:space="0" w:color="auto"/>
        </w:tblBorders>
        <w:tblCellMar>
          <w:left w:w="70" w:type="dxa"/>
          <w:right w:w="70" w:type="dxa"/>
        </w:tblCellMar>
        <w:tblLook w:val="04A0" w:firstRow="1" w:lastRow="0" w:firstColumn="1" w:lastColumn="0" w:noHBand="0" w:noVBand="1"/>
      </w:tblPr>
      <w:tblGrid>
        <w:gridCol w:w="3458"/>
        <w:gridCol w:w="1020"/>
        <w:gridCol w:w="1020"/>
        <w:gridCol w:w="1020"/>
        <w:gridCol w:w="1020"/>
      </w:tblGrid>
      <w:tr w:rsidR="00694E98" w:rsidRPr="0097136B" w:rsidTr="009C3C14">
        <w:trPr>
          <w:trHeight w:val="300"/>
        </w:trPr>
        <w:tc>
          <w:tcPr>
            <w:tcW w:w="3458" w:type="dxa"/>
            <w:tcBorders>
              <w:top w:val="nil"/>
              <w:left w:val="nil"/>
              <w:bottom w:val="single" w:sz="12" w:space="0" w:color="001D77"/>
              <w:right w:val="single" w:sz="4" w:space="0" w:color="001D77"/>
            </w:tcBorders>
            <w:shd w:val="clear" w:color="auto" w:fill="auto"/>
            <w:noWrap/>
            <w:vAlign w:val="bottom"/>
            <w:hideMark/>
          </w:tcPr>
          <w:p w:rsidR="00694E98" w:rsidRPr="0097136B" w:rsidRDefault="00473C96" w:rsidP="00473C96">
            <w:pPr>
              <w:spacing w:after="0" w:line="240" w:lineRule="auto"/>
              <w:jc w:val="center"/>
              <w:rPr>
                <w:rFonts w:eastAsia="Times New Roman" w:cs="Calibri"/>
                <w:sz w:val="16"/>
                <w:szCs w:val="16"/>
                <w:lang w:eastAsia="pl-PL"/>
              </w:rPr>
            </w:pPr>
            <w:r>
              <w:rPr>
                <w:rFonts w:eastAsia="Times New Roman" w:cs="Calibri"/>
                <w:sz w:val="16"/>
                <w:szCs w:val="16"/>
                <w:lang w:eastAsia="pl-PL"/>
              </w:rPr>
              <w:t>Specification</w:t>
            </w:r>
          </w:p>
        </w:tc>
        <w:tc>
          <w:tcPr>
            <w:tcW w:w="1020" w:type="dxa"/>
            <w:tcBorders>
              <w:top w:val="nil"/>
              <w:left w:val="single" w:sz="4" w:space="0" w:color="001D77"/>
              <w:bottom w:val="single" w:sz="12" w:space="0" w:color="001D77"/>
              <w:right w:val="single" w:sz="4" w:space="0" w:color="001D77"/>
            </w:tcBorders>
            <w:shd w:val="clear" w:color="auto" w:fill="auto"/>
            <w:noWrap/>
            <w:vAlign w:val="bottom"/>
            <w:hideMark/>
          </w:tcPr>
          <w:p w:rsidR="00694E98" w:rsidRPr="0097136B" w:rsidRDefault="00694E98" w:rsidP="00E41DF8">
            <w:pPr>
              <w:spacing w:after="0" w:line="240" w:lineRule="auto"/>
              <w:jc w:val="center"/>
              <w:rPr>
                <w:rFonts w:eastAsia="Times New Roman" w:cs="Calibri"/>
                <w:sz w:val="16"/>
                <w:szCs w:val="16"/>
                <w:lang w:eastAsia="pl-PL"/>
              </w:rPr>
            </w:pPr>
            <w:r w:rsidRPr="0097136B">
              <w:rPr>
                <w:rFonts w:eastAsia="Times New Roman" w:cs="Calibri"/>
                <w:sz w:val="16"/>
                <w:szCs w:val="16"/>
                <w:lang w:eastAsia="pl-PL"/>
              </w:rPr>
              <w:t>2017</w:t>
            </w:r>
          </w:p>
        </w:tc>
        <w:tc>
          <w:tcPr>
            <w:tcW w:w="1020" w:type="dxa"/>
            <w:tcBorders>
              <w:top w:val="nil"/>
              <w:left w:val="single" w:sz="4" w:space="0" w:color="001D77"/>
              <w:bottom w:val="single" w:sz="12" w:space="0" w:color="001D77"/>
              <w:right w:val="single" w:sz="4" w:space="0" w:color="001D77"/>
            </w:tcBorders>
            <w:shd w:val="clear" w:color="auto" w:fill="auto"/>
            <w:noWrap/>
            <w:vAlign w:val="bottom"/>
            <w:hideMark/>
          </w:tcPr>
          <w:p w:rsidR="00694E98" w:rsidRPr="0097136B" w:rsidRDefault="00694E98" w:rsidP="00E41DF8">
            <w:pPr>
              <w:spacing w:after="0" w:line="240" w:lineRule="auto"/>
              <w:jc w:val="center"/>
              <w:rPr>
                <w:rFonts w:eastAsia="Times New Roman" w:cs="Calibri"/>
                <w:sz w:val="16"/>
                <w:szCs w:val="16"/>
                <w:lang w:eastAsia="pl-PL"/>
              </w:rPr>
            </w:pPr>
            <w:r w:rsidRPr="0097136B">
              <w:rPr>
                <w:rFonts w:eastAsia="Times New Roman" w:cs="Calibri"/>
                <w:sz w:val="16"/>
                <w:szCs w:val="16"/>
                <w:lang w:eastAsia="pl-PL"/>
              </w:rPr>
              <w:t>2016</w:t>
            </w:r>
            <w:r w:rsidR="00A508B4">
              <w:rPr>
                <w:rFonts w:eastAsia="Times New Roman" w:cs="Calibri"/>
                <w:sz w:val="16"/>
                <w:szCs w:val="16"/>
                <w:lang w:eastAsia="pl-PL"/>
              </w:rPr>
              <w:t xml:space="preserve"> </w:t>
            </w:r>
            <w:r w:rsidRPr="0097136B">
              <w:rPr>
                <w:rFonts w:eastAsia="Times New Roman" w:cs="Calibri"/>
                <w:sz w:val="16"/>
                <w:szCs w:val="16"/>
                <w:lang w:eastAsia="pl-PL"/>
              </w:rPr>
              <w:t>=</w:t>
            </w:r>
            <w:r w:rsidR="00A508B4">
              <w:rPr>
                <w:rFonts w:eastAsia="Times New Roman" w:cs="Calibri"/>
                <w:sz w:val="16"/>
                <w:szCs w:val="16"/>
                <w:lang w:eastAsia="pl-PL"/>
              </w:rPr>
              <w:t xml:space="preserve"> </w:t>
            </w:r>
            <w:r w:rsidRPr="0097136B">
              <w:rPr>
                <w:rFonts w:eastAsia="Times New Roman" w:cs="Calibri"/>
                <w:sz w:val="16"/>
                <w:szCs w:val="16"/>
                <w:lang w:eastAsia="pl-PL"/>
              </w:rPr>
              <w:t>100</w:t>
            </w:r>
          </w:p>
        </w:tc>
        <w:tc>
          <w:tcPr>
            <w:tcW w:w="1020" w:type="dxa"/>
            <w:tcBorders>
              <w:top w:val="nil"/>
              <w:left w:val="single" w:sz="4" w:space="0" w:color="001D77"/>
              <w:bottom w:val="single" w:sz="12" w:space="0" w:color="001D77"/>
              <w:right w:val="single" w:sz="4" w:space="0" w:color="001D77"/>
            </w:tcBorders>
            <w:shd w:val="clear" w:color="auto" w:fill="auto"/>
            <w:noWrap/>
            <w:vAlign w:val="bottom"/>
            <w:hideMark/>
          </w:tcPr>
          <w:p w:rsidR="00694E98" w:rsidRPr="0097136B" w:rsidRDefault="00694E98" w:rsidP="00E41DF8">
            <w:pPr>
              <w:spacing w:after="0" w:line="240" w:lineRule="auto"/>
              <w:jc w:val="center"/>
              <w:rPr>
                <w:rFonts w:eastAsia="Times New Roman" w:cs="Calibri"/>
                <w:sz w:val="16"/>
                <w:szCs w:val="16"/>
                <w:lang w:eastAsia="pl-PL"/>
              </w:rPr>
            </w:pPr>
            <w:r w:rsidRPr="0097136B">
              <w:rPr>
                <w:rFonts w:eastAsia="Times New Roman" w:cs="Calibri"/>
                <w:sz w:val="16"/>
                <w:szCs w:val="16"/>
                <w:lang w:eastAsia="pl-PL"/>
              </w:rPr>
              <w:t>2018</w:t>
            </w:r>
          </w:p>
        </w:tc>
        <w:tc>
          <w:tcPr>
            <w:tcW w:w="1020" w:type="dxa"/>
            <w:tcBorders>
              <w:top w:val="nil"/>
              <w:left w:val="single" w:sz="4" w:space="0" w:color="001D77"/>
              <w:bottom w:val="single" w:sz="12" w:space="0" w:color="001D77"/>
              <w:right w:val="nil"/>
            </w:tcBorders>
            <w:shd w:val="clear" w:color="auto" w:fill="auto"/>
            <w:noWrap/>
            <w:vAlign w:val="bottom"/>
            <w:hideMark/>
          </w:tcPr>
          <w:p w:rsidR="00694E98" w:rsidRPr="0097136B" w:rsidRDefault="00694E98" w:rsidP="00E41DF8">
            <w:pPr>
              <w:spacing w:after="0" w:line="240" w:lineRule="auto"/>
              <w:jc w:val="center"/>
              <w:rPr>
                <w:rFonts w:eastAsia="Times New Roman" w:cs="Calibri"/>
                <w:sz w:val="16"/>
                <w:szCs w:val="16"/>
                <w:lang w:eastAsia="pl-PL"/>
              </w:rPr>
            </w:pPr>
            <w:r w:rsidRPr="0097136B">
              <w:rPr>
                <w:rFonts w:eastAsia="Times New Roman" w:cs="Calibri"/>
                <w:sz w:val="16"/>
                <w:szCs w:val="16"/>
                <w:lang w:eastAsia="pl-PL"/>
              </w:rPr>
              <w:t>2017</w:t>
            </w:r>
            <w:r w:rsidR="00A508B4">
              <w:rPr>
                <w:rFonts w:eastAsia="Times New Roman" w:cs="Calibri"/>
                <w:sz w:val="16"/>
                <w:szCs w:val="16"/>
                <w:lang w:eastAsia="pl-PL"/>
              </w:rPr>
              <w:t xml:space="preserve"> </w:t>
            </w:r>
            <w:r w:rsidRPr="0097136B">
              <w:rPr>
                <w:rFonts w:eastAsia="Times New Roman" w:cs="Calibri"/>
                <w:sz w:val="16"/>
                <w:szCs w:val="16"/>
                <w:lang w:eastAsia="pl-PL"/>
              </w:rPr>
              <w:t>=</w:t>
            </w:r>
            <w:r w:rsidR="00A508B4">
              <w:rPr>
                <w:rFonts w:eastAsia="Times New Roman" w:cs="Calibri"/>
                <w:sz w:val="16"/>
                <w:szCs w:val="16"/>
                <w:lang w:eastAsia="pl-PL"/>
              </w:rPr>
              <w:t xml:space="preserve"> </w:t>
            </w:r>
            <w:r w:rsidRPr="0097136B">
              <w:rPr>
                <w:rFonts w:eastAsia="Times New Roman" w:cs="Calibri"/>
                <w:sz w:val="16"/>
                <w:szCs w:val="16"/>
                <w:lang w:eastAsia="pl-PL"/>
              </w:rPr>
              <w:t>100</w:t>
            </w:r>
          </w:p>
        </w:tc>
      </w:tr>
      <w:tr w:rsidR="00694E98" w:rsidRPr="0097136B" w:rsidTr="009C3C14">
        <w:trPr>
          <w:trHeight w:val="300"/>
        </w:trPr>
        <w:tc>
          <w:tcPr>
            <w:tcW w:w="3458" w:type="dxa"/>
            <w:tcBorders>
              <w:top w:val="single" w:sz="12" w:space="0" w:color="001D77"/>
              <w:left w:val="nil"/>
              <w:bottom w:val="single" w:sz="4" w:space="0" w:color="001D77"/>
              <w:right w:val="single" w:sz="4" w:space="0" w:color="001D77"/>
            </w:tcBorders>
            <w:shd w:val="clear" w:color="auto" w:fill="auto"/>
            <w:noWrap/>
            <w:vAlign w:val="bottom"/>
            <w:hideMark/>
          </w:tcPr>
          <w:p w:rsidR="00694E98" w:rsidRPr="0097136B" w:rsidRDefault="00AF22E7" w:rsidP="00E41DF8">
            <w:pPr>
              <w:spacing w:after="0" w:line="240" w:lineRule="auto"/>
              <w:rPr>
                <w:rFonts w:eastAsia="Times New Roman" w:cs="Calibri"/>
                <w:sz w:val="16"/>
                <w:szCs w:val="16"/>
                <w:lang w:eastAsia="pl-PL"/>
              </w:rPr>
            </w:pPr>
            <w:r>
              <w:rPr>
                <w:rFonts w:eastAsia="Times New Roman" w:cs="Calibri"/>
                <w:sz w:val="16"/>
                <w:szCs w:val="16"/>
                <w:lang w:eastAsia="pl-PL"/>
              </w:rPr>
              <w:t>Dwellings in thousand</w:t>
            </w:r>
          </w:p>
        </w:tc>
        <w:tc>
          <w:tcPr>
            <w:tcW w:w="1020" w:type="dxa"/>
            <w:tcBorders>
              <w:top w:val="single" w:sz="12" w:space="0" w:color="001D77"/>
              <w:left w:val="single" w:sz="4" w:space="0" w:color="001D77"/>
              <w:bottom w:val="single" w:sz="4" w:space="0" w:color="001D77"/>
              <w:right w:val="single" w:sz="4" w:space="0" w:color="001D77"/>
            </w:tcBorders>
            <w:shd w:val="clear" w:color="auto" w:fill="auto"/>
            <w:noWrap/>
            <w:vAlign w:val="bottom"/>
            <w:hideMark/>
          </w:tcPr>
          <w:p w:rsidR="00694E98" w:rsidRPr="0097136B" w:rsidRDefault="00694E98" w:rsidP="00E41DF8">
            <w:pPr>
              <w:spacing w:after="0" w:line="240" w:lineRule="auto"/>
              <w:jc w:val="right"/>
              <w:rPr>
                <w:rFonts w:eastAsia="Times New Roman" w:cs="Calibri"/>
                <w:sz w:val="16"/>
                <w:szCs w:val="16"/>
                <w:lang w:eastAsia="pl-PL"/>
              </w:rPr>
            </w:pPr>
            <w:r w:rsidRPr="0097136B">
              <w:rPr>
                <w:rFonts w:eastAsia="Times New Roman" w:cs="Calibri"/>
                <w:sz w:val="16"/>
                <w:szCs w:val="16"/>
                <w:lang w:eastAsia="pl-PL"/>
              </w:rPr>
              <w:t>14 439</w:t>
            </w:r>
            <w:r w:rsidR="00A76955">
              <w:rPr>
                <w:rFonts w:eastAsia="Times New Roman" w:cs="Calibri"/>
                <w:sz w:val="16"/>
                <w:szCs w:val="16"/>
                <w:lang w:eastAsia="pl-PL"/>
              </w:rPr>
              <w:t>.</w:t>
            </w:r>
            <w:r w:rsidRPr="0097136B">
              <w:rPr>
                <w:rFonts w:eastAsia="Times New Roman" w:cs="Calibri"/>
                <w:sz w:val="16"/>
                <w:szCs w:val="16"/>
                <w:lang w:eastAsia="pl-PL"/>
              </w:rPr>
              <w:t>8</w:t>
            </w:r>
          </w:p>
        </w:tc>
        <w:tc>
          <w:tcPr>
            <w:tcW w:w="1020" w:type="dxa"/>
            <w:tcBorders>
              <w:top w:val="single" w:sz="12" w:space="0" w:color="001D77"/>
              <w:left w:val="single" w:sz="4" w:space="0" w:color="001D77"/>
              <w:bottom w:val="single" w:sz="4" w:space="0" w:color="001D77"/>
              <w:right w:val="single" w:sz="4" w:space="0" w:color="001D77"/>
            </w:tcBorders>
            <w:shd w:val="clear" w:color="auto" w:fill="auto"/>
            <w:noWrap/>
            <w:vAlign w:val="bottom"/>
            <w:hideMark/>
          </w:tcPr>
          <w:p w:rsidR="00694E98" w:rsidRPr="0097136B" w:rsidRDefault="00694E98" w:rsidP="00E41DF8">
            <w:pPr>
              <w:spacing w:after="0" w:line="240" w:lineRule="auto"/>
              <w:jc w:val="right"/>
              <w:rPr>
                <w:rFonts w:eastAsia="Times New Roman" w:cs="Calibri"/>
                <w:sz w:val="16"/>
                <w:szCs w:val="16"/>
                <w:lang w:eastAsia="pl-PL"/>
              </w:rPr>
            </w:pPr>
            <w:r w:rsidRPr="0097136B">
              <w:rPr>
                <w:rFonts w:eastAsia="Times New Roman" w:cs="Calibri"/>
                <w:sz w:val="16"/>
                <w:szCs w:val="16"/>
                <w:lang w:eastAsia="pl-PL"/>
              </w:rPr>
              <w:t>101</w:t>
            </w:r>
            <w:r w:rsidR="00A76955">
              <w:rPr>
                <w:rFonts w:eastAsia="Times New Roman" w:cs="Calibri"/>
                <w:sz w:val="16"/>
                <w:szCs w:val="16"/>
                <w:lang w:eastAsia="pl-PL"/>
              </w:rPr>
              <w:t>.</w:t>
            </w:r>
            <w:r w:rsidRPr="0097136B">
              <w:rPr>
                <w:rFonts w:eastAsia="Times New Roman" w:cs="Calibri"/>
                <w:sz w:val="16"/>
                <w:szCs w:val="16"/>
                <w:lang w:eastAsia="pl-PL"/>
              </w:rPr>
              <w:t>2</w:t>
            </w:r>
          </w:p>
        </w:tc>
        <w:tc>
          <w:tcPr>
            <w:tcW w:w="1020" w:type="dxa"/>
            <w:tcBorders>
              <w:top w:val="single" w:sz="12" w:space="0" w:color="001D77"/>
              <w:left w:val="single" w:sz="4" w:space="0" w:color="001D77"/>
              <w:bottom w:val="single" w:sz="4" w:space="0" w:color="001D77"/>
              <w:right w:val="single" w:sz="4" w:space="0" w:color="001D77"/>
            </w:tcBorders>
            <w:shd w:val="clear" w:color="auto" w:fill="auto"/>
            <w:noWrap/>
            <w:vAlign w:val="bottom"/>
            <w:hideMark/>
          </w:tcPr>
          <w:p w:rsidR="00694E98" w:rsidRPr="0097136B" w:rsidRDefault="00694E98" w:rsidP="00E41DF8">
            <w:pPr>
              <w:spacing w:after="0" w:line="240" w:lineRule="auto"/>
              <w:jc w:val="right"/>
              <w:rPr>
                <w:rFonts w:eastAsia="Times New Roman" w:cs="Calibri"/>
                <w:sz w:val="16"/>
                <w:szCs w:val="16"/>
                <w:lang w:eastAsia="pl-PL"/>
              </w:rPr>
            </w:pPr>
            <w:r w:rsidRPr="0097136B">
              <w:rPr>
                <w:rFonts w:eastAsia="Times New Roman" w:cs="Calibri"/>
                <w:sz w:val="16"/>
                <w:szCs w:val="16"/>
                <w:lang w:eastAsia="pl-PL"/>
              </w:rPr>
              <w:t>14 615</w:t>
            </w:r>
            <w:r w:rsidR="00A76955">
              <w:rPr>
                <w:rFonts w:eastAsia="Times New Roman" w:cs="Calibri"/>
                <w:sz w:val="16"/>
                <w:szCs w:val="16"/>
                <w:lang w:eastAsia="pl-PL"/>
              </w:rPr>
              <w:t>.</w:t>
            </w:r>
            <w:r w:rsidRPr="0097136B">
              <w:rPr>
                <w:rFonts w:eastAsia="Times New Roman" w:cs="Calibri"/>
                <w:sz w:val="16"/>
                <w:szCs w:val="16"/>
                <w:lang w:eastAsia="pl-PL"/>
              </w:rPr>
              <w:t>1</w:t>
            </w:r>
          </w:p>
        </w:tc>
        <w:tc>
          <w:tcPr>
            <w:tcW w:w="1020" w:type="dxa"/>
            <w:tcBorders>
              <w:top w:val="single" w:sz="12" w:space="0" w:color="001D77"/>
              <w:left w:val="single" w:sz="4" w:space="0" w:color="001D77"/>
              <w:bottom w:val="single" w:sz="4" w:space="0" w:color="001D77"/>
              <w:right w:val="nil"/>
            </w:tcBorders>
            <w:shd w:val="clear" w:color="auto" w:fill="auto"/>
            <w:noWrap/>
            <w:vAlign w:val="bottom"/>
            <w:hideMark/>
          </w:tcPr>
          <w:p w:rsidR="00694E98" w:rsidRPr="0097136B" w:rsidRDefault="00694E98" w:rsidP="00E41DF8">
            <w:pPr>
              <w:spacing w:after="0" w:line="240" w:lineRule="auto"/>
              <w:jc w:val="right"/>
              <w:rPr>
                <w:rFonts w:eastAsia="Times New Roman" w:cs="Calibri"/>
                <w:sz w:val="16"/>
                <w:szCs w:val="16"/>
                <w:lang w:eastAsia="pl-PL"/>
              </w:rPr>
            </w:pPr>
            <w:r w:rsidRPr="0097136B">
              <w:rPr>
                <w:rFonts w:eastAsia="Times New Roman" w:cs="Calibri"/>
                <w:sz w:val="16"/>
                <w:szCs w:val="16"/>
                <w:lang w:eastAsia="pl-PL"/>
              </w:rPr>
              <w:t>101</w:t>
            </w:r>
            <w:r w:rsidR="00A76955">
              <w:rPr>
                <w:rFonts w:eastAsia="Times New Roman" w:cs="Calibri"/>
                <w:sz w:val="16"/>
                <w:szCs w:val="16"/>
                <w:lang w:eastAsia="pl-PL"/>
              </w:rPr>
              <w:t>.</w:t>
            </w:r>
            <w:r w:rsidRPr="0097136B">
              <w:rPr>
                <w:rFonts w:eastAsia="Times New Roman" w:cs="Calibri"/>
                <w:sz w:val="16"/>
                <w:szCs w:val="16"/>
                <w:lang w:eastAsia="pl-PL"/>
              </w:rPr>
              <w:t>2</w:t>
            </w:r>
          </w:p>
        </w:tc>
      </w:tr>
      <w:tr w:rsidR="00694E98" w:rsidRPr="0097136B" w:rsidTr="009C3C14">
        <w:trPr>
          <w:trHeight w:val="300"/>
        </w:trPr>
        <w:tc>
          <w:tcPr>
            <w:tcW w:w="3458" w:type="dxa"/>
            <w:tcBorders>
              <w:top w:val="single" w:sz="4" w:space="0" w:color="001D77"/>
              <w:left w:val="nil"/>
              <w:bottom w:val="single" w:sz="4" w:space="0" w:color="001D77"/>
              <w:right w:val="single" w:sz="4" w:space="0" w:color="001D77"/>
            </w:tcBorders>
            <w:shd w:val="clear" w:color="auto" w:fill="auto"/>
            <w:noWrap/>
            <w:vAlign w:val="bottom"/>
            <w:hideMark/>
          </w:tcPr>
          <w:p w:rsidR="00694E98" w:rsidRPr="00281994" w:rsidRDefault="00AF22E7" w:rsidP="00E41DF8">
            <w:pPr>
              <w:spacing w:after="0" w:line="240" w:lineRule="auto"/>
              <w:rPr>
                <w:rFonts w:eastAsia="Times New Roman" w:cs="Calibri"/>
                <w:sz w:val="16"/>
                <w:szCs w:val="16"/>
                <w:lang w:val="en-GB" w:eastAsia="pl-PL"/>
              </w:rPr>
            </w:pPr>
            <w:r w:rsidRPr="00281994">
              <w:rPr>
                <w:rFonts w:eastAsia="Times New Roman" w:cs="Calibri"/>
                <w:sz w:val="16"/>
                <w:szCs w:val="16"/>
                <w:lang w:val="en-GB" w:eastAsia="pl-PL"/>
              </w:rPr>
              <w:t>Rooms in dwellings in thousand</w:t>
            </w:r>
          </w:p>
        </w:tc>
        <w:tc>
          <w:tcPr>
            <w:tcW w:w="1020"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rsidR="00694E98" w:rsidRPr="0097136B" w:rsidRDefault="00694E98" w:rsidP="00E41DF8">
            <w:pPr>
              <w:spacing w:after="0" w:line="240" w:lineRule="auto"/>
              <w:jc w:val="right"/>
              <w:rPr>
                <w:rFonts w:eastAsia="Times New Roman" w:cs="Calibri"/>
                <w:sz w:val="16"/>
                <w:szCs w:val="16"/>
                <w:lang w:eastAsia="pl-PL"/>
              </w:rPr>
            </w:pPr>
            <w:r w:rsidRPr="0097136B">
              <w:rPr>
                <w:rFonts w:eastAsia="Times New Roman" w:cs="Calibri"/>
                <w:sz w:val="16"/>
                <w:szCs w:val="16"/>
                <w:lang w:eastAsia="pl-PL"/>
              </w:rPr>
              <w:t>55 205</w:t>
            </w:r>
            <w:r w:rsidR="00A76955">
              <w:rPr>
                <w:rFonts w:eastAsia="Times New Roman" w:cs="Calibri"/>
                <w:sz w:val="16"/>
                <w:szCs w:val="16"/>
                <w:lang w:eastAsia="pl-PL"/>
              </w:rPr>
              <w:t>.</w:t>
            </w:r>
            <w:r w:rsidRPr="0097136B">
              <w:rPr>
                <w:rFonts w:eastAsia="Times New Roman" w:cs="Calibri"/>
                <w:sz w:val="16"/>
                <w:szCs w:val="16"/>
                <w:lang w:eastAsia="pl-PL"/>
              </w:rPr>
              <w:t>6</w:t>
            </w:r>
          </w:p>
        </w:tc>
        <w:tc>
          <w:tcPr>
            <w:tcW w:w="1020"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rsidR="00694E98" w:rsidRPr="0097136B" w:rsidRDefault="00694E98" w:rsidP="00E41DF8">
            <w:pPr>
              <w:spacing w:after="0" w:line="240" w:lineRule="auto"/>
              <w:jc w:val="right"/>
              <w:rPr>
                <w:rFonts w:eastAsia="Times New Roman" w:cs="Calibri"/>
                <w:sz w:val="16"/>
                <w:szCs w:val="16"/>
                <w:lang w:eastAsia="pl-PL"/>
              </w:rPr>
            </w:pPr>
            <w:r w:rsidRPr="0097136B">
              <w:rPr>
                <w:rFonts w:eastAsia="Times New Roman" w:cs="Calibri"/>
                <w:sz w:val="16"/>
                <w:szCs w:val="16"/>
                <w:lang w:eastAsia="pl-PL"/>
              </w:rPr>
              <w:t>101</w:t>
            </w:r>
            <w:r w:rsidR="00A76955">
              <w:rPr>
                <w:rFonts w:eastAsia="Times New Roman" w:cs="Calibri"/>
                <w:sz w:val="16"/>
                <w:szCs w:val="16"/>
                <w:lang w:eastAsia="pl-PL"/>
              </w:rPr>
              <w:t>.</w:t>
            </w:r>
            <w:r w:rsidRPr="0097136B">
              <w:rPr>
                <w:rFonts w:eastAsia="Times New Roman" w:cs="Calibri"/>
                <w:sz w:val="16"/>
                <w:szCs w:val="16"/>
                <w:lang w:eastAsia="pl-PL"/>
              </w:rPr>
              <w:t>2</w:t>
            </w:r>
          </w:p>
        </w:tc>
        <w:tc>
          <w:tcPr>
            <w:tcW w:w="1020"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rsidR="00694E98" w:rsidRPr="0097136B" w:rsidRDefault="00694E98" w:rsidP="00E41DF8">
            <w:pPr>
              <w:spacing w:after="0" w:line="240" w:lineRule="auto"/>
              <w:jc w:val="right"/>
              <w:rPr>
                <w:rFonts w:eastAsia="Times New Roman" w:cs="Calibri"/>
                <w:sz w:val="16"/>
                <w:szCs w:val="16"/>
                <w:lang w:eastAsia="pl-PL"/>
              </w:rPr>
            </w:pPr>
            <w:r w:rsidRPr="0097136B">
              <w:rPr>
                <w:rFonts w:eastAsia="Times New Roman" w:cs="Calibri"/>
                <w:sz w:val="16"/>
                <w:szCs w:val="16"/>
                <w:lang w:eastAsia="pl-PL"/>
              </w:rPr>
              <w:t>55 874</w:t>
            </w:r>
            <w:r w:rsidR="00A76955">
              <w:rPr>
                <w:rFonts w:eastAsia="Times New Roman" w:cs="Calibri"/>
                <w:sz w:val="16"/>
                <w:szCs w:val="16"/>
                <w:lang w:eastAsia="pl-PL"/>
              </w:rPr>
              <w:t>.</w:t>
            </w:r>
            <w:r w:rsidRPr="0097136B">
              <w:rPr>
                <w:rFonts w:eastAsia="Times New Roman" w:cs="Calibri"/>
                <w:sz w:val="16"/>
                <w:szCs w:val="16"/>
                <w:lang w:eastAsia="pl-PL"/>
              </w:rPr>
              <w:t>3</w:t>
            </w:r>
          </w:p>
        </w:tc>
        <w:tc>
          <w:tcPr>
            <w:tcW w:w="1020" w:type="dxa"/>
            <w:tcBorders>
              <w:top w:val="single" w:sz="4" w:space="0" w:color="001D77"/>
              <w:left w:val="single" w:sz="4" w:space="0" w:color="001D77"/>
              <w:bottom w:val="single" w:sz="4" w:space="0" w:color="001D77"/>
              <w:right w:val="nil"/>
            </w:tcBorders>
            <w:shd w:val="clear" w:color="auto" w:fill="auto"/>
            <w:noWrap/>
            <w:vAlign w:val="bottom"/>
            <w:hideMark/>
          </w:tcPr>
          <w:p w:rsidR="00694E98" w:rsidRPr="0097136B" w:rsidRDefault="00694E98" w:rsidP="00E41DF8">
            <w:pPr>
              <w:spacing w:after="0" w:line="240" w:lineRule="auto"/>
              <w:jc w:val="right"/>
              <w:rPr>
                <w:rFonts w:eastAsia="Times New Roman" w:cs="Calibri"/>
                <w:sz w:val="16"/>
                <w:szCs w:val="16"/>
                <w:lang w:eastAsia="pl-PL"/>
              </w:rPr>
            </w:pPr>
            <w:r w:rsidRPr="0097136B">
              <w:rPr>
                <w:rFonts w:eastAsia="Times New Roman" w:cs="Calibri"/>
                <w:sz w:val="16"/>
                <w:szCs w:val="16"/>
                <w:lang w:eastAsia="pl-PL"/>
              </w:rPr>
              <w:t>101</w:t>
            </w:r>
            <w:r w:rsidR="00A76955">
              <w:rPr>
                <w:rFonts w:eastAsia="Times New Roman" w:cs="Calibri"/>
                <w:sz w:val="16"/>
                <w:szCs w:val="16"/>
                <w:lang w:eastAsia="pl-PL"/>
              </w:rPr>
              <w:t>.</w:t>
            </w:r>
            <w:r w:rsidRPr="0097136B">
              <w:rPr>
                <w:rFonts w:eastAsia="Times New Roman" w:cs="Calibri"/>
                <w:sz w:val="16"/>
                <w:szCs w:val="16"/>
                <w:lang w:eastAsia="pl-PL"/>
              </w:rPr>
              <w:t>2</w:t>
            </w:r>
          </w:p>
        </w:tc>
      </w:tr>
      <w:tr w:rsidR="00694E98" w:rsidRPr="0097136B" w:rsidTr="009C3C14">
        <w:trPr>
          <w:trHeight w:val="300"/>
        </w:trPr>
        <w:tc>
          <w:tcPr>
            <w:tcW w:w="3458" w:type="dxa"/>
            <w:tcBorders>
              <w:top w:val="single" w:sz="4" w:space="0" w:color="001D77"/>
              <w:left w:val="nil"/>
              <w:bottom w:val="single" w:sz="4" w:space="0" w:color="001D77"/>
              <w:right w:val="single" w:sz="4" w:space="0" w:color="001D77"/>
            </w:tcBorders>
            <w:shd w:val="clear" w:color="auto" w:fill="auto"/>
            <w:noWrap/>
            <w:vAlign w:val="bottom"/>
            <w:hideMark/>
          </w:tcPr>
          <w:p w:rsidR="00694E98" w:rsidRPr="00281994" w:rsidRDefault="00AF22E7" w:rsidP="00E41DF8">
            <w:pPr>
              <w:spacing w:after="0" w:line="240" w:lineRule="auto"/>
              <w:rPr>
                <w:rFonts w:eastAsia="Times New Roman" w:cs="Calibri"/>
                <w:sz w:val="16"/>
                <w:szCs w:val="16"/>
                <w:lang w:val="en-GB" w:eastAsia="pl-PL"/>
              </w:rPr>
            </w:pPr>
            <w:r w:rsidRPr="00281994">
              <w:rPr>
                <w:rFonts w:eastAsia="Times New Roman" w:cs="Calibri"/>
                <w:sz w:val="16"/>
                <w:szCs w:val="16"/>
                <w:lang w:val="en-GB" w:eastAsia="pl-PL"/>
              </w:rPr>
              <w:t>Useful floor area of dwellings in thousand</w:t>
            </w:r>
            <w:r w:rsidR="00694E98" w:rsidRPr="00281994">
              <w:rPr>
                <w:rFonts w:eastAsia="Times New Roman" w:cs="Calibri"/>
                <w:sz w:val="16"/>
                <w:szCs w:val="16"/>
                <w:lang w:val="en-GB" w:eastAsia="pl-PL"/>
              </w:rPr>
              <w:t xml:space="preserve"> m</w:t>
            </w:r>
            <w:r w:rsidR="00694E98" w:rsidRPr="00281994">
              <w:rPr>
                <w:rFonts w:eastAsia="Times New Roman" w:cs="Calibri"/>
                <w:sz w:val="16"/>
                <w:szCs w:val="16"/>
                <w:vertAlign w:val="superscript"/>
                <w:lang w:val="en-GB" w:eastAsia="pl-PL"/>
              </w:rPr>
              <w:t>2</w:t>
            </w:r>
          </w:p>
        </w:tc>
        <w:tc>
          <w:tcPr>
            <w:tcW w:w="1020"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rsidR="00694E98" w:rsidRPr="0097136B" w:rsidRDefault="00694E98" w:rsidP="00E41DF8">
            <w:pPr>
              <w:spacing w:after="0" w:line="240" w:lineRule="auto"/>
              <w:jc w:val="right"/>
              <w:rPr>
                <w:rFonts w:eastAsia="Times New Roman" w:cs="Calibri"/>
                <w:sz w:val="16"/>
                <w:szCs w:val="16"/>
                <w:lang w:eastAsia="pl-PL"/>
              </w:rPr>
            </w:pPr>
            <w:r w:rsidRPr="0097136B">
              <w:rPr>
                <w:rFonts w:eastAsia="Times New Roman" w:cs="Calibri"/>
                <w:sz w:val="16"/>
                <w:szCs w:val="16"/>
                <w:lang w:eastAsia="pl-PL"/>
              </w:rPr>
              <w:t>1 068 557</w:t>
            </w:r>
            <w:r w:rsidR="00A76955">
              <w:rPr>
                <w:rFonts w:eastAsia="Times New Roman" w:cs="Calibri"/>
                <w:sz w:val="16"/>
                <w:szCs w:val="16"/>
                <w:lang w:eastAsia="pl-PL"/>
              </w:rPr>
              <w:t>.</w:t>
            </w:r>
            <w:r w:rsidRPr="0097136B">
              <w:rPr>
                <w:rFonts w:eastAsia="Times New Roman" w:cs="Calibri"/>
                <w:sz w:val="16"/>
                <w:szCs w:val="16"/>
                <w:lang w:eastAsia="pl-PL"/>
              </w:rPr>
              <w:t>5</w:t>
            </w:r>
          </w:p>
        </w:tc>
        <w:tc>
          <w:tcPr>
            <w:tcW w:w="1020"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rsidR="00694E98" w:rsidRPr="0097136B" w:rsidRDefault="00694E98" w:rsidP="00E41DF8">
            <w:pPr>
              <w:spacing w:after="0" w:line="240" w:lineRule="auto"/>
              <w:jc w:val="right"/>
              <w:rPr>
                <w:rFonts w:eastAsia="Times New Roman" w:cs="Calibri"/>
                <w:sz w:val="16"/>
                <w:szCs w:val="16"/>
                <w:lang w:eastAsia="pl-PL"/>
              </w:rPr>
            </w:pPr>
            <w:r w:rsidRPr="0097136B">
              <w:rPr>
                <w:rFonts w:eastAsia="Times New Roman" w:cs="Calibri"/>
                <w:sz w:val="16"/>
                <w:szCs w:val="16"/>
                <w:lang w:eastAsia="pl-PL"/>
              </w:rPr>
              <w:t>101</w:t>
            </w:r>
            <w:r w:rsidR="00A76955">
              <w:rPr>
                <w:rFonts w:eastAsia="Times New Roman" w:cs="Calibri"/>
                <w:sz w:val="16"/>
                <w:szCs w:val="16"/>
                <w:lang w:eastAsia="pl-PL"/>
              </w:rPr>
              <w:t>.</w:t>
            </w:r>
            <w:r w:rsidRPr="0097136B">
              <w:rPr>
                <w:rFonts w:eastAsia="Times New Roman" w:cs="Calibri"/>
                <w:sz w:val="16"/>
                <w:szCs w:val="16"/>
                <w:lang w:eastAsia="pl-PL"/>
              </w:rPr>
              <w:t>5</w:t>
            </w:r>
          </w:p>
        </w:tc>
        <w:tc>
          <w:tcPr>
            <w:tcW w:w="1020"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rsidR="00694E98" w:rsidRPr="0097136B" w:rsidRDefault="00694E98" w:rsidP="00E41DF8">
            <w:pPr>
              <w:spacing w:after="0" w:line="240" w:lineRule="auto"/>
              <w:jc w:val="right"/>
              <w:rPr>
                <w:rFonts w:eastAsia="Times New Roman" w:cs="Calibri"/>
                <w:sz w:val="16"/>
                <w:szCs w:val="16"/>
                <w:lang w:eastAsia="pl-PL"/>
              </w:rPr>
            </w:pPr>
            <w:r w:rsidRPr="0097136B">
              <w:rPr>
                <w:rFonts w:eastAsia="Times New Roman" w:cs="Calibri"/>
                <w:sz w:val="16"/>
                <w:szCs w:val="16"/>
                <w:lang w:eastAsia="pl-PL"/>
              </w:rPr>
              <w:t>1 084 166</w:t>
            </w:r>
            <w:r w:rsidR="00A76955">
              <w:rPr>
                <w:rFonts w:eastAsia="Times New Roman" w:cs="Calibri"/>
                <w:sz w:val="16"/>
                <w:szCs w:val="16"/>
                <w:lang w:eastAsia="pl-PL"/>
              </w:rPr>
              <w:t>.</w:t>
            </w:r>
            <w:r w:rsidRPr="0097136B">
              <w:rPr>
                <w:rFonts w:eastAsia="Times New Roman" w:cs="Calibri"/>
                <w:sz w:val="16"/>
                <w:szCs w:val="16"/>
                <w:lang w:eastAsia="pl-PL"/>
              </w:rPr>
              <w:t>5</w:t>
            </w:r>
          </w:p>
        </w:tc>
        <w:tc>
          <w:tcPr>
            <w:tcW w:w="1020" w:type="dxa"/>
            <w:tcBorders>
              <w:top w:val="single" w:sz="4" w:space="0" w:color="001D77"/>
              <w:left w:val="single" w:sz="4" w:space="0" w:color="001D77"/>
              <w:bottom w:val="single" w:sz="4" w:space="0" w:color="001D77"/>
              <w:right w:val="nil"/>
            </w:tcBorders>
            <w:shd w:val="clear" w:color="auto" w:fill="auto"/>
            <w:noWrap/>
            <w:vAlign w:val="bottom"/>
            <w:hideMark/>
          </w:tcPr>
          <w:p w:rsidR="00694E98" w:rsidRPr="0097136B" w:rsidRDefault="00694E98" w:rsidP="00E41DF8">
            <w:pPr>
              <w:spacing w:after="0" w:line="240" w:lineRule="auto"/>
              <w:jc w:val="right"/>
              <w:rPr>
                <w:rFonts w:eastAsia="Times New Roman" w:cs="Calibri"/>
                <w:sz w:val="16"/>
                <w:szCs w:val="16"/>
                <w:lang w:eastAsia="pl-PL"/>
              </w:rPr>
            </w:pPr>
            <w:r w:rsidRPr="0097136B">
              <w:rPr>
                <w:rFonts w:eastAsia="Times New Roman" w:cs="Calibri"/>
                <w:sz w:val="16"/>
                <w:szCs w:val="16"/>
                <w:lang w:eastAsia="pl-PL"/>
              </w:rPr>
              <w:t>101</w:t>
            </w:r>
            <w:r w:rsidR="00A76955">
              <w:rPr>
                <w:rFonts w:eastAsia="Times New Roman" w:cs="Calibri"/>
                <w:sz w:val="16"/>
                <w:szCs w:val="16"/>
                <w:lang w:eastAsia="pl-PL"/>
              </w:rPr>
              <w:t>.</w:t>
            </w:r>
            <w:r w:rsidRPr="0097136B">
              <w:rPr>
                <w:rFonts w:eastAsia="Times New Roman" w:cs="Calibri"/>
                <w:sz w:val="16"/>
                <w:szCs w:val="16"/>
                <w:lang w:eastAsia="pl-PL"/>
              </w:rPr>
              <w:t>5</w:t>
            </w:r>
          </w:p>
        </w:tc>
      </w:tr>
      <w:tr w:rsidR="00694E98" w:rsidRPr="0097136B" w:rsidTr="009C3C14">
        <w:trPr>
          <w:trHeight w:val="300"/>
        </w:trPr>
        <w:tc>
          <w:tcPr>
            <w:tcW w:w="3458" w:type="dxa"/>
            <w:tcBorders>
              <w:top w:val="single" w:sz="4" w:space="0" w:color="001D77"/>
              <w:left w:val="nil"/>
              <w:bottom w:val="single" w:sz="4" w:space="0" w:color="001D77"/>
              <w:right w:val="single" w:sz="4" w:space="0" w:color="001D77"/>
            </w:tcBorders>
            <w:shd w:val="clear" w:color="auto" w:fill="auto"/>
            <w:noWrap/>
            <w:vAlign w:val="bottom"/>
            <w:hideMark/>
          </w:tcPr>
          <w:p w:rsidR="00694E98" w:rsidRPr="0097136B" w:rsidRDefault="00AF22E7" w:rsidP="00AF22E7">
            <w:pPr>
              <w:spacing w:after="0" w:line="240" w:lineRule="auto"/>
              <w:rPr>
                <w:rFonts w:eastAsia="Times New Roman" w:cs="Calibri"/>
                <w:sz w:val="16"/>
                <w:szCs w:val="16"/>
                <w:lang w:eastAsia="pl-PL"/>
              </w:rPr>
            </w:pPr>
            <w:r>
              <w:rPr>
                <w:rFonts w:eastAsia="Times New Roman" w:cs="Calibri"/>
                <w:sz w:val="16"/>
                <w:szCs w:val="16"/>
                <w:lang w:eastAsia="pl-PL"/>
              </w:rPr>
              <w:t>Dwellings per</w:t>
            </w:r>
            <w:r w:rsidR="00694E98" w:rsidRPr="0097136B">
              <w:rPr>
                <w:rFonts w:eastAsia="Times New Roman" w:cs="Calibri"/>
                <w:sz w:val="16"/>
                <w:szCs w:val="16"/>
                <w:lang w:eastAsia="pl-PL"/>
              </w:rPr>
              <w:t xml:space="preserve"> 1</w:t>
            </w:r>
            <w:r w:rsidR="00CA0A0F">
              <w:rPr>
                <w:rFonts w:eastAsia="Times New Roman" w:cs="Calibri"/>
                <w:sz w:val="16"/>
                <w:szCs w:val="16"/>
                <w:lang w:eastAsia="pl-PL"/>
              </w:rPr>
              <w:t> </w:t>
            </w:r>
            <w:r w:rsidR="00694E98" w:rsidRPr="0097136B">
              <w:rPr>
                <w:rFonts w:eastAsia="Times New Roman" w:cs="Calibri"/>
                <w:sz w:val="16"/>
                <w:szCs w:val="16"/>
                <w:lang w:eastAsia="pl-PL"/>
              </w:rPr>
              <w:t xml:space="preserve">000 </w:t>
            </w:r>
            <w:r>
              <w:rPr>
                <w:rFonts w:eastAsia="Times New Roman" w:cs="Calibri"/>
                <w:sz w:val="16"/>
                <w:szCs w:val="16"/>
                <w:lang w:eastAsia="pl-PL"/>
              </w:rPr>
              <w:t>population</w:t>
            </w:r>
          </w:p>
        </w:tc>
        <w:tc>
          <w:tcPr>
            <w:tcW w:w="1020"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rsidR="00694E98" w:rsidRPr="0097136B" w:rsidRDefault="00694E98" w:rsidP="00E41DF8">
            <w:pPr>
              <w:spacing w:after="0" w:line="240" w:lineRule="auto"/>
              <w:jc w:val="right"/>
              <w:rPr>
                <w:rFonts w:eastAsia="Times New Roman" w:cs="Calibri"/>
                <w:sz w:val="16"/>
                <w:szCs w:val="16"/>
                <w:lang w:eastAsia="pl-PL"/>
              </w:rPr>
            </w:pPr>
            <w:r w:rsidRPr="0097136B">
              <w:rPr>
                <w:rFonts w:eastAsia="Times New Roman" w:cs="Calibri"/>
                <w:sz w:val="16"/>
                <w:szCs w:val="16"/>
                <w:lang w:eastAsia="pl-PL"/>
              </w:rPr>
              <w:t>375</w:t>
            </w:r>
            <w:r w:rsidR="00A76955">
              <w:rPr>
                <w:rFonts w:eastAsia="Times New Roman" w:cs="Calibri"/>
                <w:sz w:val="16"/>
                <w:szCs w:val="16"/>
                <w:lang w:eastAsia="pl-PL"/>
              </w:rPr>
              <w:t>.</w:t>
            </w:r>
            <w:r w:rsidRPr="0097136B">
              <w:rPr>
                <w:rFonts w:eastAsia="Times New Roman" w:cs="Calibri"/>
                <w:sz w:val="16"/>
                <w:szCs w:val="16"/>
                <w:lang w:eastAsia="pl-PL"/>
              </w:rPr>
              <w:t>7</w:t>
            </w:r>
          </w:p>
        </w:tc>
        <w:tc>
          <w:tcPr>
            <w:tcW w:w="1020"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rsidR="00694E98" w:rsidRPr="0097136B" w:rsidRDefault="00694E98" w:rsidP="00E41DF8">
            <w:pPr>
              <w:spacing w:after="0" w:line="240" w:lineRule="auto"/>
              <w:jc w:val="right"/>
              <w:rPr>
                <w:rFonts w:eastAsia="Times New Roman" w:cs="Calibri"/>
                <w:sz w:val="16"/>
                <w:szCs w:val="16"/>
                <w:lang w:eastAsia="pl-PL"/>
              </w:rPr>
            </w:pPr>
            <w:r w:rsidRPr="0097136B">
              <w:rPr>
                <w:rFonts w:eastAsia="Times New Roman" w:cs="Calibri"/>
                <w:sz w:val="16"/>
                <w:szCs w:val="16"/>
                <w:lang w:eastAsia="pl-PL"/>
              </w:rPr>
              <w:t>101</w:t>
            </w:r>
            <w:r w:rsidR="00A76955">
              <w:rPr>
                <w:rFonts w:eastAsia="Times New Roman" w:cs="Calibri"/>
                <w:sz w:val="16"/>
                <w:szCs w:val="16"/>
                <w:lang w:eastAsia="pl-PL"/>
              </w:rPr>
              <w:t>.</w:t>
            </w:r>
            <w:r w:rsidRPr="0097136B">
              <w:rPr>
                <w:rFonts w:eastAsia="Times New Roman" w:cs="Calibri"/>
                <w:sz w:val="16"/>
                <w:szCs w:val="16"/>
                <w:lang w:eastAsia="pl-PL"/>
              </w:rPr>
              <w:t>2</w:t>
            </w:r>
          </w:p>
        </w:tc>
        <w:tc>
          <w:tcPr>
            <w:tcW w:w="1020" w:type="dxa"/>
            <w:tcBorders>
              <w:top w:val="single" w:sz="4" w:space="0" w:color="001D77"/>
              <w:left w:val="single" w:sz="4" w:space="0" w:color="001D77"/>
              <w:bottom w:val="single" w:sz="4" w:space="0" w:color="001D77"/>
              <w:right w:val="single" w:sz="4" w:space="0" w:color="001D77"/>
            </w:tcBorders>
            <w:shd w:val="clear" w:color="auto" w:fill="auto"/>
            <w:noWrap/>
            <w:vAlign w:val="bottom"/>
            <w:hideMark/>
          </w:tcPr>
          <w:p w:rsidR="00694E98" w:rsidRPr="0097136B" w:rsidRDefault="00694E98" w:rsidP="00E41DF8">
            <w:pPr>
              <w:spacing w:after="0" w:line="240" w:lineRule="auto"/>
              <w:jc w:val="right"/>
              <w:rPr>
                <w:rFonts w:eastAsia="Times New Roman" w:cs="Calibri"/>
                <w:sz w:val="16"/>
                <w:szCs w:val="16"/>
                <w:lang w:eastAsia="pl-PL"/>
              </w:rPr>
            </w:pPr>
            <w:r w:rsidRPr="0097136B">
              <w:rPr>
                <w:rFonts w:eastAsia="Times New Roman" w:cs="Calibri"/>
                <w:sz w:val="16"/>
                <w:szCs w:val="16"/>
                <w:lang w:eastAsia="pl-PL"/>
              </w:rPr>
              <w:t>380</w:t>
            </w:r>
            <w:r w:rsidR="00A76955">
              <w:rPr>
                <w:rFonts w:eastAsia="Times New Roman" w:cs="Calibri"/>
                <w:sz w:val="16"/>
                <w:szCs w:val="16"/>
                <w:lang w:eastAsia="pl-PL"/>
              </w:rPr>
              <w:t>.</w:t>
            </w:r>
            <w:r w:rsidRPr="0097136B">
              <w:rPr>
                <w:rFonts w:eastAsia="Times New Roman" w:cs="Calibri"/>
                <w:sz w:val="16"/>
                <w:szCs w:val="16"/>
                <w:lang w:eastAsia="pl-PL"/>
              </w:rPr>
              <w:t>5</w:t>
            </w:r>
          </w:p>
        </w:tc>
        <w:tc>
          <w:tcPr>
            <w:tcW w:w="1020" w:type="dxa"/>
            <w:tcBorders>
              <w:top w:val="single" w:sz="4" w:space="0" w:color="001D77"/>
              <w:left w:val="single" w:sz="4" w:space="0" w:color="001D77"/>
              <w:bottom w:val="single" w:sz="4" w:space="0" w:color="001D77"/>
              <w:right w:val="nil"/>
            </w:tcBorders>
            <w:shd w:val="clear" w:color="auto" w:fill="auto"/>
            <w:noWrap/>
            <w:vAlign w:val="bottom"/>
            <w:hideMark/>
          </w:tcPr>
          <w:p w:rsidR="00694E98" w:rsidRPr="0097136B" w:rsidRDefault="00694E98" w:rsidP="00E41DF8">
            <w:pPr>
              <w:spacing w:after="0" w:line="240" w:lineRule="auto"/>
              <w:jc w:val="right"/>
              <w:rPr>
                <w:rFonts w:eastAsia="Times New Roman" w:cs="Calibri"/>
                <w:sz w:val="16"/>
                <w:szCs w:val="16"/>
                <w:lang w:eastAsia="pl-PL"/>
              </w:rPr>
            </w:pPr>
            <w:r w:rsidRPr="0097136B">
              <w:rPr>
                <w:rFonts w:eastAsia="Times New Roman" w:cs="Calibri"/>
                <w:sz w:val="16"/>
                <w:szCs w:val="16"/>
                <w:lang w:eastAsia="pl-PL"/>
              </w:rPr>
              <w:t>101</w:t>
            </w:r>
            <w:r w:rsidR="00A76955">
              <w:rPr>
                <w:rFonts w:eastAsia="Times New Roman" w:cs="Calibri"/>
                <w:sz w:val="16"/>
                <w:szCs w:val="16"/>
                <w:lang w:eastAsia="pl-PL"/>
              </w:rPr>
              <w:t>.</w:t>
            </w:r>
            <w:r w:rsidRPr="0097136B">
              <w:rPr>
                <w:rFonts w:eastAsia="Times New Roman" w:cs="Calibri"/>
                <w:sz w:val="16"/>
                <w:szCs w:val="16"/>
                <w:lang w:eastAsia="pl-PL"/>
              </w:rPr>
              <w:t>3</w:t>
            </w:r>
          </w:p>
        </w:tc>
      </w:tr>
      <w:tr w:rsidR="00694E98" w:rsidRPr="0097136B" w:rsidTr="009C3C14">
        <w:trPr>
          <w:trHeight w:val="300"/>
        </w:trPr>
        <w:tc>
          <w:tcPr>
            <w:tcW w:w="3458" w:type="dxa"/>
            <w:tcBorders>
              <w:top w:val="single" w:sz="4" w:space="0" w:color="001D77"/>
              <w:left w:val="nil"/>
              <w:bottom w:val="nil"/>
              <w:right w:val="single" w:sz="4" w:space="0" w:color="001D77"/>
            </w:tcBorders>
            <w:shd w:val="clear" w:color="auto" w:fill="auto"/>
            <w:noWrap/>
            <w:vAlign w:val="bottom"/>
            <w:hideMark/>
          </w:tcPr>
          <w:p w:rsidR="00694E98" w:rsidRPr="0097136B" w:rsidRDefault="00281994" w:rsidP="00281994">
            <w:pPr>
              <w:spacing w:after="0" w:line="240" w:lineRule="auto"/>
              <w:rPr>
                <w:rFonts w:eastAsia="Times New Roman" w:cs="Calibri"/>
                <w:sz w:val="16"/>
                <w:szCs w:val="16"/>
                <w:lang w:eastAsia="pl-PL"/>
              </w:rPr>
            </w:pPr>
            <w:r>
              <w:rPr>
                <w:rFonts w:eastAsia="Times New Roman" w:cs="Calibri"/>
                <w:sz w:val="16"/>
                <w:szCs w:val="16"/>
                <w:lang w:eastAsia="pl-PL"/>
              </w:rPr>
              <w:t>Dwelling</w:t>
            </w:r>
            <w:r w:rsidR="00AF22E7">
              <w:rPr>
                <w:rFonts w:eastAsia="Times New Roman" w:cs="Calibri"/>
                <w:sz w:val="16"/>
                <w:szCs w:val="16"/>
                <w:lang w:eastAsia="pl-PL"/>
              </w:rPr>
              <w:t xml:space="preserve"> stocks, </w:t>
            </w:r>
            <w:r>
              <w:rPr>
                <w:rFonts w:eastAsia="Times New Roman" w:cs="Calibri"/>
                <w:sz w:val="16"/>
                <w:szCs w:val="16"/>
                <w:lang w:eastAsia="pl-PL"/>
              </w:rPr>
              <w:t xml:space="preserve">the </w:t>
            </w:r>
            <w:r w:rsidR="00AF22E7">
              <w:rPr>
                <w:rFonts w:eastAsia="Times New Roman" w:cs="Calibri"/>
                <w:sz w:val="16"/>
                <w:szCs w:val="16"/>
                <w:lang w:eastAsia="pl-PL"/>
              </w:rPr>
              <w:t>average</w:t>
            </w:r>
            <w:r w:rsidR="00CA0A0F">
              <w:rPr>
                <w:rFonts w:eastAsia="Times New Roman" w:cs="Calibri"/>
                <w:sz w:val="16"/>
                <w:szCs w:val="16"/>
                <w:lang w:eastAsia="pl-PL"/>
              </w:rPr>
              <w:t>:</w:t>
            </w:r>
          </w:p>
        </w:tc>
        <w:tc>
          <w:tcPr>
            <w:tcW w:w="1020" w:type="dxa"/>
            <w:tcBorders>
              <w:top w:val="single" w:sz="4" w:space="0" w:color="001D77"/>
              <w:left w:val="single" w:sz="4" w:space="0" w:color="001D77"/>
              <w:bottom w:val="nil"/>
              <w:right w:val="single" w:sz="4" w:space="0" w:color="001D77"/>
            </w:tcBorders>
            <w:shd w:val="clear" w:color="auto" w:fill="auto"/>
            <w:noWrap/>
            <w:vAlign w:val="bottom"/>
            <w:hideMark/>
          </w:tcPr>
          <w:p w:rsidR="00694E98" w:rsidRPr="0097136B" w:rsidRDefault="00694E98" w:rsidP="00E41DF8">
            <w:pPr>
              <w:spacing w:after="0" w:line="240" w:lineRule="auto"/>
              <w:rPr>
                <w:rFonts w:eastAsia="Times New Roman" w:cs="Calibri"/>
                <w:sz w:val="16"/>
                <w:szCs w:val="16"/>
                <w:lang w:eastAsia="pl-PL"/>
              </w:rPr>
            </w:pPr>
            <w:r w:rsidRPr="0097136B">
              <w:rPr>
                <w:rFonts w:eastAsia="Times New Roman" w:cs="Calibri"/>
                <w:sz w:val="16"/>
                <w:szCs w:val="16"/>
                <w:lang w:eastAsia="pl-PL"/>
              </w:rPr>
              <w:t> </w:t>
            </w:r>
          </w:p>
        </w:tc>
        <w:tc>
          <w:tcPr>
            <w:tcW w:w="1020" w:type="dxa"/>
            <w:tcBorders>
              <w:top w:val="single" w:sz="4" w:space="0" w:color="001D77"/>
              <w:left w:val="single" w:sz="4" w:space="0" w:color="001D77"/>
              <w:bottom w:val="nil"/>
              <w:right w:val="single" w:sz="4" w:space="0" w:color="001D77"/>
            </w:tcBorders>
            <w:shd w:val="clear" w:color="auto" w:fill="auto"/>
            <w:noWrap/>
            <w:vAlign w:val="bottom"/>
            <w:hideMark/>
          </w:tcPr>
          <w:p w:rsidR="00694E98" w:rsidRPr="0097136B" w:rsidRDefault="00694E98" w:rsidP="00E41DF8">
            <w:pPr>
              <w:spacing w:after="0" w:line="240" w:lineRule="auto"/>
              <w:rPr>
                <w:rFonts w:eastAsia="Times New Roman" w:cs="Calibri"/>
                <w:sz w:val="16"/>
                <w:szCs w:val="16"/>
                <w:lang w:eastAsia="pl-PL"/>
              </w:rPr>
            </w:pPr>
            <w:r w:rsidRPr="0097136B">
              <w:rPr>
                <w:rFonts w:eastAsia="Times New Roman" w:cs="Calibri"/>
                <w:sz w:val="16"/>
                <w:szCs w:val="16"/>
                <w:lang w:eastAsia="pl-PL"/>
              </w:rPr>
              <w:t> </w:t>
            </w:r>
          </w:p>
        </w:tc>
        <w:tc>
          <w:tcPr>
            <w:tcW w:w="1020" w:type="dxa"/>
            <w:tcBorders>
              <w:top w:val="single" w:sz="4" w:space="0" w:color="001D77"/>
              <w:left w:val="single" w:sz="4" w:space="0" w:color="001D77"/>
              <w:bottom w:val="nil"/>
              <w:right w:val="single" w:sz="4" w:space="0" w:color="001D77"/>
            </w:tcBorders>
            <w:shd w:val="clear" w:color="auto" w:fill="auto"/>
            <w:noWrap/>
            <w:vAlign w:val="bottom"/>
            <w:hideMark/>
          </w:tcPr>
          <w:p w:rsidR="00694E98" w:rsidRPr="0097136B" w:rsidRDefault="00694E98" w:rsidP="00E41DF8">
            <w:pPr>
              <w:spacing w:after="0" w:line="240" w:lineRule="auto"/>
              <w:rPr>
                <w:rFonts w:eastAsia="Times New Roman" w:cs="Calibri"/>
                <w:sz w:val="16"/>
                <w:szCs w:val="16"/>
                <w:lang w:eastAsia="pl-PL"/>
              </w:rPr>
            </w:pPr>
            <w:r w:rsidRPr="0097136B">
              <w:rPr>
                <w:rFonts w:eastAsia="Times New Roman" w:cs="Calibri"/>
                <w:sz w:val="16"/>
                <w:szCs w:val="16"/>
                <w:lang w:eastAsia="pl-PL"/>
              </w:rPr>
              <w:t> </w:t>
            </w:r>
          </w:p>
        </w:tc>
        <w:tc>
          <w:tcPr>
            <w:tcW w:w="1020" w:type="dxa"/>
            <w:tcBorders>
              <w:top w:val="single" w:sz="4" w:space="0" w:color="001D77"/>
              <w:left w:val="single" w:sz="4" w:space="0" w:color="001D77"/>
              <w:bottom w:val="nil"/>
              <w:right w:val="nil"/>
            </w:tcBorders>
            <w:shd w:val="clear" w:color="auto" w:fill="auto"/>
            <w:noWrap/>
            <w:vAlign w:val="bottom"/>
            <w:hideMark/>
          </w:tcPr>
          <w:p w:rsidR="00694E98" w:rsidRPr="0097136B" w:rsidRDefault="00694E98" w:rsidP="00E41DF8">
            <w:pPr>
              <w:spacing w:after="0" w:line="240" w:lineRule="auto"/>
              <w:rPr>
                <w:rFonts w:eastAsia="Times New Roman" w:cs="Calibri"/>
                <w:sz w:val="16"/>
                <w:szCs w:val="16"/>
                <w:lang w:eastAsia="pl-PL"/>
              </w:rPr>
            </w:pPr>
            <w:r w:rsidRPr="0097136B">
              <w:rPr>
                <w:rFonts w:eastAsia="Times New Roman" w:cs="Calibri"/>
                <w:sz w:val="16"/>
                <w:szCs w:val="16"/>
                <w:lang w:eastAsia="pl-PL"/>
              </w:rPr>
              <w:t> </w:t>
            </w:r>
          </w:p>
        </w:tc>
      </w:tr>
      <w:tr w:rsidR="00694E98" w:rsidRPr="0097136B" w:rsidTr="009C3C14">
        <w:trPr>
          <w:trHeight w:val="300"/>
        </w:trPr>
        <w:tc>
          <w:tcPr>
            <w:tcW w:w="3458" w:type="dxa"/>
            <w:tcBorders>
              <w:top w:val="nil"/>
              <w:left w:val="nil"/>
              <w:bottom w:val="single" w:sz="4" w:space="0" w:color="auto"/>
              <w:right w:val="single" w:sz="4" w:space="0" w:color="001D77"/>
            </w:tcBorders>
            <w:shd w:val="clear" w:color="auto" w:fill="auto"/>
            <w:noWrap/>
            <w:vAlign w:val="bottom"/>
            <w:hideMark/>
          </w:tcPr>
          <w:p w:rsidR="00694E98" w:rsidRPr="00281994" w:rsidRDefault="00281994" w:rsidP="00281994">
            <w:pPr>
              <w:spacing w:after="0" w:line="240" w:lineRule="auto"/>
              <w:rPr>
                <w:rFonts w:eastAsia="Times New Roman" w:cs="Calibri"/>
                <w:sz w:val="16"/>
                <w:szCs w:val="16"/>
                <w:lang w:val="en-GB" w:eastAsia="pl-PL"/>
              </w:rPr>
            </w:pPr>
            <w:r>
              <w:rPr>
                <w:rFonts w:eastAsia="Times New Roman" w:cs="Calibri"/>
                <w:sz w:val="16"/>
                <w:szCs w:val="16"/>
                <w:lang w:val="en-GB" w:eastAsia="pl-PL"/>
              </w:rPr>
              <w:t>n</w:t>
            </w:r>
            <w:r w:rsidR="00AF22E7" w:rsidRPr="00281994">
              <w:rPr>
                <w:rFonts w:eastAsia="Times New Roman" w:cs="Calibri"/>
                <w:sz w:val="16"/>
                <w:szCs w:val="16"/>
                <w:lang w:val="en-GB" w:eastAsia="pl-PL"/>
              </w:rPr>
              <w:t>umber of rooms in a dwelling</w:t>
            </w:r>
          </w:p>
        </w:tc>
        <w:tc>
          <w:tcPr>
            <w:tcW w:w="1020" w:type="dxa"/>
            <w:tcBorders>
              <w:top w:val="nil"/>
              <w:left w:val="single" w:sz="4" w:space="0" w:color="001D77"/>
              <w:bottom w:val="single" w:sz="4" w:space="0" w:color="auto"/>
              <w:right w:val="single" w:sz="4" w:space="0" w:color="001D77"/>
            </w:tcBorders>
            <w:shd w:val="clear" w:color="auto" w:fill="auto"/>
            <w:noWrap/>
            <w:vAlign w:val="bottom"/>
            <w:hideMark/>
          </w:tcPr>
          <w:p w:rsidR="00694E98" w:rsidRPr="0097136B" w:rsidRDefault="00694E98" w:rsidP="00E41DF8">
            <w:pPr>
              <w:spacing w:after="0" w:line="240" w:lineRule="auto"/>
              <w:jc w:val="right"/>
              <w:rPr>
                <w:rFonts w:eastAsia="Times New Roman" w:cs="Calibri"/>
                <w:sz w:val="16"/>
                <w:szCs w:val="16"/>
                <w:lang w:eastAsia="pl-PL"/>
              </w:rPr>
            </w:pPr>
            <w:r w:rsidRPr="0097136B">
              <w:rPr>
                <w:rFonts w:eastAsia="Times New Roman" w:cs="Calibri"/>
                <w:sz w:val="16"/>
                <w:szCs w:val="16"/>
                <w:lang w:eastAsia="pl-PL"/>
              </w:rPr>
              <w:t>3</w:t>
            </w:r>
            <w:r w:rsidR="00A76955">
              <w:rPr>
                <w:rFonts w:eastAsia="Times New Roman" w:cs="Calibri"/>
                <w:sz w:val="16"/>
                <w:szCs w:val="16"/>
                <w:lang w:eastAsia="pl-PL"/>
              </w:rPr>
              <w:t>.</w:t>
            </w:r>
            <w:r w:rsidRPr="0097136B">
              <w:rPr>
                <w:rFonts w:eastAsia="Times New Roman" w:cs="Calibri"/>
                <w:sz w:val="16"/>
                <w:szCs w:val="16"/>
                <w:lang w:eastAsia="pl-PL"/>
              </w:rPr>
              <w:t>82</w:t>
            </w:r>
          </w:p>
        </w:tc>
        <w:tc>
          <w:tcPr>
            <w:tcW w:w="1020" w:type="dxa"/>
            <w:tcBorders>
              <w:top w:val="nil"/>
              <w:left w:val="single" w:sz="4" w:space="0" w:color="001D77"/>
              <w:bottom w:val="single" w:sz="4" w:space="0" w:color="auto"/>
              <w:right w:val="single" w:sz="4" w:space="0" w:color="001D77"/>
            </w:tcBorders>
            <w:shd w:val="clear" w:color="auto" w:fill="auto"/>
            <w:noWrap/>
            <w:vAlign w:val="bottom"/>
            <w:hideMark/>
          </w:tcPr>
          <w:p w:rsidR="00694E98" w:rsidRPr="0097136B" w:rsidRDefault="00694E98" w:rsidP="00E41DF8">
            <w:pPr>
              <w:spacing w:after="0" w:line="240" w:lineRule="auto"/>
              <w:jc w:val="right"/>
              <w:rPr>
                <w:rFonts w:eastAsia="Times New Roman" w:cs="Calibri"/>
                <w:sz w:val="16"/>
                <w:szCs w:val="16"/>
                <w:lang w:eastAsia="pl-PL"/>
              </w:rPr>
            </w:pPr>
            <w:r w:rsidRPr="0097136B">
              <w:rPr>
                <w:rFonts w:eastAsia="Times New Roman" w:cs="Calibri"/>
                <w:sz w:val="16"/>
                <w:szCs w:val="16"/>
                <w:lang w:eastAsia="pl-PL"/>
              </w:rPr>
              <w:t>100</w:t>
            </w:r>
            <w:r w:rsidR="00A76955">
              <w:rPr>
                <w:rFonts w:eastAsia="Times New Roman" w:cs="Calibri"/>
                <w:sz w:val="16"/>
                <w:szCs w:val="16"/>
                <w:lang w:eastAsia="pl-PL"/>
              </w:rPr>
              <w:t>.</w:t>
            </w:r>
            <w:r w:rsidRPr="0097136B">
              <w:rPr>
                <w:rFonts w:eastAsia="Times New Roman" w:cs="Calibri"/>
                <w:sz w:val="16"/>
                <w:szCs w:val="16"/>
                <w:lang w:eastAsia="pl-PL"/>
              </w:rPr>
              <w:t>0</w:t>
            </w:r>
          </w:p>
        </w:tc>
        <w:tc>
          <w:tcPr>
            <w:tcW w:w="1020" w:type="dxa"/>
            <w:tcBorders>
              <w:top w:val="nil"/>
              <w:left w:val="single" w:sz="4" w:space="0" w:color="001D77"/>
              <w:bottom w:val="single" w:sz="4" w:space="0" w:color="auto"/>
              <w:right w:val="single" w:sz="4" w:space="0" w:color="001D77"/>
            </w:tcBorders>
            <w:shd w:val="clear" w:color="auto" w:fill="auto"/>
            <w:noWrap/>
            <w:vAlign w:val="bottom"/>
            <w:hideMark/>
          </w:tcPr>
          <w:p w:rsidR="00694E98" w:rsidRPr="0097136B" w:rsidRDefault="00694E98" w:rsidP="00E41DF8">
            <w:pPr>
              <w:spacing w:after="0" w:line="240" w:lineRule="auto"/>
              <w:jc w:val="right"/>
              <w:rPr>
                <w:rFonts w:eastAsia="Times New Roman" w:cs="Calibri"/>
                <w:sz w:val="16"/>
                <w:szCs w:val="16"/>
                <w:lang w:eastAsia="pl-PL"/>
              </w:rPr>
            </w:pPr>
            <w:r w:rsidRPr="0097136B">
              <w:rPr>
                <w:rFonts w:eastAsia="Times New Roman" w:cs="Calibri"/>
                <w:sz w:val="16"/>
                <w:szCs w:val="16"/>
                <w:lang w:eastAsia="pl-PL"/>
              </w:rPr>
              <w:t>3</w:t>
            </w:r>
            <w:r w:rsidR="00A76955">
              <w:rPr>
                <w:rFonts w:eastAsia="Times New Roman" w:cs="Calibri"/>
                <w:sz w:val="16"/>
                <w:szCs w:val="16"/>
                <w:lang w:eastAsia="pl-PL"/>
              </w:rPr>
              <w:t>.</w:t>
            </w:r>
            <w:r w:rsidRPr="0097136B">
              <w:rPr>
                <w:rFonts w:eastAsia="Times New Roman" w:cs="Calibri"/>
                <w:sz w:val="16"/>
                <w:szCs w:val="16"/>
                <w:lang w:eastAsia="pl-PL"/>
              </w:rPr>
              <w:t>82</w:t>
            </w:r>
          </w:p>
        </w:tc>
        <w:tc>
          <w:tcPr>
            <w:tcW w:w="1020" w:type="dxa"/>
            <w:tcBorders>
              <w:top w:val="nil"/>
              <w:left w:val="single" w:sz="4" w:space="0" w:color="001D77"/>
              <w:bottom w:val="single" w:sz="4" w:space="0" w:color="auto"/>
              <w:right w:val="nil"/>
            </w:tcBorders>
            <w:shd w:val="clear" w:color="auto" w:fill="auto"/>
            <w:noWrap/>
            <w:vAlign w:val="bottom"/>
            <w:hideMark/>
          </w:tcPr>
          <w:p w:rsidR="00694E98" w:rsidRPr="0097136B" w:rsidRDefault="00694E98" w:rsidP="00E41DF8">
            <w:pPr>
              <w:spacing w:after="0" w:line="240" w:lineRule="auto"/>
              <w:jc w:val="right"/>
              <w:rPr>
                <w:rFonts w:eastAsia="Times New Roman" w:cs="Calibri"/>
                <w:sz w:val="16"/>
                <w:szCs w:val="16"/>
                <w:lang w:eastAsia="pl-PL"/>
              </w:rPr>
            </w:pPr>
            <w:r w:rsidRPr="0097136B">
              <w:rPr>
                <w:rFonts w:eastAsia="Times New Roman" w:cs="Calibri"/>
                <w:sz w:val="16"/>
                <w:szCs w:val="16"/>
                <w:lang w:eastAsia="pl-PL"/>
              </w:rPr>
              <w:t>100</w:t>
            </w:r>
            <w:r w:rsidR="00A76955">
              <w:rPr>
                <w:rFonts w:eastAsia="Times New Roman" w:cs="Calibri"/>
                <w:sz w:val="16"/>
                <w:szCs w:val="16"/>
                <w:lang w:eastAsia="pl-PL"/>
              </w:rPr>
              <w:t>.</w:t>
            </w:r>
            <w:r w:rsidRPr="0097136B">
              <w:rPr>
                <w:rFonts w:eastAsia="Times New Roman" w:cs="Calibri"/>
                <w:sz w:val="16"/>
                <w:szCs w:val="16"/>
                <w:lang w:eastAsia="pl-PL"/>
              </w:rPr>
              <w:t>0</w:t>
            </w:r>
          </w:p>
        </w:tc>
      </w:tr>
      <w:tr w:rsidR="00694E98" w:rsidRPr="00CA0A0F" w:rsidTr="009C3C14">
        <w:trPr>
          <w:trHeight w:val="300"/>
        </w:trPr>
        <w:tc>
          <w:tcPr>
            <w:tcW w:w="3458" w:type="dxa"/>
            <w:tcBorders>
              <w:top w:val="single" w:sz="4" w:space="0" w:color="auto"/>
              <w:left w:val="nil"/>
              <w:bottom w:val="nil"/>
              <w:right w:val="single" w:sz="4" w:space="0" w:color="001D77"/>
            </w:tcBorders>
            <w:shd w:val="clear" w:color="auto" w:fill="auto"/>
            <w:noWrap/>
            <w:vAlign w:val="bottom"/>
            <w:hideMark/>
          </w:tcPr>
          <w:p w:rsidR="00694E98" w:rsidRPr="00281994" w:rsidRDefault="00281994" w:rsidP="00E41DF8">
            <w:pPr>
              <w:spacing w:after="0" w:line="240" w:lineRule="auto"/>
              <w:rPr>
                <w:rFonts w:eastAsia="Times New Roman" w:cs="Calibri"/>
                <w:sz w:val="16"/>
                <w:szCs w:val="16"/>
                <w:lang w:val="en-GB" w:eastAsia="pl-PL"/>
              </w:rPr>
            </w:pPr>
            <w:r>
              <w:rPr>
                <w:rFonts w:eastAsia="Times New Roman" w:cs="Calibri"/>
                <w:sz w:val="16"/>
                <w:szCs w:val="16"/>
                <w:lang w:val="en-GB" w:eastAsia="pl-PL"/>
              </w:rPr>
              <w:t>u</w:t>
            </w:r>
            <w:r w:rsidR="00AF22E7" w:rsidRPr="00281994">
              <w:rPr>
                <w:rFonts w:eastAsia="Times New Roman" w:cs="Calibri"/>
                <w:sz w:val="16"/>
                <w:szCs w:val="16"/>
                <w:lang w:val="en-GB" w:eastAsia="pl-PL"/>
              </w:rPr>
              <w:t>seful floor area in</w:t>
            </w:r>
            <w:r w:rsidR="00694E98" w:rsidRPr="00281994">
              <w:rPr>
                <w:rFonts w:eastAsia="Times New Roman" w:cs="Calibri"/>
                <w:sz w:val="16"/>
                <w:szCs w:val="16"/>
                <w:lang w:val="en-GB" w:eastAsia="pl-PL"/>
              </w:rPr>
              <w:t xml:space="preserve"> m</w:t>
            </w:r>
            <w:r w:rsidR="00694E98" w:rsidRPr="00281994">
              <w:rPr>
                <w:rFonts w:eastAsia="Times New Roman" w:cs="Calibri"/>
                <w:sz w:val="16"/>
                <w:szCs w:val="16"/>
                <w:vertAlign w:val="superscript"/>
                <w:lang w:val="en-GB" w:eastAsia="pl-PL"/>
              </w:rPr>
              <w:t>2</w:t>
            </w:r>
          </w:p>
        </w:tc>
        <w:tc>
          <w:tcPr>
            <w:tcW w:w="1020" w:type="dxa"/>
            <w:tcBorders>
              <w:top w:val="single" w:sz="4" w:space="0" w:color="auto"/>
              <w:left w:val="single" w:sz="4" w:space="0" w:color="001D77"/>
              <w:bottom w:val="nil"/>
              <w:right w:val="single" w:sz="4" w:space="0" w:color="001D77"/>
            </w:tcBorders>
            <w:shd w:val="clear" w:color="auto" w:fill="auto"/>
            <w:noWrap/>
            <w:vAlign w:val="bottom"/>
            <w:hideMark/>
          </w:tcPr>
          <w:p w:rsidR="00694E98" w:rsidRPr="00281994" w:rsidRDefault="00694E98" w:rsidP="00E41DF8">
            <w:pPr>
              <w:spacing w:after="0" w:line="240" w:lineRule="auto"/>
              <w:rPr>
                <w:rFonts w:eastAsia="Times New Roman" w:cs="Calibri"/>
                <w:sz w:val="16"/>
                <w:szCs w:val="16"/>
                <w:lang w:val="en-GB" w:eastAsia="pl-PL"/>
              </w:rPr>
            </w:pPr>
            <w:r w:rsidRPr="00281994">
              <w:rPr>
                <w:rFonts w:eastAsia="Times New Roman" w:cs="Calibri"/>
                <w:sz w:val="16"/>
                <w:szCs w:val="16"/>
                <w:lang w:val="en-GB" w:eastAsia="pl-PL"/>
              </w:rPr>
              <w:t> </w:t>
            </w:r>
          </w:p>
        </w:tc>
        <w:tc>
          <w:tcPr>
            <w:tcW w:w="1020" w:type="dxa"/>
            <w:tcBorders>
              <w:top w:val="single" w:sz="4" w:space="0" w:color="auto"/>
              <w:left w:val="single" w:sz="4" w:space="0" w:color="001D77"/>
              <w:bottom w:val="nil"/>
              <w:right w:val="single" w:sz="4" w:space="0" w:color="001D77"/>
            </w:tcBorders>
            <w:shd w:val="clear" w:color="auto" w:fill="auto"/>
            <w:noWrap/>
            <w:vAlign w:val="bottom"/>
            <w:hideMark/>
          </w:tcPr>
          <w:p w:rsidR="00694E98" w:rsidRPr="00281994" w:rsidRDefault="00694E98" w:rsidP="00E41DF8">
            <w:pPr>
              <w:spacing w:after="0" w:line="240" w:lineRule="auto"/>
              <w:rPr>
                <w:rFonts w:eastAsia="Times New Roman" w:cs="Calibri"/>
                <w:sz w:val="16"/>
                <w:szCs w:val="16"/>
                <w:lang w:val="en-GB" w:eastAsia="pl-PL"/>
              </w:rPr>
            </w:pPr>
            <w:r w:rsidRPr="00281994">
              <w:rPr>
                <w:rFonts w:eastAsia="Times New Roman" w:cs="Calibri"/>
                <w:sz w:val="16"/>
                <w:szCs w:val="16"/>
                <w:lang w:val="en-GB" w:eastAsia="pl-PL"/>
              </w:rPr>
              <w:t> </w:t>
            </w:r>
          </w:p>
        </w:tc>
        <w:tc>
          <w:tcPr>
            <w:tcW w:w="1020" w:type="dxa"/>
            <w:tcBorders>
              <w:top w:val="single" w:sz="4" w:space="0" w:color="auto"/>
              <w:left w:val="single" w:sz="4" w:space="0" w:color="001D77"/>
              <w:bottom w:val="nil"/>
              <w:right w:val="single" w:sz="4" w:space="0" w:color="001D77"/>
            </w:tcBorders>
            <w:shd w:val="clear" w:color="auto" w:fill="auto"/>
            <w:noWrap/>
            <w:vAlign w:val="bottom"/>
            <w:hideMark/>
          </w:tcPr>
          <w:p w:rsidR="00694E98" w:rsidRPr="00281994" w:rsidRDefault="00694E98" w:rsidP="00E41DF8">
            <w:pPr>
              <w:spacing w:after="0" w:line="240" w:lineRule="auto"/>
              <w:rPr>
                <w:rFonts w:eastAsia="Times New Roman" w:cs="Calibri"/>
                <w:sz w:val="16"/>
                <w:szCs w:val="16"/>
                <w:lang w:val="en-GB" w:eastAsia="pl-PL"/>
              </w:rPr>
            </w:pPr>
            <w:r w:rsidRPr="00281994">
              <w:rPr>
                <w:rFonts w:eastAsia="Times New Roman" w:cs="Calibri"/>
                <w:sz w:val="16"/>
                <w:szCs w:val="16"/>
                <w:lang w:val="en-GB" w:eastAsia="pl-PL"/>
              </w:rPr>
              <w:t> </w:t>
            </w:r>
          </w:p>
        </w:tc>
        <w:tc>
          <w:tcPr>
            <w:tcW w:w="1020" w:type="dxa"/>
            <w:tcBorders>
              <w:top w:val="single" w:sz="4" w:space="0" w:color="auto"/>
              <w:left w:val="single" w:sz="4" w:space="0" w:color="001D77"/>
              <w:bottom w:val="nil"/>
              <w:right w:val="nil"/>
            </w:tcBorders>
            <w:shd w:val="clear" w:color="auto" w:fill="auto"/>
            <w:noWrap/>
            <w:vAlign w:val="bottom"/>
            <w:hideMark/>
          </w:tcPr>
          <w:p w:rsidR="00694E98" w:rsidRPr="00281994" w:rsidRDefault="00694E98" w:rsidP="00E41DF8">
            <w:pPr>
              <w:spacing w:after="0" w:line="240" w:lineRule="auto"/>
              <w:rPr>
                <w:rFonts w:eastAsia="Times New Roman" w:cs="Calibri"/>
                <w:sz w:val="16"/>
                <w:szCs w:val="16"/>
                <w:lang w:val="en-GB" w:eastAsia="pl-PL"/>
              </w:rPr>
            </w:pPr>
            <w:r w:rsidRPr="00281994">
              <w:rPr>
                <w:rFonts w:eastAsia="Times New Roman" w:cs="Calibri"/>
                <w:sz w:val="16"/>
                <w:szCs w:val="16"/>
                <w:lang w:val="en-GB" w:eastAsia="pl-PL"/>
              </w:rPr>
              <w:t> </w:t>
            </w:r>
          </w:p>
        </w:tc>
      </w:tr>
      <w:tr w:rsidR="00694E98" w:rsidRPr="0097136B" w:rsidTr="009C3C14">
        <w:trPr>
          <w:trHeight w:val="300"/>
        </w:trPr>
        <w:tc>
          <w:tcPr>
            <w:tcW w:w="3458" w:type="dxa"/>
            <w:tcBorders>
              <w:top w:val="nil"/>
              <w:left w:val="nil"/>
              <w:bottom w:val="nil"/>
              <w:right w:val="single" w:sz="4" w:space="0" w:color="001D77"/>
            </w:tcBorders>
            <w:shd w:val="clear" w:color="auto" w:fill="auto"/>
            <w:noWrap/>
            <w:vAlign w:val="bottom"/>
            <w:hideMark/>
          </w:tcPr>
          <w:p w:rsidR="00694E98" w:rsidRPr="0097136B" w:rsidRDefault="00A508B4" w:rsidP="00AF22E7">
            <w:pPr>
              <w:spacing w:after="0" w:line="240" w:lineRule="auto"/>
              <w:ind w:firstLineChars="100" w:firstLine="160"/>
              <w:rPr>
                <w:rFonts w:eastAsia="Times New Roman" w:cs="Calibri"/>
                <w:sz w:val="16"/>
                <w:szCs w:val="16"/>
                <w:lang w:eastAsia="pl-PL"/>
              </w:rPr>
            </w:pPr>
            <w:r>
              <w:rPr>
                <w:rFonts w:eastAsia="Times New Roman" w:cs="Calibri"/>
                <w:sz w:val="16"/>
                <w:szCs w:val="16"/>
                <w:lang w:eastAsia="pl-PL"/>
              </w:rPr>
              <w:t>per</w:t>
            </w:r>
            <w:r w:rsidR="00694E98" w:rsidRPr="0097136B">
              <w:rPr>
                <w:rFonts w:eastAsia="Times New Roman" w:cs="Calibri"/>
                <w:sz w:val="16"/>
                <w:szCs w:val="16"/>
                <w:lang w:eastAsia="pl-PL"/>
              </w:rPr>
              <w:t xml:space="preserve"> </w:t>
            </w:r>
            <w:r w:rsidR="00AF22E7">
              <w:rPr>
                <w:rFonts w:eastAsia="Times New Roman" w:cs="Calibri"/>
                <w:sz w:val="16"/>
                <w:szCs w:val="16"/>
                <w:lang w:eastAsia="pl-PL"/>
              </w:rPr>
              <w:t>dwelling</w:t>
            </w:r>
          </w:p>
        </w:tc>
        <w:tc>
          <w:tcPr>
            <w:tcW w:w="1020" w:type="dxa"/>
            <w:tcBorders>
              <w:top w:val="nil"/>
              <w:left w:val="single" w:sz="4" w:space="0" w:color="001D77"/>
              <w:bottom w:val="nil"/>
              <w:right w:val="single" w:sz="4" w:space="0" w:color="001D77"/>
            </w:tcBorders>
            <w:shd w:val="clear" w:color="auto" w:fill="auto"/>
            <w:noWrap/>
            <w:vAlign w:val="bottom"/>
            <w:hideMark/>
          </w:tcPr>
          <w:p w:rsidR="00694E98" w:rsidRPr="0097136B" w:rsidRDefault="00694E98" w:rsidP="00E41DF8">
            <w:pPr>
              <w:spacing w:after="0" w:line="240" w:lineRule="auto"/>
              <w:jc w:val="right"/>
              <w:rPr>
                <w:rFonts w:eastAsia="Times New Roman" w:cs="Calibri"/>
                <w:sz w:val="16"/>
                <w:szCs w:val="16"/>
                <w:lang w:eastAsia="pl-PL"/>
              </w:rPr>
            </w:pPr>
            <w:r w:rsidRPr="0097136B">
              <w:rPr>
                <w:rFonts w:eastAsia="Times New Roman" w:cs="Calibri"/>
                <w:sz w:val="16"/>
                <w:szCs w:val="16"/>
                <w:lang w:eastAsia="pl-PL"/>
              </w:rPr>
              <w:t>74</w:t>
            </w:r>
            <w:r w:rsidR="00A76955">
              <w:rPr>
                <w:rFonts w:eastAsia="Times New Roman" w:cs="Calibri"/>
                <w:sz w:val="16"/>
                <w:szCs w:val="16"/>
                <w:lang w:eastAsia="pl-PL"/>
              </w:rPr>
              <w:t>.</w:t>
            </w:r>
            <w:r>
              <w:rPr>
                <w:rFonts w:eastAsia="Times New Roman" w:cs="Calibri"/>
                <w:sz w:val="16"/>
                <w:szCs w:val="16"/>
                <w:lang w:eastAsia="pl-PL"/>
              </w:rPr>
              <w:t>0</w:t>
            </w:r>
          </w:p>
        </w:tc>
        <w:tc>
          <w:tcPr>
            <w:tcW w:w="1020" w:type="dxa"/>
            <w:tcBorders>
              <w:top w:val="nil"/>
              <w:left w:val="single" w:sz="4" w:space="0" w:color="001D77"/>
              <w:bottom w:val="nil"/>
              <w:right w:val="single" w:sz="4" w:space="0" w:color="001D77"/>
            </w:tcBorders>
            <w:shd w:val="clear" w:color="auto" w:fill="auto"/>
            <w:noWrap/>
            <w:vAlign w:val="bottom"/>
            <w:hideMark/>
          </w:tcPr>
          <w:p w:rsidR="00694E98" w:rsidRPr="0097136B" w:rsidRDefault="00694E98" w:rsidP="00E41DF8">
            <w:pPr>
              <w:spacing w:after="0" w:line="240" w:lineRule="auto"/>
              <w:jc w:val="right"/>
              <w:rPr>
                <w:rFonts w:eastAsia="Times New Roman" w:cs="Calibri"/>
                <w:sz w:val="16"/>
                <w:szCs w:val="16"/>
                <w:lang w:eastAsia="pl-PL"/>
              </w:rPr>
            </w:pPr>
            <w:r w:rsidRPr="0097136B">
              <w:rPr>
                <w:rFonts w:eastAsia="Times New Roman" w:cs="Calibri"/>
                <w:sz w:val="16"/>
                <w:szCs w:val="16"/>
                <w:lang w:eastAsia="pl-PL"/>
              </w:rPr>
              <w:t>100</w:t>
            </w:r>
            <w:r w:rsidR="00A76955">
              <w:rPr>
                <w:rFonts w:eastAsia="Times New Roman" w:cs="Calibri"/>
                <w:sz w:val="16"/>
                <w:szCs w:val="16"/>
                <w:lang w:eastAsia="pl-PL"/>
              </w:rPr>
              <w:t>.</w:t>
            </w:r>
            <w:r w:rsidRPr="0097136B">
              <w:rPr>
                <w:rFonts w:eastAsia="Times New Roman" w:cs="Calibri"/>
                <w:sz w:val="16"/>
                <w:szCs w:val="16"/>
                <w:lang w:eastAsia="pl-PL"/>
              </w:rPr>
              <w:t>3</w:t>
            </w:r>
          </w:p>
        </w:tc>
        <w:tc>
          <w:tcPr>
            <w:tcW w:w="1020" w:type="dxa"/>
            <w:tcBorders>
              <w:top w:val="nil"/>
              <w:left w:val="single" w:sz="4" w:space="0" w:color="001D77"/>
              <w:bottom w:val="nil"/>
              <w:right w:val="single" w:sz="4" w:space="0" w:color="001D77"/>
            </w:tcBorders>
            <w:shd w:val="clear" w:color="auto" w:fill="auto"/>
            <w:noWrap/>
            <w:vAlign w:val="bottom"/>
            <w:hideMark/>
          </w:tcPr>
          <w:p w:rsidR="00694E98" w:rsidRPr="0097136B" w:rsidRDefault="00694E98" w:rsidP="00E41DF8">
            <w:pPr>
              <w:spacing w:after="0" w:line="240" w:lineRule="auto"/>
              <w:jc w:val="right"/>
              <w:rPr>
                <w:rFonts w:eastAsia="Times New Roman" w:cs="Calibri"/>
                <w:sz w:val="16"/>
                <w:szCs w:val="16"/>
                <w:lang w:eastAsia="pl-PL"/>
              </w:rPr>
            </w:pPr>
            <w:r w:rsidRPr="0097136B">
              <w:rPr>
                <w:rFonts w:eastAsia="Times New Roman" w:cs="Calibri"/>
                <w:sz w:val="16"/>
                <w:szCs w:val="16"/>
                <w:lang w:eastAsia="pl-PL"/>
              </w:rPr>
              <w:t>74</w:t>
            </w:r>
            <w:r w:rsidR="00A76955">
              <w:rPr>
                <w:rFonts w:eastAsia="Times New Roman" w:cs="Calibri"/>
                <w:sz w:val="16"/>
                <w:szCs w:val="16"/>
                <w:lang w:eastAsia="pl-PL"/>
              </w:rPr>
              <w:t>.</w:t>
            </w:r>
            <w:r w:rsidRPr="0097136B">
              <w:rPr>
                <w:rFonts w:eastAsia="Times New Roman" w:cs="Calibri"/>
                <w:sz w:val="16"/>
                <w:szCs w:val="16"/>
                <w:lang w:eastAsia="pl-PL"/>
              </w:rPr>
              <w:t>2</w:t>
            </w:r>
          </w:p>
        </w:tc>
        <w:tc>
          <w:tcPr>
            <w:tcW w:w="1020" w:type="dxa"/>
            <w:tcBorders>
              <w:top w:val="nil"/>
              <w:left w:val="single" w:sz="4" w:space="0" w:color="001D77"/>
              <w:bottom w:val="nil"/>
              <w:right w:val="nil"/>
            </w:tcBorders>
            <w:shd w:val="clear" w:color="auto" w:fill="auto"/>
            <w:noWrap/>
            <w:vAlign w:val="bottom"/>
            <w:hideMark/>
          </w:tcPr>
          <w:p w:rsidR="00694E98" w:rsidRPr="0097136B" w:rsidRDefault="00694E98" w:rsidP="00E41DF8">
            <w:pPr>
              <w:spacing w:after="0" w:line="240" w:lineRule="auto"/>
              <w:jc w:val="right"/>
              <w:rPr>
                <w:rFonts w:eastAsia="Times New Roman" w:cs="Calibri"/>
                <w:sz w:val="16"/>
                <w:szCs w:val="16"/>
                <w:lang w:eastAsia="pl-PL"/>
              </w:rPr>
            </w:pPr>
            <w:r w:rsidRPr="0097136B">
              <w:rPr>
                <w:rFonts w:eastAsia="Times New Roman" w:cs="Calibri"/>
                <w:sz w:val="16"/>
                <w:szCs w:val="16"/>
                <w:lang w:eastAsia="pl-PL"/>
              </w:rPr>
              <w:t>100</w:t>
            </w:r>
            <w:r w:rsidR="00A76955">
              <w:rPr>
                <w:rFonts w:eastAsia="Times New Roman" w:cs="Calibri"/>
                <w:sz w:val="16"/>
                <w:szCs w:val="16"/>
                <w:lang w:eastAsia="pl-PL"/>
              </w:rPr>
              <w:t>.</w:t>
            </w:r>
            <w:r w:rsidRPr="0097136B">
              <w:rPr>
                <w:rFonts w:eastAsia="Times New Roman" w:cs="Calibri"/>
                <w:sz w:val="16"/>
                <w:szCs w:val="16"/>
                <w:lang w:eastAsia="pl-PL"/>
              </w:rPr>
              <w:t>3</w:t>
            </w:r>
          </w:p>
        </w:tc>
      </w:tr>
      <w:tr w:rsidR="00694E98" w:rsidRPr="0097136B" w:rsidTr="009C3C14">
        <w:trPr>
          <w:trHeight w:val="300"/>
        </w:trPr>
        <w:tc>
          <w:tcPr>
            <w:tcW w:w="3458" w:type="dxa"/>
            <w:tcBorders>
              <w:top w:val="nil"/>
              <w:left w:val="nil"/>
              <w:bottom w:val="single" w:sz="4" w:space="0" w:color="auto"/>
              <w:right w:val="single" w:sz="4" w:space="0" w:color="001D77"/>
            </w:tcBorders>
            <w:shd w:val="clear" w:color="auto" w:fill="auto"/>
            <w:noWrap/>
            <w:vAlign w:val="bottom"/>
            <w:hideMark/>
          </w:tcPr>
          <w:p w:rsidR="00694E98" w:rsidRPr="0097136B" w:rsidRDefault="00AF22E7" w:rsidP="00AF22E7">
            <w:pPr>
              <w:spacing w:after="0" w:line="240" w:lineRule="auto"/>
              <w:ind w:firstLineChars="100" w:firstLine="160"/>
              <w:rPr>
                <w:rFonts w:eastAsia="Times New Roman" w:cs="Calibri"/>
                <w:sz w:val="16"/>
                <w:szCs w:val="16"/>
                <w:lang w:eastAsia="pl-PL"/>
              </w:rPr>
            </w:pPr>
            <w:r>
              <w:rPr>
                <w:rFonts w:eastAsia="Times New Roman" w:cs="Calibri"/>
                <w:sz w:val="16"/>
                <w:szCs w:val="16"/>
                <w:lang w:eastAsia="pl-PL"/>
              </w:rPr>
              <w:t>per</w:t>
            </w:r>
            <w:r w:rsidR="00694E98" w:rsidRPr="0097136B">
              <w:rPr>
                <w:rFonts w:eastAsia="Times New Roman" w:cs="Calibri"/>
                <w:sz w:val="16"/>
                <w:szCs w:val="16"/>
                <w:lang w:eastAsia="pl-PL"/>
              </w:rPr>
              <w:t xml:space="preserve"> </w:t>
            </w:r>
            <w:r>
              <w:rPr>
                <w:rFonts w:eastAsia="Times New Roman" w:cs="Calibri"/>
                <w:sz w:val="16"/>
                <w:szCs w:val="16"/>
                <w:lang w:eastAsia="pl-PL"/>
              </w:rPr>
              <w:t>person</w:t>
            </w:r>
          </w:p>
        </w:tc>
        <w:tc>
          <w:tcPr>
            <w:tcW w:w="1020" w:type="dxa"/>
            <w:tcBorders>
              <w:top w:val="nil"/>
              <w:left w:val="single" w:sz="4" w:space="0" w:color="001D77"/>
              <w:bottom w:val="single" w:sz="4" w:space="0" w:color="auto"/>
              <w:right w:val="single" w:sz="4" w:space="0" w:color="001D77"/>
            </w:tcBorders>
            <w:shd w:val="clear" w:color="auto" w:fill="auto"/>
            <w:noWrap/>
            <w:vAlign w:val="bottom"/>
            <w:hideMark/>
          </w:tcPr>
          <w:p w:rsidR="00694E98" w:rsidRPr="0097136B" w:rsidRDefault="00694E98" w:rsidP="00E41DF8">
            <w:pPr>
              <w:spacing w:after="0" w:line="240" w:lineRule="auto"/>
              <w:jc w:val="right"/>
              <w:rPr>
                <w:rFonts w:eastAsia="Times New Roman" w:cs="Calibri"/>
                <w:sz w:val="16"/>
                <w:szCs w:val="16"/>
                <w:lang w:eastAsia="pl-PL"/>
              </w:rPr>
            </w:pPr>
            <w:r w:rsidRPr="0097136B">
              <w:rPr>
                <w:rFonts w:eastAsia="Times New Roman" w:cs="Calibri"/>
                <w:sz w:val="16"/>
                <w:szCs w:val="16"/>
                <w:lang w:eastAsia="pl-PL"/>
              </w:rPr>
              <w:t>27</w:t>
            </w:r>
            <w:r w:rsidR="00A76955">
              <w:rPr>
                <w:rFonts w:eastAsia="Times New Roman" w:cs="Calibri"/>
                <w:sz w:val="16"/>
                <w:szCs w:val="16"/>
                <w:lang w:eastAsia="pl-PL"/>
              </w:rPr>
              <w:t>.</w:t>
            </w:r>
            <w:r w:rsidRPr="0097136B">
              <w:rPr>
                <w:rFonts w:eastAsia="Times New Roman" w:cs="Calibri"/>
                <w:sz w:val="16"/>
                <w:szCs w:val="16"/>
                <w:lang w:eastAsia="pl-PL"/>
              </w:rPr>
              <w:t>8</w:t>
            </w:r>
          </w:p>
        </w:tc>
        <w:tc>
          <w:tcPr>
            <w:tcW w:w="1020" w:type="dxa"/>
            <w:tcBorders>
              <w:top w:val="nil"/>
              <w:left w:val="single" w:sz="4" w:space="0" w:color="001D77"/>
              <w:bottom w:val="single" w:sz="4" w:space="0" w:color="auto"/>
              <w:right w:val="single" w:sz="4" w:space="0" w:color="001D77"/>
            </w:tcBorders>
            <w:shd w:val="clear" w:color="auto" w:fill="auto"/>
            <w:noWrap/>
            <w:vAlign w:val="bottom"/>
            <w:hideMark/>
          </w:tcPr>
          <w:p w:rsidR="00694E98" w:rsidRPr="0097136B" w:rsidRDefault="00694E98" w:rsidP="00E41DF8">
            <w:pPr>
              <w:spacing w:after="0" w:line="240" w:lineRule="auto"/>
              <w:jc w:val="right"/>
              <w:rPr>
                <w:rFonts w:eastAsia="Times New Roman" w:cs="Calibri"/>
                <w:sz w:val="16"/>
                <w:szCs w:val="16"/>
                <w:lang w:eastAsia="pl-PL"/>
              </w:rPr>
            </w:pPr>
            <w:r w:rsidRPr="0097136B">
              <w:rPr>
                <w:rFonts w:eastAsia="Times New Roman" w:cs="Calibri"/>
                <w:sz w:val="16"/>
                <w:szCs w:val="16"/>
                <w:lang w:eastAsia="pl-PL"/>
              </w:rPr>
              <w:t>101</w:t>
            </w:r>
            <w:r w:rsidR="00A76955">
              <w:rPr>
                <w:rFonts w:eastAsia="Times New Roman" w:cs="Calibri"/>
                <w:sz w:val="16"/>
                <w:szCs w:val="16"/>
                <w:lang w:eastAsia="pl-PL"/>
              </w:rPr>
              <w:t>.</w:t>
            </w:r>
            <w:r w:rsidRPr="0097136B">
              <w:rPr>
                <w:rFonts w:eastAsia="Times New Roman" w:cs="Calibri"/>
                <w:sz w:val="16"/>
                <w:szCs w:val="16"/>
                <w:lang w:eastAsia="pl-PL"/>
              </w:rPr>
              <w:t>5</w:t>
            </w:r>
          </w:p>
        </w:tc>
        <w:tc>
          <w:tcPr>
            <w:tcW w:w="1020" w:type="dxa"/>
            <w:tcBorders>
              <w:top w:val="nil"/>
              <w:left w:val="single" w:sz="4" w:space="0" w:color="001D77"/>
              <w:bottom w:val="single" w:sz="4" w:space="0" w:color="auto"/>
              <w:right w:val="single" w:sz="4" w:space="0" w:color="001D77"/>
            </w:tcBorders>
            <w:shd w:val="clear" w:color="auto" w:fill="auto"/>
            <w:noWrap/>
            <w:vAlign w:val="bottom"/>
            <w:hideMark/>
          </w:tcPr>
          <w:p w:rsidR="00694E98" w:rsidRPr="0097136B" w:rsidRDefault="00694E98" w:rsidP="00E41DF8">
            <w:pPr>
              <w:spacing w:after="0" w:line="240" w:lineRule="auto"/>
              <w:jc w:val="right"/>
              <w:rPr>
                <w:rFonts w:eastAsia="Times New Roman" w:cs="Calibri"/>
                <w:sz w:val="16"/>
                <w:szCs w:val="16"/>
                <w:lang w:eastAsia="pl-PL"/>
              </w:rPr>
            </w:pPr>
            <w:r w:rsidRPr="0097136B">
              <w:rPr>
                <w:rFonts w:eastAsia="Times New Roman" w:cs="Calibri"/>
                <w:sz w:val="16"/>
                <w:szCs w:val="16"/>
                <w:lang w:eastAsia="pl-PL"/>
              </w:rPr>
              <w:t>28</w:t>
            </w:r>
            <w:r w:rsidR="00A76955">
              <w:rPr>
                <w:rFonts w:eastAsia="Times New Roman" w:cs="Calibri"/>
                <w:sz w:val="16"/>
                <w:szCs w:val="16"/>
                <w:lang w:eastAsia="pl-PL"/>
              </w:rPr>
              <w:t>.</w:t>
            </w:r>
            <w:r w:rsidRPr="0097136B">
              <w:rPr>
                <w:rFonts w:eastAsia="Times New Roman" w:cs="Calibri"/>
                <w:sz w:val="16"/>
                <w:szCs w:val="16"/>
                <w:lang w:eastAsia="pl-PL"/>
              </w:rPr>
              <w:t>2</w:t>
            </w:r>
          </w:p>
        </w:tc>
        <w:tc>
          <w:tcPr>
            <w:tcW w:w="1020" w:type="dxa"/>
            <w:tcBorders>
              <w:top w:val="nil"/>
              <w:left w:val="single" w:sz="4" w:space="0" w:color="001D77"/>
              <w:bottom w:val="single" w:sz="4" w:space="0" w:color="auto"/>
              <w:right w:val="nil"/>
            </w:tcBorders>
            <w:shd w:val="clear" w:color="auto" w:fill="auto"/>
            <w:noWrap/>
            <w:vAlign w:val="bottom"/>
            <w:hideMark/>
          </w:tcPr>
          <w:p w:rsidR="00694E98" w:rsidRPr="0097136B" w:rsidRDefault="00694E98" w:rsidP="00E41DF8">
            <w:pPr>
              <w:spacing w:after="0" w:line="240" w:lineRule="auto"/>
              <w:jc w:val="right"/>
              <w:rPr>
                <w:rFonts w:eastAsia="Times New Roman" w:cs="Calibri"/>
                <w:sz w:val="16"/>
                <w:szCs w:val="16"/>
                <w:lang w:eastAsia="pl-PL"/>
              </w:rPr>
            </w:pPr>
            <w:r w:rsidRPr="0097136B">
              <w:rPr>
                <w:rFonts w:eastAsia="Times New Roman" w:cs="Calibri"/>
                <w:sz w:val="16"/>
                <w:szCs w:val="16"/>
                <w:lang w:eastAsia="pl-PL"/>
              </w:rPr>
              <w:t>101</w:t>
            </w:r>
            <w:r w:rsidR="00A76955">
              <w:rPr>
                <w:rFonts w:eastAsia="Times New Roman" w:cs="Calibri"/>
                <w:sz w:val="16"/>
                <w:szCs w:val="16"/>
                <w:lang w:eastAsia="pl-PL"/>
              </w:rPr>
              <w:t>.</w:t>
            </w:r>
            <w:r w:rsidRPr="0097136B">
              <w:rPr>
                <w:rFonts w:eastAsia="Times New Roman" w:cs="Calibri"/>
                <w:sz w:val="16"/>
                <w:szCs w:val="16"/>
                <w:lang w:eastAsia="pl-PL"/>
              </w:rPr>
              <w:t>4</w:t>
            </w:r>
          </w:p>
        </w:tc>
      </w:tr>
      <w:tr w:rsidR="00694E98" w:rsidRPr="0097136B" w:rsidTr="009C3C14">
        <w:trPr>
          <w:trHeight w:val="300"/>
        </w:trPr>
        <w:tc>
          <w:tcPr>
            <w:tcW w:w="3458" w:type="dxa"/>
            <w:tcBorders>
              <w:top w:val="single" w:sz="4" w:space="0" w:color="auto"/>
              <w:left w:val="nil"/>
              <w:bottom w:val="nil"/>
              <w:right w:val="single" w:sz="4" w:space="0" w:color="001D77"/>
            </w:tcBorders>
            <w:shd w:val="clear" w:color="auto" w:fill="auto"/>
            <w:noWrap/>
            <w:vAlign w:val="bottom"/>
            <w:hideMark/>
          </w:tcPr>
          <w:p w:rsidR="00694E98" w:rsidRPr="0097136B" w:rsidRDefault="00281994" w:rsidP="00281994">
            <w:pPr>
              <w:spacing w:after="0" w:line="240" w:lineRule="auto"/>
              <w:rPr>
                <w:rFonts w:eastAsia="Times New Roman" w:cs="Calibri"/>
                <w:sz w:val="16"/>
                <w:szCs w:val="16"/>
                <w:lang w:eastAsia="pl-PL"/>
              </w:rPr>
            </w:pPr>
            <w:r>
              <w:rPr>
                <w:rFonts w:eastAsia="Times New Roman" w:cs="Calibri"/>
                <w:sz w:val="16"/>
                <w:szCs w:val="16"/>
                <w:lang w:eastAsia="pl-PL"/>
              </w:rPr>
              <w:t>n</w:t>
            </w:r>
            <w:r w:rsidR="00AF22E7">
              <w:rPr>
                <w:rFonts w:eastAsia="Times New Roman" w:cs="Calibri"/>
                <w:sz w:val="16"/>
                <w:szCs w:val="16"/>
                <w:lang w:eastAsia="pl-PL"/>
              </w:rPr>
              <w:t>umber of persons</w:t>
            </w:r>
          </w:p>
        </w:tc>
        <w:tc>
          <w:tcPr>
            <w:tcW w:w="1020" w:type="dxa"/>
            <w:tcBorders>
              <w:top w:val="single" w:sz="4" w:space="0" w:color="auto"/>
              <w:left w:val="single" w:sz="4" w:space="0" w:color="001D77"/>
              <w:bottom w:val="nil"/>
              <w:right w:val="single" w:sz="4" w:space="0" w:color="001D77"/>
            </w:tcBorders>
            <w:shd w:val="clear" w:color="auto" w:fill="auto"/>
            <w:noWrap/>
            <w:vAlign w:val="bottom"/>
            <w:hideMark/>
          </w:tcPr>
          <w:p w:rsidR="00694E98" w:rsidRPr="0097136B" w:rsidRDefault="00694E98" w:rsidP="00E41DF8">
            <w:pPr>
              <w:spacing w:after="0" w:line="240" w:lineRule="auto"/>
              <w:rPr>
                <w:rFonts w:eastAsia="Times New Roman" w:cs="Calibri"/>
                <w:sz w:val="16"/>
                <w:szCs w:val="16"/>
                <w:lang w:eastAsia="pl-PL"/>
              </w:rPr>
            </w:pPr>
            <w:r w:rsidRPr="0097136B">
              <w:rPr>
                <w:rFonts w:eastAsia="Times New Roman" w:cs="Calibri"/>
                <w:sz w:val="16"/>
                <w:szCs w:val="16"/>
                <w:lang w:eastAsia="pl-PL"/>
              </w:rPr>
              <w:t> </w:t>
            </w:r>
          </w:p>
        </w:tc>
        <w:tc>
          <w:tcPr>
            <w:tcW w:w="1020" w:type="dxa"/>
            <w:tcBorders>
              <w:top w:val="single" w:sz="4" w:space="0" w:color="auto"/>
              <w:left w:val="single" w:sz="4" w:space="0" w:color="001D77"/>
              <w:bottom w:val="nil"/>
              <w:right w:val="single" w:sz="4" w:space="0" w:color="001D77"/>
            </w:tcBorders>
            <w:shd w:val="clear" w:color="auto" w:fill="auto"/>
            <w:noWrap/>
            <w:vAlign w:val="bottom"/>
            <w:hideMark/>
          </w:tcPr>
          <w:p w:rsidR="00694E98" w:rsidRPr="0097136B" w:rsidRDefault="00694E98" w:rsidP="00E41DF8">
            <w:pPr>
              <w:spacing w:after="0" w:line="240" w:lineRule="auto"/>
              <w:rPr>
                <w:rFonts w:eastAsia="Times New Roman" w:cs="Calibri"/>
                <w:sz w:val="16"/>
                <w:szCs w:val="16"/>
                <w:lang w:eastAsia="pl-PL"/>
              </w:rPr>
            </w:pPr>
            <w:r w:rsidRPr="0097136B">
              <w:rPr>
                <w:rFonts w:eastAsia="Times New Roman" w:cs="Calibri"/>
                <w:sz w:val="16"/>
                <w:szCs w:val="16"/>
                <w:lang w:eastAsia="pl-PL"/>
              </w:rPr>
              <w:t> </w:t>
            </w:r>
          </w:p>
        </w:tc>
        <w:tc>
          <w:tcPr>
            <w:tcW w:w="1020" w:type="dxa"/>
            <w:tcBorders>
              <w:top w:val="single" w:sz="4" w:space="0" w:color="auto"/>
              <w:left w:val="single" w:sz="4" w:space="0" w:color="001D77"/>
              <w:bottom w:val="nil"/>
              <w:right w:val="single" w:sz="4" w:space="0" w:color="001D77"/>
            </w:tcBorders>
            <w:shd w:val="clear" w:color="auto" w:fill="auto"/>
            <w:noWrap/>
            <w:vAlign w:val="bottom"/>
            <w:hideMark/>
          </w:tcPr>
          <w:p w:rsidR="00694E98" w:rsidRPr="0097136B" w:rsidRDefault="00694E98" w:rsidP="00E41DF8">
            <w:pPr>
              <w:spacing w:after="0" w:line="240" w:lineRule="auto"/>
              <w:rPr>
                <w:rFonts w:eastAsia="Times New Roman" w:cs="Calibri"/>
                <w:sz w:val="16"/>
                <w:szCs w:val="16"/>
                <w:lang w:eastAsia="pl-PL"/>
              </w:rPr>
            </w:pPr>
            <w:r w:rsidRPr="0097136B">
              <w:rPr>
                <w:rFonts w:eastAsia="Times New Roman" w:cs="Calibri"/>
                <w:sz w:val="16"/>
                <w:szCs w:val="16"/>
                <w:lang w:eastAsia="pl-PL"/>
              </w:rPr>
              <w:t> </w:t>
            </w:r>
          </w:p>
        </w:tc>
        <w:tc>
          <w:tcPr>
            <w:tcW w:w="1020" w:type="dxa"/>
            <w:tcBorders>
              <w:top w:val="single" w:sz="4" w:space="0" w:color="auto"/>
              <w:left w:val="single" w:sz="4" w:space="0" w:color="001D77"/>
              <w:bottom w:val="nil"/>
              <w:right w:val="nil"/>
            </w:tcBorders>
            <w:shd w:val="clear" w:color="auto" w:fill="auto"/>
            <w:noWrap/>
            <w:vAlign w:val="bottom"/>
            <w:hideMark/>
          </w:tcPr>
          <w:p w:rsidR="00694E98" w:rsidRPr="0097136B" w:rsidRDefault="00694E98" w:rsidP="00E41DF8">
            <w:pPr>
              <w:spacing w:after="0" w:line="240" w:lineRule="auto"/>
              <w:rPr>
                <w:rFonts w:eastAsia="Times New Roman" w:cs="Calibri"/>
                <w:sz w:val="16"/>
                <w:szCs w:val="16"/>
                <w:lang w:eastAsia="pl-PL"/>
              </w:rPr>
            </w:pPr>
            <w:r w:rsidRPr="0097136B">
              <w:rPr>
                <w:rFonts w:eastAsia="Times New Roman" w:cs="Calibri"/>
                <w:sz w:val="16"/>
                <w:szCs w:val="16"/>
                <w:lang w:eastAsia="pl-PL"/>
              </w:rPr>
              <w:t> </w:t>
            </w:r>
          </w:p>
        </w:tc>
      </w:tr>
      <w:tr w:rsidR="00694E98" w:rsidRPr="0097136B" w:rsidTr="009C3C14">
        <w:trPr>
          <w:trHeight w:val="300"/>
        </w:trPr>
        <w:tc>
          <w:tcPr>
            <w:tcW w:w="3458" w:type="dxa"/>
            <w:tcBorders>
              <w:top w:val="nil"/>
              <w:left w:val="nil"/>
              <w:bottom w:val="nil"/>
              <w:right w:val="single" w:sz="4" w:space="0" w:color="001D77"/>
            </w:tcBorders>
            <w:shd w:val="clear" w:color="auto" w:fill="auto"/>
            <w:noWrap/>
            <w:vAlign w:val="bottom"/>
            <w:hideMark/>
          </w:tcPr>
          <w:p w:rsidR="00694E98" w:rsidRPr="0097136B" w:rsidRDefault="00AF22E7" w:rsidP="00AF22E7">
            <w:pPr>
              <w:spacing w:after="0" w:line="240" w:lineRule="auto"/>
              <w:ind w:firstLineChars="100" w:firstLine="160"/>
              <w:rPr>
                <w:rFonts w:eastAsia="Times New Roman" w:cs="Calibri"/>
                <w:sz w:val="16"/>
                <w:szCs w:val="16"/>
                <w:lang w:eastAsia="pl-PL"/>
              </w:rPr>
            </w:pPr>
            <w:r>
              <w:rPr>
                <w:rFonts w:eastAsia="Times New Roman" w:cs="Calibri"/>
                <w:sz w:val="16"/>
                <w:szCs w:val="16"/>
                <w:lang w:eastAsia="pl-PL"/>
              </w:rPr>
              <w:t>per</w:t>
            </w:r>
            <w:r w:rsidR="00694E98" w:rsidRPr="0097136B">
              <w:rPr>
                <w:rFonts w:eastAsia="Times New Roman" w:cs="Calibri"/>
                <w:sz w:val="16"/>
                <w:szCs w:val="16"/>
                <w:lang w:eastAsia="pl-PL"/>
              </w:rPr>
              <w:t xml:space="preserve"> </w:t>
            </w:r>
            <w:r>
              <w:rPr>
                <w:rFonts w:eastAsia="Times New Roman" w:cs="Calibri"/>
                <w:sz w:val="16"/>
                <w:szCs w:val="16"/>
                <w:lang w:eastAsia="pl-PL"/>
              </w:rPr>
              <w:t>dwelling</w:t>
            </w:r>
          </w:p>
        </w:tc>
        <w:tc>
          <w:tcPr>
            <w:tcW w:w="1020" w:type="dxa"/>
            <w:tcBorders>
              <w:top w:val="nil"/>
              <w:left w:val="single" w:sz="4" w:space="0" w:color="001D77"/>
              <w:bottom w:val="nil"/>
              <w:right w:val="single" w:sz="4" w:space="0" w:color="001D77"/>
            </w:tcBorders>
            <w:shd w:val="clear" w:color="auto" w:fill="auto"/>
            <w:noWrap/>
            <w:vAlign w:val="bottom"/>
            <w:hideMark/>
          </w:tcPr>
          <w:p w:rsidR="00694E98" w:rsidRPr="0097136B" w:rsidRDefault="00694E98" w:rsidP="00E41DF8">
            <w:pPr>
              <w:spacing w:after="0" w:line="240" w:lineRule="auto"/>
              <w:jc w:val="right"/>
              <w:rPr>
                <w:rFonts w:eastAsia="Times New Roman" w:cs="Calibri"/>
                <w:sz w:val="16"/>
                <w:szCs w:val="16"/>
                <w:lang w:eastAsia="pl-PL"/>
              </w:rPr>
            </w:pPr>
            <w:r w:rsidRPr="0097136B">
              <w:rPr>
                <w:rFonts w:eastAsia="Times New Roman" w:cs="Calibri"/>
                <w:sz w:val="16"/>
                <w:szCs w:val="16"/>
                <w:lang w:eastAsia="pl-PL"/>
              </w:rPr>
              <w:t>2</w:t>
            </w:r>
            <w:r w:rsidR="00A76955">
              <w:rPr>
                <w:rFonts w:eastAsia="Times New Roman" w:cs="Calibri"/>
                <w:sz w:val="16"/>
                <w:szCs w:val="16"/>
                <w:lang w:eastAsia="pl-PL"/>
              </w:rPr>
              <w:t>.</w:t>
            </w:r>
            <w:r w:rsidRPr="0097136B">
              <w:rPr>
                <w:rFonts w:eastAsia="Times New Roman" w:cs="Calibri"/>
                <w:sz w:val="16"/>
                <w:szCs w:val="16"/>
                <w:lang w:eastAsia="pl-PL"/>
              </w:rPr>
              <w:t>66</w:t>
            </w:r>
          </w:p>
        </w:tc>
        <w:tc>
          <w:tcPr>
            <w:tcW w:w="1020" w:type="dxa"/>
            <w:tcBorders>
              <w:top w:val="nil"/>
              <w:left w:val="single" w:sz="4" w:space="0" w:color="001D77"/>
              <w:bottom w:val="nil"/>
              <w:right w:val="single" w:sz="4" w:space="0" w:color="001D77"/>
            </w:tcBorders>
            <w:shd w:val="clear" w:color="auto" w:fill="auto"/>
            <w:noWrap/>
            <w:vAlign w:val="bottom"/>
            <w:hideMark/>
          </w:tcPr>
          <w:p w:rsidR="00694E98" w:rsidRPr="0097136B" w:rsidRDefault="00694E98" w:rsidP="00E41DF8">
            <w:pPr>
              <w:spacing w:after="0" w:line="240" w:lineRule="auto"/>
              <w:jc w:val="right"/>
              <w:rPr>
                <w:rFonts w:eastAsia="Times New Roman" w:cs="Calibri"/>
                <w:sz w:val="16"/>
                <w:szCs w:val="16"/>
                <w:lang w:eastAsia="pl-PL"/>
              </w:rPr>
            </w:pPr>
            <w:r w:rsidRPr="0097136B">
              <w:rPr>
                <w:rFonts w:eastAsia="Times New Roman" w:cs="Calibri"/>
                <w:sz w:val="16"/>
                <w:szCs w:val="16"/>
                <w:lang w:eastAsia="pl-PL"/>
              </w:rPr>
              <w:t>98</w:t>
            </w:r>
            <w:r w:rsidR="00A76955">
              <w:rPr>
                <w:rFonts w:eastAsia="Times New Roman" w:cs="Calibri"/>
                <w:sz w:val="16"/>
                <w:szCs w:val="16"/>
                <w:lang w:eastAsia="pl-PL"/>
              </w:rPr>
              <w:t>.</w:t>
            </w:r>
            <w:r w:rsidRPr="0097136B">
              <w:rPr>
                <w:rFonts w:eastAsia="Times New Roman" w:cs="Calibri"/>
                <w:sz w:val="16"/>
                <w:szCs w:val="16"/>
                <w:lang w:eastAsia="pl-PL"/>
              </w:rPr>
              <w:t>9</w:t>
            </w:r>
          </w:p>
        </w:tc>
        <w:tc>
          <w:tcPr>
            <w:tcW w:w="1020" w:type="dxa"/>
            <w:tcBorders>
              <w:top w:val="nil"/>
              <w:left w:val="single" w:sz="4" w:space="0" w:color="001D77"/>
              <w:bottom w:val="nil"/>
              <w:right w:val="single" w:sz="4" w:space="0" w:color="001D77"/>
            </w:tcBorders>
            <w:shd w:val="clear" w:color="auto" w:fill="auto"/>
            <w:noWrap/>
            <w:vAlign w:val="bottom"/>
            <w:hideMark/>
          </w:tcPr>
          <w:p w:rsidR="00694E98" w:rsidRPr="0097136B" w:rsidRDefault="00694E98" w:rsidP="00E41DF8">
            <w:pPr>
              <w:spacing w:after="0" w:line="240" w:lineRule="auto"/>
              <w:jc w:val="right"/>
              <w:rPr>
                <w:rFonts w:eastAsia="Times New Roman" w:cs="Calibri"/>
                <w:sz w:val="16"/>
                <w:szCs w:val="16"/>
                <w:lang w:eastAsia="pl-PL"/>
              </w:rPr>
            </w:pPr>
            <w:r w:rsidRPr="0097136B">
              <w:rPr>
                <w:rFonts w:eastAsia="Times New Roman" w:cs="Calibri"/>
                <w:sz w:val="16"/>
                <w:szCs w:val="16"/>
                <w:lang w:eastAsia="pl-PL"/>
              </w:rPr>
              <w:t>2</w:t>
            </w:r>
            <w:r w:rsidR="00A76955">
              <w:rPr>
                <w:rFonts w:eastAsia="Times New Roman" w:cs="Calibri"/>
                <w:sz w:val="16"/>
                <w:szCs w:val="16"/>
                <w:lang w:eastAsia="pl-PL"/>
              </w:rPr>
              <w:t>.</w:t>
            </w:r>
            <w:r w:rsidRPr="0097136B">
              <w:rPr>
                <w:rFonts w:eastAsia="Times New Roman" w:cs="Calibri"/>
                <w:sz w:val="16"/>
                <w:szCs w:val="16"/>
                <w:lang w:eastAsia="pl-PL"/>
              </w:rPr>
              <w:t>63</w:t>
            </w:r>
          </w:p>
        </w:tc>
        <w:tc>
          <w:tcPr>
            <w:tcW w:w="1020" w:type="dxa"/>
            <w:tcBorders>
              <w:top w:val="nil"/>
              <w:left w:val="single" w:sz="4" w:space="0" w:color="001D77"/>
              <w:bottom w:val="nil"/>
              <w:right w:val="nil"/>
            </w:tcBorders>
            <w:shd w:val="clear" w:color="auto" w:fill="auto"/>
            <w:noWrap/>
            <w:vAlign w:val="bottom"/>
            <w:hideMark/>
          </w:tcPr>
          <w:p w:rsidR="00694E98" w:rsidRPr="0097136B" w:rsidRDefault="00694E98" w:rsidP="00E41DF8">
            <w:pPr>
              <w:spacing w:after="0" w:line="240" w:lineRule="auto"/>
              <w:jc w:val="right"/>
              <w:rPr>
                <w:rFonts w:eastAsia="Times New Roman" w:cs="Calibri"/>
                <w:sz w:val="16"/>
                <w:szCs w:val="16"/>
                <w:lang w:eastAsia="pl-PL"/>
              </w:rPr>
            </w:pPr>
            <w:r w:rsidRPr="0097136B">
              <w:rPr>
                <w:rFonts w:eastAsia="Times New Roman" w:cs="Calibri"/>
                <w:sz w:val="16"/>
                <w:szCs w:val="16"/>
                <w:lang w:eastAsia="pl-PL"/>
              </w:rPr>
              <w:t>98</w:t>
            </w:r>
            <w:r w:rsidR="00A76955">
              <w:rPr>
                <w:rFonts w:eastAsia="Times New Roman" w:cs="Calibri"/>
                <w:sz w:val="16"/>
                <w:szCs w:val="16"/>
                <w:lang w:eastAsia="pl-PL"/>
              </w:rPr>
              <w:t>.</w:t>
            </w:r>
            <w:r w:rsidRPr="0097136B">
              <w:rPr>
                <w:rFonts w:eastAsia="Times New Roman" w:cs="Calibri"/>
                <w:sz w:val="16"/>
                <w:szCs w:val="16"/>
                <w:lang w:eastAsia="pl-PL"/>
              </w:rPr>
              <w:t>9</w:t>
            </w:r>
          </w:p>
        </w:tc>
      </w:tr>
      <w:tr w:rsidR="00694E98" w:rsidRPr="0097136B" w:rsidTr="009C3C14">
        <w:trPr>
          <w:trHeight w:val="300"/>
        </w:trPr>
        <w:tc>
          <w:tcPr>
            <w:tcW w:w="3458" w:type="dxa"/>
            <w:tcBorders>
              <w:top w:val="nil"/>
              <w:left w:val="nil"/>
              <w:bottom w:val="nil"/>
              <w:right w:val="single" w:sz="4" w:space="0" w:color="001D77"/>
            </w:tcBorders>
            <w:shd w:val="clear" w:color="auto" w:fill="auto"/>
            <w:noWrap/>
            <w:vAlign w:val="bottom"/>
            <w:hideMark/>
          </w:tcPr>
          <w:p w:rsidR="00694E98" w:rsidRPr="0097136B" w:rsidRDefault="00A508B4" w:rsidP="00E41DF8">
            <w:pPr>
              <w:spacing w:after="0" w:line="240" w:lineRule="auto"/>
              <w:ind w:firstLineChars="100" w:firstLine="160"/>
              <w:rPr>
                <w:rFonts w:eastAsia="Times New Roman" w:cs="Calibri"/>
                <w:sz w:val="16"/>
                <w:szCs w:val="16"/>
                <w:lang w:eastAsia="pl-PL"/>
              </w:rPr>
            </w:pPr>
            <w:r>
              <w:rPr>
                <w:rFonts w:eastAsia="Times New Roman" w:cs="Calibri"/>
                <w:sz w:val="16"/>
                <w:szCs w:val="16"/>
                <w:lang w:eastAsia="pl-PL"/>
              </w:rPr>
              <w:t>p</w:t>
            </w:r>
            <w:r w:rsidR="00AF22E7">
              <w:rPr>
                <w:rFonts w:eastAsia="Times New Roman" w:cs="Calibri"/>
                <w:sz w:val="16"/>
                <w:szCs w:val="16"/>
                <w:lang w:eastAsia="pl-PL"/>
              </w:rPr>
              <w:t>er room</w:t>
            </w:r>
          </w:p>
        </w:tc>
        <w:tc>
          <w:tcPr>
            <w:tcW w:w="1020" w:type="dxa"/>
            <w:tcBorders>
              <w:top w:val="nil"/>
              <w:left w:val="single" w:sz="4" w:space="0" w:color="001D77"/>
              <w:bottom w:val="nil"/>
              <w:right w:val="single" w:sz="4" w:space="0" w:color="001D77"/>
            </w:tcBorders>
            <w:shd w:val="clear" w:color="auto" w:fill="auto"/>
            <w:noWrap/>
            <w:vAlign w:val="bottom"/>
            <w:hideMark/>
          </w:tcPr>
          <w:p w:rsidR="00694E98" w:rsidRPr="0097136B" w:rsidRDefault="00694E98" w:rsidP="00E41DF8">
            <w:pPr>
              <w:spacing w:after="0" w:line="240" w:lineRule="auto"/>
              <w:jc w:val="right"/>
              <w:rPr>
                <w:rFonts w:eastAsia="Times New Roman" w:cs="Calibri"/>
                <w:sz w:val="16"/>
                <w:szCs w:val="16"/>
                <w:lang w:eastAsia="pl-PL"/>
              </w:rPr>
            </w:pPr>
            <w:r w:rsidRPr="0097136B">
              <w:rPr>
                <w:rFonts w:eastAsia="Times New Roman" w:cs="Calibri"/>
                <w:sz w:val="16"/>
                <w:szCs w:val="16"/>
                <w:lang w:eastAsia="pl-PL"/>
              </w:rPr>
              <w:t>0</w:t>
            </w:r>
            <w:r w:rsidR="00A76955">
              <w:rPr>
                <w:rFonts w:eastAsia="Times New Roman" w:cs="Calibri"/>
                <w:sz w:val="16"/>
                <w:szCs w:val="16"/>
                <w:lang w:eastAsia="pl-PL"/>
              </w:rPr>
              <w:t>.</w:t>
            </w:r>
            <w:r w:rsidRPr="0097136B">
              <w:rPr>
                <w:rFonts w:eastAsia="Times New Roman" w:cs="Calibri"/>
                <w:sz w:val="16"/>
                <w:szCs w:val="16"/>
                <w:lang w:eastAsia="pl-PL"/>
              </w:rPr>
              <w:t>70</w:t>
            </w:r>
          </w:p>
        </w:tc>
        <w:tc>
          <w:tcPr>
            <w:tcW w:w="1020" w:type="dxa"/>
            <w:tcBorders>
              <w:top w:val="nil"/>
              <w:left w:val="single" w:sz="4" w:space="0" w:color="001D77"/>
              <w:bottom w:val="nil"/>
              <w:right w:val="single" w:sz="4" w:space="0" w:color="001D77"/>
            </w:tcBorders>
            <w:shd w:val="clear" w:color="auto" w:fill="auto"/>
            <w:noWrap/>
            <w:vAlign w:val="bottom"/>
            <w:hideMark/>
          </w:tcPr>
          <w:p w:rsidR="00694E98" w:rsidRPr="0097136B" w:rsidRDefault="00694E98" w:rsidP="00E41DF8">
            <w:pPr>
              <w:spacing w:after="0" w:line="240" w:lineRule="auto"/>
              <w:jc w:val="right"/>
              <w:rPr>
                <w:rFonts w:eastAsia="Times New Roman" w:cs="Calibri"/>
                <w:sz w:val="16"/>
                <w:szCs w:val="16"/>
                <w:lang w:eastAsia="pl-PL"/>
              </w:rPr>
            </w:pPr>
            <w:r w:rsidRPr="0097136B">
              <w:rPr>
                <w:rFonts w:eastAsia="Times New Roman" w:cs="Calibri"/>
                <w:sz w:val="16"/>
                <w:szCs w:val="16"/>
                <w:lang w:eastAsia="pl-PL"/>
              </w:rPr>
              <w:t>100</w:t>
            </w:r>
            <w:r w:rsidR="00A76955">
              <w:rPr>
                <w:rFonts w:eastAsia="Times New Roman" w:cs="Calibri"/>
                <w:sz w:val="16"/>
                <w:szCs w:val="16"/>
                <w:lang w:eastAsia="pl-PL"/>
              </w:rPr>
              <w:t>.</w:t>
            </w:r>
            <w:r w:rsidRPr="0097136B">
              <w:rPr>
                <w:rFonts w:eastAsia="Times New Roman" w:cs="Calibri"/>
                <w:sz w:val="16"/>
                <w:szCs w:val="16"/>
                <w:lang w:eastAsia="pl-PL"/>
              </w:rPr>
              <w:t>0</w:t>
            </w:r>
          </w:p>
        </w:tc>
        <w:tc>
          <w:tcPr>
            <w:tcW w:w="1020" w:type="dxa"/>
            <w:tcBorders>
              <w:top w:val="nil"/>
              <w:left w:val="single" w:sz="4" w:space="0" w:color="001D77"/>
              <w:bottom w:val="nil"/>
              <w:right w:val="single" w:sz="4" w:space="0" w:color="001D77"/>
            </w:tcBorders>
            <w:shd w:val="clear" w:color="auto" w:fill="auto"/>
            <w:noWrap/>
            <w:vAlign w:val="bottom"/>
            <w:hideMark/>
          </w:tcPr>
          <w:p w:rsidR="00694E98" w:rsidRPr="0097136B" w:rsidRDefault="00694E98" w:rsidP="008C407E">
            <w:pPr>
              <w:spacing w:after="0" w:line="240" w:lineRule="auto"/>
              <w:jc w:val="right"/>
              <w:rPr>
                <w:rFonts w:eastAsia="Times New Roman" w:cs="Calibri"/>
                <w:sz w:val="16"/>
                <w:szCs w:val="16"/>
                <w:lang w:eastAsia="pl-PL"/>
              </w:rPr>
            </w:pPr>
            <w:r w:rsidRPr="0097136B">
              <w:rPr>
                <w:rFonts w:eastAsia="Times New Roman" w:cs="Calibri"/>
                <w:sz w:val="16"/>
                <w:szCs w:val="16"/>
                <w:lang w:eastAsia="pl-PL"/>
              </w:rPr>
              <w:t>0</w:t>
            </w:r>
            <w:r w:rsidR="00A76955">
              <w:rPr>
                <w:rFonts w:eastAsia="Times New Roman" w:cs="Calibri"/>
                <w:sz w:val="16"/>
                <w:szCs w:val="16"/>
                <w:lang w:eastAsia="pl-PL"/>
              </w:rPr>
              <w:t>.</w:t>
            </w:r>
            <w:r w:rsidR="008C407E">
              <w:rPr>
                <w:rFonts w:eastAsia="Times New Roman" w:cs="Calibri"/>
                <w:sz w:val="16"/>
                <w:szCs w:val="16"/>
                <w:lang w:eastAsia="pl-PL"/>
              </w:rPr>
              <w:t>69</w:t>
            </w:r>
          </w:p>
        </w:tc>
        <w:tc>
          <w:tcPr>
            <w:tcW w:w="1020" w:type="dxa"/>
            <w:tcBorders>
              <w:top w:val="nil"/>
              <w:left w:val="single" w:sz="4" w:space="0" w:color="001D77"/>
              <w:bottom w:val="nil"/>
              <w:right w:val="nil"/>
            </w:tcBorders>
            <w:shd w:val="clear" w:color="auto" w:fill="auto"/>
            <w:noWrap/>
            <w:vAlign w:val="bottom"/>
            <w:hideMark/>
          </w:tcPr>
          <w:p w:rsidR="00694E98" w:rsidRPr="0097136B" w:rsidRDefault="00D00C71" w:rsidP="00E41DF8">
            <w:pPr>
              <w:spacing w:after="0" w:line="240" w:lineRule="auto"/>
              <w:jc w:val="right"/>
              <w:rPr>
                <w:rFonts w:eastAsia="Times New Roman" w:cs="Calibri"/>
                <w:sz w:val="16"/>
                <w:szCs w:val="16"/>
                <w:lang w:eastAsia="pl-PL"/>
              </w:rPr>
            </w:pPr>
            <w:r>
              <w:rPr>
                <w:rFonts w:eastAsia="Times New Roman" w:cs="Calibri"/>
                <w:sz w:val="16"/>
                <w:szCs w:val="16"/>
                <w:lang w:eastAsia="pl-PL"/>
              </w:rPr>
              <w:t>98</w:t>
            </w:r>
            <w:r w:rsidR="00A76955">
              <w:rPr>
                <w:rFonts w:eastAsia="Times New Roman" w:cs="Calibri"/>
                <w:sz w:val="16"/>
                <w:szCs w:val="16"/>
                <w:lang w:eastAsia="pl-PL"/>
              </w:rPr>
              <w:t>.</w:t>
            </w:r>
            <w:r>
              <w:rPr>
                <w:rFonts w:eastAsia="Times New Roman" w:cs="Calibri"/>
                <w:sz w:val="16"/>
                <w:szCs w:val="16"/>
                <w:lang w:eastAsia="pl-PL"/>
              </w:rPr>
              <w:t>6</w:t>
            </w:r>
          </w:p>
        </w:tc>
      </w:tr>
    </w:tbl>
    <w:p w:rsidR="00E84AB6" w:rsidRDefault="00E84AB6" w:rsidP="00694E98">
      <w:pPr>
        <w:spacing w:after="0"/>
        <w:rPr>
          <w:shd w:val="clear" w:color="auto" w:fill="FFFFFF"/>
          <w:lang w:val="en-GB"/>
        </w:rPr>
      </w:pPr>
      <w:r w:rsidRPr="0097136B">
        <w:rPr>
          <w:noProof/>
          <w:color w:val="FF0000"/>
          <w:spacing w:val="-2"/>
          <w:szCs w:val="19"/>
          <w:lang w:eastAsia="pl-PL"/>
        </w:rPr>
        <mc:AlternateContent>
          <mc:Choice Requires="wps">
            <w:drawing>
              <wp:anchor distT="45720" distB="45720" distL="114300" distR="114300" simplePos="0" relativeHeight="251654144" behindDoc="1" locked="0" layoutInCell="1" allowOverlap="1" wp14:anchorId="10545B9F" wp14:editId="0F4B9FD5">
                <wp:simplePos x="0" y="0"/>
                <wp:positionH relativeFrom="rightMargin">
                  <wp:posOffset>108585</wp:posOffset>
                </wp:positionH>
                <wp:positionV relativeFrom="paragraph">
                  <wp:posOffset>160020</wp:posOffset>
                </wp:positionV>
                <wp:extent cx="1666875" cy="689610"/>
                <wp:effectExtent l="0" t="0" r="0" b="0"/>
                <wp:wrapTight wrapText="bothSides">
                  <wp:wrapPolygon edited="0">
                    <wp:start x="741" y="0"/>
                    <wp:lineTo x="741" y="20884"/>
                    <wp:lineTo x="20736" y="20884"/>
                    <wp:lineTo x="20736" y="0"/>
                    <wp:lineTo x="741" y="0"/>
                  </wp:wrapPolygon>
                </wp:wrapTight>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689610"/>
                        </a:xfrm>
                        <a:prstGeom prst="rect">
                          <a:avLst/>
                        </a:prstGeom>
                        <a:noFill/>
                        <a:ln w="9525">
                          <a:noFill/>
                          <a:miter lim="800000"/>
                          <a:headEnd/>
                          <a:tailEnd/>
                        </a:ln>
                      </wps:spPr>
                      <wps:txbx>
                        <w:txbxContent>
                          <w:p w:rsidR="00E84AB6" w:rsidRPr="00281994" w:rsidRDefault="00E84AB6" w:rsidP="009D1927">
                            <w:pPr>
                              <w:pStyle w:val="tekstzboku"/>
                              <w:rPr>
                                <w:lang w:val="en-GB"/>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In Poland, housing conditions are slightly improving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545B9F" id="_x0000_s1030" type="#_x0000_t202" style="position:absolute;margin-left:8.55pt;margin-top:12.6pt;width:131.25pt;height:54.3pt;z-index:-25166233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" filled="f" stroked="f">
                <v:textbox>
                  <w:txbxContent>
                    <w:p w:rsidR="00E84AB6" w:rsidRPr="00281994" w:rsidRDefault="00E84AB6" w:rsidP="009D1927">
                      <w:pPr>
                        <w:pStyle w:val="tekstzboku"/>
                        <w:rPr>
                          <w:lang w:val="en-GB"/>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In Poland, housing conditions are slightly improving</w:t>
                      </w:r>
                    </w:p>
                  </w:txbxContent>
                </v:textbox>
                <w10:wrap type="tight" anchorx="margin"/>
              </v:shape>
            </w:pict>
          </mc:Fallback>
        </mc:AlternateContent>
      </w:r>
    </w:p>
    <w:p w:rsidR="00694E98" w:rsidRPr="00281994" w:rsidRDefault="00694E98" w:rsidP="00694E98">
      <w:pPr>
        <w:spacing w:after="0"/>
        <w:rPr>
          <w:shd w:val="clear" w:color="auto" w:fill="FFFFFF"/>
          <w:lang w:val="en-GB"/>
        </w:rPr>
      </w:pPr>
      <w:r w:rsidRPr="00281994">
        <w:rPr>
          <w:shd w:val="clear" w:color="auto" w:fill="FFFFFF"/>
          <w:lang w:val="en-GB"/>
        </w:rPr>
        <w:t xml:space="preserve">In 2018, housing conditions in Poland slightly improved as compared to the previous years. As </w:t>
      </w:r>
      <w:r w:rsidR="00A508B4" w:rsidRPr="00281994">
        <w:rPr>
          <w:shd w:val="clear" w:color="auto" w:fill="FFFFFF"/>
          <w:lang w:val="en-GB"/>
        </w:rPr>
        <w:t>of</w:t>
      </w:r>
      <w:r w:rsidRPr="00281994">
        <w:rPr>
          <w:shd w:val="clear" w:color="auto" w:fill="FFFFFF"/>
          <w:lang w:val="en-GB"/>
        </w:rPr>
        <w:t xml:space="preserve"> 31 December 2018, </w:t>
      </w:r>
      <w:r w:rsidR="00A508B4" w:rsidRPr="00281994">
        <w:rPr>
          <w:shd w:val="clear" w:color="auto" w:fill="FFFFFF"/>
          <w:lang w:val="en-GB"/>
        </w:rPr>
        <w:t xml:space="preserve">the </w:t>
      </w:r>
      <w:r w:rsidRPr="00281994">
        <w:rPr>
          <w:shd w:val="clear" w:color="auto" w:fill="FFFFFF"/>
          <w:lang w:val="en-GB"/>
        </w:rPr>
        <w:t xml:space="preserve">average number of rooms per 1 dwelling amounted to 3.82, </w:t>
      </w:r>
      <w:r w:rsidR="00E84AB6">
        <w:rPr>
          <w:shd w:val="clear" w:color="auto" w:fill="FFFFFF"/>
          <w:lang w:val="en-GB"/>
        </w:rPr>
        <w:t>while</w:t>
      </w:r>
      <w:r w:rsidRPr="00281994">
        <w:rPr>
          <w:shd w:val="clear" w:color="auto" w:fill="FFFFFF"/>
          <w:lang w:val="en-GB"/>
        </w:rPr>
        <w:t xml:space="preserve"> in urban areas </w:t>
      </w:r>
      <w:r w:rsidR="00E84AB6">
        <w:rPr>
          <w:shd w:val="clear" w:color="auto" w:fill="FFFFFF"/>
          <w:lang w:val="en-GB"/>
        </w:rPr>
        <w:t xml:space="preserve">to </w:t>
      </w:r>
      <w:r w:rsidRPr="00281994">
        <w:rPr>
          <w:shd w:val="clear" w:color="auto" w:fill="FFFFFF"/>
          <w:lang w:val="en-GB"/>
        </w:rPr>
        <w:t xml:space="preserve">3.56, and in rural areas </w:t>
      </w:r>
      <w:r w:rsidR="00E84AB6">
        <w:rPr>
          <w:shd w:val="clear" w:color="auto" w:fill="FFFFFF"/>
          <w:lang w:val="en-GB"/>
        </w:rPr>
        <w:t xml:space="preserve">to </w:t>
      </w:r>
      <w:r w:rsidRPr="00281994">
        <w:rPr>
          <w:shd w:val="clear" w:color="auto" w:fill="FFFFFF"/>
          <w:lang w:val="en-GB"/>
        </w:rPr>
        <w:t xml:space="preserve">4.36. </w:t>
      </w:r>
      <w:r w:rsidR="00A508B4" w:rsidRPr="00281994">
        <w:rPr>
          <w:shd w:val="clear" w:color="auto" w:fill="FFFFFF"/>
          <w:lang w:val="en-GB"/>
        </w:rPr>
        <w:t>However</w:t>
      </w:r>
      <w:r w:rsidRPr="00281994">
        <w:rPr>
          <w:shd w:val="clear" w:color="auto" w:fill="FFFFFF"/>
          <w:lang w:val="en-GB"/>
        </w:rPr>
        <w:t xml:space="preserve">, </w:t>
      </w:r>
      <w:r w:rsidR="00A508B4" w:rsidRPr="00281994">
        <w:rPr>
          <w:shd w:val="clear" w:color="auto" w:fill="FFFFFF"/>
          <w:lang w:val="en-GB"/>
        </w:rPr>
        <w:t xml:space="preserve">the </w:t>
      </w:r>
      <w:r w:rsidRPr="00281994">
        <w:rPr>
          <w:shd w:val="clear" w:color="auto" w:fill="FFFFFF"/>
          <w:lang w:val="en-GB"/>
        </w:rPr>
        <w:t>average dwelling size amounted to 74.2 m</w:t>
      </w:r>
      <w:r w:rsidRPr="00281994">
        <w:rPr>
          <w:shd w:val="clear" w:color="auto" w:fill="FFFFFF"/>
          <w:vertAlign w:val="superscript"/>
          <w:lang w:val="en-GB"/>
        </w:rPr>
        <w:t>2</w:t>
      </w:r>
      <w:r w:rsidRPr="00281994">
        <w:rPr>
          <w:shd w:val="clear" w:color="auto" w:fill="FFFFFF"/>
          <w:lang w:val="en-GB"/>
        </w:rPr>
        <w:t xml:space="preserve"> and increased by 0.2 m</w:t>
      </w:r>
      <w:r w:rsidRPr="00281994">
        <w:rPr>
          <w:shd w:val="clear" w:color="auto" w:fill="FFFFFF"/>
          <w:vertAlign w:val="superscript"/>
          <w:lang w:val="en-GB"/>
        </w:rPr>
        <w:t>2</w:t>
      </w:r>
      <w:r w:rsidRPr="00281994">
        <w:rPr>
          <w:shd w:val="clear" w:color="auto" w:fill="FFFFFF"/>
          <w:lang w:val="en-GB"/>
        </w:rPr>
        <w:t xml:space="preserve"> as compared to the previous year. In rural areas, dwelling</w:t>
      </w:r>
      <w:r w:rsidR="00E84AB6">
        <w:rPr>
          <w:shd w:val="clear" w:color="auto" w:fill="FFFFFF"/>
          <w:lang w:val="en-GB"/>
        </w:rPr>
        <w:t>s</w:t>
      </w:r>
      <w:r w:rsidRPr="00281994">
        <w:rPr>
          <w:shd w:val="clear" w:color="auto" w:fill="FFFFFF"/>
          <w:lang w:val="en-GB"/>
        </w:rPr>
        <w:t xml:space="preserve"> were, on average, by 29.3 m</w:t>
      </w:r>
      <w:r w:rsidRPr="00281994">
        <w:rPr>
          <w:shd w:val="clear" w:color="auto" w:fill="FFFFFF"/>
          <w:vertAlign w:val="superscript"/>
          <w:lang w:val="en-GB"/>
        </w:rPr>
        <w:t>2</w:t>
      </w:r>
      <w:r w:rsidRPr="00281994">
        <w:rPr>
          <w:shd w:val="clear" w:color="auto" w:fill="FFFFFF"/>
          <w:lang w:val="en-GB"/>
        </w:rPr>
        <w:t xml:space="preserve"> larger than in urban areas (relevant indicators </w:t>
      </w:r>
      <w:r w:rsidR="00A508B4" w:rsidRPr="00281994">
        <w:rPr>
          <w:shd w:val="clear" w:color="auto" w:fill="FFFFFF"/>
          <w:lang w:val="en-GB"/>
        </w:rPr>
        <w:t>were</w:t>
      </w:r>
      <w:r w:rsidRPr="00281994">
        <w:rPr>
          <w:shd w:val="clear" w:color="auto" w:fill="FFFFFF"/>
          <w:lang w:val="en-GB"/>
        </w:rPr>
        <w:t xml:space="preserve"> 94.0</w:t>
      </w:r>
      <w:r w:rsidR="00A508B4" w:rsidRPr="00281994">
        <w:rPr>
          <w:shd w:val="clear" w:color="auto" w:fill="FFFFFF"/>
          <w:lang w:val="en-GB"/>
        </w:rPr>
        <w:t> </w:t>
      </w:r>
      <w:r w:rsidRPr="00281994">
        <w:rPr>
          <w:shd w:val="clear" w:color="auto" w:fill="FFFFFF"/>
          <w:lang w:val="en-GB"/>
        </w:rPr>
        <w:t>m</w:t>
      </w:r>
      <w:r w:rsidRPr="00281994">
        <w:rPr>
          <w:shd w:val="clear" w:color="auto" w:fill="FFFFFF"/>
          <w:vertAlign w:val="superscript"/>
          <w:lang w:val="en-GB"/>
        </w:rPr>
        <w:t>2</w:t>
      </w:r>
      <w:r w:rsidRPr="00281994">
        <w:rPr>
          <w:shd w:val="clear" w:color="auto" w:fill="FFFFFF"/>
          <w:lang w:val="en-GB"/>
        </w:rPr>
        <w:t xml:space="preserve"> for rural areas, and 64.7 m</w:t>
      </w:r>
      <w:r w:rsidRPr="00281994">
        <w:rPr>
          <w:shd w:val="clear" w:color="auto" w:fill="FFFFFF"/>
          <w:vertAlign w:val="superscript"/>
          <w:lang w:val="en-GB"/>
        </w:rPr>
        <w:t>2</w:t>
      </w:r>
      <w:r w:rsidRPr="00281994">
        <w:rPr>
          <w:shd w:val="clear" w:color="auto" w:fill="FFFFFF"/>
          <w:lang w:val="en-GB"/>
        </w:rPr>
        <w:t xml:space="preserve"> for urban areas).</w:t>
      </w:r>
    </w:p>
    <w:p w:rsidR="00F802BE" w:rsidRPr="00281994" w:rsidRDefault="00694E98" w:rsidP="00694E98">
      <w:pPr>
        <w:pStyle w:val="Nagwek1"/>
        <w:rPr>
          <w:rFonts w:ascii="Fira Sans" w:eastAsiaTheme="minorHAnsi" w:hAnsi="Fira Sans" w:cstheme="minorBidi"/>
          <w:bCs w:val="0"/>
          <w:color w:val="auto"/>
          <w:szCs w:val="22"/>
          <w:shd w:val="clear" w:color="auto" w:fill="FFFFFF"/>
          <w:lang w:val="en-GB" w:eastAsia="en-US"/>
        </w:rPr>
      </w:pPr>
      <w:r w:rsidRPr="00281994">
        <w:rPr>
          <w:rFonts w:ascii="Fira Sans" w:eastAsiaTheme="minorHAnsi" w:hAnsi="Fira Sans" w:cstheme="minorBidi"/>
          <w:bCs w:val="0"/>
          <w:color w:val="auto"/>
          <w:szCs w:val="22"/>
          <w:shd w:val="clear" w:color="auto" w:fill="FFFFFF"/>
          <w:lang w:val="en-GB" w:eastAsia="en-US"/>
        </w:rPr>
        <w:t xml:space="preserve">In 2018, as compared to the previous year, </w:t>
      </w:r>
      <w:r w:rsidR="00A508B4" w:rsidRPr="00281994">
        <w:rPr>
          <w:rFonts w:ascii="Fira Sans" w:eastAsiaTheme="minorHAnsi" w:hAnsi="Fira Sans" w:cstheme="minorBidi"/>
          <w:bCs w:val="0"/>
          <w:color w:val="auto"/>
          <w:szCs w:val="22"/>
          <w:shd w:val="clear" w:color="auto" w:fill="FFFFFF"/>
          <w:lang w:val="en-GB" w:eastAsia="en-US"/>
        </w:rPr>
        <w:t xml:space="preserve">the </w:t>
      </w:r>
      <w:r w:rsidRPr="00281994">
        <w:rPr>
          <w:rFonts w:ascii="Fira Sans" w:eastAsiaTheme="minorHAnsi" w:hAnsi="Fira Sans" w:cstheme="minorBidi"/>
          <w:bCs w:val="0"/>
          <w:color w:val="auto"/>
          <w:szCs w:val="22"/>
          <w:shd w:val="clear" w:color="auto" w:fill="FFFFFF"/>
          <w:lang w:val="en-GB" w:eastAsia="en-US"/>
        </w:rPr>
        <w:t>average useful floor area per 1 person increase</w:t>
      </w:r>
      <w:r w:rsidR="008C407E" w:rsidRPr="00281994">
        <w:rPr>
          <w:rFonts w:ascii="Fira Sans" w:eastAsiaTheme="minorHAnsi" w:hAnsi="Fira Sans" w:cstheme="minorBidi"/>
          <w:bCs w:val="0"/>
          <w:color w:val="auto"/>
          <w:szCs w:val="22"/>
          <w:shd w:val="clear" w:color="auto" w:fill="FFFFFF"/>
          <w:lang w:val="en-GB" w:eastAsia="en-US"/>
        </w:rPr>
        <w:t>d</w:t>
      </w:r>
      <w:r w:rsidRPr="00281994">
        <w:rPr>
          <w:rFonts w:ascii="Fira Sans" w:eastAsiaTheme="minorHAnsi" w:hAnsi="Fira Sans" w:cstheme="minorBidi"/>
          <w:bCs w:val="0"/>
          <w:color w:val="auto"/>
          <w:szCs w:val="22"/>
          <w:shd w:val="clear" w:color="auto" w:fill="FFFFFF"/>
          <w:lang w:val="en-GB" w:eastAsia="en-US"/>
        </w:rPr>
        <w:t xml:space="preserve"> by 0.4 m</w:t>
      </w:r>
      <w:r w:rsidRPr="00281994">
        <w:rPr>
          <w:rFonts w:ascii="Fira Sans" w:eastAsiaTheme="minorHAnsi" w:hAnsi="Fira Sans" w:cstheme="minorBidi"/>
          <w:bCs w:val="0"/>
          <w:color w:val="auto"/>
          <w:szCs w:val="22"/>
          <w:shd w:val="clear" w:color="auto" w:fill="FFFFFF"/>
          <w:vertAlign w:val="superscript"/>
          <w:lang w:val="en-GB" w:eastAsia="en-US"/>
        </w:rPr>
        <w:t>2</w:t>
      </w:r>
      <w:r w:rsidRPr="00281994">
        <w:rPr>
          <w:rFonts w:ascii="Fira Sans" w:eastAsiaTheme="minorHAnsi" w:hAnsi="Fira Sans" w:cstheme="minorBidi"/>
          <w:bCs w:val="0"/>
          <w:color w:val="auto"/>
          <w:szCs w:val="22"/>
          <w:shd w:val="clear" w:color="auto" w:fill="FFFFFF"/>
          <w:lang w:val="en-GB" w:eastAsia="en-US"/>
        </w:rPr>
        <w:t xml:space="preserve"> and amounted to 28.2 m</w:t>
      </w:r>
      <w:r w:rsidRPr="00281994">
        <w:rPr>
          <w:rFonts w:ascii="Fira Sans" w:eastAsiaTheme="minorHAnsi" w:hAnsi="Fira Sans" w:cstheme="minorBidi"/>
          <w:bCs w:val="0"/>
          <w:color w:val="auto"/>
          <w:szCs w:val="22"/>
          <w:shd w:val="clear" w:color="auto" w:fill="FFFFFF"/>
          <w:vertAlign w:val="superscript"/>
          <w:lang w:val="en-GB" w:eastAsia="en-US"/>
        </w:rPr>
        <w:t>2</w:t>
      </w:r>
      <w:r w:rsidRPr="00281994">
        <w:rPr>
          <w:rFonts w:ascii="Fira Sans" w:eastAsiaTheme="minorHAnsi" w:hAnsi="Fira Sans" w:cstheme="minorBidi"/>
          <w:bCs w:val="0"/>
          <w:color w:val="auto"/>
          <w:szCs w:val="22"/>
          <w:shd w:val="clear" w:color="auto" w:fill="FFFFFF"/>
          <w:lang w:val="en-GB" w:eastAsia="en-US"/>
        </w:rPr>
        <w:t xml:space="preserve"> (in urban areas it increase</w:t>
      </w:r>
      <w:r w:rsidR="00A508B4" w:rsidRPr="00281994">
        <w:rPr>
          <w:rFonts w:ascii="Fira Sans" w:eastAsiaTheme="minorHAnsi" w:hAnsi="Fira Sans" w:cstheme="minorBidi"/>
          <w:bCs w:val="0"/>
          <w:color w:val="auto"/>
          <w:szCs w:val="22"/>
          <w:shd w:val="clear" w:color="auto" w:fill="FFFFFF"/>
          <w:lang w:val="en-GB" w:eastAsia="en-US"/>
        </w:rPr>
        <w:t>d</w:t>
      </w:r>
      <w:r w:rsidRPr="00281994">
        <w:rPr>
          <w:rFonts w:ascii="Fira Sans" w:eastAsiaTheme="minorHAnsi" w:hAnsi="Fira Sans" w:cstheme="minorBidi"/>
          <w:bCs w:val="0"/>
          <w:color w:val="auto"/>
          <w:szCs w:val="22"/>
          <w:shd w:val="clear" w:color="auto" w:fill="FFFFFF"/>
          <w:lang w:val="en-GB" w:eastAsia="en-US"/>
        </w:rPr>
        <w:t xml:space="preserve"> </w:t>
      </w:r>
      <w:r w:rsidR="00A508B4" w:rsidRPr="00281994">
        <w:rPr>
          <w:rFonts w:ascii="Fira Sans" w:eastAsiaTheme="minorHAnsi" w:hAnsi="Fira Sans" w:cstheme="minorBidi"/>
          <w:bCs w:val="0"/>
          <w:color w:val="auto"/>
          <w:szCs w:val="22"/>
          <w:shd w:val="clear" w:color="auto" w:fill="FFFFFF"/>
          <w:lang w:val="en-GB" w:eastAsia="en-US"/>
        </w:rPr>
        <w:t>from</w:t>
      </w:r>
      <w:r w:rsidRPr="00281994">
        <w:rPr>
          <w:rFonts w:ascii="Fira Sans" w:eastAsiaTheme="minorHAnsi" w:hAnsi="Fira Sans" w:cstheme="minorBidi"/>
          <w:bCs w:val="0"/>
          <w:color w:val="auto"/>
          <w:szCs w:val="22"/>
          <w:shd w:val="clear" w:color="auto" w:fill="FFFFFF"/>
          <w:lang w:val="en-GB" w:eastAsia="en-US"/>
        </w:rPr>
        <w:t xml:space="preserve"> 27.2 m</w:t>
      </w:r>
      <w:r w:rsidRPr="00281994">
        <w:rPr>
          <w:rFonts w:ascii="Fira Sans" w:eastAsiaTheme="minorHAnsi" w:hAnsi="Fira Sans" w:cstheme="minorBidi"/>
          <w:bCs w:val="0"/>
          <w:color w:val="auto"/>
          <w:szCs w:val="22"/>
          <w:shd w:val="clear" w:color="auto" w:fill="FFFFFF"/>
          <w:vertAlign w:val="superscript"/>
          <w:lang w:val="en-GB" w:eastAsia="en-US"/>
        </w:rPr>
        <w:t>2</w:t>
      </w:r>
      <w:r w:rsidRPr="00281994">
        <w:rPr>
          <w:rFonts w:ascii="Fira Sans" w:eastAsiaTheme="minorHAnsi" w:hAnsi="Fira Sans" w:cstheme="minorBidi"/>
          <w:bCs w:val="0"/>
          <w:color w:val="auto"/>
          <w:szCs w:val="22"/>
          <w:shd w:val="clear" w:color="auto" w:fill="FFFFFF"/>
          <w:lang w:val="en-GB" w:eastAsia="en-US"/>
        </w:rPr>
        <w:t xml:space="preserve"> to 27.7</w:t>
      </w:r>
      <w:r w:rsidR="00A508B4" w:rsidRPr="00281994">
        <w:rPr>
          <w:rFonts w:ascii="Fira Sans" w:eastAsiaTheme="minorHAnsi" w:hAnsi="Fira Sans" w:cstheme="minorBidi"/>
          <w:bCs w:val="0"/>
          <w:color w:val="auto"/>
          <w:szCs w:val="22"/>
          <w:shd w:val="clear" w:color="auto" w:fill="FFFFFF"/>
          <w:lang w:val="en-GB" w:eastAsia="en-US"/>
        </w:rPr>
        <w:t> </w:t>
      </w:r>
      <w:r w:rsidRPr="00281994">
        <w:rPr>
          <w:rFonts w:ascii="Fira Sans" w:eastAsiaTheme="minorHAnsi" w:hAnsi="Fira Sans" w:cstheme="minorBidi"/>
          <w:bCs w:val="0"/>
          <w:color w:val="auto"/>
          <w:szCs w:val="22"/>
          <w:shd w:val="clear" w:color="auto" w:fill="FFFFFF"/>
          <w:lang w:val="en-GB" w:eastAsia="en-US"/>
        </w:rPr>
        <w:t>m</w:t>
      </w:r>
      <w:r w:rsidRPr="00281994">
        <w:rPr>
          <w:rFonts w:ascii="Fira Sans" w:eastAsiaTheme="minorHAnsi" w:hAnsi="Fira Sans" w:cstheme="minorBidi"/>
          <w:bCs w:val="0"/>
          <w:color w:val="auto"/>
          <w:szCs w:val="22"/>
          <w:shd w:val="clear" w:color="auto" w:fill="FFFFFF"/>
          <w:vertAlign w:val="superscript"/>
          <w:lang w:val="en-GB" w:eastAsia="en-US"/>
        </w:rPr>
        <w:t>2</w:t>
      </w:r>
      <w:r w:rsidRPr="00281994">
        <w:rPr>
          <w:rFonts w:ascii="Fira Sans" w:eastAsiaTheme="minorHAnsi" w:hAnsi="Fira Sans" w:cstheme="minorBidi"/>
          <w:bCs w:val="0"/>
          <w:color w:val="auto"/>
          <w:szCs w:val="22"/>
          <w:shd w:val="clear" w:color="auto" w:fill="FFFFFF"/>
          <w:lang w:val="en-GB" w:eastAsia="en-US"/>
        </w:rPr>
        <w:t>, and in rural areas from 28.7 m</w:t>
      </w:r>
      <w:r w:rsidRPr="00281994">
        <w:rPr>
          <w:rFonts w:ascii="Fira Sans" w:eastAsiaTheme="minorHAnsi" w:hAnsi="Fira Sans" w:cstheme="minorBidi"/>
          <w:bCs w:val="0"/>
          <w:color w:val="auto"/>
          <w:szCs w:val="22"/>
          <w:shd w:val="clear" w:color="auto" w:fill="FFFFFF"/>
          <w:vertAlign w:val="superscript"/>
          <w:lang w:val="en-GB" w:eastAsia="en-US"/>
        </w:rPr>
        <w:t>2</w:t>
      </w:r>
      <w:r w:rsidRPr="00281994">
        <w:rPr>
          <w:rFonts w:ascii="Fira Sans" w:eastAsiaTheme="minorHAnsi" w:hAnsi="Fira Sans" w:cstheme="minorBidi"/>
          <w:bCs w:val="0"/>
          <w:color w:val="auto"/>
          <w:szCs w:val="22"/>
          <w:shd w:val="clear" w:color="auto" w:fill="FFFFFF"/>
          <w:lang w:val="en-GB" w:eastAsia="en-US"/>
        </w:rPr>
        <w:t xml:space="preserve"> to 29.1 m</w:t>
      </w:r>
      <w:r w:rsidRPr="00281994">
        <w:rPr>
          <w:rFonts w:ascii="Fira Sans" w:eastAsiaTheme="minorHAnsi" w:hAnsi="Fira Sans" w:cstheme="minorBidi"/>
          <w:bCs w:val="0"/>
          <w:color w:val="auto"/>
          <w:szCs w:val="22"/>
          <w:shd w:val="clear" w:color="auto" w:fill="FFFFFF"/>
          <w:vertAlign w:val="superscript"/>
          <w:lang w:val="en-GB" w:eastAsia="en-US"/>
        </w:rPr>
        <w:t>2</w:t>
      </w:r>
      <w:r w:rsidRPr="00281994">
        <w:rPr>
          <w:rFonts w:ascii="Fira Sans" w:eastAsiaTheme="minorHAnsi" w:hAnsi="Fira Sans" w:cstheme="minorBidi"/>
          <w:bCs w:val="0"/>
          <w:color w:val="auto"/>
          <w:szCs w:val="22"/>
          <w:shd w:val="clear" w:color="auto" w:fill="FFFFFF"/>
          <w:lang w:val="en-GB" w:eastAsia="en-US"/>
        </w:rPr>
        <w:t xml:space="preserve">). Disproportions between urban and rural </w:t>
      </w:r>
      <w:r w:rsidRPr="00281994">
        <w:rPr>
          <w:rFonts w:ascii="Fira Sans" w:eastAsiaTheme="minorHAnsi" w:hAnsi="Fira Sans" w:cstheme="minorBidi"/>
          <w:bCs w:val="0"/>
          <w:color w:val="auto"/>
          <w:szCs w:val="22"/>
          <w:shd w:val="clear" w:color="auto" w:fill="FFFFFF"/>
          <w:lang w:val="en-GB" w:eastAsia="en-US"/>
        </w:rPr>
        <w:lastRenderedPageBreak/>
        <w:t xml:space="preserve">areas also concerned the degree of population of dwellings. Rural dwellings had denser population than urban dwellings. On average, there were 2.34 person per 1 dwelling in urban areas, </w:t>
      </w:r>
      <w:r w:rsidR="00E84AB6">
        <w:rPr>
          <w:rFonts w:ascii="Fira Sans" w:eastAsiaTheme="minorHAnsi" w:hAnsi="Fira Sans" w:cstheme="minorBidi"/>
          <w:bCs w:val="0"/>
          <w:color w:val="auto"/>
          <w:szCs w:val="22"/>
          <w:shd w:val="clear" w:color="auto" w:fill="FFFFFF"/>
          <w:lang w:val="en-GB" w:eastAsia="en-US"/>
        </w:rPr>
        <w:t>whereas</w:t>
      </w:r>
      <w:r w:rsidRPr="00281994">
        <w:rPr>
          <w:rFonts w:ascii="Fira Sans" w:eastAsiaTheme="minorHAnsi" w:hAnsi="Fira Sans" w:cstheme="minorBidi"/>
          <w:bCs w:val="0"/>
          <w:color w:val="auto"/>
          <w:szCs w:val="22"/>
          <w:shd w:val="clear" w:color="auto" w:fill="FFFFFF"/>
          <w:lang w:val="en-GB" w:eastAsia="en-US"/>
        </w:rPr>
        <w:t xml:space="preserve"> in rural areas 3.23, </w:t>
      </w:r>
      <w:r w:rsidR="00A508B4" w:rsidRPr="00281994">
        <w:rPr>
          <w:rFonts w:ascii="Fira Sans" w:eastAsiaTheme="minorHAnsi" w:hAnsi="Fira Sans" w:cstheme="minorBidi"/>
          <w:bCs w:val="0"/>
          <w:color w:val="auto"/>
          <w:szCs w:val="22"/>
          <w:shd w:val="clear" w:color="auto" w:fill="FFFFFF"/>
          <w:lang w:val="en-GB" w:eastAsia="en-US"/>
        </w:rPr>
        <w:t xml:space="preserve">while the </w:t>
      </w:r>
      <w:r w:rsidRPr="00281994">
        <w:rPr>
          <w:rFonts w:ascii="Fira Sans" w:eastAsiaTheme="minorHAnsi" w:hAnsi="Fira Sans" w:cstheme="minorBidi"/>
          <w:bCs w:val="0"/>
          <w:color w:val="auto"/>
          <w:szCs w:val="22"/>
          <w:shd w:val="clear" w:color="auto" w:fill="FFFFFF"/>
          <w:lang w:val="en-GB" w:eastAsia="en-US"/>
        </w:rPr>
        <w:t xml:space="preserve">average </w:t>
      </w:r>
      <w:r w:rsidR="00A508B4" w:rsidRPr="00281994">
        <w:rPr>
          <w:rFonts w:ascii="Fira Sans" w:eastAsiaTheme="minorHAnsi" w:hAnsi="Fira Sans" w:cstheme="minorBidi"/>
          <w:bCs w:val="0"/>
          <w:color w:val="auto"/>
          <w:szCs w:val="22"/>
          <w:shd w:val="clear" w:color="auto" w:fill="FFFFFF"/>
          <w:lang w:val="en-GB" w:eastAsia="en-US"/>
        </w:rPr>
        <w:t>for Poland was</w:t>
      </w:r>
      <w:r w:rsidRPr="00281994">
        <w:rPr>
          <w:rFonts w:ascii="Fira Sans" w:eastAsiaTheme="minorHAnsi" w:hAnsi="Fira Sans" w:cstheme="minorBidi"/>
          <w:bCs w:val="0"/>
          <w:color w:val="auto"/>
          <w:szCs w:val="22"/>
          <w:shd w:val="clear" w:color="auto" w:fill="FFFFFF"/>
          <w:lang w:val="en-GB" w:eastAsia="en-US"/>
        </w:rPr>
        <w:t xml:space="preserve"> 2.63. Another indicator presenting dwelling population density i</w:t>
      </w:r>
      <w:r w:rsidR="00A508B4" w:rsidRPr="00281994">
        <w:rPr>
          <w:rFonts w:ascii="Fira Sans" w:eastAsiaTheme="minorHAnsi" w:hAnsi="Fira Sans" w:cstheme="minorBidi"/>
          <w:bCs w:val="0"/>
          <w:color w:val="auto"/>
          <w:szCs w:val="22"/>
          <w:shd w:val="clear" w:color="auto" w:fill="FFFFFF"/>
          <w:lang w:val="en-GB" w:eastAsia="en-US"/>
        </w:rPr>
        <w:t>s</w:t>
      </w:r>
      <w:r w:rsidRPr="00281994">
        <w:rPr>
          <w:rFonts w:ascii="Fira Sans" w:eastAsiaTheme="minorHAnsi" w:hAnsi="Fira Sans" w:cstheme="minorBidi"/>
          <w:bCs w:val="0"/>
          <w:color w:val="auto"/>
          <w:szCs w:val="22"/>
          <w:shd w:val="clear" w:color="auto" w:fill="FFFFFF"/>
          <w:lang w:val="en-GB" w:eastAsia="en-US"/>
        </w:rPr>
        <w:t xml:space="preserve"> the average number of person</w:t>
      </w:r>
      <w:r w:rsidR="00A508B4" w:rsidRPr="00281994">
        <w:rPr>
          <w:rFonts w:ascii="Fira Sans" w:eastAsiaTheme="minorHAnsi" w:hAnsi="Fira Sans" w:cstheme="minorBidi"/>
          <w:bCs w:val="0"/>
          <w:color w:val="auto"/>
          <w:szCs w:val="22"/>
          <w:shd w:val="clear" w:color="auto" w:fill="FFFFFF"/>
          <w:lang w:val="en-GB" w:eastAsia="en-US"/>
        </w:rPr>
        <w:t>s</w:t>
      </w:r>
      <w:r w:rsidRPr="00281994">
        <w:rPr>
          <w:rFonts w:ascii="Fira Sans" w:eastAsiaTheme="minorHAnsi" w:hAnsi="Fira Sans" w:cstheme="minorBidi"/>
          <w:bCs w:val="0"/>
          <w:color w:val="auto"/>
          <w:szCs w:val="22"/>
          <w:shd w:val="clear" w:color="auto" w:fill="FFFFFF"/>
          <w:lang w:val="en-GB" w:eastAsia="en-US"/>
        </w:rPr>
        <w:t xml:space="preserve"> per 1 room. For Poland, this indicator was at the level of 0.69, </w:t>
      </w:r>
      <w:r w:rsidR="00A508B4" w:rsidRPr="00281994">
        <w:rPr>
          <w:rFonts w:ascii="Fira Sans" w:eastAsiaTheme="minorHAnsi" w:hAnsi="Fira Sans" w:cstheme="minorBidi"/>
          <w:bCs w:val="0"/>
          <w:color w:val="auto"/>
          <w:szCs w:val="22"/>
          <w:shd w:val="clear" w:color="auto" w:fill="FFFFFF"/>
          <w:lang w:val="en-GB" w:eastAsia="en-US"/>
        </w:rPr>
        <w:t>however</w:t>
      </w:r>
      <w:r w:rsidRPr="00281994">
        <w:rPr>
          <w:rFonts w:ascii="Fira Sans" w:eastAsiaTheme="minorHAnsi" w:hAnsi="Fira Sans" w:cstheme="minorBidi"/>
          <w:bCs w:val="0"/>
          <w:color w:val="auto"/>
          <w:szCs w:val="22"/>
          <w:shd w:val="clear" w:color="auto" w:fill="FFFFFF"/>
          <w:lang w:val="en-GB" w:eastAsia="en-US"/>
        </w:rPr>
        <w:t xml:space="preserve"> in rural areas it was higher and amounted to 0.74, while in urban area</w:t>
      </w:r>
      <w:r w:rsidR="00A508B4" w:rsidRPr="00281994">
        <w:rPr>
          <w:rFonts w:ascii="Fira Sans" w:eastAsiaTheme="minorHAnsi" w:hAnsi="Fira Sans" w:cstheme="minorBidi"/>
          <w:bCs w:val="0"/>
          <w:color w:val="auto"/>
          <w:szCs w:val="22"/>
          <w:shd w:val="clear" w:color="auto" w:fill="FFFFFF"/>
          <w:lang w:val="en-GB" w:eastAsia="en-US"/>
        </w:rPr>
        <w:t xml:space="preserve">s </w:t>
      </w:r>
      <w:r w:rsidRPr="00281994">
        <w:rPr>
          <w:rFonts w:ascii="Fira Sans" w:eastAsiaTheme="minorHAnsi" w:hAnsi="Fira Sans" w:cstheme="minorBidi"/>
          <w:bCs w:val="0"/>
          <w:color w:val="auto"/>
          <w:szCs w:val="22"/>
          <w:shd w:val="clear" w:color="auto" w:fill="FFFFFF"/>
          <w:lang w:val="en-GB" w:eastAsia="en-US"/>
        </w:rPr>
        <w:t>– 0.66 person per 1 room.</w:t>
      </w:r>
    </w:p>
    <w:p w:rsidR="00694E98" w:rsidRPr="00281994" w:rsidRDefault="009D1927" w:rsidP="00694E98">
      <w:pPr>
        <w:spacing w:after="0"/>
        <w:rPr>
          <w:shd w:val="clear" w:color="auto" w:fill="FFFFFF"/>
          <w:lang w:val="en-GB"/>
        </w:rPr>
      </w:pPr>
      <w:r w:rsidRPr="0097136B">
        <w:rPr>
          <w:noProof/>
          <w:lang w:eastAsia="pl-PL"/>
        </w:rPr>
        <mc:AlternateContent>
          <mc:Choice Requires="wps">
            <w:drawing>
              <wp:anchor distT="45720" distB="45720" distL="114300" distR="114300" simplePos="0" relativeHeight="251667456" behindDoc="1" locked="0" layoutInCell="1" allowOverlap="1" wp14:anchorId="30A00011" wp14:editId="052F5FE0">
                <wp:simplePos x="0" y="0"/>
                <wp:positionH relativeFrom="rightMargin">
                  <wp:posOffset>91440</wp:posOffset>
                </wp:positionH>
                <wp:positionV relativeFrom="paragraph">
                  <wp:posOffset>95250</wp:posOffset>
                </wp:positionV>
                <wp:extent cx="1666875" cy="791210"/>
                <wp:effectExtent l="0" t="0" r="0" b="0"/>
                <wp:wrapTight wrapText="bothSides">
                  <wp:wrapPolygon edited="0">
                    <wp:start x="741" y="0"/>
                    <wp:lineTo x="741" y="20803"/>
                    <wp:lineTo x="20736" y="20803"/>
                    <wp:lineTo x="20736" y="0"/>
                    <wp:lineTo x="741" y="0"/>
                  </wp:wrapPolygon>
                </wp:wrapTight>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791210"/>
                        </a:xfrm>
                        <a:prstGeom prst="rect">
                          <a:avLst/>
                        </a:prstGeom>
                        <a:noFill/>
                        <a:ln w="9525">
                          <a:noFill/>
                          <a:miter lim="800000"/>
                          <a:headEnd/>
                          <a:tailEnd/>
                        </a:ln>
                      </wps:spPr>
                      <wps:txbx>
                        <w:txbxContent>
                          <w:p w:rsidR="00E84AB6" w:rsidRPr="00281994" w:rsidRDefault="00E84AB6" w:rsidP="009D1927">
                            <w:pPr>
                              <w:pStyle w:val="tekstzboku"/>
                              <w:rPr>
                                <w:lang w:val="en-GB"/>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Number of dwellings fitted with sanitary and technical installations increased in 2018 in Poland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A00011" id="_x0000_s1031" type="#_x0000_t202" style="position:absolute;margin-left:7.2pt;margin-top:7.5pt;width:131.25pt;height:62.3pt;z-index:-25164902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" filled="f" stroked="f">
                <v:textbox>
                  <w:txbxContent>
                    <w:p w:rsidR="00E84AB6" w:rsidRPr="00281994" w:rsidRDefault="00E84AB6" w:rsidP="009D1927">
                      <w:pPr>
                        <w:pStyle w:val="tekstzboku"/>
                        <w:rPr>
                          <w:lang w:val="en-GB"/>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Number of dwellings fitted with sanitary and technical installations increased in 2018 in Poland</w:t>
                      </w:r>
                    </w:p>
                  </w:txbxContent>
                </v:textbox>
                <w10:wrap type="tight" anchorx="margin"/>
              </v:shape>
            </w:pict>
          </mc:Fallback>
        </mc:AlternateContent>
      </w:r>
      <w:r w:rsidR="00694E98" w:rsidRPr="00281994">
        <w:rPr>
          <w:shd w:val="clear" w:color="auto" w:fill="FFFFFF"/>
          <w:lang w:val="en-GB"/>
        </w:rPr>
        <w:t>An increasing percentage of dwellings fitted with sanitary and technical installations indicated an improvement in housing conditions of population.</w:t>
      </w:r>
      <w:r w:rsidRPr="00281994">
        <w:rPr>
          <w:noProof/>
          <w:lang w:val="en-GB" w:eastAsia="pl-PL"/>
        </w:rPr>
        <w:t xml:space="preserve"> </w:t>
      </w:r>
    </w:p>
    <w:p w:rsidR="00694E98" w:rsidRPr="00281994" w:rsidRDefault="00694E98" w:rsidP="00694E98">
      <w:pPr>
        <w:spacing w:after="0"/>
        <w:rPr>
          <w:shd w:val="clear" w:color="auto" w:fill="FFFFFF"/>
          <w:lang w:val="en-GB"/>
        </w:rPr>
      </w:pPr>
      <w:r w:rsidRPr="00281994">
        <w:rPr>
          <w:shd w:val="clear" w:color="auto" w:fill="FFFFFF"/>
          <w:lang w:val="en-GB"/>
        </w:rPr>
        <w:t>Water</w:t>
      </w:r>
      <w:r w:rsidR="006B1C05" w:rsidRPr="00281994">
        <w:rPr>
          <w:shd w:val="clear" w:color="auto" w:fill="FFFFFF"/>
          <w:lang w:val="en-GB"/>
        </w:rPr>
        <w:t xml:space="preserve"> supply system</w:t>
      </w:r>
      <w:r w:rsidRPr="00281994">
        <w:rPr>
          <w:shd w:val="clear" w:color="auto" w:fill="FFFFFF"/>
          <w:lang w:val="en-GB"/>
        </w:rPr>
        <w:t xml:space="preserve"> were fitted in 96.</w:t>
      </w:r>
      <w:r w:rsidR="00F467CA" w:rsidRPr="00281994">
        <w:rPr>
          <w:shd w:val="clear" w:color="auto" w:fill="FFFFFF"/>
          <w:lang w:val="en-GB"/>
        </w:rPr>
        <w:t>9</w:t>
      </w:r>
      <w:r w:rsidR="00A508B4" w:rsidRPr="00281994">
        <w:rPr>
          <w:shd w:val="clear" w:color="auto" w:fill="FFFFFF"/>
          <w:lang w:val="en-GB"/>
        </w:rPr>
        <w:t> </w:t>
      </w:r>
      <w:r w:rsidRPr="00281994">
        <w:rPr>
          <w:shd w:val="clear" w:color="auto" w:fill="FFFFFF"/>
          <w:lang w:val="en-GB"/>
        </w:rPr>
        <w:t xml:space="preserve">% of dwellings, lavatory </w:t>
      </w:r>
      <w:r w:rsidR="00E84AB6">
        <w:rPr>
          <w:shd w:val="clear" w:color="auto" w:fill="FFFFFF"/>
          <w:lang w:val="en-GB"/>
        </w:rPr>
        <w:t xml:space="preserve">was </w:t>
      </w:r>
      <w:r w:rsidRPr="00281994">
        <w:rPr>
          <w:shd w:val="clear" w:color="auto" w:fill="FFFFFF"/>
          <w:lang w:val="en-GB"/>
        </w:rPr>
        <w:t>in 93.</w:t>
      </w:r>
      <w:r w:rsidR="00F467CA" w:rsidRPr="00281994">
        <w:rPr>
          <w:shd w:val="clear" w:color="auto" w:fill="FFFFFF"/>
          <w:lang w:val="en-GB"/>
        </w:rPr>
        <w:t>8</w:t>
      </w:r>
      <w:r w:rsidR="00A508B4" w:rsidRPr="00281994">
        <w:rPr>
          <w:shd w:val="clear" w:color="auto" w:fill="FFFFFF"/>
          <w:lang w:val="en-GB"/>
        </w:rPr>
        <w:t> </w:t>
      </w:r>
      <w:r w:rsidRPr="00281994">
        <w:rPr>
          <w:shd w:val="clear" w:color="auto" w:fill="FFFFFF"/>
          <w:lang w:val="en-GB"/>
        </w:rPr>
        <w:t>% and bathroom in 91.</w:t>
      </w:r>
      <w:r w:rsidR="00F467CA" w:rsidRPr="00281994">
        <w:rPr>
          <w:shd w:val="clear" w:color="auto" w:fill="FFFFFF"/>
          <w:lang w:val="en-GB"/>
        </w:rPr>
        <w:t>5</w:t>
      </w:r>
      <w:r w:rsidR="00A508B4" w:rsidRPr="00281994">
        <w:rPr>
          <w:shd w:val="clear" w:color="auto" w:fill="FFFFFF"/>
          <w:lang w:val="en-GB"/>
        </w:rPr>
        <w:t> </w:t>
      </w:r>
      <w:r w:rsidRPr="00281994">
        <w:rPr>
          <w:shd w:val="clear" w:color="auto" w:fill="FFFFFF"/>
          <w:lang w:val="en-GB"/>
        </w:rPr>
        <w:t xml:space="preserve">%. </w:t>
      </w:r>
      <w:r w:rsidR="00A508B4" w:rsidRPr="00281994">
        <w:rPr>
          <w:shd w:val="clear" w:color="auto" w:fill="FFFFFF"/>
          <w:lang w:val="en-GB"/>
        </w:rPr>
        <w:t>However</w:t>
      </w:r>
      <w:r w:rsidRPr="00281994">
        <w:rPr>
          <w:shd w:val="clear" w:color="auto" w:fill="FFFFFF"/>
          <w:lang w:val="en-GB"/>
        </w:rPr>
        <w:t xml:space="preserve">, every second dwelling was fitted with gas installation. </w:t>
      </w:r>
    </w:p>
    <w:p w:rsidR="00694E98" w:rsidRDefault="00694E98" w:rsidP="00694E98">
      <w:pPr>
        <w:rPr>
          <w:shd w:val="clear" w:color="auto" w:fill="FFFFFF"/>
          <w:lang w:val="en-GB"/>
        </w:rPr>
      </w:pPr>
      <w:r w:rsidRPr="00281994">
        <w:rPr>
          <w:shd w:val="clear" w:color="auto" w:fill="FFFFFF"/>
          <w:lang w:val="en-GB"/>
        </w:rPr>
        <w:t xml:space="preserve">Disproportions in dwellings </w:t>
      </w:r>
      <w:r w:rsidR="00E84AB6">
        <w:rPr>
          <w:shd w:val="clear" w:color="auto" w:fill="FFFFFF"/>
          <w:lang w:val="en-GB"/>
        </w:rPr>
        <w:t xml:space="preserve">fitted </w:t>
      </w:r>
      <w:r w:rsidRPr="00281994">
        <w:rPr>
          <w:shd w:val="clear" w:color="auto" w:fill="FFFFFF"/>
          <w:lang w:val="en-GB"/>
        </w:rPr>
        <w:t xml:space="preserve">with basic installations have been present between urban and rural areas. In urban areas, </w:t>
      </w:r>
      <w:r w:rsidR="006B1C05" w:rsidRPr="00281994">
        <w:rPr>
          <w:shd w:val="clear" w:color="auto" w:fill="FFFFFF"/>
          <w:lang w:val="en-GB"/>
        </w:rPr>
        <w:t>water supply system</w:t>
      </w:r>
      <w:r w:rsidRPr="00281994">
        <w:rPr>
          <w:shd w:val="clear" w:color="auto" w:fill="FFFFFF"/>
          <w:lang w:val="en-GB"/>
        </w:rPr>
        <w:t xml:space="preserve"> </w:t>
      </w:r>
      <w:r w:rsidR="00E84AB6">
        <w:rPr>
          <w:shd w:val="clear" w:color="auto" w:fill="FFFFFF"/>
          <w:lang w:val="en-GB"/>
        </w:rPr>
        <w:t>was</w:t>
      </w:r>
      <w:r w:rsidRPr="00281994">
        <w:rPr>
          <w:shd w:val="clear" w:color="auto" w:fill="FFFFFF"/>
          <w:lang w:val="en-GB"/>
        </w:rPr>
        <w:t xml:space="preserve"> fitted in 99.1% of dwellings, lavatory –</w:t>
      </w:r>
      <w:r w:rsidR="00A508B4" w:rsidRPr="00281994">
        <w:rPr>
          <w:shd w:val="clear" w:color="auto" w:fill="FFFFFF"/>
          <w:lang w:val="en-GB"/>
        </w:rPr>
        <w:t xml:space="preserve"> in </w:t>
      </w:r>
      <w:r w:rsidRPr="00281994">
        <w:rPr>
          <w:shd w:val="clear" w:color="auto" w:fill="FFFFFF"/>
          <w:lang w:val="en-GB"/>
        </w:rPr>
        <w:t>97.3</w:t>
      </w:r>
      <w:r w:rsidR="00A508B4" w:rsidRPr="00281994">
        <w:rPr>
          <w:shd w:val="clear" w:color="auto" w:fill="FFFFFF"/>
          <w:lang w:val="en-GB"/>
        </w:rPr>
        <w:t> </w:t>
      </w:r>
      <w:r w:rsidRPr="00281994">
        <w:rPr>
          <w:shd w:val="clear" w:color="auto" w:fill="FFFFFF"/>
          <w:lang w:val="en-GB"/>
        </w:rPr>
        <w:t>% and bathroom</w:t>
      </w:r>
      <w:r w:rsidR="00E84AB6">
        <w:rPr>
          <w:shd w:val="clear" w:color="auto" w:fill="FFFFFF"/>
          <w:lang w:val="en-GB"/>
        </w:rPr>
        <w:t xml:space="preserve"> </w:t>
      </w:r>
      <w:r w:rsidRPr="00281994">
        <w:rPr>
          <w:shd w:val="clear" w:color="auto" w:fill="FFFFFF"/>
          <w:lang w:val="en-GB"/>
        </w:rPr>
        <w:t>–</w:t>
      </w:r>
      <w:r w:rsidR="00A508B4" w:rsidRPr="00281994">
        <w:rPr>
          <w:shd w:val="clear" w:color="auto" w:fill="FFFFFF"/>
          <w:lang w:val="en-GB"/>
        </w:rPr>
        <w:t xml:space="preserve"> in </w:t>
      </w:r>
      <w:r w:rsidRPr="00281994">
        <w:rPr>
          <w:shd w:val="clear" w:color="auto" w:fill="FFFFFF"/>
          <w:lang w:val="en-GB"/>
        </w:rPr>
        <w:t>95.</w:t>
      </w:r>
      <w:r w:rsidR="00F467CA" w:rsidRPr="00281994">
        <w:rPr>
          <w:shd w:val="clear" w:color="auto" w:fill="FFFFFF"/>
          <w:lang w:val="en-GB"/>
        </w:rPr>
        <w:t>6</w:t>
      </w:r>
      <w:r w:rsidR="00A508B4" w:rsidRPr="00281994">
        <w:rPr>
          <w:shd w:val="clear" w:color="auto" w:fill="FFFFFF"/>
          <w:lang w:val="en-GB"/>
        </w:rPr>
        <w:t> </w:t>
      </w:r>
      <w:r w:rsidRPr="00281994">
        <w:rPr>
          <w:shd w:val="clear" w:color="auto" w:fill="FFFFFF"/>
          <w:lang w:val="en-GB"/>
        </w:rPr>
        <w:t>%. In rural areas 92</w:t>
      </w:r>
      <w:r w:rsidR="00A508B4" w:rsidRPr="00281994">
        <w:rPr>
          <w:shd w:val="clear" w:color="auto" w:fill="FFFFFF"/>
          <w:lang w:val="en-GB"/>
        </w:rPr>
        <w:t>.</w:t>
      </w:r>
      <w:r w:rsidR="00F467CA" w:rsidRPr="00281994">
        <w:rPr>
          <w:shd w:val="clear" w:color="auto" w:fill="FFFFFF"/>
          <w:lang w:val="en-GB"/>
        </w:rPr>
        <w:t>3</w:t>
      </w:r>
      <w:r w:rsidR="00A508B4" w:rsidRPr="00281994">
        <w:rPr>
          <w:shd w:val="clear" w:color="auto" w:fill="FFFFFF"/>
          <w:lang w:val="en-GB"/>
        </w:rPr>
        <w:t> </w:t>
      </w:r>
      <w:r w:rsidRPr="00281994">
        <w:rPr>
          <w:shd w:val="clear" w:color="auto" w:fill="FFFFFF"/>
          <w:lang w:val="en-GB"/>
        </w:rPr>
        <w:t xml:space="preserve">% of dwellings were connected to </w:t>
      </w:r>
      <w:r w:rsidR="006B1C05" w:rsidRPr="00281994">
        <w:rPr>
          <w:shd w:val="clear" w:color="auto" w:fill="FFFFFF"/>
          <w:lang w:val="en-GB"/>
        </w:rPr>
        <w:t>water supply system</w:t>
      </w:r>
      <w:r w:rsidRPr="00281994">
        <w:rPr>
          <w:shd w:val="clear" w:color="auto" w:fill="FFFFFF"/>
          <w:lang w:val="en-GB"/>
        </w:rPr>
        <w:t>, 86.</w:t>
      </w:r>
      <w:r w:rsidR="00F467CA" w:rsidRPr="00281994">
        <w:rPr>
          <w:shd w:val="clear" w:color="auto" w:fill="FFFFFF"/>
          <w:lang w:val="en-GB"/>
        </w:rPr>
        <w:t>6</w:t>
      </w:r>
      <w:r w:rsidR="00A508B4" w:rsidRPr="00281994">
        <w:rPr>
          <w:shd w:val="clear" w:color="auto" w:fill="FFFFFF"/>
          <w:lang w:val="en-GB"/>
        </w:rPr>
        <w:t> </w:t>
      </w:r>
      <w:r w:rsidRPr="00281994">
        <w:rPr>
          <w:shd w:val="clear" w:color="auto" w:fill="FFFFFF"/>
          <w:lang w:val="en-GB"/>
        </w:rPr>
        <w:t>% dwellings had lavatory</w:t>
      </w:r>
      <w:r w:rsidR="00E84AB6">
        <w:rPr>
          <w:shd w:val="clear" w:color="auto" w:fill="FFFFFF"/>
          <w:lang w:val="en-GB"/>
        </w:rPr>
        <w:t>,</w:t>
      </w:r>
      <w:r w:rsidRPr="00281994">
        <w:rPr>
          <w:shd w:val="clear" w:color="auto" w:fill="FFFFFF"/>
          <w:lang w:val="en-GB"/>
        </w:rPr>
        <w:t xml:space="preserve"> and 8</w:t>
      </w:r>
      <w:r w:rsidR="00A508B4" w:rsidRPr="00281994">
        <w:rPr>
          <w:shd w:val="clear" w:color="auto" w:fill="FFFFFF"/>
          <w:lang w:val="en-GB"/>
        </w:rPr>
        <w:t>3.</w:t>
      </w:r>
      <w:r w:rsidR="00F467CA" w:rsidRPr="00281994">
        <w:rPr>
          <w:shd w:val="clear" w:color="auto" w:fill="FFFFFF"/>
          <w:lang w:val="en-GB"/>
        </w:rPr>
        <w:t>1</w:t>
      </w:r>
      <w:r w:rsidR="00A508B4" w:rsidRPr="00281994">
        <w:rPr>
          <w:shd w:val="clear" w:color="auto" w:fill="FFFFFF"/>
          <w:lang w:val="en-GB"/>
        </w:rPr>
        <w:t> </w:t>
      </w:r>
      <w:r w:rsidRPr="00281994">
        <w:rPr>
          <w:shd w:val="clear" w:color="auto" w:fill="FFFFFF"/>
          <w:lang w:val="en-GB"/>
        </w:rPr>
        <w:t>% had bathroom.</w:t>
      </w:r>
    </w:p>
    <w:p w:rsidR="00E84AB6" w:rsidRPr="00281994" w:rsidRDefault="00E84AB6" w:rsidP="00694E98">
      <w:pPr>
        <w:rPr>
          <w:shd w:val="clear" w:color="auto" w:fill="FFFFFF"/>
          <w:lang w:val="en-GB"/>
        </w:rPr>
      </w:pPr>
    </w:p>
    <w:p w:rsidR="00F467CA" w:rsidRPr="00281994" w:rsidRDefault="009C3C14" w:rsidP="00F467CA">
      <w:pPr>
        <w:spacing w:before="0" w:after="0"/>
        <w:rPr>
          <w:rFonts w:eastAsia="Times New Roman" w:cs="Times New Roman"/>
          <w:bCs/>
          <w:szCs w:val="19"/>
          <w:lang w:val="en-GB" w:eastAsia="pl-PL"/>
        </w:rPr>
      </w:pPr>
      <w:r w:rsidRPr="00281994">
        <w:rPr>
          <w:b/>
          <w:spacing w:val="-2"/>
          <w:sz w:val="18"/>
          <w:lang w:val="en-GB"/>
        </w:rPr>
        <w:t>Chart</w:t>
      </w:r>
      <w:r w:rsidR="00F467CA" w:rsidRPr="00281994">
        <w:rPr>
          <w:b/>
          <w:spacing w:val="-2"/>
          <w:sz w:val="18"/>
          <w:lang w:val="en-GB"/>
        </w:rPr>
        <w:t xml:space="preserve"> 1. </w:t>
      </w:r>
      <w:r w:rsidRPr="00281994">
        <w:rPr>
          <w:b/>
          <w:spacing w:val="-2"/>
          <w:sz w:val="18"/>
          <w:lang w:val="en-GB"/>
        </w:rPr>
        <w:t xml:space="preserve">Dwellings fitted with installations in % of total in </w:t>
      </w:r>
      <w:r w:rsidR="00F467CA" w:rsidRPr="00281994">
        <w:rPr>
          <w:b/>
          <w:spacing w:val="-2"/>
          <w:sz w:val="18"/>
          <w:lang w:val="en-GB"/>
        </w:rPr>
        <w:t>2018 (</w:t>
      </w:r>
      <w:r w:rsidRPr="00281994">
        <w:rPr>
          <w:b/>
          <w:spacing w:val="-2"/>
          <w:sz w:val="18"/>
          <w:lang w:val="en-GB"/>
        </w:rPr>
        <w:t>as of</w:t>
      </w:r>
      <w:r w:rsidR="00F467CA" w:rsidRPr="00281994">
        <w:rPr>
          <w:b/>
          <w:spacing w:val="-2"/>
          <w:sz w:val="18"/>
          <w:lang w:val="en-GB"/>
        </w:rPr>
        <w:t xml:space="preserve"> 31</w:t>
      </w:r>
      <w:r w:rsidR="007F3137" w:rsidRPr="00281994">
        <w:rPr>
          <w:b/>
          <w:spacing w:val="-2"/>
          <w:sz w:val="18"/>
          <w:lang w:val="en-GB"/>
        </w:rPr>
        <w:t>.12</w:t>
      </w:r>
      <w:r w:rsidR="00F467CA" w:rsidRPr="00281994">
        <w:rPr>
          <w:b/>
          <w:spacing w:val="-2"/>
          <w:sz w:val="18"/>
          <w:lang w:val="en-GB"/>
        </w:rPr>
        <w:t>)</w:t>
      </w:r>
    </w:p>
    <w:p w:rsidR="00F467CA" w:rsidRPr="00281994" w:rsidRDefault="00F467CA" w:rsidP="00F467CA">
      <w:pPr>
        <w:spacing w:before="0" w:after="0"/>
        <w:rPr>
          <w:rFonts w:eastAsia="Times New Roman" w:cs="Times New Roman"/>
          <w:bCs/>
          <w:szCs w:val="19"/>
          <w:lang w:val="en-GB" w:eastAsia="pl-PL"/>
        </w:rPr>
      </w:pPr>
    </w:p>
    <w:p w:rsidR="00F467CA" w:rsidRPr="00281994" w:rsidRDefault="00F467CA" w:rsidP="00F467CA">
      <w:pPr>
        <w:spacing w:before="0" w:after="0"/>
        <w:rPr>
          <w:rFonts w:eastAsia="Times New Roman" w:cs="Times New Roman"/>
          <w:bCs/>
          <w:szCs w:val="19"/>
          <w:lang w:val="en-GB" w:eastAsia="pl-PL"/>
        </w:rPr>
      </w:pPr>
      <w:r>
        <w:rPr>
          <w:noProof/>
          <w:lang w:eastAsia="pl-PL"/>
        </w:rPr>
        <w:drawing>
          <wp:anchor distT="0" distB="0" distL="114300" distR="114300" simplePos="0" relativeHeight="251660288" behindDoc="0" locked="0" layoutInCell="1" allowOverlap="1" wp14:anchorId="4DAEC443" wp14:editId="44AC2285">
            <wp:simplePos x="0" y="0"/>
            <wp:positionH relativeFrom="margin">
              <wp:posOffset>242048</wp:posOffset>
            </wp:positionH>
            <wp:positionV relativeFrom="paragraph">
              <wp:posOffset>3949</wp:posOffset>
            </wp:positionV>
            <wp:extent cx="4518212" cy="2220685"/>
            <wp:effectExtent l="0" t="0" r="0" b="8255"/>
            <wp:wrapNone/>
            <wp:docPr id="15" name="Wykres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F467CA" w:rsidRPr="00281994" w:rsidRDefault="00F467CA" w:rsidP="00F467CA">
      <w:pPr>
        <w:spacing w:before="0" w:after="0"/>
        <w:rPr>
          <w:rFonts w:eastAsia="Times New Roman" w:cs="Times New Roman"/>
          <w:bCs/>
          <w:szCs w:val="19"/>
          <w:lang w:val="en-GB" w:eastAsia="pl-PL"/>
        </w:rPr>
      </w:pPr>
    </w:p>
    <w:p w:rsidR="00F467CA" w:rsidRPr="00281994" w:rsidRDefault="00F467CA" w:rsidP="00F467CA">
      <w:pPr>
        <w:spacing w:before="0" w:after="0"/>
        <w:rPr>
          <w:rFonts w:eastAsia="Times New Roman" w:cs="Times New Roman"/>
          <w:bCs/>
          <w:szCs w:val="19"/>
          <w:lang w:val="en-GB" w:eastAsia="pl-PL"/>
        </w:rPr>
      </w:pPr>
    </w:p>
    <w:p w:rsidR="00F467CA" w:rsidRPr="00281994" w:rsidRDefault="00F467CA" w:rsidP="00F467CA">
      <w:pPr>
        <w:spacing w:before="0" w:after="0"/>
        <w:rPr>
          <w:rFonts w:eastAsia="Times New Roman" w:cs="Times New Roman"/>
          <w:bCs/>
          <w:szCs w:val="19"/>
          <w:lang w:val="en-GB" w:eastAsia="pl-PL"/>
        </w:rPr>
      </w:pPr>
    </w:p>
    <w:p w:rsidR="00F467CA" w:rsidRPr="00281994" w:rsidRDefault="00F467CA" w:rsidP="00F467CA">
      <w:pPr>
        <w:spacing w:before="0" w:after="0"/>
        <w:rPr>
          <w:rFonts w:eastAsia="Times New Roman" w:cs="Times New Roman"/>
          <w:bCs/>
          <w:szCs w:val="19"/>
          <w:lang w:val="en-GB" w:eastAsia="pl-PL"/>
        </w:rPr>
      </w:pPr>
    </w:p>
    <w:p w:rsidR="00F467CA" w:rsidRPr="00281994" w:rsidRDefault="00F467CA" w:rsidP="00F467CA">
      <w:pPr>
        <w:spacing w:before="0" w:after="0"/>
        <w:rPr>
          <w:rFonts w:eastAsia="Times New Roman" w:cs="Times New Roman"/>
          <w:bCs/>
          <w:szCs w:val="19"/>
          <w:lang w:val="en-GB" w:eastAsia="pl-PL"/>
        </w:rPr>
      </w:pPr>
    </w:p>
    <w:p w:rsidR="00F467CA" w:rsidRPr="00281994" w:rsidRDefault="00F467CA" w:rsidP="00F467CA">
      <w:pPr>
        <w:spacing w:before="0" w:after="0"/>
        <w:rPr>
          <w:rFonts w:eastAsia="Times New Roman" w:cs="Times New Roman"/>
          <w:bCs/>
          <w:szCs w:val="19"/>
          <w:lang w:val="en-GB" w:eastAsia="pl-PL"/>
        </w:rPr>
      </w:pPr>
    </w:p>
    <w:p w:rsidR="00F467CA" w:rsidRPr="00281994" w:rsidRDefault="00F467CA" w:rsidP="00F467CA">
      <w:pPr>
        <w:spacing w:before="0" w:after="0"/>
        <w:rPr>
          <w:rFonts w:eastAsia="Times New Roman" w:cs="Times New Roman"/>
          <w:bCs/>
          <w:szCs w:val="19"/>
          <w:lang w:val="en-GB" w:eastAsia="pl-PL"/>
        </w:rPr>
      </w:pPr>
    </w:p>
    <w:p w:rsidR="00F467CA" w:rsidRPr="00281994" w:rsidRDefault="00F467CA" w:rsidP="00F467CA">
      <w:pPr>
        <w:spacing w:before="0" w:after="0"/>
        <w:rPr>
          <w:rFonts w:eastAsia="Times New Roman" w:cs="Times New Roman"/>
          <w:bCs/>
          <w:szCs w:val="19"/>
          <w:lang w:val="en-GB" w:eastAsia="pl-PL"/>
        </w:rPr>
      </w:pPr>
    </w:p>
    <w:p w:rsidR="00F467CA" w:rsidRPr="00281994" w:rsidRDefault="00F467CA" w:rsidP="00F467CA">
      <w:pPr>
        <w:spacing w:before="0" w:after="0"/>
        <w:rPr>
          <w:rFonts w:eastAsia="Times New Roman" w:cs="Times New Roman"/>
          <w:bCs/>
          <w:szCs w:val="19"/>
          <w:lang w:val="en-GB" w:eastAsia="pl-PL"/>
        </w:rPr>
      </w:pPr>
    </w:p>
    <w:p w:rsidR="00F467CA" w:rsidRPr="00281994" w:rsidRDefault="00F467CA" w:rsidP="00F467CA">
      <w:pPr>
        <w:spacing w:before="0" w:after="0"/>
        <w:rPr>
          <w:rFonts w:eastAsia="Times New Roman" w:cs="Times New Roman"/>
          <w:bCs/>
          <w:szCs w:val="19"/>
          <w:lang w:val="en-GB" w:eastAsia="pl-PL"/>
        </w:rPr>
      </w:pPr>
    </w:p>
    <w:p w:rsidR="00694E98" w:rsidRPr="00281994" w:rsidRDefault="00694E98" w:rsidP="00694E98">
      <w:pPr>
        <w:rPr>
          <w:shd w:val="clear" w:color="auto" w:fill="FFFFFF"/>
          <w:lang w:val="en-GB"/>
        </w:rPr>
      </w:pPr>
    </w:p>
    <w:p w:rsidR="00694E98" w:rsidRPr="00281994" w:rsidRDefault="00694E98" w:rsidP="00694E98">
      <w:pPr>
        <w:rPr>
          <w:lang w:val="en-GB"/>
        </w:rPr>
      </w:pPr>
    </w:p>
    <w:p w:rsidR="006F79A9" w:rsidRPr="00281994" w:rsidRDefault="006F79A9" w:rsidP="00F467CA">
      <w:pPr>
        <w:spacing w:after="0"/>
        <w:rPr>
          <w:rFonts w:eastAsia="Times New Roman" w:cs="Times New Roman"/>
          <w:b/>
          <w:bCs/>
          <w:color w:val="001D77"/>
          <w:szCs w:val="24"/>
          <w:lang w:val="en-GB" w:eastAsia="pl-PL"/>
        </w:rPr>
      </w:pPr>
    </w:p>
    <w:p w:rsidR="006B1C05" w:rsidRPr="00281994" w:rsidRDefault="006B1C05" w:rsidP="00AD3A70">
      <w:pPr>
        <w:rPr>
          <w:color w:val="FF0000"/>
          <w:lang w:val="en-GB"/>
        </w:rPr>
      </w:pPr>
      <w:r w:rsidRPr="00D33796">
        <w:rPr>
          <w:noProof/>
          <w:spacing w:val="-2"/>
          <w:szCs w:val="19"/>
          <w:lang w:eastAsia="pl-PL"/>
        </w:rPr>
        <mc:AlternateContent>
          <mc:Choice Requires="wps">
            <w:drawing>
              <wp:anchor distT="45720" distB="45720" distL="114300" distR="114300" simplePos="0" relativeHeight="251658240" behindDoc="1" locked="0" layoutInCell="1" allowOverlap="1" wp14:anchorId="130C1962" wp14:editId="52367AC6">
                <wp:simplePos x="0" y="0"/>
                <wp:positionH relativeFrom="rightMargin">
                  <wp:posOffset>91440</wp:posOffset>
                </wp:positionH>
                <wp:positionV relativeFrom="paragraph">
                  <wp:posOffset>-109220</wp:posOffset>
                </wp:positionV>
                <wp:extent cx="1666875" cy="774065"/>
                <wp:effectExtent l="0" t="0" r="0" b="0"/>
                <wp:wrapTight wrapText="bothSides">
                  <wp:wrapPolygon edited="0">
                    <wp:start x="741" y="0"/>
                    <wp:lineTo x="741" y="20732"/>
                    <wp:lineTo x="20736" y="20732"/>
                    <wp:lineTo x="20736" y="0"/>
                    <wp:lineTo x="741" y="0"/>
                  </wp:wrapPolygon>
                </wp:wrapTight>
                <wp:docPr id="1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774065"/>
                        </a:xfrm>
                        <a:prstGeom prst="rect">
                          <a:avLst/>
                        </a:prstGeom>
                        <a:noFill/>
                        <a:ln w="9525">
                          <a:noFill/>
                          <a:miter lim="800000"/>
                          <a:headEnd/>
                          <a:tailEnd/>
                        </a:ln>
                      </wps:spPr>
                      <wps:txbx>
                        <w:txbxContent>
                          <w:p w:rsidR="00E84AB6" w:rsidRPr="00281994" w:rsidRDefault="00E84AB6" w:rsidP="006B1C05">
                            <w:pPr>
                              <w:pStyle w:val="tekstzboku"/>
                              <w:rPr>
                                <w:lang w:val="en-GB"/>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Most dwellings were within the stocks of natural persons in Poland (about 11,5 million, i.e. 79 %)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0C1962" id="_x0000_s1032" type="#_x0000_t202" style="position:absolute;margin-left:7.2pt;margin-top:-8.6pt;width:131.25pt;height:60.95pt;z-index:-25165824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" filled="f" stroked="f">
                <v:textbox>
                  <w:txbxContent>
                    <w:p w:rsidR="00E84AB6" w:rsidRPr="00281994" w:rsidRDefault="00E84AB6" w:rsidP="006B1C05">
                      <w:pPr>
                        <w:pStyle w:val="tekstzboku"/>
                        <w:rPr>
                          <w:lang w:val="en-GB"/>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Most dwellings were within the stocks of natural persons in Poland (about 11,5 million, i.e. 79 %)</w:t>
                      </w:r>
                    </w:p>
                  </w:txbxContent>
                </v:textbox>
                <w10:wrap type="tight" anchorx="margin"/>
              </v:shape>
            </w:pict>
          </mc:Fallback>
        </mc:AlternateContent>
      </w:r>
      <w:r w:rsidR="00AD3A70" w:rsidRPr="00281994">
        <w:rPr>
          <w:lang w:val="en-GB"/>
        </w:rPr>
        <w:t>Most dwellings were within the stocks of natural persons outside housing condominiums</w:t>
      </w:r>
      <w:r w:rsidR="00D33796" w:rsidRPr="00281994">
        <w:rPr>
          <w:lang w:val="en-GB"/>
        </w:rPr>
        <w:t xml:space="preserve"> –</w:t>
      </w:r>
      <w:r w:rsidR="00AD3A70" w:rsidRPr="00281994">
        <w:rPr>
          <w:lang w:val="en-GB"/>
        </w:rPr>
        <w:t xml:space="preserve"> about 8.6 million (</w:t>
      </w:r>
      <w:r w:rsidR="00D33796" w:rsidRPr="00281994">
        <w:rPr>
          <w:lang w:val="en-GB"/>
        </w:rPr>
        <w:t>58.</w:t>
      </w:r>
      <w:r w:rsidR="00AD3A70" w:rsidRPr="00281994">
        <w:rPr>
          <w:lang w:val="en-GB"/>
        </w:rPr>
        <w:t>6</w:t>
      </w:r>
      <w:r w:rsidR="00D33796" w:rsidRPr="00281994">
        <w:rPr>
          <w:lang w:val="en-GB"/>
        </w:rPr>
        <w:t> </w:t>
      </w:r>
      <w:r w:rsidR="00AD3A70" w:rsidRPr="00281994">
        <w:rPr>
          <w:lang w:val="en-GB"/>
        </w:rPr>
        <w:t>%), and almost 3.0 million (20.5</w:t>
      </w:r>
      <w:r w:rsidR="00D33796" w:rsidRPr="00281994">
        <w:rPr>
          <w:lang w:val="en-GB"/>
        </w:rPr>
        <w:t> </w:t>
      </w:r>
      <w:r w:rsidR="00AD3A70" w:rsidRPr="00281994">
        <w:rPr>
          <w:lang w:val="en-GB"/>
        </w:rPr>
        <w:t xml:space="preserve">%) in housing condominiums. Total surface of dwellings belonging to natural persons </w:t>
      </w:r>
      <w:r w:rsidR="00E84AB6">
        <w:rPr>
          <w:lang w:val="en-GB"/>
        </w:rPr>
        <w:t>was</w:t>
      </w:r>
      <w:r w:rsidR="00AD3A70" w:rsidRPr="00281994">
        <w:rPr>
          <w:lang w:val="en-GB"/>
        </w:rPr>
        <w:t xml:space="preserve"> over 936 million m</w:t>
      </w:r>
      <w:r w:rsidR="00AD3A70" w:rsidRPr="00281994">
        <w:rPr>
          <w:vertAlign w:val="superscript"/>
          <w:lang w:val="en-GB"/>
        </w:rPr>
        <w:t>2</w:t>
      </w:r>
      <w:r w:rsidR="00AD3A70" w:rsidRPr="00281994">
        <w:rPr>
          <w:lang w:val="en-GB"/>
        </w:rPr>
        <w:t>, and it constituted nearly 86</w:t>
      </w:r>
      <w:r w:rsidR="00D33796" w:rsidRPr="00281994">
        <w:rPr>
          <w:lang w:val="en-GB"/>
        </w:rPr>
        <w:t> </w:t>
      </w:r>
      <w:r w:rsidR="00AD3A70" w:rsidRPr="00281994">
        <w:rPr>
          <w:lang w:val="en-GB"/>
        </w:rPr>
        <w:t>% of the total useful floor area of dwellings in the country. The stocks of housing cooperatives are almost 2.0 million dwellings, with total useful floor area of 100.1</w:t>
      </w:r>
      <w:r w:rsidR="00D33796" w:rsidRPr="00281994">
        <w:rPr>
          <w:lang w:val="en-GB"/>
        </w:rPr>
        <w:t> </w:t>
      </w:r>
      <w:r w:rsidR="00AD3A70" w:rsidRPr="00281994">
        <w:rPr>
          <w:lang w:val="en-GB"/>
        </w:rPr>
        <w:t>million m</w:t>
      </w:r>
      <w:r w:rsidR="00AD3A70" w:rsidRPr="00281994">
        <w:rPr>
          <w:vertAlign w:val="superscript"/>
          <w:lang w:val="en-GB"/>
        </w:rPr>
        <w:t>2</w:t>
      </w:r>
      <w:r w:rsidR="00AD3A70" w:rsidRPr="00281994">
        <w:rPr>
          <w:lang w:val="en-GB"/>
        </w:rPr>
        <w:t>. The least part was constituted by dwellings within the stocks of the State Treasury – about 28.9 thous</w:t>
      </w:r>
      <w:r w:rsidR="00D33796" w:rsidRPr="00281994">
        <w:rPr>
          <w:lang w:val="en-GB"/>
        </w:rPr>
        <w:t>and</w:t>
      </w:r>
      <w:r w:rsidR="00AD3A70" w:rsidRPr="00281994">
        <w:rPr>
          <w:lang w:val="en-GB"/>
        </w:rPr>
        <w:t xml:space="preserve"> dwellings with total useful floor area of almost 1.5 million m</w:t>
      </w:r>
      <w:r w:rsidR="00AD3A70" w:rsidRPr="00281994">
        <w:rPr>
          <w:vertAlign w:val="superscript"/>
          <w:lang w:val="en-GB"/>
        </w:rPr>
        <w:t>2</w:t>
      </w:r>
      <w:r w:rsidR="00AD3A70" w:rsidRPr="00281994">
        <w:rPr>
          <w:lang w:val="en-GB"/>
        </w:rPr>
        <w:t xml:space="preserve"> </w:t>
      </w:r>
    </w:p>
    <w:p w:rsidR="006B1C05" w:rsidRPr="00281994" w:rsidRDefault="006B1C05" w:rsidP="006B1C05">
      <w:pPr>
        <w:spacing w:before="0" w:after="0"/>
        <w:rPr>
          <w:b/>
          <w:spacing w:val="-2"/>
          <w:sz w:val="18"/>
          <w:lang w:val="en-GB"/>
        </w:rPr>
      </w:pPr>
      <w:r w:rsidRPr="00281994">
        <w:rPr>
          <w:b/>
          <w:spacing w:val="-2"/>
          <w:sz w:val="18"/>
          <w:lang w:val="en-GB"/>
        </w:rPr>
        <w:t>Tab</w:t>
      </w:r>
      <w:r w:rsidR="009C3C14" w:rsidRPr="00281994">
        <w:rPr>
          <w:b/>
          <w:spacing w:val="-2"/>
          <w:sz w:val="18"/>
          <w:lang w:val="en-GB"/>
        </w:rPr>
        <w:t>le</w:t>
      </w:r>
      <w:r w:rsidRPr="00281994">
        <w:rPr>
          <w:b/>
          <w:spacing w:val="-2"/>
          <w:sz w:val="18"/>
          <w:lang w:val="en-GB"/>
        </w:rPr>
        <w:t xml:space="preserve"> 2. </w:t>
      </w:r>
      <w:r w:rsidR="009C3C14" w:rsidRPr="00281994">
        <w:rPr>
          <w:b/>
          <w:spacing w:val="-2"/>
          <w:sz w:val="18"/>
          <w:lang w:val="en-GB"/>
        </w:rPr>
        <w:t>Dwelling stocks by type of ownership</w:t>
      </w:r>
      <w:r w:rsidRPr="00281994">
        <w:rPr>
          <w:b/>
          <w:spacing w:val="-2"/>
          <w:sz w:val="18"/>
          <w:lang w:val="en-GB"/>
        </w:rPr>
        <w:t xml:space="preserve"> (</w:t>
      </w:r>
      <w:r w:rsidR="009C3C14" w:rsidRPr="00281994">
        <w:rPr>
          <w:b/>
          <w:spacing w:val="-2"/>
          <w:sz w:val="18"/>
          <w:lang w:val="en-GB"/>
        </w:rPr>
        <w:t>as of</w:t>
      </w:r>
      <w:r w:rsidR="007F3137" w:rsidRPr="00281994">
        <w:rPr>
          <w:b/>
          <w:spacing w:val="-2"/>
          <w:sz w:val="18"/>
          <w:lang w:val="en-GB"/>
        </w:rPr>
        <w:t xml:space="preserve"> 31.12</w:t>
      </w:r>
      <w:r w:rsidRPr="00281994">
        <w:rPr>
          <w:b/>
          <w:spacing w:val="-2"/>
          <w:sz w:val="18"/>
          <w:lang w:val="en-GB"/>
        </w:rPr>
        <w:t>)</w:t>
      </w:r>
    </w:p>
    <w:p w:rsidR="006B1C05" w:rsidRPr="00281994" w:rsidRDefault="006B1C05" w:rsidP="006B1C05">
      <w:pPr>
        <w:spacing w:before="0" w:after="0" w:line="240" w:lineRule="auto"/>
        <w:rPr>
          <w:rFonts w:eastAsia="Times New Roman" w:cs="Times New Roman"/>
          <w:bCs/>
          <w:szCs w:val="19"/>
          <w:lang w:val="en-GB" w:eastAsia="pl-PL"/>
        </w:rPr>
      </w:pPr>
    </w:p>
    <w:tbl>
      <w:tblPr>
        <w:tblW w:w="7128" w:type="dxa"/>
        <w:tblBorders>
          <w:insideH w:val="single" w:sz="4" w:space="0" w:color="001D77"/>
          <w:insideV w:val="single" w:sz="4" w:space="0" w:color="001D77"/>
        </w:tblBorders>
        <w:tblCellMar>
          <w:left w:w="70" w:type="dxa"/>
          <w:right w:w="70" w:type="dxa"/>
        </w:tblCellMar>
        <w:tblLook w:val="04A0" w:firstRow="1" w:lastRow="0" w:firstColumn="1" w:lastColumn="0" w:noHBand="0" w:noVBand="1"/>
      </w:tblPr>
      <w:tblGrid>
        <w:gridCol w:w="2835"/>
        <w:gridCol w:w="891"/>
        <w:gridCol w:w="1134"/>
        <w:gridCol w:w="1134"/>
        <w:gridCol w:w="1134"/>
      </w:tblGrid>
      <w:tr w:rsidR="006B1C05" w:rsidRPr="003578BD" w:rsidTr="00D00C71">
        <w:trPr>
          <w:trHeight w:val="170"/>
        </w:trPr>
        <w:tc>
          <w:tcPr>
            <w:tcW w:w="2835" w:type="dxa"/>
            <w:vMerge w:val="restart"/>
            <w:shd w:val="clear" w:color="auto" w:fill="auto"/>
            <w:noWrap/>
            <w:vAlign w:val="center"/>
            <w:hideMark/>
          </w:tcPr>
          <w:p w:rsidR="006B1C05" w:rsidRPr="003578BD" w:rsidRDefault="009C3C14" w:rsidP="00D00C71">
            <w:pPr>
              <w:spacing w:after="0" w:line="240" w:lineRule="auto"/>
              <w:jc w:val="center"/>
              <w:rPr>
                <w:rFonts w:eastAsia="Times New Roman" w:cs="Calibri"/>
                <w:sz w:val="16"/>
                <w:szCs w:val="16"/>
                <w:lang w:eastAsia="pl-PL"/>
              </w:rPr>
            </w:pPr>
            <w:r>
              <w:rPr>
                <w:rFonts w:eastAsia="Times New Roman" w:cs="Calibri"/>
                <w:sz w:val="16"/>
                <w:szCs w:val="16"/>
                <w:lang w:eastAsia="pl-PL"/>
              </w:rPr>
              <w:t>Specification</w:t>
            </w:r>
          </w:p>
        </w:tc>
        <w:tc>
          <w:tcPr>
            <w:tcW w:w="891" w:type="dxa"/>
            <w:shd w:val="clear" w:color="auto" w:fill="auto"/>
            <w:noWrap/>
            <w:vAlign w:val="center"/>
            <w:hideMark/>
          </w:tcPr>
          <w:p w:rsidR="006B1C05" w:rsidRPr="003578BD" w:rsidRDefault="006B1C05" w:rsidP="00D00C71">
            <w:pPr>
              <w:spacing w:before="0" w:after="0" w:line="240" w:lineRule="auto"/>
              <w:jc w:val="center"/>
              <w:rPr>
                <w:rFonts w:eastAsia="Times New Roman" w:cs="Calibri"/>
                <w:sz w:val="16"/>
                <w:szCs w:val="16"/>
                <w:lang w:eastAsia="pl-PL"/>
              </w:rPr>
            </w:pPr>
            <w:r w:rsidRPr="003578BD">
              <w:rPr>
                <w:rFonts w:eastAsia="Times New Roman" w:cs="Calibri"/>
                <w:sz w:val="16"/>
                <w:szCs w:val="16"/>
                <w:lang w:eastAsia="pl-PL"/>
              </w:rPr>
              <w:t>2016</w:t>
            </w:r>
          </w:p>
        </w:tc>
        <w:tc>
          <w:tcPr>
            <w:tcW w:w="1134" w:type="dxa"/>
            <w:shd w:val="clear" w:color="auto" w:fill="auto"/>
            <w:noWrap/>
            <w:vAlign w:val="center"/>
          </w:tcPr>
          <w:p w:rsidR="006B1C05" w:rsidRPr="003578BD" w:rsidRDefault="006B1C05" w:rsidP="00D00C71">
            <w:pPr>
              <w:spacing w:before="0" w:after="0" w:line="240" w:lineRule="auto"/>
              <w:jc w:val="center"/>
              <w:rPr>
                <w:rFonts w:eastAsia="Times New Roman" w:cs="Calibri"/>
                <w:sz w:val="16"/>
                <w:szCs w:val="16"/>
                <w:lang w:eastAsia="pl-PL"/>
              </w:rPr>
            </w:pPr>
            <w:r w:rsidRPr="003578BD">
              <w:rPr>
                <w:rFonts w:eastAsia="Times New Roman" w:cs="Calibri"/>
                <w:sz w:val="16"/>
                <w:szCs w:val="16"/>
                <w:lang w:eastAsia="pl-PL"/>
              </w:rPr>
              <w:t>2018</w:t>
            </w:r>
          </w:p>
        </w:tc>
        <w:tc>
          <w:tcPr>
            <w:tcW w:w="1134" w:type="dxa"/>
            <w:vAlign w:val="center"/>
          </w:tcPr>
          <w:p w:rsidR="006B1C05" w:rsidRPr="003578BD" w:rsidRDefault="006B1C05" w:rsidP="00D00C71">
            <w:pPr>
              <w:spacing w:before="0" w:after="0" w:line="240" w:lineRule="auto"/>
              <w:jc w:val="center"/>
              <w:rPr>
                <w:rFonts w:eastAsia="Times New Roman" w:cs="Calibri"/>
                <w:sz w:val="16"/>
                <w:szCs w:val="16"/>
                <w:lang w:eastAsia="pl-PL"/>
              </w:rPr>
            </w:pPr>
            <w:r w:rsidRPr="003578BD">
              <w:rPr>
                <w:rFonts w:eastAsia="Times New Roman" w:cs="Calibri"/>
                <w:sz w:val="16"/>
                <w:szCs w:val="16"/>
                <w:lang w:eastAsia="pl-PL"/>
              </w:rPr>
              <w:t>2016</w:t>
            </w:r>
          </w:p>
        </w:tc>
        <w:tc>
          <w:tcPr>
            <w:tcW w:w="1134" w:type="dxa"/>
            <w:shd w:val="clear" w:color="auto" w:fill="auto"/>
            <w:noWrap/>
            <w:vAlign w:val="center"/>
          </w:tcPr>
          <w:p w:rsidR="006B1C05" w:rsidRPr="003578BD" w:rsidRDefault="006B1C05" w:rsidP="00D00C71">
            <w:pPr>
              <w:spacing w:before="0" w:after="0" w:line="240" w:lineRule="auto"/>
              <w:jc w:val="center"/>
              <w:rPr>
                <w:rFonts w:eastAsia="Times New Roman" w:cs="Calibri"/>
                <w:sz w:val="16"/>
                <w:szCs w:val="16"/>
                <w:lang w:eastAsia="pl-PL"/>
              </w:rPr>
            </w:pPr>
            <w:r w:rsidRPr="003578BD">
              <w:rPr>
                <w:rFonts w:eastAsia="Times New Roman" w:cs="Calibri"/>
                <w:sz w:val="16"/>
                <w:szCs w:val="16"/>
                <w:lang w:eastAsia="pl-PL"/>
              </w:rPr>
              <w:t>2018</w:t>
            </w:r>
          </w:p>
        </w:tc>
      </w:tr>
      <w:tr w:rsidR="006B1C05" w:rsidRPr="00CA0A0F" w:rsidTr="00CA0A0F">
        <w:trPr>
          <w:trHeight w:val="340"/>
        </w:trPr>
        <w:tc>
          <w:tcPr>
            <w:tcW w:w="2835" w:type="dxa"/>
            <w:vMerge/>
            <w:tcBorders>
              <w:bottom w:val="single" w:sz="12" w:space="0" w:color="001D77"/>
            </w:tcBorders>
            <w:shd w:val="clear" w:color="auto" w:fill="auto"/>
            <w:noWrap/>
            <w:vAlign w:val="bottom"/>
          </w:tcPr>
          <w:p w:rsidR="006B1C05" w:rsidRPr="003578BD" w:rsidRDefault="006B1C05" w:rsidP="00D00C71">
            <w:pPr>
              <w:spacing w:after="0" w:line="240" w:lineRule="auto"/>
              <w:rPr>
                <w:rFonts w:eastAsia="Times New Roman" w:cs="Calibri"/>
                <w:sz w:val="16"/>
                <w:szCs w:val="16"/>
                <w:lang w:eastAsia="pl-PL"/>
              </w:rPr>
            </w:pPr>
          </w:p>
        </w:tc>
        <w:tc>
          <w:tcPr>
            <w:tcW w:w="2025" w:type="dxa"/>
            <w:gridSpan w:val="2"/>
            <w:tcBorders>
              <w:bottom w:val="single" w:sz="12" w:space="0" w:color="001D77"/>
            </w:tcBorders>
            <w:shd w:val="clear" w:color="auto" w:fill="auto"/>
            <w:noWrap/>
            <w:vAlign w:val="center"/>
          </w:tcPr>
          <w:p w:rsidR="006B1C05" w:rsidRPr="003578BD" w:rsidRDefault="009C3C14" w:rsidP="00D00C71">
            <w:pPr>
              <w:spacing w:before="0" w:after="0" w:line="240" w:lineRule="auto"/>
              <w:jc w:val="center"/>
              <w:rPr>
                <w:rFonts w:eastAsia="Times New Roman" w:cs="Calibri"/>
                <w:sz w:val="16"/>
                <w:szCs w:val="16"/>
                <w:lang w:eastAsia="pl-PL"/>
              </w:rPr>
            </w:pPr>
            <w:r>
              <w:rPr>
                <w:rFonts w:eastAsia="Times New Roman" w:cs="Calibri"/>
                <w:sz w:val="16"/>
                <w:szCs w:val="16"/>
                <w:lang w:eastAsia="pl-PL"/>
              </w:rPr>
              <w:t>Dwellings</w:t>
            </w:r>
            <w:r w:rsidR="00D33796">
              <w:rPr>
                <w:rFonts w:eastAsia="Times New Roman" w:cs="Calibri"/>
                <w:sz w:val="16"/>
                <w:szCs w:val="16"/>
                <w:lang w:eastAsia="pl-PL"/>
              </w:rPr>
              <w:t xml:space="preserve"> in thousand</w:t>
            </w:r>
          </w:p>
        </w:tc>
        <w:tc>
          <w:tcPr>
            <w:tcW w:w="2268" w:type="dxa"/>
            <w:gridSpan w:val="2"/>
            <w:tcBorders>
              <w:bottom w:val="single" w:sz="12" w:space="0" w:color="001D77"/>
            </w:tcBorders>
            <w:vAlign w:val="center"/>
          </w:tcPr>
          <w:p w:rsidR="006B1C05" w:rsidRPr="00281994" w:rsidRDefault="009C3C14" w:rsidP="00D00C71">
            <w:pPr>
              <w:spacing w:before="0" w:after="0" w:line="240" w:lineRule="auto"/>
              <w:jc w:val="center"/>
              <w:rPr>
                <w:rFonts w:eastAsia="Times New Roman" w:cs="Calibri"/>
                <w:sz w:val="16"/>
                <w:szCs w:val="16"/>
                <w:lang w:val="en-GB" w:eastAsia="pl-PL"/>
              </w:rPr>
            </w:pPr>
            <w:r w:rsidRPr="00281994">
              <w:rPr>
                <w:rFonts w:eastAsia="Times New Roman" w:cs="Calibri"/>
                <w:sz w:val="16"/>
                <w:szCs w:val="16"/>
                <w:lang w:val="en-GB" w:eastAsia="pl-PL"/>
              </w:rPr>
              <w:t>Useful floor area in</w:t>
            </w:r>
            <w:r w:rsidR="006B1C05" w:rsidRPr="00281994">
              <w:rPr>
                <w:rFonts w:eastAsia="Times New Roman" w:cs="Calibri"/>
                <w:sz w:val="16"/>
                <w:szCs w:val="16"/>
                <w:lang w:val="en-GB" w:eastAsia="pl-PL"/>
              </w:rPr>
              <w:t xml:space="preserve"> </w:t>
            </w:r>
            <w:r w:rsidR="00D33796" w:rsidRPr="00281994">
              <w:rPr>
                <w:rFonts w:eastAsia="Times New Roman" w:cs="Calibri"/>
                <w:sz w:val="16"/>
                <w:szCs w:val="16"/>
                <w:lang w:val="en-GB" w:eastAsia="pl-PL"/>
              </w:rPr>
              <w:t xml:space="preserve">thousand </w:t>
            </w:r>
            <w:r w:rsidR="006B1C05" w:rsidRPr="00281994">
              <w:rPr>
                <w:rFonts w:eastAsia="Times New Roman" w:cs="Calibri"/>
                <w:sz w:val="16"/>
                <w:szCs w:val="16"/>
                <w:lang w:val="en-GB" w:eastAsia="pl-PL"/>
              </w:rPr>
              <w:t>m</w:t>
            </w:r>
            <w:r w:rsidR="006B1C05" w:rsidRPr="00281994">
              <w:rPr>
                <w:rFonts w:eastAsia="Times New Roman" w:cs="Calibri"/>
                <w:sz w:val="16"/>
                <w:szCs w:val="16"/>
                <w:vertAlign w:val="superscript"/>
                <w:lang w:val="en-GB" w:eastAsia="pl-PL"/>
              </w:rPr>
              <w:t>2</w:t>
            </w:r>
          </w:p>
        </w:tc>
      </w:tr>
      <w:tr w:rsidR="006B1C05" w:rsidRPr="00DD60ED" w:rsidTr="00CA0A0F">
        <w:trPr>
          <w:trHeight w:val="283"/>
        </w:trPr>
        <w:tc>
          <w:tcPr>
            <w:tcW w:w="2835" w:type="dxa"/>
            <w:tcBorders>
              <w:top w:val="single" w:sz="12" w:space="0" w:color="001D77"/>
              <w:bottom w:val="nil"/>
            </w:tcBorders>
            <w:shd w:val="clear" w:color="auto" w:fill="auto"/>
            <w:noWrap/>
            <w:hideMark/>
          </w:tcPr>
          <w:p w:rsidR="006B1C05" w:rsidRPr="00DD60ED" w:rsidRDefault="009C3C14" w:rsidP="00D00C71">
            <w:pPr>
              <w:spacing w:after="0" w:line="240" w:lineRule="auto"/>
              <w:rPr>
                <w:rFonts w:eastAsia="Times New Roman" w:cs="Calibri"/>
                <w:b/>
                <w:sz w:val="16"/>
                <w:szCs w:val="16"/>
                <w:lang w:eastAsia="pl-PL"/>
              </w:rPr>
            </w:pPr>
            <w:r>
              <w:rPr>
                <w:rFonts w:eastAsia="Times New Roman" w:cs="Calibri"/>
                <w:b/>
                <w:sz w:val="16"/>
                <w:szCs w:val="16"/>
                <w:lang w:eastAsia="pl-PL"/>
              </w:rPr>
              <w:t>TOTAL</w:t>
            </w:r>
          </w:p>
        </w:tc>
        <w:tc>
          <w:tcPr>
            <w:tcW w:w="891" w:type="dxa"/>
            <w:tcBorders>
              <w:top w:val="single" w:sz="12" w:space="0" w:color="001D77"/>
              <w:bottom w:val="nil"/>
            </w:tcBorders>
            <w:shd w:val="clear" w:color="auto" w:fill="auto"/>
            <w:noWrap/>
            <w:vAlign w:val="center"/>
          </w:tcPr>
          <w:p w:rsidR="006B1C05" w:rsidRPr="00DD60ED" w:rsidRDefault="006B1C05" w:rsidP="00D00C71">
            <w:pPr>
              <w:spacing w:after="0" w:line="240" w:lineRule="auto"/>
              <w:jc w:val="right"/>
              <w:rPr>
                <w:rFonts w:eastAsia="Times New Roman" w:cs="Calibri"/>
                <w:b/>
                <w:sz w:val="16"/>
                <w:szCs w:val="16"/>
                <w:lang w:eastAsia="pl-PL"/>
              </w:rPr>
            </w:pPr>
            <w:r w:rsidRPr="00DD60ED">
              <w:rPr>
                <w:rFonts w:eastAsia="Times New Roman" w:cs="Calibri"/>
                <w:b/>
                <w:sz w:val="16"/>
                <w:szCs w:val="16"/>
                <w:lang w:eastAsia="pl-PL"/>
              </w:rPr>
              <w:t>14 272</w:t>
            </w:r>
            <w:r w:rsidR="00DA707B">
              <w:rPr>
                <w:rFonts w:eastAsia="Times New Roman" w:cs="Calibri"/>
                <w:b/>
                <w:sz w:val="16"/>
                <w:szCs w:val="16"/>
                <w:lang w:eastAsia="pl-PL"/>
              </w:rPr>
              <w:t>.</w:t>
            </w:r>
            <w:r w:rsidRPr="00DD60ED">
              <w:rPr>
                <w:rFonts w:eastAsia="Times New Roman" w:cs="Calibri"/>
                <w:b/>
                <w:sz w:val="16"/>
                <w:szCs w:val="16"/>
                <w:lang w:eastAsia="pl-PL"/>
              </w:rPr>
              <w:t>0</w:t>
            </w:r>
          </w:p>
        </w:tc>
        <w:tc>
          <w:tcPr>
            <w:tcW w:w="1134" w:type="dxa"/>
            <w:tcBorders>
              <w:top w:val="single" w:sz="12" w:space="0" w:color="001D77"/>
              <w:bottom w:val="nil"/>
            </w:tcBorders>
            <w:shd w:val="clear" w:color="auto" w:fill="auto"/>
            <w:noWrap/>
            <w:vAlign w:val="center"/>
          </w:tcPr>
          <w:p w:rsidR="006B1C05" w:rsidRPr="00DD60ED" w:rsidRDefault="006B1C05" w:rsidP="00D00C71">
            <w:pPr>
              <w:spacing w:after="0" w:line="240" w:lineRule="auto"/>
              <w:jc w:val="right"/>
              <w:rPr>
                <w:rFonts w:eastAsia="Times New Roman" w:cs="Calibri"/>
                <w:b/>
                <w:sz w:val="16"/>
                <w:szCs w:val="16"/>
                <w:lang w:eastAsia="pl-PL"/>
              </w:rPr>
            </w:pPr>
            <w:r w:rsidRPr="00DD60ED">
              <w:rPr>
                <w:rFonts w:eastAsia="Times New Roman" w:cs="Calibri"/>
                <w:b/>
                <w:sz w:val="16"/>
                <w:szCs w:val="16"/>
                <w:lang w:eastAsia="pl-PL"/>
              </w:rPr>
              <w:t>14 615</w:t>
            </w:r>
            <w:r w:rsidR="00DA707B">
              <w:rPr>
                <w:rFonts w:eastAsia="Times New Roman" w:cs="Calibri"/>
                <w:b/>
                <w:sz w:val="16"/>
                <w:szCs w:val="16"/>
                <w:lang w:eastAsia="pl-PL"/>
              </w:rPr>
              <w:t>.</w:t>
            </w:r>
            <w:r w:rsidRPr="00DD60ED">
              <w:rPr>
                <w:rFonts w:eastAsia="Times New Roman" w:cs="Calibri"/>
                <w:b/>
                <w:sz w:val="16"/>
                <w:szCs w:val="16"/>
                <w:lang w:eastAsia="pl-PL"/>
              </w:rPr>
              <w:t>1</w:t>
            </w:r>
          </w:p>
        </w:tc>
        <w:tc>
          <w:tcPr>
            <w:tcW w:w="1134" w:type="dxa"/>
            <w:tcBorders>
              <w:top w:val="single" w:sz="12" w:space="0" w:color="001D77"/>
              <w:bottom w:val="nil"/>
            </w:tcBorders>
            <w:vAlign w:val="center"/>
          </w:tcPr>
          <w:p w:rsidR="006B1C05" w:rsidRPr="00DD60ED" w:rsidRDefault="006B1C05" w:rsidP="00D00C71">
            <w:pPr>
              <w:spacing w:after="0" w:line="240" w:lineRule="auto"/>
              <w:jc w:val="right"/>
              <w:rPr>
                <w:rFonts w:eastAsia="Times New Roman" w:cs="Calibri"/>
                <w:b/>
                <w:sz w:val="16"/>
                <w:szCs w:val="16"/>
                <w:lang w:eastAsia="pl-PL"/>
              </w:rPr>
            </w:pPr>
            <w:r w:rsidRPr="00DD60ED">
              <w:rPr>
                <w:rFonts w:eastAsia="Times New Roman" w:cs="Calibri"/>
                <w:b/>
                <w:sz w:val="16"/>
                <w:szCs w:val="16"/>
                <w:lang w:eastAsia="pl-PL"/>
              </w:rPr>
              <w:t>1 053 251</w:t>
            </w:r>
            <w:r w:rsidR="00DA707B">
              <w:rPr>
                <w:rFonts w:eastAsia="Times New Roman" w:cs="Calibri"/>
                <w:b/>
                <w:sz w:val="16"/>
                <w:szCs w:val="16"/>
                <w:lang w:eastAsia="pl-PL"/>
              </w:rPr>
              <w:t>.</w:t>
            </w:r>
            <w:r w:rsidRPr="00DD60ED">
              <w:rPr>
                <w:rFonts w:eastAsia="Times New Roman" w:cs="Calibri"/>
                <w:b/>
                <w:sz w:val="16"/>
                <w:szCs w:val="16"/>
                <w:lang w:eastAsia="pl-PL"/>
              </w:rPr>
              <w:t>8</w:t>
            </w:r>
          </w:p>
        </w:tc>
        <w:tc>
          <w:tcPr>
            <w:tcW w:w="1134" w:type="dxa"/>
            <w:tcBorders>
              <w:top w:val="single" w:sz="12" w:space="0" w:color="001D77"/>
              <w:bottom w:val="nil"/>
            </w:tcBorders>
            <w:shd w:val="clear" w:color="auto" w:fill="auto"/>
            <w:noWrap/>
            <w:vAlign w:val="center"/>
          </w:tcPr>
          <w:p w:rsidR="006B1C05" w:rsidRPr="00DD60ED" w:rsidRDefault="006B1C05" w:rsidP="00D00C71">
            <w:pPr>
              <w:spacing w:after="0" w:line="240" w:lineRule="auto"/>
              <w:jc w:val="right"/>
              <w:rPr>
                <w:rFonts w:eastAsia="Times New Roman" w:cs="Calibri"/>
                <w:b/>
                <w:sz w:val="16"/>
                <w:szCs w:val="16"/>
                <w:lang w:eastAsia="pl-PL"/>
              </w:rPr>
            </w:pPr>
            <w:r w:rsidRPr="00DD60ED">
              <w:rPr>
                <w:rFonts w:eastAsia="Times New Roman" w:cs="Calibri"/>
                <w:b/>
                <w:sz w:val="16"/>
                <w:szCs w:val="16"/>
                <w:lang w:eastAsia="pl-PL"/>
              </w:rPr>
              <w:t>1 084 166</w:t>
            </w:r>
            <w:r w:rsidR="00DA707B">
              <w:rPr>
                <w:rFonts w:eastAsia="Times New Roman" w:cs="Calibri"/>
                <w:b/>
                <w:sz w:val="16"/>
                <w:szCs w:val="16"/>
                <w:lang w:eastAsia="pl-PL"/>
              </w:rPr>
              <w:t>.</w:t>
            </w:r>
            <w:r w:rsidRPr="00DD60ED">
              <w:rPr>
                <w:rFonts w:eastAsia="Times New Roman" w:cs="Calibri"/>
                <w:b/>
                <w:sz w:val="16"/>
                <w:szCs w:val="16"/>
                <w:lang w:eastAsia="pl-PL"/>
              </w:rPr>
              <w:t>5</w:t>
            </w:r>
          </w:p>
        </w:tc>
      </w:tr>
      <w:tr w:rsidR="006B1C05" w:rsidRPr="003578BD" w:rsidTr="00CA0A0F">
        <w:trPr>
          <w:trHeight w:val="283"/>
        </w:trPr>
        <w:tc>
          <w:tcPr>
            <w:tcW w:w="2835" w:type="dxa"/>
            <w:tcBorders>
              <w:top w:val="nil"/>
            </w:tcBorders>
            <w:shd w:val="clear" w:color="auto" w:fill="auto"/>
            <w:noWrap/>
            <w:hideMark/>
          </w:tcPr>
          <w:p w:rsidR="006B1C05" w:rsidRPr="003578BD" w:rsidRDefault="009C3C14" w:rsidP="00D00C71">
            <w:pPr>
              <w:spacing w:after="0" w:line="240" w:lineRule="auto"/>
              <w:rPr>
                <w:rFonts w:eastAsia="Times New Roman" w:cs="Calibri"/>
                <w:sz w:val="16"/>
                <w:szCs w:val="16"/>
                <w:lang w:eastAsia="pl-PL"/>
              </w:rPr>
            </w:pPr>
            <w:r>
              <w:rPr>
                <w:rFonts w:eastAsia="Times New Roman" w:cs="Calibri"/>
                <w:sz w:val="16"/>
                <w:szCs w:val="16"/>
                <w:lang w:eastAsia="pl-PL"/>
              </w:rPr>
              <w:t>Ownership</w:t>
            </w:r>
            <w:r w:rsidR="006B1C05" w:rsidRPr="003578BD">
              <w:rPr>
                <w:rFonts w:eastAsia="Times New Roman" w:cs="Calibri"/>
                <w:sz w:val="16"/>
                <w:szCs w:val="16"/>
                <w:lang w:eastAsia="pl-PL"/>
              </w:rPr>
              <w:t xml:space="preserve">: </w:t>
            </w:r>
          </w:p>
        </w:tc>
        <w:tc>
          <w:tcPr>
            <w:tcW w:w="891" w:type="dxa"/>
            <w:tcBorders>
              <w:top w:val="nil"/>
            </w:tcBorders>
            <w:shd w:val="clear" w:color="auto" w:fill="auto"/>
            <w:noWrap/>
            <w:vAlign w:val="bottom"/>
          </w:tcPr>
          <w:p w:rsidR="006B1C05" w:rsidRPr="003578BD" w:rsidRDefault="006B1C05" w:rsidP="00D00C71">
            <w:pPr>
              <w:spacing w:after="0" w:line="240" w:lineRule="auto"/>
              <w:ind w:firstLineChars="200" w:firstLine="320"/>
              <w:jc w:val="right"/>
              <w:rPr>
                <w:rFonts w:eastAsia="Times New Roman" w:cs="Calibri"/>
                <w:sz w:val="16"/>
                <w:szCs w:val="16"/>
                <w:lang w:eastAsia="pl-PL"/>
              </w:rPr>
            </w:pPr>
          </w:p>
        </w:tc>
        <w:tc>
          <w:tcPr>
            <w:tcW w:w="1134" w:type="dxa"/>
            <w:tcBorders>
              <w:top w:val="nil"/>
            </w:tcBorders>
            <w:shd w:val="clear" w:color="auto" w:fill="auto"/>
            <w:noWrap/>
            <w:vAlign w:val="bottom"/>
          </w:tcPr>
          <w:p w:rsidR="006B1C05" w:rsidRPr="003578BD" w:rsidRDefault="006B1C05" w:rsidP="00D00C71">
            <w:pPr>
              <w:spacing w:after="0" w:line="240" w:lineRule="auto"/>
              <w:ind w:firstLineChars="200" w:firstLine="320"/>
              <w:jc w:val="right"/>
              <w:rPr>
                <w:rFonts w:eastAsia="Times New Roman" w:cs="Calibri"/>
                <w:sz w:val="16"/>
                <w:szCs w:val="16"/>
                <w:lang w:eastAsia="pl-PL"/>
              </w:rPr>
            </w:pPr>
          </w:p>
        </w:tc>
        <w:tc>
          <w:tcPr>
            <w:tcW w:w="1134" w:type="dxa"/>
            <w:tcBorders>
              <w:top w:val="nil"/>
            </w:tcBorders>
            <w:vAlign w:val="bottom"/>
          </w:tcPr>
          <w:p w:rsidR="006B1C05" w:rsidRPr="003578BD" w:rsidRDefault="006B1C05" w:rsidP="00D00C71">
            <w:pPr>
              <w:spacing w:after="0" w:line="240" w:lineRule="auto"/>
              <w:ind w:firstLineChars="200" w:firstLine="320"/>
              <w:jc w:val="right"/>
              <w:rPr>
                <w:rFonts w:eastAsia="Times New Roman" w:cs="Calibri"/>
                <w:sz w:val="16"/>
                <w:szCs w:val="16"/>
                <w:lang w:eastAsia="pl-PL"/>
              </w:rPr>
            </w:pPr>
          </w:p>
        </w:tc>
        <w:tc>
          <w:tcPr>
            <w:tcW w:w="1134" w:type="dxa"/>
            <w:tcBorders>
              <w:top w:val="nil"/>
            </w:tcBorders>
            <w:shd w:val="clear" w:color="auto" w:fill="auto"/>
            <w:noWrap/>
            <w:vAlign w:val="bottom"/>
          </w:tcPr>
          <w:p w:rsidR="006B1C05" w:rsidRPr="003578BD" w:rsidRDefault="006B1C05" w:rsidP="00D00C71">
            <w:pPr>
              <w:spacing w:after="0" w:line="240" w:lineRule="auto"/>
              <w:ind w:firstLineChars="200" w:firstLine="320"/>
              <w:jc w:val="right"/>
              <w:rPr>
                <w:rFonts w:eastAsia="Times New Roman" w:cs="Calibri"/>
                <w:sz w:val="16"/>
                <w:szCs w:val="16"/>
                <w:lang w:eastAsia="pl-PL"/>
              </w:rPr>
            </w:pPr>
          </w:p>
        </w:tc>
      </w:tr>
      <w:tr w:rsidR="006B1C05" w:rsidRPr="003578BD" w:rsidTr="00DD60ED">
        <w:trPr>
          <w:trHeight w:val="283"/>
        </w:trPr>
        <w:tc>
          <w:tcPr>
            <w:tcW w:w="2835" w:type="dxa"/>
            <w:shd w:val="clear" w:color="auto" w:fill="auto"/>
            <w:noWrap/>
            <w:hideMark/>
          </w:tcPr>
          <w:p w:rsidR="006B1C05" w:rsidRPr="003578BD" w:rsidRDefault="009C3C14" w:rsidP="00D00C71">
            <w:pPr>
              <w:spacing w:after="0" w:line="240" w:lineRule="auto"/>
              <w:rPr>
                <w:rFonts w:eastAsia="Times New Roman" w:cs="Calibri"/>
                <w:sz w:val="16"/>
                <w:szCs w:val="16"/>
                <w:lang w:eastAsia="pl-PL"/>
              </w:rPr>
            </w:pPr>
            <w:r>
              <w:rPr>
                <w:rFonts w:eastAsia="Times New Roman" w:cs="Calibri"/>
                <w:sz w:val="16"/>
                <w:szCs w:val="16"/>
                <w:lang w:eastAsia="pl-PL"/>
              </w:rPr>
              <w:t>housing cooperatives</w:t>
            </w:r>
          </w:p>
        </w:tc>
        <w:tc>
          <w:tcPr>
            <w:tcW w:w="891" w:type="dxa"/>
            <w:shd w:val="clear" w:color="auto" w:fill="auto"/>
            <w:noWrap/>
            <w:vAlign w:val="bottom"/>
          </w:tcPr>
          <w:p w:rsidR="006B1C05" w:rsidRPr="003578BD" w:rsidRDefault="006B1C05" w:rsidP="00DD60ED">
            <w:pPr>
              <w:spacing w:after="0" w:line="240" w:lineRule="auto"/>
              <w:jc w:val="right"/>
              <w:rPr>
                <w:rFonts w:eastAsia="Times New Roman" w:cs="Calibri"/>
                <w:sz w:val="16"/>
                <w:szCs w:val="16"/>
                <w:lang w:eastAsia="pl-PL"/>
              </w:rPr>
            </w:pPr>
            <w:r w:rsidRPr="003578BD">
              <w:rPr>
                <w:rFonts w:eastAsia="Times New Roman" w:cs="Calibri"/>
                <w:sz w:val="16"/>
                <w:szCs w:val="16"/>
                <w:lang w:eastAsia="pl-PL"/>
              </w:rPr>
              <w:t>2 073</w:t>
            </w:r>
            <w:r w:rsidR="00DA707B">
              <w:rPr>
                <w:rFonts w:eastAsia="Times New Roman" w:cs="Calibri"/>
                <w:sz w:val="16"/>
                <w:szCs w:val="16"/>
                <w:lang w:eastAsia="pl-PL"/>
              </w:rPr>
              <w:t>.</w:t>
            </w:r>
            <w:r w:rsidRPr="003578BD">
              <w:rPr>
                <w:rFonts w:eastAsia="Times New Roman" w:cs="Calibri"/>
                <w:sz w:val="16"/>
                <w:szCs w:val="16"/>
                <w:lang w:eastAsia="pl-PL"/>
              </w:rPr>
              <w:t>9</w:t>
            </w:r>
          </w:p>
        </w:tc>
        <w:tc>
          <w:tcPr>
            <w:tcW w:w="1134" w:type="dxa"/>
            <w:shd w:val="clear" w:color="auto" w:fill="auto"/>
            <w:noWrap/>
            <w:vAlign w:val="bottom"/>
          </w:tcPr>
          <w:p w:rsidR="006B1C05" w:rsidRPr="003578BD" w:rsidRDefault="006B1C05" w:rsidP="00D00C71">
            <w:pPr>
              <w:spacing w:after="0" w:line="240" w:lineRule="auto"/>
              <w:ind w:firstLineChars="200" w:firstLine="320"/>
              <w:jc w:val="right"/>
              <w:rPr>
                <w:rFonts w:eastAsia="Times New Roman" w:cs="Calibri"/>
                <w:sz w:val="16"/>
                <w:szCs w:val="16"/>
                <w:lang w:eastAsia="pl-PL"/>
              </w:rPr>
            </w:pPr>
            <w:r w:rsidRPr="003578BD">
              <w:rPr>
                <w:rFonts w:eastAsia="Times New Roman" w:cs="Calibri"/>
                <w:sz w:val="16"/>
                <w:szCs w:val="16"/>
                <w:lang w:eastAsia="pl-PL"/>
              </w:rPr>
              <w:t>2 029</w:t>
            </w:r>
            <w:r w:rsidR="00DA707B">
              <w:rPr>
                <w:rFonts w:eastAsia="Times New Roman" w:cs="Calibri"/>
                <w:sz w:val="16"/>
                <w:szCs w:val="16"/>
                <w:lang w:eastAsia="pl-PL"/>
              </w:rPr>
              <w:t>.</w:t>
            </w:r>
            <w:r w:rsidRPr="003578BD">
              <w:rPr>
                <w:rFonts w:eastAsia="Times New Roman" w:cs="Calibri"/>
                <w:sz w:val="16"/>
                <w:szCs w:val="16"/>
                <w:lang w:eastAsia="pl-PL"/>
              </w:rPr>
              <w:t>9</w:t>
            </w:r>
          </w:p>
        </w:tc>
        <w:tc>
          <w:tcPr>
            <w:tcW w:w="1134" w:type="dxa"/>
            <w:vAlign w:val="bottom"/>
          </w:tcPr>
          <w:p w:rsidR="006B1C05" w:rsidRPr="003578BD" w:rsidRDefault="006B1C05" w:rsidP="00D00C71">
            <w:pPr>
              <w:spacing w:after="0" w:line="240" w:lineRule="auto"/>
              <w:ind w:firstLineChars="200" w:firstLine="320"/>
              <w:jc w:val="right"/>
              <w:rPr>
                <w:rFonts w:eastAsia="Times New Roman" w:cs="Calibri"/>
                <w:sz w:val="16"/>
                <w:szCs w:val="16"/>
                <w:lang w:eastAsia="pl-PL"/>
              </w:rPr>
            </w:pPr>
            <w:r w:rsidRPr="003578BD">
              <w:rPr>
                <w:rFonts w:eastAsia="Times New Roman" w:cs="Calibri"/>
                <w:sz w:val="16"/>
                <w:szCs w:val="16"/>
                <w:lang w:eastAsia="pl-PL"/>
              </w:rPr>
              <w:t>102 336</w:t>
            </w:r>
            <w:r w:rsidR="00DA707B">
              <w:rPr>
                <w:rFonts w:eastAsia="Times New Roman" w:cs="Calibri"/>
                <w:sz w:val="16"/>
                <w:szCs w:val="16"/>
                <w:lang w:eastAsia="pl-PL"/>
              </w:rPr>
              <w:t>.</w:t>
            </w:r>
            <w:r w:rsidRPr="003578BD">
              <w:rPr>
                <w:rFonts w:eastAsia="Times New Roman" w:cs="Calibri"/>
                <w:sz w:val="16"/>
                <w:szCs w:val="16"/>
                <w:lang w:eastAsia="pl-PL"/>
              </w:rPr>
              <w:t>1</w:t>
            </w:r>
          </w:p>
        </w:tc>
        <w:tc>
          <w:tcPr>
            <w:tcW w:w="1134" w:type="dxa"/>
            <w:shd w:val="clear" w:color="auto" w:fill="auto"/>
            <w:noWrap/>
            <w:vAlign w:val="bottom"/>
          </w:tcPr>
          <w:p w:rsidR="006B1C05" w:rsidRPr="003578BD" w:rsidRDefault="006B1C05" w:rsidP="00D00C71">
            <w:pPr>
              <w:spacing w:after="0" w:line="240" w:lineRule="auto"/>
              <w:ind w:firstLineChars="200" w:firstLine="320"/>
              <w:jc w:val="right"/>
              <w:rPr>
                <w:rFonts w:eastAsia="Times New Roman" w:cs="Calibri"/>
                <w:sz w:val="16"/>
                <w:szCs w:val="16"/>
                <w:lang w:eastAsia="pl-PL"/>
              </w:rPr>
            </w:pPr>
            <w:r w:rsidRPr="003578BD">
              <w:rPr>
                <w:rFonts w:eastAsia="Times New Roman" w:cs="Calibri"/>
                <w:sz w:val="16"/>
                <w:szCs w:val="16"/>
                <w:lang w:eastAsia="pl-PL"/>
              </w:rPr>
              <w:t>100 085</w:t>
            </w:r>
            <w:r w:rsidR="00DA707B">
              <w:rPr>
                <w:rFonts w:eastAsia="Times New Roman" w:cs="Calibri"/>
                <w:sz w:val="16"/>
                <w:szCs w:val="16"/>
                <w:lang w:eastAsia="pl-PL"/>
              </w:rPr>
              <w:t>.</w:t>
            </w:r>
            <w:r w:rsidRPr="003578BD">
              <w:rPr>
                <w:rFonts w:eastAsia="Times New Roman" w:cs="Calibri"/>
                <w:sz w:val="16"/>
                <w:szCs w:val="16"/>
                <w:lang w:eastAsia="pl-PL"/>
              </w:rPr>
              <w:t>3</w:t>
            </w:r>
          </w:p>
        </w:tc>
      </w:tr>
      <w:tr w:rsidR="006B1C05" w:rsidRPr="003578BD" w:rsidTr="00DD60ED">
        <w:trPr>
          <w:trHeight w:val="283"/>
        </w:trPr>
        <w:tc>
          <w:tcPr>
            <w:tcW w:w="2835" w:type="dxa"/>
            <w:shd w:val="clear" w:color="auto" w:fill="auto"/>
            <w:noWrap/>
            <w:hideMark/>
          </w:tcPr>
          <w:p w:rsidR="006B1C05" w:rsidRPr="003578BD" w:rsidRDefault="00D33796" w:rsidP="00D33796">
            <w:pPr>
              <w:spacing w:after="0" w:line="240" w:lineRule="auto"/>
              <w:rPr>
                <w:rFonts w:eastAsia="Times New Roman" w:cs="Calibri"/>
                <w:sz w:val="16"/>
                <w:szCs w:val="16"/>
                <w:lang w:eastAsia="pl-PL"/>
              </w:rPr>
            </w:pPr>
            <w:r>
              <w:rPr>
                <w:rFonts w:eastAsia="Times New Roman" w:cs="Calibri"/>
                <w:sz w:val="16"/>
                <w:szCs w:val="16"/>
                <w:lang w:eastAsia="pl-PL"/>
              </w:rPr>
              <w:t>g</w:t>
            </w:r>
            <w:r w:rsidR="006B1C05" w:rsidRPr="003578BD">
              <w:rPr>
                <w:rFonts w:eastAsia="Times New Roman" w:cs="Calibri"/>
                <w:sz w:val="16"/>
                <w:szCs w:val="16"/>
                <w:lang w:eastAsia="pl-PL"/>
              </w:rPr>
              <w:t>min</w:t>
            </w:r>
            <w:r w:rsidR="009C3C14">
              <w:rPr>
                <w:rFonts w:eastAsia="Times New Roman" w:cs="Calibri"/>
                <w:sz w:val="16"/>
                <w:szCs w:val="16"/>
                <w:lang w:eastAsia="pl-PL"/>
              </w:rPr>
              <w:t>as</w:t>
            </w:r>
            <w:r>
              <w:rPr>
                <w:rFonts w:eastAsia="Times New Roman" w:cs="Calibri"/>
                <w:sz w:val="16"/>
                <w:szCs w:val="16"/>
                <w:lang w:eastAsia="pl-PL"/>
              </w:rPr>
              <w:t xml:space="preserve"> (municipal)</w:t>
            </w:r>
          </w:p>
        </w:tc>
        <w:tc>
          <w:tcPr>
            <w:tcW w:w="891" w:type="dxa"/>
            <w:shd w:val="clear" w:color="auto" w:fill="auto"/>
            <w:noWrap/>
            <w:vAlign w:val="bottom"/>
          </w:tcPr>
          <w:p w:rsidR="006B1C05" w:rsidRPr="003578BD" w:rsidRDefault="006B1C05" w:rsidP="00D00C71">
            <w:pPr>
              <w:spacing w:after="0" w:line="240" w:lineRule="auto"/>
              <w:ind w:firstLineChars="200" w:firstLine="320"/>
              <w:jc w:val="right"/>
              <w:rPr>
                <w:rFonts w:eastAsia="Times New Roman" w:cs="Calibri"/>
                <w:sz w:val="16"/>
                <w:szCs w:val="16"/>
                <w:lang w:eastAsia="pl-PL"/>
              </w:rPr>
            </w:pPr>
            <w:r w:rsidRPr="003578BD">
              <w:rPr>
                <w:rFonts w:eastAsia="Times New Roman" w:cs="Calibri"/>
                <w:sz w:val="16"/>
                <w:szCs w:val="16"/>
                <w:lang w:eastAsia="pl-PL"/>
              </w:rPr>
              <w:t>868</w:t>
            </w:r>
            <w:r w:rsidR="00DA707B">
              <w:rPr>
                <w:rFonts w:eastAsia="Times New Roman" w:cs="Calibri"/>
                <w:sz w:val="16"/>
                <w:szCs w:val="16"/>
                <w:lang w:eastAsia="pl-PL"/>
              </w:rPr>
              <w:t>.</w:t>
            </w:r>
            <w:r w:rsidRPr="003578BD">
              <w:rPr>
                <w:rFonts w:eastAsia="Times New Roman" w:cs="Calibri"/>
                <w:sz w:val="16"/>
                <w:szCs w:val="16"/>
                <w:lang w:eastAsia="pl-PL"/>
              </w:rPr>
              <w:t>5</w:t>
            </w:r>
          </w:p>
        </w:tc>
        <w:tc>
          <w:tcPr>
            <w:tcW w:w="1134" w:type="dxa"/>
            <w:shd w:val="clear" w:color="auto" w:fill="auto"/>
            <w:noWrap/>
            <w:vAlign w:val="bottom"/>
          </w:tcPr>
          <w:p w:rsidR="006B1C05" w:rsidRPr="003578BD" w:rsidRDefault="006B1C05" w:rsidP="00D00C71">
            <w:pPr>
              <w:spacing w:after="0" w:line="240" w:lineRule="auto"/>
              <w:ind w:firstLineChars="200" w:firstLine="320"/>
              <w:jc w:val="right"/>
              <w:rPr>
                <w:rFonts w:eastAsia="Times New Roman" w:cs="Calibri"/>
                <w:sz w:val="16"/>
                <w:szCs w:val="16"/>
                <w:lang w:eastAsia="pl-PL"/>
              </w:rPr>
            </w:pPr>
            <w:r w:rsidRPr="003578BD">
              <w:rPr>
                <w:rFonts w:eastAsia="Times New Roman" w:cs="Calibri"/>
                <w:sz w:val="16"/>
                <w:szCs w:val="16"/>
                <w:lang w:eastAsia="pl-PL"/>
              </w:rPr>
              <w:t>840</w:t>
            </w:r>
            <w:r w:rsidR="00DA707B">
              <w:rPr>
                <w:rFonts w:eastAsia="Times New Roman" w:cs="Calibri"/>
                <w:sz w:val="16"/>
                <w:szCs w:val="16"/>
                <w:lang w:eastAsia="pl-PL"/>
              </w:rPr>
              <w:t>.</w:t>
            </w:r>
            <w:r w:rsidRPr="003578BD">
              <w:rPr>
                <w:rFonts w:eastAsia="Times New Roman" w:cs="Calibri"/>
                <w:sz w:val="16"/>
                <w:szCs w:val="16"/>
                <w:lang w:eastAsia="pl-PL"/>
              </w:rPr>
              <w:t>4</w:t>
            </w:r>
          </w:p>
        </w:tc>
        <w:tc>
          <w:tcPr>
            <w:tcW w:w="1134" w:type="dxa"/>
            <w:vAlign w:val="bottom"/>
          </w:tcPr>
          <w:p w:rsidR="006B1C05" w:rsidRPr="003578BD" w:rsidRDefault="006B1C05" w:rsidP="006B1C05">
            <w:pPr>
              <w:spacing w:after="0" w:line="240" w:lineRule="auto"/>
              <w:ind w:firstLineChars="200" w:firstLine="320"/>
              <w:jc w:val="right"/>
              <w:rPr>
                <w:rFonts w:eastAsia="Times New Roman" w:cs="Calibri"/>
                <w:sz w:val="16"/>
                <w:szCs w:val="16"/>
                <w:lang w:eastAsia="pl-PL"/>
              </w:rPr>
            </w:pPr>
            <w:r w:rsidRPr="003578BD">
              <w:rPr>
                <w:rFonts w:eastAsia="Times New Roman" w:cs="Calibri"/>
                <w:sz w:val="16"/>
                <w:szCs w:val="16"/>
                <w:lang w:eastAsia="pl-PL"/>
              </w:rPr>
              <w:t>38 306</w:t>
            </w:r>
            <w:r w:rsidR="00DA707B">
              <w:rPr>
                <w:rFonts w:eastAsia="Times New Roman" w:cs="Calibri"/>
                <w:sz w:val="16"/>
                <w:szCs w:val="16"/>
                <w:lang w:eastAsia="pl-PL"/>
              </w:rPr>
              <w:t>.</w:t>
            </w:r>
            <w:r>
              <w:rPr>
                <w:rFonts w:eastAsia="Times New Roman" w:cs="Calibri"/>
                <w:sz w:val="16"/>
                <w:szCs w:val="16"/>
                <w:lang w:eastAsia="pl-PL"/>
              </w:rPr>
              <w:t>2</w:t>
            </w:r>
          </w:p>
        </w:tc>
        <w:tc>
          <w:tcPr>
            <w:tcW w:w="1134" w:type="dxa"/>
            <w:shd w:val="clear" w:color="auto" w:fill="auto"/>
            <w:noWrap/>
            <w:vAlign w:val="bottom"/>
          </w:tcPr>
          <w:p w:rsidR="006B1C05" w:rsidRPr="003578BD" w:rsidRDefault="006B1C05" w:rsidP="006B1C05">
            <w:pPr>
              <w:spacing w:after="0" w:line="240" w:lineRule="auto"/>
              <w:ind w:firstLineChars="200" w:firstLine="320"/>
              <w:jc w:val="right"/>
              <w:rPr>
                <w:rFonts w:eastAsia="Times New Roman" w:cs="Calibri"/>
                <w:sz w:val="16"/>
                <w:szCs w:val="16"/>
                <w:lang w:eastAsia="pl-PL"/>
              </w:rPr>
            </w:pPr>
            <w:r w:rsidRPr="003578BD">
              <w:rPr>
                <w:rFonts w:eastAsia="Times New Roman" w:cs="Calibri"/>
                <w:sz w:val="16"/>
                <w:szCs w:val="16"/>
                <w:lang w:eastAsia="pl-PL"/>
              </w:rPr>
              <w:t>36 913</w:t>
            </w:r>
            <w:r w:rsidR="00DA707B">
              <w:rPr>
                <w:rFonts w:eastAsia="Times New Roman" w:cs="Calibri"/>
                <w:sz w:val="16"/>
                <w:szCs w:val="16"/>
                <w:lang w:eastAsia="pl-PL"/>
              </w:rPr>
              <w:t>.</w:t>
            </w:r>
            <w:r>
              <w:rPr>
                <w:rFonts w:eastAsia="Times New Roman" w:cs="Calibri"/>
                <w:sz w:val="16"/>
                <w:szCs w:val="16"/>
                <w:lang w:eastAsia="pl-PL"/>
              </w:rPr>
              <w:t>4</w:t>
            </w:r>
          </w:p>
        </w:tc>
      </w:tr>
      <w:tr w:rsidR="006B1C05" w:rsidRPr="003578BD" w:rsidTr="00DD60ED">
        <w:trPr>
          <w:trHeight w:val="283"/>
        </w:trPr>
        <w:tc>
          <w:tcPr>
            <w:tcW w:w="2835" w:type="dxa"/>
            <w:shd w:val="clear" w:color="auto" w:fill="auto"/>
            <w:noWrap/>
            <w:hideMark/>
          </w:tcPr>
          <w:p w:rsidR="006B1C05" w:rsidRPr="003578BD" w:rsidRDefault="009C3C14" w:rsidP="00D00C71">
            <w:pPr>
              <w:spacing w:after="0" w:line="240" w:lineRule="auto"/>
              <w:rPr>
                <w:rFonts w:eastAsia="Times New Roman" w:cs="Calibri"/>
                <w:sz w:val="16"/>
                <w:szCs w:val="16"/>
                <w:lang w:eastAsia="pl-PL"/>
              </w:rPr>
            </w:pPr>
            <w:r>
              <w:rPr>
                <w:rFonts w:eastAsia="Times New Roman" w:cs="Calibri"/>
                <w:sz w:val="16"/>
                <w:szCs w:val="16"/>
                <w:lang w:eastAsia="pl-PL"/>
              </w:rPr>
              <w:t>companies</w:t>
            </w:r>
          </w:p>
        </w:tc>
        <w:tc>
          <w:tcPr>
            <w:tcW w:w="891" w:type="dxa"/>
            <w:shd w:val="clear" w:color="auto" w:fill="auto"/>
            <w:noWrap/>
            <w:vAlign w:val="bottom"/>
          </w:tcPr>
          <w:p w:rsidR="006B1C05" w:rsidRPr="003578BD" w:rsidRDefault="006B1C05" w:rsidP="00D00C71">
            <w:pPr>
              <w:spacing w:after="0" w:line="240" w:lineRule="auto"/>
              <w:ind w:firstLineChars="200" w:firstLine="320"/>
              <w:jc w:val="right"/>
              <w:rPr>
                <w:rFonts w:eastAsia="Times New Roman" w:cs="Calibri"/>
                <w:sz w:val="16"/>
                <w:szCs w:val="16"/>
                <w:lang w:eastAsia="pl-PL"/>
              </w:rPr>
            </w:pPr>
            <w:r w:rsidRPr="003578BD">
              <w:rPr>
                <w:rFonts w:eastAsia="Times New Roman" w:cs="Calibri"/>
                <w:sz w:val="16"/>
                <w:szCs w:val="16"/>
                <w:lang w:eastAsia="pl-PL"/>
              </w:rPr>
              <w:t>79</w:t>
            </w:r>
            <w:r w:rsidR="00DA707B">
              <w:rPr>
                <w:rFonts w:eastAsia="Times New Roman" w:cs="Calibri"/>
                <w:sz w:val="16"/>
                <w:szCs w:val="16"/>
                <w:lang w:eastAsia="pl-PL"/>
              </w:rPr>
              <w:t>.</w:t>
            </w:r>
            <w:r w:rsidRPr="003578BD">
              <w:rPr>
                <w:rFonts w:eastAsia="Times New Roman" w:cs="Calibri"/>
                <w:sz w:val="16"/>
                <w:szCs w:val="16"/>
                <w:lang w:eastAsia="pl-PL"/>
              </w:rPr>
              <w:t>3</w:t>
            </w:r>
          </w:p>
        </w:tc>
        <w:tc>
          <w:tcPr>
            <w:tcW w:w="1134" w:type="dxa"/>
            <w:shd w:val="clear" w:color="auto" w:fill="auto"/>
            <w:noWrap/>
            <w:vAlign w:val="bottom"/>
          </w:tcPr>
          <w:p w:rsidR="006B1C05" w:rsidRPr="003578BD" w:rsidRDefault="006B1C05" w:rsidP="00D00C71">
            <w:pPr>
              <w:spacing w:after="0" w:line="240" w:lineRule="auto"/>
              <w:ind w:firstLineChars="200" w:firstLine="320"/>
              <w:jc w:val="right"/>
              <w:rPr>
                <w:rFonts w:eastAsia="Times New Roman" w:cs="Calibri"/>
                <w:sz w:val="16"/>
                <w:szCs w:val="16"/>
                <w:lang w:eastAsia="pl-PL"/>
              </w:rPr>
            </w:pPr>
            <w:r w:rsidRPr="003578BD">
              <w:rPr>
                <w:rFonts w:eastAsia="Times New Roman" w:cs="Calibri"/>
                <w:sz w:val="16"/>
                <w:szCs w:val="16"/>
                <w:lang w:eastAsia="pl-PL"/>
              </w:rPr>
              <w:t>69</w:t>
            </w:r>
            <w:r w:rsidR="00DA707B">
              <w:rPr>
                <w:rFonts w:eastAsia="Times New Roman" w:cs="Calibri"/>
                <w:sz w:val="16"/>
                <w:szCs w:val="16"/>
                <w:lang w:eastAsia="pl-PL"/>
              </w:rPr>
              <w:t>.</w:t>
            </w:r>
            <w:r w:rsidRPr="003578BD">
              <w:rPr>
                <w:rFonts w:eastAsia="Times New Roman" w:cs="Calibri"/>
                <w:sz w:val="16"/>
                <w:szCs w:val="16"/>
                <w:lang w:eastAsia="pl-PL"/>
              </w:rPr>
              <w:t>1</w:t>
            </w:r>
          </w:p>
        </w:tc>
        <w:tc>
          <w:tcPr>
            <w:tcW w:w="1134" w:type="dxa"/>
            <w:vAlign w:val="bottom"/>
          </w:tcPr>
          <w:p w:rsidR="006B1C05" w:rsidRPr="003578BD" w:rsidRDefault="006B1C05" w:rsidP="00D00C71">
            <w:pPr>
              <w:spacing w:after="0" w:line="240" w:lineRule="auto"/>
              <w:ind w:firstLineChars="200" w:firstLine="320"/>
              <w:jc w:val="right"/>
              <w:rPr>
                <w:rFonts w:eastAsia="Times New Roman" w:cs="Calibri"/>
                <w:sz w:val="16"/>
                <w:szCs w:val="16"/>
                <w:lang w:eastAsia="pl-PL"/>
              </w:rPr>
            </w:pPr>
            <w:r w:rsidRPr="003578BD">
              <w:rPr>
                <w:rFonts w:eastAsia="Times New Roman" w:cs="Calibri"/>
                <w:sz w:val="16"/>
                <w:szCs w:val="16"/>
                <w:lang w:eastAsia="pl-PL"/>
              </w:rPr>
              <w:t>4 564</w:t>
            </w:r>
            <w:r w:rsidR="00DA707B">
              <w:rPr>
                <w:rFonts w:eastAsia="Times New Roman" w:cs="Calibri"/>
                <w:sz w:val="16"/>
                <w:szCs w:val="16"/>
                <w:lang w:eastAsia="pl-PL"/>
              </w:rPr>
              <w:t>.</w:t>
            </w:r>
            <w:r w:rsidRPr="003578BD">
              <w:rPr>
                <w:rFonts w:eastAsia="Times New Roman" w:cs="Calibri"/>
                <w:sz w:val="16"/>
                <w:szCs w:val="16"/>
                <w:lang w:eastAsia="pl-PL"/>
              </w:rPr>
              <w:t>7</w:t>
            </w:r>
          </w:p>
        </w:tc>
        <w:tc>
          <w:tcPr>
            <w:tcW w:w="1134" w:type="dxa"/>
            <w:shd w:val="clear" w:color="auto" w:fill="auto"/>
            <w:noWrap/>
            <w:vAlign w:val="bottom"/>
          </w:tcPr>
          <w:p w:rsidR="006B1C05" w:rsidRPr="003578BD" w:rsidRDefault="006B1C05" w:rsidP="00D00C71">
            <w:pPr>
              <w:spacing w:after="0" w:line="240" w:lineRule="auto"/>
              <w:ind w:firstLineChars="200" w:firstLine="320"/>
              <w:jc w:val="right"/>
              <w:rPr>
                <w:rFonts w:eastAsia="Times New Roman" w:cs="Calibri"/>
                <w:sz w:val="16"/>
                <w:szCs w:val="16"/>
                <w:lang w:eastAsia="pl-PL"/>
              </w:rPr>
            </w:pPr>
            <w:r w:rsidRPr="003578BD">
              <w:rPr>
                <w:rFonts w:eastAsia="Times New Roman" w:cs="Calibri"/>
                <w:sz w:val="16"/>
                <w:szCs w:val="16"/>
                <w:lang w:eastAsia="pl-PL"/>
              </w:rPr>
              <w:t>4 038</w:t>
            </w:r>
            <w:r w:rsidR="00DA707B">
              <w:rPr>
                <w:rFonts w:eastAsia="Times New Roman" w:cs="Calibri"/>
                <w:sz w:val="16"/>
                <w:szCs w:val="16"/>
                <w:lang w:eastAsia="pl-PL"/>
              </w:rPr>
              <w:t>.</w:t>
            </w:r>
            <w:r w:rsidRPr="003578BD">
              <w:rPr>
                <w:rFonts w:eastAsia="Times New Roman" w:cs="Calibri"/>
                <w:sz w:val="16"/>
                <w:szCs w:val="16"/>
                <w:lang w:eastAsia="pl-PL"/>
              </w:rPr>
              <w:t>8</w:t>
            </w:r>
          </w:p>
        </w:tc>
      </w:tr>
      <w:tr w:rsidR="006B1C05" w:rsidRPr="003578BD" w:rsidTr="00DD60ED">
        <w:trPr>
          <w:trHeight w:val="283"/>
        </w:trPr>
        <w:tc>
          <w:tcPr>
            <w:tcW w:w="2835" w:type="dxa"/>
            <w:shd w:val="clear" w:color="auto" w:fill="auto"/>
            <w:noWrap/>
            <w:hideMark/>
          </w:tcPr>
          <w:p w:rsidR="006B1C05" w:rsidRPr="003578BD" w:rsidRDefault="009C3C14" w:rsidP="00D00C71">
            <w:pPr>
              <w:spacing w:after="0" w:line="240" w:lineRule="auto"/>
              <w:rPr>
                <w:rFonts w:eastAsia="Times New Roman" w:cs="Calibri"/>
                <w:sz w:val="16"/>
                <w:szCs w:val="16"/>
                <w:lang w:eastAsia="pl-PL"/>
              </w:rPr>
            </w:pPr>
            <w:r>
              <w:rPr>
                <w:rFonts w:eastAsia="Times New Roman" w:cs="Calibri"/>
                <w:sz w:val="16"/>
                <w:szCs w:val="16"/>
                <w:lang w:eastAsia="pl-PL"/>
              </w:rPr>
              <w:t>State Treasury</w:t>
            </w:r>
          </w:p>
        </w:tc>
        <w:tc>
          <w:tcPr>
            <w:tcW w:w="891" w:type="dxa"/>
            <w:shd w:val="clear" w:color="auto" w:fill="auto"/>
            <w:noWrap/>
            <w:vAlign w:val="bottom"/>
          </w:tcPr>
          <w:p w:rsidR="006B1C05" w:rsidRPr="003578BD" w:rsidRDefault="006B1C05" w:rsidP="00D00C71">
            <w:pPr>
              <w:spacing w:after="0" w:line="240" w:lineRule="auto"/>
              <w:ind w:firstLineChars="200" w:firstLine="320"/>
              <w:jc w:val="right"/>
              <w:rPr>
                <w:rFonts w:eastAsia="Times New Roman" w:cs="Calibri"/>
                <w:sz w:val="16"/>
                <w:szCs w:val="16"/>
                <w:lang w:eastAsia="pl-PL"/>
              </w:rPr>
            </w:pPr>
            <w:r w:rsidRPr="003578BD">
              <w:rPr>
                <w:rFonts w:eastAsia="Times New Roman" w:cs="Calibri"/>
                <w:sz w:val="16"/>
                <w:szCs w:val="16"/>
                <w:lang w:eastAsia="pl-PL"/>
              </w:rPr>
              <w:t>29</w:t>
            </w:r>
            <w:r w:rsidR="00DA707B">
              <w:rPr>
                <w:rFonts w:eastAsia="Times New Roman" w:cs="Calibri"/>
                <w:sz w:val="16"/>
                <w:szCs w:val="16"/>
                <w:lang w:eastAsia="pl-PL"/>
              </w:rPr>
              <w:t>.</w:t>
            </w:r>
            <w:r w:rsidRPr="003578BD">
              <w:rPr>
                <w:rFonts w:eastAsia="Times New Roman" w:cs="Calibri"/>
                <w:sz w:val="16"/>
                <w:szCs w:val="16"/>
                <w:lang w:eastAsia="pl-PL"/>
              </w:rPr>
              <w:t>1</w:t>
            </w:r>
          </w:p>
        </w:tc>
        <w:tc>
          <w:tcPr>
            <w:tcW w:w="1134" w:type="dxa"/>
            <w:shd w:val="clear" w:color="auto" w:fill="auto"/>
            <w:noWrap/>
            <w:vAlign w:val="bottom"/>
          </w:tcPr>
          <w:p w:rsidR="006B1C05" w:rsidRPr="003578BD" w:rsidRDefault="006B1C05" w:rsidP="00D00C71">
            <w:pPr>
              <w:spacing w:after="0" w:line="240" w:lineRule="auto"/>
              <w:ind w:firstLineChars="200" w:firstLine="320"/>
              <w:jc w:val="right"/>
              <w:rPr>
                <w:rFonts w:eastAsia="Times New Roman" w:cs="Calibri"/>
                <w:sz w:val="16"/>
                <w:szCs w:val="16"/>
                <w:lang w:eastAsia="pl-PL"/>
              </w:rPr>
            </w:pPr>
            <w:r w:rsidRPr="003578BD">
              <w:rPr>
                <w:rFonts w:eastAsia="Times New Roman" w:cs="Calibri"/>
                <w:sz w:val="16"/>
                <w:szCs w:val="16"/>
                <w:lang w:eastAsia="pl-PL"/>
              </w:rPr>
              <w:t>28</w:t>
            </w:r>
            <w:r w:rsidR="00DA707B">
              <w:rPr>
                <w:rFonts w:eastAsia="Times New Roman" w:cs="Calibri"/>
                <w:sz w:val="16"/>
                <w:szCs w:val="16"/>
                <w:lang w:eastAsia="pl-PL"/>
              </w:rPr>
              <w:t>.</w:t>
            </w:r>
            <w:r w:rsidRPr="003578BD">
              <w:rPr>
                <w:rFonts w:eastAsia="Times New Roman" w:cs="Calibri"/>
                <w:sz w:val="16"/>
                <w:szCs w:val="16"/>
                <w:lang w:eastAsia="pl-PL"/>
              </w:rPr>
              <w:t>9</w:t>
            </w:r>
          </w:p>
        </w:tc>
        <w:tc>
          <w:tcPr>
            <w:tcW w:w="1134" w:type="dxa"/>
            <w:vAlign w:val="bottom"/>
          </w:tcPr>
          <w:p w:rsidR="006B1C05" w:rsidRPr="003578BD" w:rsidRDefault="006B1C05" w:rsidP="00D00C71">
            <w:pPr>
              <w:spacing w:after="0" w:line="240" w:lineRule="auto"/>
              <w:ind w:firstLineChars="200" w:firstLine="320"/>
              <w:jc w:val="right"/>
              <w:rPr>
                <w:rFonts w:eastAsia="Times New Roman" w:cs="Calibri"/>
                <w:sz w:val="16"/>
                <w:szCs w:val="16"/>
                <w:lang w:eastAsia="pl-PL"/>
              </w:rPr>
            </w:pPr>
            <w:r w:rsidRPr="003578BD">
              <w:rPr>
                <w:rFonts w:eastAsia="Times New Roman" w:cs="Calibri"/>
                <w:sz w:val="16"/>
                <w:szCs w:val="16"/>
                <w:lang w:eastAsia="pl-PL"/>
              </w:rPr>
              <w:t>1 473</w:t>
            </w:r>
            <w:r w:rsidR="00DA707B">
              <w:rPr>
                <w:rFonts w:eastAsia="Times New Roman" w:cs="Calibri"/>
                <w:sz w:val="16"/>
                <w:szCs w:val="16"/>
                <w:lang w:eastAsia="pl-PL"/>
              </w:rPr>
              <w:t>.</w:t>
            </w:r>
            <w:r w:rsidRPr="003578BD">
              <w:rPr>
                <w:rFonts w:eastAsia="Times New Roman" w:cs="Calibri"/>
                <w:sz w:val="16"/>
                <w:szCs w:val="16"/>
                <w:lang w:eastAsia="pl-PL"/>
              </w:rPr>
              <w:t>6</w:t>
            </w:r>
          </w:p>
        </w:tc>
        <w:tc>
          <w:tcPr>
            <w:tcW w:w="1134" w:type="dxa"/>
            <w:shd w:val="clear" w:color="auto" w:fill="auto"/>
            <w:noWrap/>
            <w:vAlign w:val="bottom"/>
          </w:tcPr>
          <w:p w:rsidR="006B1C05" w:rsidRPr="003578BD" w:rsidRDefault="006B1C05" w:rsidP="00D00C71">
            <w:pPr>
              <w:spacing w:after="0" w:line="240" w:lineRule="auto"/>
              <w:ind w:firstLineChars="200" w:firstLine="320"/>
              <w:jc w:val="right"/>
              <w:rPr>
                <w:rFonts w:eastAsia="Times New Roman" w:cs="Calibri"/>
                <w:sz w:val="16"/>
                <w:szCs w:val="16"/>
                <w:lang w:eastAsia="pl-PL"/>
              </w:rPr>
            </w:pPr>
            <w:r w:rsidRPr="003578BD">
              <w:rPr>
                <w:rFonts w:eastAsia="Times New Roman" w:cs="Calibri"/>
                <w:sz w:val="16"/>
                <w:szCs w:val="16"/>
                <w:lang w:eastAsia="pl-PL"/>
              </w:rPr>
              <w:t>1 470</w:t>
            </w:r>
            <w:r w:rsidR="00DA707B">
              <w:rPr>
                <w:rFonts w:eastAsia="Times New Roman" w:cs="Calibri"/>
                <w:sz w:val="16"/>
                <w:szCs w:val="16"/>
                <w:lang w:eastAsia="pl-PL"/>
              </w:rPr>
              <w:t>.</w:t>
            </w:r>
            <w:r w:rsidRPr="003578BD">
              <w:rPr>
                <w:rFonts w:eastAsia="Times New Roman" w:cs="Calibri"/>
                <w:sz w:val="16"/>
                <w:szCs w:val="16"/>
                <w:lang w:eastAsia="pl-PL"/>
              </w:rPr>
              <w:t>1</w:t>
            </w:r>
          </w:p>
        </w:tc>
      </w:tr>
      <w:tr w:rsidR="006B1C05" w:rsidRPr="003578BD" w:rsidTr="00DD60ED">
        <w:trPr>
          <w:trHeight w:val="283"/>
        </w:trPr>
        <w:tc>
          <w:tcPr>
            <w:tcW w:w="2835" w:type="dxa"/>
            <w:tcBorders>
              <w:bottom w:val="single" w:sz="4" w:space="0" w:color="001D77"/>
            </w:tcBorders>
            <w:shd w:val="clear" w:color="auto" w:fill="auto"/>
            <w:noWrap/>
            <w:hideMark/>
          </w:tcPr>
          <w:p w:rsidR="006B1C05" w:rsidRPr="003578BD" w:rsidRDefault="009C3C14" w:rsidP="00D00C71">
            <w:pPr>
              <w:spacing w:after="0" w:line="240" w:lineRule="auto"/>
              <w:rPr>
                <w:rFonts w:eastAsia="Times New Roman" w:cs="Calibri"/>
                <w:sz w:val="16"/>
                <w:szCs w:val="16"/>
                <w:lang w:eastAsia="pl-PL"/>
              </w:rPr>
            </w:pPr>
            <w:r w:rsidRPr="009C3C14">
              <w:rPr>
                <w:rFonts w:eastAsia="Times New Roman" w:cs="Calibri"/>
                <w:sz w:val="16"/>
                <w:szCs w:val="16"/>
                <w:lang w:eastAsia="pl-PL"/>
              </w:rPr>
              <w:t>public building societies</w:t>
            </w:r>
          </w:p>
        </w:tc>
        <w:tc>
          <w:tcPr>
            <w:tcW w:w="891" w:type="dxa"/>
            <w:tcBorders>
              <w:bottom w:val="single" w:sz="4" w:space="0" w:color="001D77"/>
            </w:tcBorders>
            <w:shd w:val="clear" w:color="auto" w:fill="auto"/>
            <w:noWrap/>
            <w:vAlign w:val="bottom"/>
          </w:tcPr>
          <w:p w:rsidR="006B1C05" w:rsidRPr="003578BD" w:rsidRDefault="006B1C05" w:rsidP="00D00C71">
            <w:pPr>
              <w:spacing w:after="0" w:line="240" w:lineRule="auto"/>
              <w:ind w:firstLineChars="200" w:firstLine="320"/>
              <w:jc w:val="right"/>
              <w:rPr>
                <w:rFonts w:eastAsia="Times New Roman" w:cs="Calibri"/>
                <w:sz w:val="16"/>
                <w:szCs w:val="16"/>
                <w:lang w:eastAsia="pl-PL"/>
              </w:rPr>
            </w:pPr>
            <w:r w:rsidRPr="003578BD">
              <w:rPr>
                <w:rFonts w:eastAsia="Times New Roman" w:cs="Calibri"/>
                <w:sz w:val="16"/>
                <w:szCs w:val="16"/>
                <w:lang w:eastAsia="pl-PL"/>
              </w:rPr>
              <w:t>98</w:t>
            </w:r>
            <w:r w:rsidR="00DA707B">
              <w:rPr>
                <w:rFonts w:eastAsia="Times New Roman" w:cs="Calibri"/>
                <w:sz w:val="16"/>
                <w:szCs w:val="16"/>
                <w:lang w:eastAsia="pl-PL"/>
              </w:rPr>
              <w:t>.</w:t>
            </w:r>
            <w:r w:rsidRPr="003578BD">
              <w:rPr>
                <w:rFonts w:eastAsia="Times New Roman" w:cs="Calibri"/>
                <w:sz w:val="16"/>
                <w:szCs w:val="16"/>
                <w:lang w:eastAsia="pl-PL"/>
              </w:rPr>
              <w:t>2</w:t>
            </w:r>
          </w:p>
        </w:tc>
        <w:tc>
          <w:tcPr>
            <w:tcW w:w="1134" w:type="dxa"/>
            <w:tcBorders>
              <w:bottom w:val="single" w:sz="4" w:space="0" w:color="001D77"/>
            </w:tcBorders>
            <w:shd w:val="clear" w:color="auto" w:fill="auto"/>
            <w:noWrap/>
            <w:vAlign w:val="bottom"/>
          </w:tcPr>
          <w:p w:rsidR="006B1C05" w:rsidRPr="003578BD" w:rsidRDefault="006B1C05" w:rsidP="00D00C71">
            <w:pPr>
              <w:spacing w:after="0" w:line="240" w:lineRule="auto"/>
              <w:ind w:firstLineChars="200" w:firstLine="320"/>
              <w:jc w:val="right"/>
              <w:rPr>
                <w:rFonts w:eastAsia="Times New Roman" w:cs="Calibri"/>
                <w:sz w:val="16"/>
                <w:szCs w:val="16"/>
                <w:lang w:eastAsia="pl-PL"/>
              </w:rPr>
            </w:pPr>
            <w:r w:rsidRPr="003578BD">
              <w:rPr>
                <w:rFonts w:eastAsia="Times New Roman" w:cs="Calibri"/>
                <w:sz w:val="16"/>
                <w:szCs w:val="16"/>
                <w:lang w:eastAsia="pl-PL"/>
              </w:rPr>
              <w:t>102</w:t>
            </w:r>
            <w:r w:rsidR="00DA707B">
              <w:rPr>
                <w:rFonts w:eastAsia="Times New Roman" w:cs="Calibri"/>
                <w:sz w:val="16"/>
                <w:szCs w:val="16"/>
                <w:lang w:eastAsia="pl-PL"/>
              </w:rPr>
              <w:t>.</w:t>
            </w:r>
            <w:r w:rsidRPr="003578BD">
              <w:rPr>
                <w:rFonts w:eastAsia="Times New Roman" w:cs="Calibri"/>
                <w:sz w:val="16"/>
                <w:szCs w:val="16"/>
                <w:lang w:eastAsia="pl-PL"/>
              </w:rPr>
              <w:t>3</w:t>
            </w:r>
          </w:p>
        </w:tc>
        <w:tc>
          <w:tcPr>
            <w:tcW w:w="1134" w:type="dxa"/>
            <w:tcBorders>
              <w:bottom w:val="single" w:sz="4" w:space="0" w:color="001D77"/>
            </w:tcBorders>
            <w:vAlign w:val="bottom"/>
          </w:tcPr>
          <w:p w:rsidR="006B1C05" w:rsidRPr="003578BD" w:rsidRDefault="006B1C05" w:rsidP="00D00C71">
            <w:pPr>
              <w:spacing w:after="0" w:line="240" w:lineRule="auto"/>
              <w:ind w:firstLineChars="200" w:firstLine="320"/>
              <w:jc w:val="right"/>
              <w:rPr>
                <w:rFonts w:eastAsia="Times New Roman" w:cs="Calibri"/>
                <w:sz w:val="16"/>
                <w:szCs w:val="16"/>
                <w:lang w:eastAsia="pl-PL"/>
              </w:rPr>
            </w:pPr>
            <w:r w:rsidRPr="003578BD">
              <w:rPr>
                <w:rFonts w:eastAsia="Times New Roman" w:cs="Calibri"/>
                <w:sz w:val="16"/>
                <w:szCs w:val="16"/>
                <w:lang w:eastAsia="pl-PL"/>
              </w:rPr>
              <w:t>4 843</w:t>
            </w:r>
            <w:r w:rsidR="00DA707B">
              <w:rPr>
                <w:rFonts w:eastAsia="Times New Roman" w:cs="Calibri"/>
                <w:sz w:val="16"/>
                <w:szCs w:val="16"/>
                <w:lang w:eastAsia="pl-PL"/>
              </w:rPr>
              <w:t>.</w:t>
            </w:r>
            <w:r w:rsidRPr="003578BD">
              <w:rPr>
                <w:rFonts w:eastAsia="Times New Roman" w:cs="Calibri"/>
                <w:sz w:val="16"/>
                <w:szCs w:val="16"/>
                <w:lang w:eastAsia="pl-PL"/>
              </w:rPr>
              <w:t>2</w:t>
            </w:r>
          </w:p>
        </w:tc>
        <w:tc>
          <w:tcPr>
            <w:tcW w:w="1134" w:type="dxa"/>
            <w:tcBorders>
              <w:bottom w:val="single" w:sz="4" w:space="0" w:color="001D77"/>
            </w:tcBorders>
            <w:shd w:val="clear" w:color="auto" w:fill="auto"/>
            <w:noWrap/>
            <w:vAlign w:val="bottom"/>
          </w:tcPr>
          <w:p w:rsidR="006B1C05" w:rsidRPr="003578BD" w:rsidRDefault="006B1C05" w:rsidP="00D00C71">
            <w:pPr>
              <w:spacing w:after="0" w:line="240" w:lineRule="auto"/>
              <w:ind w:firstLineChars="200" w:firstLine="320"/>
              <w:jc w:val="right"/>
              <w:rPr>
                <w:rFonts w:eastAsia="Times New Roman" w:cs="Calibri"/>
                <w:sz w:val="16"/>
                <w:szCs w:val="16"/>
                <w:lang w:eastAsia="pl-PL"/>
              </w:rPr>
            </w:pPr>
            <w:r w:rsidRPr="003578BD">
              <w:rPr>
                <w:rFonts w:eastAsia="Times New Roman" w:cs="Calibri"/>
                <w:sz w:val="16"/>
                <w:szCs w:val="16"/>
                <w:lang w:eastAsia="pl-PL"/>
              </w:rPr>
              <w:t>5 043</w:t>
            </w:r>
            <w:r w:rsidR="00DA707B">
              <w:rPr>
                <w:rFonts w:eastAsia="Times New Roman" w:cs="Calibri"/>
                <w:sz w:val="16"/>
                <w:szCs w:val="16"/>
                <w:lang w:eastAsia="pl-PL"/>
              </w:rPr>
              <w:t>.</w:t>
            </w:r>
            <w:r w:rsidRPr="003578BD">
              <w:rPr>
                <w:rFonts w:eastAsia="Times New Roman" w:cs="Calibri"/>
                <w:sz w:val="16"/>
                <w:szCs w:val="16"/>
                <w:lang w:eastAsia="pl-PL"/>
              </w:rPr>
              <w:t>7</w:t>
            </w:r>
          </w:p>
        </w:tc>
      </w:tr>
      <w:tr w:rsidR="006B1C05" w:rsidRPr="003578BD" w:rsidTr="00DD60ED">
        <w:trPr>
          <w:trHeight w:val="283"/>
        </w:trPr>
        <w:tc>
          <w:tcPr>
            <w:tcW w:w="2835" w:type="dxa"/>
            <w:tcBorders>
              <w:top w:val="single" w:sz="4" w:space="0" w:color="001D77"/>
              <w:bottom w:val="nil"/>
            </w:tcBorders>
            <w:shd w:val="clear" w:color="auto" w:fill="auto"/>
            <w:noWrap/>
            <w:vAlign w:val="center"/>
            <w:hideMark/>
          </w:tcPr>
          <w:p w:rsidR="006B1C05" w:rsidRPr="003578BD" w:rsidRDefault="00496D3A" w:rsidP="00D00C71">
            <w:pPr>
              <w:spacing w:after="0" w:line="240" w:lineRule="auto"/>
              <w:jc w:val="both"/>
              <w:rPr>
                <w:rFonts w:eastAsia="Times New Roman" w:cs="Calibri"/>
                <w:sz w:val="16"/>
                <w:szCs w:val="16"/>
                <w:lang w:eastAsia="pl-PL"/>
              </w:rPr>
            </w:pPr>
            <w:r>
              <w:rPr>
                <w:rFonts w:eastAsia="Times New Roman" w:cs="Calibri"/>
                <w:sz w:val="16"/>
                <w:szCs w:val="16"/>
                <w:lang w:eastAsia="pl-PL"/>
              </w:rPr>
              <w:t>natural persons</w:t>
            </w:r>
            <w:r w:rsidR="006B1C05">
              <w:rPr>
                <w:rFonts w:eastAsia="Times New Roman" w:cs="Calibri"/>
                <w:sz w:val="16"/>
                <w:szCs w:val="16"/>
                <w:vertAlign w:val="superscript"/>
                <w:lang w:eastAsia="pl-PL"/>
              </w:rPr>
              <w:t>1)</w:t>
            </w:r>
          </w:p>
        </w:tc>
        <w:tc>
          <w:tcPr>
            <w:tcW w:w="891" w:type="dxa"/>
            <w:tcBorders>
              <w:top w:val="single" w:sz="4" w:space="0" w:color="001D77"/>
              <w:bottom w:val="nil"/>
            </w:tcBorders>
            <w:shd w:val="clear" w:color="auto" w:fill="auto"/>
            <w:noWrap/>
            <w:vAlign w:val="bottom"/>
          </w:tcPr>
          <w:p w:rsidR="006B1C05" w:rsidRPr="003578BD" w:rsidRDefault="006B1C05" w:rsidP="00D00C71">
            <w:pPr>
              <w:spacing w:after="0" w:line="240" w:lineRule="auto"/>
              <w:jc w:val="right"/>
              <w:rPr>
                <w:rFonts w:eastAsia="Times New Roman" w:cs="Calibri"/>
                <w:sz w:val="16"/>
                <w:szCs w:val="16"/>
                <w:lang w:eastAsia="pl-PL"/>
              </w:rPr>
            </w:pPr>
            <w:r>
              <w:rPr>
                <w:rFonts w:eastAsia="Times New Roman" w:cs="Calibri"/>
                <w:sz w:val="16"/>
                <w:szCs w:val="16"/>
                <w:lang w:eastAsia="pl-PL"/>
              </w:rPr>
              <w:t>11 122</w:t>
            </w:r>
            <w:r w:rsidR="00DA707B">
              <w:rPr>
                <w:rFonts w:eastAsia="Times New Roman" w:cs="Calibri"/>
                <w:sz w:val="16"/>
                <w:szCs w:val="16"/>
                <w:lang w:eastAsia="pl-PL"/>
              </w:rPr>
              <w:t>.</w:t>
            </w:r>
            <w:r>
              <w:rPr>
                <w:rFonts w:eastAsia="Times New Roman" w:cs="Calibri"/>
                <w:sz w:val="16"/>
                <w:szCs w:val="16"/>
                <w:lang w:eastAsia="pl-PL"/>
              </w:rPr>
              <w:t>9</w:t>
            </w:r>
          </w:p>
        </w:tc>
        <w:tc>
          <w:tcPr>
            <w:tcW w:w="1134" w:type="dxa"/>
            <w:tcBorders>
              <w:top w:val="single" w:sz="4" w:space="0" w:color="001D77"/>
              <w:bottom w:val="nil"/>
            </w:tcBorders>
            <w:shd w:val="clear" w:color="auto" w:fill="auto"/>
            <w:noWrap/>
            <w:vAlign w:val="bottom"/>
          </w:tcPr>
          <w:p w:rsidR="006B1C05" w:rsidRPr="003578BD" w:rsidRDefault="006B1C05" w:rsidP="006B1C05">
            <w:pPr>
              <w:spacing w:after="0" w:line="240" w:lineRule="auto"/>
              <w:jc w:val="right"/>
              <w:rPr>
                <w:rFonts w:eastAsia="Times New Roman" w:cs="Calibri"/>
                <w:sz w:val="16"/>
                <w:szCs w:val="16"/>
                <w:lang w:eastAsia="pl-PL"/>
              </w:rPr>
            </w:pPr>
            <w:r>
              <w:rPr>
                <w:rFonts w:eastAsia="Times New Roman" w:cs="Calibri"/>
                <w:sz w:val="16"/>
                <w:szCs w:val="16"/>
                <w:lang w:eastAsia="pl-PL"/>
              </w:rPr>
              <w:t>11 544</w:t>
            </w:r>
            <w:r w:rsidR="00DA707B">
              <w:rPr>
                <w:rFonts w:eastAsia="Times New Roman" w:cs="Calibri"/>
                <w:sz w:val="16"/>
                <w:szCs w:val="16"/>
                <w:lang w:eastAsia="pl-PL"/>
              </w:rPr>
              <w:t>.</w:t>
            </w:r>
            <w:r>
              <w:rPr>
                <w:rFonts w:eastAsia="Times New Roman" w:cs="Calibri"/>
                <w:sz w:val="16"/>
                <w:szCs w:val="16"/>
                <w:lang w:eastAsia="pl-PL"/>
              </w:rPr>
              <w:t>6</w:t>
            </w:r>
          </w:p>
        </w:tc>
        <w:tc>
          <w:tcPr>
            <w:tcW w:w="1134" w:type="dxa"/>
            <w:tcBorders>
              <w:top w:val="single" w:sz="4" w:space="0" w:color="001D77"/>
              <w:bottom w:val="nil"/>
            </w:tcBorders>
            <w:vAlign w:val="bottom"/>
          </w:tcPr>
          <w:p w:rsidR="006B1C05" w:rsidRPr="003578BD" w:rsidRDefault="006B1C05" w:rsidP="00D00C71">
            <w:pPr>
              <w:spacing w:after="0" w:line="240" w:lineRule="auto"/>
              <w:jc w:val="right"/>
              <w:rPr>
                <w:rFonts w:eastAsia="Times New Roman" w:cs="Calibri"/>
                <w:sz w:val="16"/>
                <w:szCs w:val="16"/>
                <w:lang w:eastAsia="pl-PL"/>
              </w:rPr>
            </w:pPr>
            <w:r>
              <w:rPr>
                <w:rFonts w:eastAsia="Times New Roman" w:cs="Calibri"/>
                <w:sz w:val="16"/>
                <w:szCs w:val="16"/>
                <w:lang w:eastAsia="pl-PL"/>
              </w:rPr>
              <w:t>901 728</w:t>
            </w:r>
            <w:r w:rsidR="00DA707B">
              <w:rPr>
                <w:rFonts w:eastAsia="Times New Roman" w:cs="Calibri"/>
                <w:sz w:val="16"/>
                <w:szCs w:val="16"/>
                <w:lang w:eastAsia="pl-PL"/>
              </w:rPr>
              <w:t>.</w:t>
            </w:r>
            <w:r>
              <w:rPr>
                <w:rFonts w:eastAsia="Times New Roman" w:cs="Calibri"/>
                <w:sz w:val="16"/>
                <w:szCs w:val="16"/>
                <w:lang w:eastAsia="pl-PL"/>
              </w:rPr>
              <w:t>1</w:t>
            </w:r>
          </w:p>
        </w:tc>
        <w:tc>
          <w:tcPr>
            <w:tcW w:w="1134" w:type="dxa"/>
            <w:tcBorders>
              <w:top w:val="single" w:sz="4" w:space="0" w:color="001D77"/>
              <w:bottom w:val="nil"/>
            </w:tcBorders>
            <w:shd w:val="clear" w:color="auto" w:fill="auto"/>
            <w:noWrap/>
            <w:vAlign w:val="bottom"/>
          </w:tcPr>
          <w:p w:rsidR="006B1C05" w:rsidRPr="003578BD" w:rsidRDefault="006B1C05" w:rsidP="00D00C71">
            <w:pPr>
              <w:spacing w:after="0" w:line="240" w:lineRule="auto"/>
              <w:jc w:val="right"/>
              <w:rPr>
                <w:rFonts w:eastAsia="Times New Roman" w:cs="Calibri"/>
                <w:sz w:val="16"/>
                <w:szCs w:val="16"/>
                <w:lang w:eastAsia="pl-PL"/>
              </w:rPr>
            </w:pPr>
            <w:r>
              <w:rPr>
                <w:rFonts w:eastAsia="Times New Roman" w:cs="Calibri"/>
                <w:sz w:val="16"/>
                <w:szCs w:val="16"/>
                <w:lang w:eastAsia="pl-PL"/>
              </w:rPr>
              <w:t>639 615</w:t>
            </w:r>
            <w:r w:rsidR="00DA707B">
              <w:rPr>
                <w:rFonts w:eastAsia="Times New Roman" w:cs="Calibri"/>
                <w:sz w:val="16"/>
                <w:szCs w:val="16"/>
                <w:lang w:eastAsia="pl-PL"/>
              </w:rPr>
              <w:t>.</w:t>
            </w:r>
            <w:r>
              <w:rPr>
                <w:rFonts w:eastAsia="Times New Roman" w:cs="Calibri"/>
                <w:sz w:val="16"/>
                <w:szCs w:val="16"/>
                <w:lang w:eastAsia="pl-PL"/>
              </w:rPr>
              <w:t>1</w:t>
            </w:r>
          </w:p>
        </w:tc>
      </w:tr>
      <w:tr w:rsidR="006B1C05" w:rsidRPr="003578BD" w:rsidTr="00DD60ED">
        <w:trPr>
          <w:trHeight w:val="283"/>
        </w:trPr>
        <w:tc>
          <w:tcPr>
            <w:tcW w:w="2835" w:type="dxa"/>
            <w:tcBorders>
              <w:top w:val="nil"/>
            </w:tcBorders>
            <w:shd w:val="clear" w:color="auto" w:fill="auto"/>
            <w:noWrap/>
            <w:vAlign w:val="center"/>
          </w:tcPr>
          <w:p w:rsidR="006B1C05" w:rsidRPr="003578BD" w:rsidRDefault="00D33796" w:rsidP="00496D3A">
            <w:pPr>
              <w:spacing w:after="0" w:line="240" w:lineRule="auto"/>
              <w:ind w:left="176"/>
              <w:jc w:val="both"/>
              <w:rPr>
                <w:rFonts w:eastAsia="Times New Roman" w:cs="Calibri"/>
                <w:sz w:val="16"/>
                <w:szCs w:val="16"/>
                <w:lang w:eastAsia="pl-PL"/>
              </w:rPr>
            </w:pPr>
            <w:r>
              <w:rPr>
                <w:rFonts w:eastAsia="Times New Roman" w:cs="Calibri"/>
                <w:sz w:val="16"/>
                <w:szCs w:val="16"/>
                <w:lang w:eastAsia="pl-PL"/>
              </w:rPr>
              <w:t>o</w:t>
            </w:r>
            <w:r w:rsidR="00496D3A">
              <w:rPr>
                <w:rFonts w:eastAsia="Times New Roman" w:cs="Calibri"/>
                <w:sz w:val="16"/>
                <w:szCs w:val="16"/>
                <w:lang w:eastAsia="pl-PL"/>
              </w:rPr>
              <w:t>f which in condominiums</w:t>
            </w:r>
          </w:p>
        </w:tc>
        <w:tc>
          <w:tcPr>
            <w:tcW w:w="891" w:type="dxa"/>
            <w:tcBorders>
              <w:top w:val="nil"/>
            </w:tcBorders>
            <w:shd w:val="clear" w:color="auto" w:fill="auto"/>
            <w:noWrap/>
            <w:vAlign w:val="bottom"/>
          </w:tcPr>
          <w:p w:rsidR="006B1C05" w:rsidRPr="003578BD" w:rsidRDefault="006B1C05" w:rsidP="00D00C71">
            <w:pPr>
              <w:spacing w:after="0" w:line="240" w:lineRule="auto"/>
              <w:jc w:val="right"/>
              <w:rPr>
                <w:rFonts w:eastAsia="Times New Roman" w:cs="Calibri"/>
                <w:sz w:val="16"/>
                <w:szCs w:val="16"/>
                <w:lang w:eastAsia="pl-PL"/>
              </w:rPr>
            </w:pPr>
            <w:r w:rsidRPr="003578BD">
              <w:rPr>
                <w:rFonts w:eastAsia="Times New Roman" w:cs="Calibri"/>
                <w:sz w:val="16"/>
                <w:szCs w:val="16"/>
                <w:lang w:eastAsia="pl-PL"/>
              </w:rPr>
              <w:t>2 896</w:t>
            </w:r>
            <w:r w:rsidR="00DA707B">
              <w:rPr>
                <w:rFonts w:eastAsia="Times New Roman" w:cs="Calibri"/>
                <w:sz w:val="16"/>
                <w:szCs w:val="16"/>
                <w:lang w:eastAsia="pl-PL"/>
              </w:rPr>
              <w:t>.</w:t>
            </w:r>
            <w:r w:rsidRPr="003578BD">
              <w:rPr>
                <w:rFonts w:eastAsia="Times New Roman" w:cs="Calibri"/>
                <w:sz w:val="16"/>
                <w:szCs w:val="16"/>
                <w:lang w:eastAsia="pl-PL"/>
              </w:rPr>
              <w:t>6</w:t>
            </w:r>
          </w:p>
        </w:tc>
        <w:tc>
          <w:tcPr>
            <w:tcW w:w="1134" w:type="dxa"/>
            <w:tcBorders>
              <w:top w:val="nil"/>
            </w:tcBorders>
            <w:shd w:val="clear" w:color="auto" w:fill="auto"/>
            <w:noWrap/>
            <w:vAlign w:val="bottom"/>
          </w:tcPr>
          <w:p w:rsidR="006B1C05" w:rsidRPr="003578BD" w:rsidRDefault="006B1C05" w:rsidP="00D00C71">
            <w:pPr>
              <w:spacing w:after="0" w:line="240" w:lineRule="auto"/>
              <w:jc w:val="right"/>
              <w:rPr>
                <w:rFonts w:eastAsia="Times New Roman" w:cs="Calibri"/>
                <w:sz w:val="16"/>
                <w:szCs w:val="16"/>
                <w:lang w:eastAsia="pl-PL"/>
              </w:rPr>
            </w:pPr>
            <w:r>
              <w:rPr>
                <w:rFonts w:eastAsia="Times New Roman" w:cs="Calibri"/>
                <w:sz w:val="16"/>
                <w:szCs w:val="16"/>
                <w:lang w:eastAsia="pl-PL"/>
              </w:rPr>
              <w:t>2 966</w:t>
            </w:r>
            <w:r w:rsidR="00DA707B">
              <w:rPr>
                <w:rFonts w:eastAsia="Times New Roman" w:cs="Calibri"/>
                <w:sz w:val="16"/>
                <w:szCs w:val="16"/>
                <w:lang w:eastAsia="pl-PL"/>
              </w:rPr>
              <w:t>.</w:t>
            </w:r>
            <w:r>
              <w:rPr>
                <w:rFonts w:eastAsia="Times New Roman" w:cs="Calibri"/>
                <w:sz w:val="16"/>
                <w:szCs w:val="16"/>
                <w:lang w:eastAsia="pl-PL"/>
              </w:rPr>
              <w:t>5</w:t>
            </w:r>
          </w:p>
        </w:tc>
        <w:tc>
          <w:tcPr>
            <w:tcW w:w="1134" w:type="dxa"/>
            <w:tcBorders>
              <w:top w:val="nil"/>
            </w:tcBorders>
            <w:vAlign w:val="bottom"/>
          </w:tcPr>
          <w:p w:rsidR="006B1C05" w:rsidRPr="003578BD" w:rsidRDefault="006B1C05" w:rsidP="00D00C71">
            <w:pPr>
              <w:spacing w:after="0" w:line="240" w:lineRule="auto"/>
              <w:jc w:val="right"/>
              <w:rPr>
                <w:rFonts w:eastAsia="Times New Roman" w:cs="Calibri"/>
                <w:sz w:val="16"/>
                <w:szCs w:val="16"/>
                <w:lang w:eastAsia="pl-PL"/>
              </w:rPr>
            </w:pPr>
            <w:r w:rsidRPr="003578BD">
              <w:rPr>
                <w:rFonts w:eastAsia="Times New Roman" w:cs="Calibri"/>
                <w:sz w:val="16"/>
                <w:szCs w:val="16"/>
                <w:lang w:eastAsia="pl-PL"/>
              </w:rPr>
              <w:t>151 532</w:t>
            </w:r>
            <w:r w:rsidR="00DA707B">
              <w:rPr>
                <w:rFonts w:eastAsia="Times New Roman" w:cs="Calibri"/>
                <w:sz w:val="16"/>
                <w:szCs w:val="16"/>
                <w:lang w:eastAsia="pl-PL"/>
              </w:rPr>
              <w:t>.</w:t>
            </w:r>
            <w:r w:rsidRPr="003578BD">
              <w:rPr>
                <w:rFonts w:eastAsia="Times New Roman" w:cs="Calibri"/>
                <w:sz w:val="16"/>
                <w:szCs w:val="16"/>
                <w:lang w:eastAsia="pl-PL"/>
              </w:rPr>
              <w:t>1</w:t>
            </w:r>
          </w:p>
        </w:tc>
        <w:tc>
          <w:tcPr>
            <w:tcW w:w="1134" w:type="dxa"/>
            <w:tcBorders>
              <w:top w:val="nil"/>
            </w:tcBorders>
            <w:shd w:val="clear" w:color="auto" w:fill="auto"/>
            <w:noWrap/>
            <w:vAlign w:val="bottom"/>
          </w:tcPr>
          <w:p w:rsidR="006B1C05" w:rsidRPr="003578BD" w:rsidRDefault="006B1C05" w:rsidP="00D00C71">
            <w:pPr>
              <w:spacing w:after="0" w:line="240" w:lineRule="auto"/>
              <w:jc w:val="right"/>
              <w:rPr>
                <w:rFonts w:eastAsia="Times New Roman" w:cs="Calibri"/>
                <w:sz w:val="16"/>
                <w:szCs w:val="16"/>
                <w:lang w:eastAsia="pl-PL"/>
              </w:rPr>
            </w:pPr>
            <w:r>
              <w:rPr>
                <w:rFonts w:eastAsia="Times New Roman" w:cs="Calibri"/>
                <w:sz w:val="16"/>
                <w:szCs w:val="16"/>
                <w:lang w:eastAsia="pl-PL"/>
              </w:rPr>
              <w:t>154 879</w:t>
            </w:r>
            <w:r w:rsidR="00DA707B">
              <w:rPr>
                <w:rFonts w:eastAsia="Times New Roman" w:cs="Calibri"/>
                <w:sz w:val="16"/>
                <w:szCs w:val="16"/>
                <w:lang w:eastAsia="pl-PL"/>
              </w:rPr>
              <w:t>.</w:t>
            </w:r>
            <w:r>
              <w:rPr>
                <w:rFonts w:eastAsia="Times New Roman" w:cs="Calibri"/>
                <w:sz w:val="16"/>
                <w:szCs w:val="16"/>
                <w:lang w:eastAsia="pl-PL"/>
              </w:rPr>
              <w:t>3</w:t>
            </w:r>
          </w:p>
        </w:tc>
      </w:tr>
    </w:tbl>
    <w:p w:rsidR="006B1C05" w:rsidRPr="00B45508" w:rsidRDefault="00496D3A" w:rsidP="00496D3A">
      <w:pPr>
        <w:pStyle w:val="Akapitzlist"/>
        <w:numPr>
          <w:ilvl w:val="0"/>
          <w:numId w:val="3"/>
        </w:numPr>
        <w:spacing w:before="240" w:after="0"/>
        <w:ind w:left="142" w:hanging="153"/>
        <w:rPr>
          <w:rFonts w:eastAsia="Times New Roman" w:cs="Times New Roman"/>
          <w:bCs/>
          <w:szCs w:val="19"/>
          <w:lang w:eastAsia="pl-PL"/>
        </w:rPr>
      </w:pPr>
      <w:r>
        <w:rPr>
          <w:rFonts w:eastAsia="Times New Roman" w:cs="Calibri"/>
          <w:sz w:val="12"/>
          <w:szCs w:val="12"/>
          <w:lang w:eastAsia="pl-PL"/>
        </w:rPr>
        <w:t>Including other entities</w:t>
      </w:r>
      <w:r w:rsidR="00DA707B">
        <w:rPr>
          <w:rFonts w:eastAsia="Times New Roman" w:cs="Calibri"/>
          <w:sz w:val="12"/>
          <w:szCs w:val="12"/>
          <w:lang w:eastAsia="pl-PL"/>
        </w:rPr>
        <w:t>.</w:t>
      </w:r>
    </w:p>
    <w:p w:rsidR="006F79A9" w:rsidRDefault="006F79A9" w:rsidP="00F467CA">
      <w:pPr>
        <w:spacing w:after="0"/>
        <w:rPr>
          <w:rFonts w:eastAsia="Times New Roman" w:cs="Times New Roman"/>
          <w:b/>
          <w:bCs/>
          <w:color w:val="001D77"/>
          <w:szCs w:val="24"/>
          <w:lang w:eastAsia="pl-PL"/>
        </w:rPr>
      </w:pPr>
    </w:p>
    <w:p w:rsidR="00DB30AB" w:rsidRPr="00281994" w:rsidRDefault="00DA707B" w:rsidP="00DD60ED">
      <w:pPr>
        <w:pStyle w:val="Nagwek1"/>
        <w:rPr>
          <w:shd w:val="clear" w:color="auto" w:fill="FFFFFF"/>
          <w:lang w:val="en-GB"/>
        </w:rPr>
      </w:pPr>
      <w:r w:rsidRPr="00281994">
        <w:rPr>
          <w:lang w:val="en-GB"/>
        </w:rPr>
        <w:lastRenderedPageBreak/>
        <w:t>Ownership forms of dwelling stocks in buildings under management/administration</w:t>
      </w:r>
    </w:p>
    <w:p w:rsidR="00F467CA" w:rsidRPr="00281994" w:rsidRDefault="00DA707B" w:rsidP="00F467CA">
      <w:pPr>
        <w:spacing w:after="0"/>
        <w:rPr>
          <w:shd w:val="clear" w:color="auto" w:fill="FFFFFF"/>
          <w:lang w:val="en-GB"/>
        </w:rPr>
      </w:pPr>
      <w:r w:rsidRPr="00281994">
        <w:rPr>
          <w:shd w:val="clear" w:color="auto" w:fill="FFFFFF"/>
          <w:lang w:val="en-GB"/>
        </w:rPr>
        <w:t>Out of</w:t>
      </w:r>
      <w:r w:rsidR="00F467CA" w:rsidRPr="00281994">
        <w:rPr>
          <w:shd w:val="clear" w:color="auto" w:fill="FFFFFF"/>
          <w:lang w:val="en-GB"/>
        </w:rPr>
        <w:t xml:space="preserve"> </w:t>
      </w:r>
      <w:r w:rsidR="00A604FA" w:rsidRPr="00281994">
        <w:rPr>
          <w:shd w:val="clear" w:color="auto" w:fill="FFFFFF"/>
          <w:lang w:val="en-GB"/>
        </w:rPr>
        <w:t>the total num</w:t>
      </w:r>
      <w:r w:rsidR="00CA0A0F">
        <w:rPr>
          <w:shd w:val="clear" w:color="auto" w:fill="FFFFFF"/>
          <w:lang w:val="en-GB"/>
        </w:rPr>
        <w:t>b</w:t>
      </w:r>
      <w:r w:rsidR="00A604FA" w:rsidRPr="00281994">
        <w:rPr>
          <w:shd w:val="clear" w:color="auto" w:fill="FFFFFF"/>
          <w:lang w:val="en-GB"/>
        </w:rPr>
        <w:t xml:space="preserve">er of dwellings about </w:t>
      </w:r>
      <w:r w:rsidR="00F467CA" w:rsidRPr="00281994">
        <w:rPr>
          <w:shd w:val="clear" w:color="auto" w:fill="FFFFFF"/>
          <w:lang w:val="en-GB"/>
        </w:rPr>
        <w:t xml:space="preserve">6 052.8 </w:t>
      </w:r>
      <w:r w:rsidRPr="00281994">
        <w:rPr>
          <w:shd w:val="clear" w:color="auto" w:fill="FFFFFF"/>
          <w:lang w:val="en-GB"/>
        </w:rPr>
        <w:t>thousand</w:t>
      </w:r>
      <w:r w:rsidR="006F79A9" w:rsidRPr="00281994">
        <w:rPr>
          <w:shd w:val="clear" w:color="auto" w:fill="FFFFFF"/>
          <w:lang w:val="en-GB"/>
        </w:rPr>
        <w:t xml:space="preserve"> dwellings</w:t>
      </w:r>
      <w:r w:rsidR="00F467CA" w:rsidRPr="00281994">
        <w:rPr>
          <w:shd w:val="clear" w:color="auto" w:fill="FFFFFF"/>
          <w:lang w:val="en-GB"/>
        </w:rPr>
        <w:t xml:space="preserve"> </w:t>
      </w:r>
      <w:r w:rsidR="00A604FA" w:rsidRPr="00281994">
        <w:rPr>
          <w:shd w:val="clear" w:color="auto" w:fill="FFFFFF"/>
          <w:lang w:val="en-GB"/>
        </w:rPr>
        <w:t xml:space="preserve">were </w:t>
      </w:r>
      <w:r w:rsidR="00F467CA" w:rsidRPr="00281994">
        <w:rPr>
          <w:shd w:val="clear" w:color="auto" w:fill="FFFFFF"/>
          <w:lang w:val="en-GB"/>
        </w:rPr>
        <w:t>located in buildings under management/administration</w:t>
      </w:r>
      <w:r w:rsidR="006F79A9" w:rsidRPr="00DA707B">
        <w:rPr>
          <w:rStyle w:val="Odwoanieprzypisudolnego"/>
          <w:shd w:val="clear" w:color="auto" w:fill="FFFFFF"/>
        </w:rPr>
        <w:footnoteReference w:id="1"/>
      </w:r>
      <w:r w:rsidR="00A604FA" w:rsidRPr="00281994">
        <w:rPr>
          <w:shd w:val="clear" w:color="auto" w:fill="FFFFFF"/>
          <w:lang w:val="en-GB"/>
        </w:rPr>
        <w:t>. N</w:t>
      </w:r>
      <w:r w:rsidR="00F467CA" w:rsidRPr="00281994">
        <w:rPr>
          <w:shd w:val="clear" w:color="auto" w:fill="FFFFFF"/>
          <w:lang w:val="en-GB"/>
        </w:rPr>
        <w:t>early half</w:t>
      </w:r>
      <w:r w:rsidR="00A604FA" w:rsidRPr="00281994">
        <w:rPr>
          <w:shd w:val="clear" w:color="auto" w:fill="FFFFFF"/>
          <w:lang w:val="en-GB"/>
        </w:rPr>
        <w:t>,</w:t>
      </w:r>
      <w:r w:rsidR="00F467CA" w:rsidRPr="00281994">
        <w:rPr>
          <w:shd w:val="clear" w:color="auto" w:fill="FFFFFF"/>
          <w:lang w:val="en-GB"/>
        </w:rPr>
        <w:t xml:space="preserve"> i.e. 49.0</w:t>
      </w:r>
      <w:r w:rsidR="00B22D3C" w:rsidRPr="00281994">
        <w:rPr>
          <w:shd w:val="clear" w:color="auto" w:fill="FFFFFF"/>
          <w:lang w:val="en-GB"/>
        </w:rPr>
        <w:t> </w:t>
      </w:r>
      <w:r w:rsidR="00F467CA" w:rsidRPr="00281994">
        <w:rPr>
          <w:shd w:val="clear" w:color="auto" w:fill="FFFFFF"/>
          <w:lang w:val="en-GB"/>
        </w:rPr>
        <w:t xml:space="preserve">% </w:t>
      </w:r>
      <w:r w:rsidR="00A604FA" w:rsidRPr="00281994">
        <w:rPr>
          <w:shd w:val="clear" w:color="auto" w:fill="FFFFFF"/>
          <w:lang w:val="en-GB"/>
        </w:rPr>
        <w:t>were</w:t>
      </w:r>
      <w:r w:rsidR="00F467CA" w:rsidRPr="00281994">
        <w:rPr>
          <w:shd w:val="clear" w:color="auto" w:fill="FFFFFF"/>
          <w:lang w:val="en-GB"/>
        </w:rPr>
        <w:t xml:space="preserve"> dwellings </w:t>
      </w:r>
      <w:r w:rsidR="00A604FA" w:rsidRPr="00281994">
        <w:rPr>
          <w:shd w:val="clear" w:color="auto" w:fill="FFFFFF"/>
          <w:lang w:val="en-GB"/>
        </w:rPr>
        <w:t>owned</w:t>
      </w:r>
      <w:r w:rsidR="00B22D3C" w:rsidRPr="00281994">
        <w:rPr>
          <w:shd w:val="clear" w:color="auto" w:fill="FFFFFF"/>
          <w:lang w:val="en-GB"/>
        </w:rPr>
        <w:t xml:space="preserve"> by</w:t>
      </w:r>
      <w:r w:rsidR="00F467CA" w:rsidRPr="00281994">
        <w:rPr>
          <w:shd w:val="clear" w:color="auto" w:fill="FFFFFF"/>
          <w:lang w:val="en-GB"/>
        </w:rPr>
        <w:t xml:space="preserve"> natural persons in buildings covered by housing condominium</w:t>
      </w:r>
      <w:r w:rsidR="006B1C05" w:rsidRPr="00281994">
        <w:rPr>
          <w:shd w:val="clear" w:color="auto" w:fill="FFFFFF"/>
          <w:lang w:val="en-GB"/>
        </w:rPr>
        <w:t>s</w:t>
      </w:r>
      <w:r w:rsidR="00F467CA" w:rsidRPr="00281994">
        <w:rPr>
          <w:shd w:val="clear" w:color="auto" w:fill="FFFFFF"/>
          <w:lang w:val="en-GB"/>
        </w:rPr>
        <w:t>, 33.5</w:t>
      </w:r>
      <w:r w:rsidR="00B22D3C" w:rsidRPr="00281994">
        <w:rPr>
          <w:shd w:val="clear" w:color="auto" w:fill="FFFFFF"/>
          <w:lang w:val="en-GB"/>
        </w:rPr>
        <w:t> </w:t>
      </w:r>
      <w:r w:rsidR="00F467CA" w:rsidRPr="00281994">
        <w:rPr>
          <w:shd w:val="clear" w:color="auto" w:fill="FFFFFF"/>
          <w:lang w:val="en-GB"/>
        </w:rPr>
        <w:t>% – owned by housing cooperatives, 13.9</w:t>
      </w:r>
      <w:r w:rsidR="00B22D3C" w:rsidRPr="00281994">
        <w:rPr>
          <w:shd w:val="clear" w:color="auto" w:fill="FFFFFF"/>
          <w:lang w:val="en-GB"/>
        </w:rPr>
        <w:t> </w:t>
      </w:r>
      <w:r w:rsidR="00F467CA" w:rsidRPr="00281994">
        <w:rPr>
          <w:shd w:val="clear" w:color="auto" w:fill="FFFFFF"/>
          <w:lang w:val="en-GB"/>
        </w:rPr>
        <w:t>% – municipal dwellings, 1.7</w:t>
      </w:r>
      <w:r w:rsidR="00B22D3C" w:rsidRPr="00281994">
        <w:rPr>
          <w:shd w:val="clear" w:color="auto" w:fill="FFFFFF"/>
          <w:lang w:val="en-GB"/>
        </w:rPr>
        <w:t> </w:t>
      </w:r>
      <w:r w:rsidR="00F467CA" w:rsidRPr="00281994">
        <w:rPr>
          <w:shd w:val="clear" w:color="auto" w:fill="FFFFFF"/>
          <w:lang w:val="en-GB"/>
        </w:rPr>
        <w:t xml:space="preserve">% – of </w:t>
      </w:r>
      <w:r w:rsidR="00B22D3C" w:rsidRPr="00281994">
        <w:rPr>
          <w:shd w:val="clear" w:color="auto" w:fill="FFFFFF"/>
          <w:lang w:val="en-GB"/>
        </w:rPr>
        <w:t>public building societies</w:t>
      </w:r>
      <w:r w:rsidR="00F467CA" w:rsidRPr="00281994">
        <w:rPr>
          <w:shd w:val="clear" w:color="auto" w:fill="FFFFFF"/>
          <w:lang w:val="en-GB"/>
        </w:rPr>
        <w:t>, 1.1</w:t>
      </w:r>
      <w:r w:rsidR="00B22D3C" w:rsidRPr="00281994">
        <w:rPr>
          <w:shd w:val="clear" w:color="auto" w:fill="FFFFFF"/>
          <w:lang w:val="en-GB"/>
        </w:rPr>
        <w:t> </w:t>
      </w:r>
      <w:r w:rsidR="00F467CA" w:rsidRPr="00281994">
        <w:rPr>
          <w:shd w:val="clear" w:color="auto" w:fill="FFFFFF"/>
          <w:lang w:val="en-GB"/>
        </w:rPr>
        <w:t>% – of companies, 0.5</w:t>
      </w:r>
      <w:r w:rsidR="00B22D3C" w:rsidRPr="00281994">
        <w:rPr>
          <w:shd w:val="clear" w:color="auto" w:fill="FFFFFF"/>
          <w:lang w:val="en-GB"/>
        </w:rPr>
        <w:t> </w:t>
      </w:r>
      <w:r w:rsidR="00F467CA" w:rsidRPr="00281994">
        <w:rPr>
          <w:shd w:val="clear" w:color="auto" w:fill="FFFFFF"/>
          <w:lang w:val="en-GB"/>
        </w:rPr>
        <w:t>% – State Treasury and 0.3</w:t>
      </w:r>
      <w:r w:rsidR="00B22D3C" w:rsidRPr="00281994">
        <w:rPr>
          <w:shd w:val="clear" w:color="auto" w:fill="FFFFFF"/>
          <w:lang w:val="en-GB"/>
        </w:rPr>
        <w:t> </w:t>
      </w:r>
      <w:r w:rsidR="00F467CA" w:rsidRPr="00281994">
        <w:rPr>
          <w:shd w:val="clear" w:color="auto" w:fill="FFFFFF"/>
          <w:lang w:val="en-GB"/>
        </w:rPr>
        <w:t>% of other entities.</w:t>
      </w:r>
    </w:p>
    <w:p w:rsidR="00DB30AB" w:rsidRPr="00281994" w:rsidRDefault="00DB30AB" w:rsidP="00DD60ED">
      <w:pPr>
        <w:spacing w:after="0"/>
        <w:rPr>
          <w:shd w:val="clear" w:color="auto" w:fill="FFFFFF"/>
          <w:lang w:val="en-GB"/>
        </w:rPr>
      </w:pPr>
    </w:p>
    <w:p w:rsidR="00DB30AB" w:rsidRPr="00281994" w:rsidRDefault="00B22D3C" w:rsidP="00DD60ED">
      <w:pPr>
        <w:pStyle w:val="Nagwek1"/>
        <w:spacing w:before="120" w:after="0" w:line="240" w:lineRule="exact"/>
        <w:rPr>
          <w:b/>
          <w:bCs w:val="0"/>
          <w:lang w:val="en-GB"/>
        </w:rPr>
      </w:pPr>
      <w:r w:rsidRPr="00281994">
        <w:rPr>
          <w:lang w:val="en-GB"/>
        </w:rPr>
        <w:t>Sale of d</w:t>
      </w:r>
      <w:r w:rsidR="00DA707B" w:rsidRPr="00281994">
        <w:rPr>
          <w:lang w:val="en-GB"/>
        </w:rPr>
        <w:t xml:space="preserve">welling stocks </w:t>
      </w:r>
    </w:p>
    <w:p w:rsidR="00F467CA" w:rsidRPr="00281994" w:rsidRDefault="009D1927" w:rsidP="00DD60ED">
      <w:pPr>
        <w:spacing w:after="0"/>
        <w:rPr>
          <w:shd w:val="clear" w:color="auto" w:fill="FFFFFF"/>
          <w:lang w:val="en-GB"/>
        </w:rPr>
      </w:pPr>
      <w:r w:rsidRPr="0097136B">
        <w:rPr>
          <w:noProof/>
          <w:color w:val="FF0000"/>
          <w:spacing w:val="-2"/>
          <w:sz w:val="32"/>
          <w:szCs w:val="32"/>
          <w:lang w:eastAsia="pl-PL"/>
        </w:rPr>
        <mc:AlternateContent>
          <mc:Choice Requires="wps">
            <w:drawing>
              <wp:anchor distT="45720" distB="45720" distL="114300" distR="114300" simplePos="0" relativeHeight="251664384" behindDoc="1" locked="0" layoutInCell="1" allowOverlap="1" wp14:anchorId="167F208B" wp14:editId="261028A6">
                <wp:simplePos x="0" y="0"/>
                <wp:positionH relativeFrom="rightMargin">
                  <wp:posOffset>91440</wp:posOffset>
                </wp:positionH>
                <wp:positionV relativeFrom="paragraph">
                  <wp:posOffset>172085</wp:posOffset>
                </wp:positionV>
                <wp:extent cx="1666875" cy="791210"/>
                <wp:effectExtent l="0" t="0" r="0" b="0"/>
                <wp:wrapTight wrapText="bothSides">
                  <wp:wrapPolygon edited="0">
                    <wp:start x="741" y="0"/>
                    <wp:lineTo x="741" y="20803"/>
                    <wp:lineTo x="20736" y="20803"/>
                    <wp:lineTo x="20736" y="0"/>
                    <wp:lineTo x="741" y="0"/>
                  </wp:wrapPolygon>
                </wp:wrapTight>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791210"/>
                        </a:xfrm>
                        <a:prstGeom prst="rect">
                          <a:avLst/>
                        </a:prstGeom>
                        <a:noFill/>
                        <a:ln w="9525">
                          <a:noFill/>
                          <a:miter lim="800000"/>
                          <a:headEnd/>
                          <a:tailEnd/>
                        </a:ln>
                      </wps:spPr>
                      <wps:txbx>
                        <w:txbxContent>
                          <w:p w:rsidR="00E84AB6" w:rsidRPr="00281994" w:rsidRDefault="00E84AB6" w:rsidP="009D1927">
                            <w:pPr>
                              <w:pStyle w:val="tekstzboku"/>
                              <w:rPr>
                                <w:lang w:val="en-GB"/>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In 2018, the process of sales or return of dwellings to former owners was continued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F208B" id="_x0000_s1033" type="#_x0000_t202" style="position:absolute;margin-left:7.2pt;margin-top:13.55pt;width:131.25pt;height:62.3pt;z-index:-25165209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" filled="f" stroked="f">
                <v:textbox>
                  <w:txbxContent>
                    <w:p w:rsidR="00E84AB6" w:rsidRPr="00281994" w:rsidRDefault="00E84AB6" w:rsidP="009D1927">
                      <w:pPr>
                        <w:pStyle w:val="tekstzboku"/>
                        <w:rPr>
                          <w:lang w:val="en-GB"/>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In 2018, the process of sales or return of dwellings to former owners was continued</w:t>
                      </w:r>
                    </w:p>
                  </w:txbxContent>
                </v:textbox>
                <w10:wrap type="tight" anchorx="margin"/>
              </v:shape>
            </w:pict>
          </mc:Fallback>
        </mc:AlternateContent>
      </w:r>
    </w:p>
    <w:p w:rsidR="00F467CA" w:rsidRPr="00281994" w:rsidRDefault="00F467CA" w:rsidP="00F467CA">
      <w:pPr>
        <w:spacing w:after="0"/>
        <w:rPr>
          <w:shd w:val="clear" w:color="auto" w:fill="FFFFFF"/>
          <w:lang w:val="en-GB"/>
        </w:rPr>
      </w:pPr>
      <w:r w:rsidRPr="00281994">
        <w:rPr>
          <w:shd w:val="clear" w:color="auto" w:fill="FFFFFF"/>
          <w:lang w:val="en-GB"/>
        </w:rPr>
        <w:t xml:space="preserve">In 2018, the process of sales or return of dwellings to former owners was continued (purchase of dwellings by natural persons). The sales process included dwellings located in blocks of flats and dwellings in buildings, which were sold as a whole to individual natural persons. In the analysed period </w:t>
      </w:r>
      <w:r w:rsidR="00B22D3C" w:rsidRPr="00281994">
        <w:rPr>
          <w:shd w:val="clear" w:color="auto" w:fill="FFFFFF"/>
          <w:lang w:val="en-GB"/>
        </w:rPr>
        <w:t xml:space="preserve">almost </w:t>
      </w:r>
      <w:r w:rsidRPr="00281994">
        <w:rPr>
          <w:shd w:val="clear" w:color="auto" w:fill="FFFFFF"/>
          <w:lang w:val="en-GB"/>
        </w:rPr>
        <w:t xml:space="preserve">134 </w:t>
      </w:r>
      <w:r w:rsidR="00DA707B" w:rsidRPr="00281994">
        <w:rPr>
          <w:shd w:val="clear" w:color="auto" w:fill="FFFFFF"/>
          <w:lang w:val="en-GB"/>
        </w:rPr>
        <w:t>thousand</w:t>
      </w:r>
      <w:r w:rsidRPr="00281994">
        <w:rPr>
          <w:shd w:val="clear" w:color="auto" w:fill="FFFFFF"/>
          <w:lang w:val="en-GB"/>
        </w:rPr>
        <w:t xml:space="preserve"> dwellings were sold to natural persons.</w:t>
      </w:r>
    </w:p>
    <w:p w:rsidR="00E41DF8" w:rsidRPr="00281994" w:rsidRDefault="00E41DF8" w:rsidP="00DD60ED">
      <w:pPr>
        <w:spacing w:after="0"/>
        <w:rPr>
          <w:shd w:val="clear" w:color="auto" w:fill="FFFFFF"/>
          <w:lang w:val="en-GB"/>
        </w:rPr>
      </w:pPr>
    </w:p>
    <w:p w:rsidR="00F467CA" w:rsidRPr="00281994" w:rsidRDefault="00F467CA" w:rsidP="00F467CA">
      <w:pPr>
        <w:spacing w:before="0" w:after="0"/>
        <w:rPr>
          <w:rFonts w:eastAsia="Times New Roman" w:cs="Times New Roman"/>
          <w:b/>
          <w:bCs/>
          <w:sz w:val="18"/>
          <w:szCs w:val="18"/>
          <w:lang w:val="en-GB" w:eastAsia="pl-PL"/>
        </w:rPr>
      </w:pPr>
      <w:r w:rsidRPr="00281994">
        <w:rPr>
          <w:rFonts w:eastAsia="Times New Roman" w:cs="Times New Roman"/>
          <w:b/>
          <w:bCs/>
          <w:sz w:val="18"/>
          <w:szCs w:val="18"/>
          <w:lang w:val="en-GB" w:eastAsia="pl-PL"/>
        </w:rPr>
        <w:t>Tabl</w:t>
      </w:r>
      <w:r w:rsidR="00DD60ED" w:rsidRPr="00281994">
        <w:rPr>
          <w:rFonts w:eastAsia="Times New Roman" w:cs="Times New Roman"/>
          <w:b/>
          <w:bCs/>
          <w:sz w:val="18"/>
          <w:szCs w:val="18"/>
          <w:lang w:val="en-GB" w:eastAsia="pl-PL"/>
        </w:rPr>
        <w:t>e</w:t>
      </w:r>
      <w:r w:rsidRPr="00281994">
        <w:rPr>
          <w:rFonts w:eastAsia="Times New Roman" w:cs="Times New Roman"/>
          <w:b/>
          <w:bCs/>
          <w:sz w:val="18"/>
          <w:szCs w:val="18"/>
          <w:lang w:val="en-GB" w:eastAsia="pl-PL"/>
        </w:rPr>
        <w:t xml:space="preserve"> 3. </w:t>
      </w:r>
      <w:r w:rsidR="00E41DF8" w:rsidRPr="00281994">
        <w:rPr>
          <w:rFonts w:eastAsia="Times New Roman" w:cs="Times New Roman"/>
          <w:b/>
          <w:bCs/>
          <w:sz w:val="18"/>
          <w:szCs w:val="18"/>
          <w:lang w:val="en-GB" w:eastAsia="pl-PL"/>
        </w:rPr>
        <w:t>Number and struc</w:t>
      </w:r>
      <w:r w:rsidR="00DB30AB" w:rsidRPr="00281994">
        <w:rPr>
          <w:rFonts w:eastAsia="Times New Roman" w:cs="Times New Roman"/>
          <w:b/>
          <w:bCs/>
          <w:sz w:val="18"/>
          <w:szCs w:val="18"/>
          <w:lang w:val="en-GB" w:eastAsia="pl-PL"/>
        </w:rPr>
        <w:t>t</w:t>
      </w:r>
      <w:r w:rsidR="00E41DF8" w:rsidRPr="00281994">
        <w:rPr>
          <w:rFonts w:eastAsia="Times New Roman" w:cs="Times New Roman"/>
          <w:b/>
          <w:bCs/>
          <w:sz w:val="18"/>
          <w:szCs w:val="18"/>
          <w:lang w:val="en-GB" w:eastAsia="pl-PL"/>
        </w:rPr>
        <w:t>ure of dwelling</w:t>
      </w:r>
      <w:r w:rsidR="006B1C05" w:rsidRPr="00281994">
        <w:rPr>
          <w:rFonts w:eastAsia="Times New Roman" w:cs="Times New Roman"/>
          <w:b/>
          <w:bCs/>
          <w:sz w:val="18"/>
          <w:szCs w:val="18"/>
          <w:lang w:val="en-GB" w:eastAsia="pl-PL"/>
        </w:rPr>
        <w:t>s</w:t>
      </w:r>
      <w:r w:rsidR="00E41DF8" w:rsidRPr="00281994">
        <w:rPr>
          <w:rFonts w:eastAsia="Times New Roman" w:cs="Times New Roman"/>
          <w:b/>
          <w:bCs/>
          <w:sz w:val="18"/>
          <w:szCs w:val="18"/>
          <w:lang w:val="en-GB" w:eastAsia="pl-PL"/>
        </w:rPr>
        <w:t xml:space="preserve"> sold in </w:t>
      </w:r>
      <w:r w:rsidR="00B22D3C" w:rsidRPr="00281994">
        <w:rPr>
          <w:rFonts w:eastAsia="Times New Roman" w:cs="Times New Roman"/>
          <w:b/>
          <w:bCs/>
          <w:sz w:val="18"/>
          <w:szCs w:val="18"/>
          <w:lang w:val="en-GB" w:eastAsia="pl-PL"/>
        </w:rPr>
        <w:t xml:space="preserve">the years </w:t>
      </w:r>
      <w:r w:rsidRPr="00281994">
        <w:rPr>
          <w:rFonts w:eastAsia="Times New Roman" w:cs="Times New Roman"/>
          <w:b/>
          <w:bCs/>
          <w:sz w:val="18"/>
          <w:szCs w:val="18"/>
          <w:lang w:val="en-GB" w:eastAsia="pl-PL"/>
        </w:rPr>
        <w:t>2017-2018</w:t>
      </w:r>
      <w:r w:rsidR="00E41DF8" w:rsidRPr="00281994">
        <w:rPr>
          <w:rFonts w:eastAsia="Times New Roman" w:cs="Times New Roman"/>
          <w:b/>
          <w:bCs/>
          <w:sz w:val="18"/>
          <w:szCs w:val="18"/>
          <w:lang w:val="en-GB" w:eastAsia="pl-PL"/>
        </w:rPr>
        <w:t xml:space="preserve"> by type of owner</w:t>
      </w:r>
      <w:r w:rsidR="00496D3A" w:rsidRPr="00281994">
        <w:rPr>
          <w:rFonts w:eastAsia="Times New Roman" w:cs="Times New Roman"/>
          <w:b/>
          <w:bCs/>
          <w:sz w:val="18"/>
          <w:szCs w:val="18"/>
          <w:lang w:val="en-GB" w:eastAsia="pl-PL"/>
        </w:rPr>
        <w:t>ship</w:t>
      </w:r>
    </w:p>
    <w:p w:rsidR="00F467CA" w:rsidRPr="00281994" w:rsidRDefault="00F467CA" w:rsidP="00F467CA">
      <w:pPr>
        <w:spacing w:before="0" w:after="0" w:line="240" w:lineRule="auto"/>
        <w:rPr>
          <w:rFonts w:eastAsia="Times New Roman" w:cs="Times New Roman"/>
          <w:bCs/>
          <w:szCs w:val="19"/>
          <w:lang w:val="en-GB" w:eastAsia="pl-PL"/>
        </w:rPr>
      </w:pPr>
    </w:p>
    <w:tbl>
      <w:tblPr>
        <w:tblW w:w="7792" w:type="dxa"/>
        <w:tblBorders>
          <w:insideH w:val="single" w:sz="4" w:space="0" w:color="001D77"/>
          <w:insideV w:val="single" w:sz="4" w:space="0" w:color="001D77"/>
        </w:tblBorders>
        <w:tblCellMar>
          <w:left w:w="70" w:type="dxa"/>
          <w:right w:w="70" w:type="dxa"/>
        </w:tblCellMar>
        <w:tblLook w:val="04A0" w:firstRow="1" w:lastRow="0" w:firstColumn="1" w:lastColumn="0" w:noHBand="0" w:noVBand="1"/>
      </w:tblPr>
      <w:tblGrid>
        <w:gridCol w:w="4920"/>
        <w:gridCol w:w="1596"/>
        <w:gridCol w:w="1276"/>
      </w:tblGrid>
      <w:tr w:rsidR="00F467CA" w:rsidRPr="006B7D12" w:rsidTr="00E41DF8">
        <w:trPr>
          <w:trHeight w:val="283"/>
        </w:trPr>
        <w:tc>
          <w:tcPr>
            <w:tcW w:w="4920" w:type="dxa"/>
            <w:vMerge w:val="restart"/>
            <w:tcBorders>
              <w:top w:val="nil"/>
              <w:bottom w:val="single" w:sz="12" w:space="0" w:color="001D77"/>
            </w:tcBorders>
            <w:shd w:val="clear" w:color="auto" w:fill="auto"/>
            <w:noWrap/>
            <w:vAlign w:val="center"/>
            <w:hideMark/>
          </w:tcPr>
          <w:p w:rsidR="00F467CA" w:rsidRPr="00F7496A" w:rsidRDefault="00496D3A" w:rsidP="00E41DF8">
            <w:pPr>
              <w:spacing w:before="0" w:after="0"/>
              <w:jc w:val="center"/>
              <w:rPr>
                <w:rFonts w:eastAsia="Times New Roman" w:cs="Calibri"/>
                <w:sz w:val="16"/>
                <w:szCs w:val="16"/>
                <w:lang w:eastAsia="pl-PL"/>
              </w:rPr>
            </w:pPr>
            <w:r>
              <w:rPr>
                <w:rFonts w:eastAsia="Times New Roman" w:cs="Calibri"/>
                <w:sz w:val="16"/>
                <w:szCs w:val="16"/>
                <w:lang w:eastAsia="pl-PL"/>
              </w:rPr>
              <w:t>Specification</w:t>
            </w:r>
          </w:p>
        </w:tc>
        <w:tc>
          <w:tcPr>
            <w:tcW w:w="2872" w:type="dxa"/>
            <w:gridSpan w:val="2"/>
            <w:tcBorders>
              <w:top w:val="nil"/>
              <w:bottom w:val="single" w:sz="4" w:space="0" w:color="001D77"/>
            </w:tcBorders>
            <w:shd w:val="clear" w:color="auto" w:fill="auto"/>
            <w:noWrap/>
            <w:vAlign w:val="center"/>
            <w:hideMark/>
          </w:tcPr>
          <w:p w:rsidR="00F467CA" w:rsidRPr="00F7496A" w:rsidRDefault="00496D3A" w:rsidP="00E41DF8">
            <w:pPr>
              <w:spacing w:before="0" w:after="0" w:line="240" w:lineRule="auto"/>
              <w:jc w:val="center"/>
              <w:rPr>
                <w:rFonts w:eastAsia="Times New Roman" w:cs="Calibri"/>
                <w:sz w:val="16"/>
                <w:szCs w:val="16"/>
                <w:lang w:eastAsia="pl-PL"/>
              </w:rPr>
            </w:pPr>
            <w:r>
              <w:rPr>
                <w:rFonts w:eastAsia="Times New Roman" w:cs="Calibri"/>
                <w:sz w:val="16"/>
                <w:szCs w:val="16"/>
                <w:lang w:eastAsia="pl-PL"/>
              </w:rPr>
              <w:t>Total</w:t>
            </w:r>
          </w:p>
        </w:tc>
      </w:tr>
      <w:tr w:rsidR="00F467CA" w:rsidRPr="006B7D12" w:rsidTr="00E41DF8">
        <w:trPr>
          <w:trHeight w:val="510"/>
        </w:trPr>
        <w:tc>
          <w:tcPr>
            <w:tcW w:w="4920" w:type="dxa"/>
            <w:vMerge/>
            <w:tcBorders>
              <w:top w:val="single" w:sz="12" w:space="0" w:color="001D77"/>
              <w:bottom w:val="single" w:sz="12" w:space="0" w:color="001D77"/>
            </w:tcBorders>
            <w:vAlign w:val="center"/>
            <w:hideMark/>
          </w:tcPr>
          <w:p w:rsidR="00F467CA" w:rsidRPr="00F7496A" w:rsidRDefault="00F467CA" w:rsidP="00E41DF8">
            <w:pPr>
              <w:spacing w:before="0" w:after="0"/>
              <w:rPr>
                <w:rFonts w:eastAsia="Times New Roman" w:cs="Calibri"/>
                <w:sz w:val="16"/>
                <w:szCs w:val="16"/>
                <w:lang w:eastAsia="pl-PL"/>
              </w:rPr>
            </w:pPr>
          </w:p>
        </w:tc>
        <w:tc>
          <w:tcPr>
            <w:tcW w:w="1596" w:type="dxa"/>
            <w:tcBorders>
              <w:top w:val="single" w:sz="4" w:space="0" w:color="001D77"/>
              <w:bottom w:val="single" w:sz="12" w:space="0" w:color="001D77"/>
            </w:tcBorders>
            <w:shd w:val="clear" w:color="auto" w:fill="auto"/>
            <w:vAlign w:val="center"/>
            <w:hideMark/>
          </w:tcPr>
          <w:p w:rsidR="00F467CA" w:rsidRPr="00F7496A" w:rsidRDefault="00496D3A" w:rsidP="00E41DF8">
            <w:pPr>
              <w:spacing w:before="0" w:after="0" w:line="240" w:lineRule="auto"/>
              <w:jc w:val="center"/>
              <w:rPr>
                <w:rFonts w:eastAsia="Times New Roman" w:cs="Calibri"/>
                <w:sz w:val="16"/>
                <w:szCs w:val="16"/>
                <w:lang w:eastAsia="pl-PL"/>
              </w:rPr>
            </w:pPr>
            <w:r>
              <w:rPr>
                <w:rFonts w:eastAsia="Times New Roman" w:cs="Calibri"/>
                <w:sz w:val="16"/>
                <w:szCs w:val="16"/>
                <w:lang w:eastAsia="pl-PL"/>
              </w:rPr>
              <w:t>absolute values</w:t>
            </w:r>
          </w:p>
        </w:tc>
        <w:tc>
          <w:tcPr>
            <w:tcW w:w="1276" w:type="dxa"/>
            <w:tcBorders>
              <w:top w:val="single" w:sz="4" w:space="0" w:color="001D77"/>
              <w:bottom w:val="single" w:sz="12" w:space="0" w:color="001D77"/>
            </w:tcBorders>
            <w:shd w:val="clear" w:color="auto" w:fill="auto"/>
            <w:noWrap/>
            <w:vAlign w:val="center"/>
            <w:hideMark/>
          </w:tcPr>
          <w:p w:rsidR="00F467CA" w:rsidRPr="00F7496A" w:rsidRDefault="00F467CA" w:rsidP="00E41DF8">
            <w:pPr>
              <w:spacing w:before="0" w:after="0" w:line="240" w:lineRule="auto"/>
              <w:jc w:val="center"/>
              <w:rPr>
                <w:rFonts w:eastAsia="Times New Roman" w:cs="Calibri"/>
                <w:sz w:val="16"/>
                <w:szCs w:val="16"/>
                <w:lang w:eastAsia="pl-PL"/>
              </w:rPr>
            </w:pPr>
            <w:r w:rsidRPr="00F7496A">
              <w:rPr>
                <w:rFonts w:eastAsia="Times New Roman" w:cs="Calibri"/>
                <w:sz w:val="16"/>
                <w:szCs w:val="16"/>
                <w:lang w:eastAsia="pl-PL"/>
              </w:rPr>
              <w:t>%</w:t>
            </w:r>
          </w:p>
        </w:tc>
      </w:tr>
      <w:tr w:rsidR="00F467CA" w:rsidRPr="006B7D12" w:rsidTr="00E41DF8">
        <w:trPr>
          <w:trHeight w:val="283"/>
        </w:trPr>
        <w:tc>
          <w:tcPr>
            <w:tcW w:w="4920" w:type="dxa"/>
            <w:tcBorders>
              <w:top w:val="single" w:sz="12" w:space="0" w:color="001D77"/>
              <w:bottom w:val="single" w:sz="4" w:space="0" w:color="001D77"/>
            </w:tcBorders>
            <w:shd w:val="clear" w:color="auto" w:fill="auto"/>
            <w:noWrap/>
            <w:vAlign w:val="bottom"/>
            <w:hideMark/>
          </w:tcPr>
          <w:p w:rsidR="00F467CA" w:rsidRPr="00F7496A" w:rsidRDefault="00496D3A" w:rsidP="00E41DF8">
            <w:pPr>
              <w:spacing w:before="0" w:after="0"/>
              <w:rPr>
                <w:rFonts w:eastAsia="Times New Roman" w:cs="Calibri"/>
                <w:b/>
                <w:sz w:val="16"/>
                <w:szCs w:val="16"/>
                <w:lang w:eastAsia="pl-PL"/>
              </w:rPr>
            </w:pPr>
            <w:r>
              <w:rPr>
                <w:rFonts w:eastAsia="Times New Roman" w:cs="Calibri"/>
                <w:b/>
                <w:sz w:val="16"/>
                <w:szCs w:val="16"/>
                <w:lang w:eastAsia="pl-PL"/>
              </w:rPr>
              <w:t>TOTAL</w:t>
            </w:r>
          </w:p>
        </w:tc>
        <w:tc>
          <w:tcPr>
            <w:tcW w:w="1596" w:type="dxa"/>
            <w:tcBorders>
              <w:top w:val="single" w:sz="12" w:space="0" w:color="001D77"/>
              <w:bottom w:val="single" w:sz="4" w:space="0" w:color="001D77"/>
            </w:tcBorders>
            <w:shd w:val="clear" w:color="auto" w:fill="auto"/>
            <w:noWrap/>
            <w:vAlign w:val="bottom"/>
            <w:hideMark/>
          </w:tcPr>
          <w:p w:rsidR="00F467CA" w:rsidRPr="00F7496A" w:rsidRDefault="006B1C05" w:rsidP="006B1C05">
            <w:pPr>
              <w:spacing w:before="0" w:after="0"/>
              <w:ind w:right="113"/>
              <w:jc w:val="right"/>
              <w:rPr>
                <w:rFonts w:eastAsia="Times New Roman" w:cs="Calibri"/>
                <w:b/>
                <w:sz w:val="16"/>
                <w:szCs w:val="16"/>
                <w:lang w:eastAsia="pl-PL"/>
              </w:rPr>
            </w:pPr>
            <w:r>
              <w:rPr>
                <w:rFonts w:eastAsia="Times New Roman" w:cs="Calibri"/>
                <w:b/>
                <w:sz w:val="16"/>
                <w:szCs w:val="16"/>
                <w:lang w:eastAsia="pl-PL"/>
              </w:rPr>
              <w:t>133</w:t>
            </w:r>
            <w:r w:rsidR="00F467CA" w:rsidRPr="00F7496A">
              <w:rPr>
                <w:rFonts w:eastAsia="Times New Roman" w:cs="Calibri"/>
                <w:b/>
                <w:sz w:val="16"/>
                <w:szCs w:val="16"/>
                <w:lang w:eastAsia="pl-PL"/>
              </w:rPr>
              <w:t xml:space="preserve"> </w:t>
            </w:r>
            <w:r w:rsidR="00F467CA">
              <w:rPr>
                <w:rFonts w:eastAsia="Times New Roman" w:cs="Calibri"/>
                <w:b/>
                <w:sz w:val="16"/>
                <w:szCs w:val="16"/>
                <w:lang w:eastAsia="pl-PL"/>
              </w:rPr>
              <w:t>99</w:t>
            </w:r>
            <w:r w:rsidR="00F467CA" w:rsidRPr="00F7496A">
              <w:rPr>
                <w:rFonts w:eastAsia="Times New Roman" w:cs="Calibri"/>
                <w:b/>
                <w:sz w:val="16"/>
                <w:szCs w:val="16"/>
                <w:lang w:eastAsia="pl-PL"/>
              </w:rPr>
              <w:t>7</w:t>
            </w:r>
          </w:p>
        </w:tc>
        <w:tc>
          <w:tcPr>
            <w:tcW w:w="1276" w:type="dxa"/>
            <w:tcBorders>
              <w:top w:val="single" w:sz="12" w:space="0" w:color="001D77"/>
              <w:bottom w:val="single" w:sz="4" w:space="0" w:color="001D77"/>
            </w:tcBorders>
            <w:shd w:val="clear" w:color="auto" w:fill="auto"/>
            <w:noWrap/>
            <w:vAlign w:val="bottom"/>
            <w:hideMark/>
          </w:tcPr>
          <w:p w:rsidR="00F467CA" w:rsidRPr="00F7496A" w:rsidRDefault="00F467CA" w:rsidP="006B1C05">
            <w:pPr>
              <w:spacing w:before="0" w:after="0"/>
              <w:ind w:right="113"/>
              <w:jc w:val="right"/>
              <w:rPr>
                <w:rFonts w:eastAsia="Times New Roman" w:cs="Calibri"/>
                <w:b/>
                <w:sz w:val="16"/>
                <w:szCs w:val="16"/>
                <w:lang w:eastAsia="pl-PL"/>
              </w:rPr>
            </w:pPr>
            <w:r w:rsidRPr="00F7496A">
              <w:rPr>
                <w:rFonts w:eastAsia="Times New Roman" w:cs="Calibri"/>
                <w:b/>
                <w:sz w:val="16"/>
                <w:szCs w:val="16"/>
                <w:lang w:eastAsia="pl-PL"/>
              </w:rPr>
              <w:t>100</w:t>
            </w:r>
            <w:r w:rsidR="00B22D3C">
              <w:rPr>
                <w:rFonts w:eastAsia="Times New Roman" w:cs="Calibri"/>
                <w:b/>
                <w:sz w:val="16"/>
                <w:szCs w:val="16"/>
                <w:lang w:eastAsia="pl-PL"/>
              </w:rPr>
              <w:t>.0</w:t>
            </w:r>
          </w:p>
        </w:tc>
      </w:tr>
      <w:tr w:rsidR="00F467CA" w:rsidRPr="006B7D12" w:rsidTr="00E41DF8">
        <w:trPr>
          <w:trHeight w:val="283"/>
        </w:trPr>
        <w:tc>
          <w:tcPr>
            <w:tcW w:w="4920" w:type="dxa"/>
            <w:tcBorders>
              <w:top w:val="single" w:sz="4" w:space="0" w:color="001D77"/>
            </w:tcBorders>
            <w:shd w:val="clear" w:color="auto" w:fill="auto"/>
            <w:noWrap/>
            <w:vAlign w:val="bottom"/>
            <w:hideMark/>
          </w:tcPr>
          <w:p w:rsidR="00F467CA" w:rsidRPr="00F7496A" w:rsidRDefault="0003779C" w:rsidP="00496D3A">
            <w:pPr>
              <w:spacing w:before="0" w:after="0"/>
              <w:rPr>
                <w:rFonts w:eastAsia="Times New Roman" w:cs="Calibri"/>
                <w:sz w:val="16"/>
                <w:szCs w:val="16"/>
                <w:lang w:eastAsia="pl-PL"/>
              </w:rPr>
            </w:pPr>
            <w:r>
              <w:rPr>
                <w:rFonts w:eastAsia="Times New Roman" w:cs="Calibri"/>
                <w:sz w:val="16"/>
                <w:szCs w:val="16"/>
                <w:lang w:eastAsia="pl-PL"/>
              </w:rPr>
              <w:t>g</w:t>
            </w:r>
            <w:r w:rsidR="00496D3A">
              <w:rPr>
                <w:rFonts w:eastAsia="Times New Roman" w:cs="Calibri"/>
                <w:sz w:val="16"/>
                <w:szCs w:val="16"/>
                <w:lang w:eastAsia="pl-PL"/>
              </w:rPr>
              <w:t>minas</w:t>
            </w:r>
            <w:r>
              <w:rPr>
                <w:rFonts w:eastAsia="Times New Roman" w:cs="Calibri"/>
                <w:sz w:val="16"/>
                <w:szCs w:val="16"/>
                <w:lang w:eastAsia="pl-PL"/>
              </w:rPr>
              <w:t xml:space="preserve"> (municipal)</w:t>
            </w:r>
          </w:p>
        </w:tc>
        <w:tc>
          <w:tcPr>
            <w:tcW w:w="1596" w:type="dxa"/>
            <w:tcBorders>
              <w:top w:val="single" w:sz="4" w:space="0" w:color="001D77"/>
            </w:tcBorders>
            <w:shd w:val="clear" w:color="auto" w:fill="auto"/>
            <w:noWrap/>
            <w:vAlign w:val="bottom"/>
            <w:hideMark/>
          </w:tcPr>
          <w:p w:rsidR="00F467CA" w:rsidRPr="00F7496A" w:rsidRDefault="00F467CA" w:rsidP="006B1C05">
            <w:pPr>
              <w:spacing w:before="0" w:after="0"/>
              <w:ind w:right="113"/>
              <w:jc w:val="right"/>
              <w:rPr>
                <w:rFonts w:eastAsia="Times New Roman" w:cs="Calibri"/>
                <w:sz w:val="16"/>
                <w:szCs w:val="16"/>
                <w:lang w:eastAsia="pl-PL"/>
              </w:rPr>
            </w:pPr>
            <w:r w:rsidRPr="00F7496A">
              <w:rPr>
                <w:rFonts w:eastAsia="Times New Roman" w:cs="Calibri"/>
                <w:sz w:val="16"/>
                <w:szCs w:val="16"/>
                <w:lang w:eastAsia="pl-PL"/>
              </w:rPr>
              <w:t>34 7</w:t>
            </w:r>
            <w:r>
              <w:rPr>
                <w:rFonts w:eastAsia="Times New Roman" w:cs="Calibri"/>
                <w:sz w:val="16"/>
                <w:szCs w:val="16"/>
                <w:lang w:eastAsia="pl-PL"/>
              </w:rPr>
              <w:t>9</w:t>
            </w:r>
            <w:r w:rsidRPr="00F7496A">
              <w:rPr>
                <w:rFonts w:eastAsia="Times New Roman" w:cs="Calibri"/>
                <w:sz w:val="16"/>
                <w:szCs w:val="16"/>
                <w:lang w:eastAsia="pl-PL"/>
              </w:rPr>
              <w:t>4</w:t>
            </w:r>
          </w:p>
        </w:tc>
        <w:tc>
          <w:tcPr>
            <w:tcW w:w="1276" w:type="dxa"/>
            <w:tcBorders>
              <w:top w:val="single" w:sz="4" w:space="0" w:color="001D77"/>
            </w:tcBorders>
            <w:shd w:val="clear" w:color="auto" w:fill="auto"/>
            <w:noWrap/>
            <w:vAlign w:val="bottom"/>
            <w:hideMark/>
          </w:tcPr>
          <w:p w:rsidR="00F467CA" w:rsidRPr="00F7496A" w:rsidRDefault="00F467CA" w:rsidP="00B22D3C">
            <w:pPr>
              <w:spacing w:before="0" w:after="0"/>
              <w:ind w:right="113"/>
              <w:jc w:val="right"/>
              <w:rPr>
                <w:rFonts w:eastAsia="Times New Roman" w:cs="Calibri"/>
                <w:sz w:val="16"/>
                <w:szCs w:val="16"/>
                <w:lang w:eastAsia="pl-PL"/>
              </w:rPr>
            </w:pPr>
            <w:r w:rsidRPr="00F7496A">
              <w:rPr>
                <w:rFonts w:eastAsia="Times New Roman" w:cs="Calibri"/>
                <w:sz w:val="16"/>
                <w:szCs w:val="16"/>
                <w:lang w:eastAsia="pl-PL"/>
              </w:rPr>
              <w:t>26</w:t>
            </w:r>
            <w:r w:rsidR="00B22D3C">
              <w:rPr>
                <w:rFonts w:eastAsia="Times New Roman" w:cs="Calibri"/>
                <w:sz w:val="16"/>
                <w:szCs w:val="16"/>
                <w:lang w:eastAsia="pl-PL"/>
              </w:rPr>
              <w:t>.</w:t>
            </w:r>
            <w:r w:rsidR="006B1C05">
              <w:rPr>
                <w:rFonts w:eastAsia="Times New Roman" w:cs="Calibri"/>
                <w:sz w:val="16"/>
                <w:szCs w:val="16"/>
                <w:lang w:eastAsia="pl-PL"/>
              </w:rPr>
              <w:t>0</w:t>
            </w:r>
          </w:p>
        </w:tc>
      </w:tr>
      <w:tr w:rsidR="00F467CA" w:rsidRPr="006B7D12" w:rsidTr="00E41DF8">
        <w:trPr>
          <w:trHeight w:val="283"/>
        </w:trPr>
        <w:tc>
          <w:tcPr>
            <w:tcW w:w="4920" w:type="dxa"/>
            <w:shd w:val="clear" w:color="000000" w:fill="FFFFFF"/>
            <w:noWrap/>
            <w:vAlign w:val="bottom"/>
            <w:hideMark/>
          </w:tcPr>
          <w:p w:rsidR="00F467CA" w:rsidRPr="00F7496A" w:rsidRDefault="00496D3A" w:rsidP="00E41DF8">
            <w:pPr>
              <w:spacing w:before="0" w:after="0"/>
              <w:rPr>
                <w:rFonts w:eastAsia="Times New Roman" w:cs="Calibri"/>
                <w:sz w:val="16"/>
                <w:szCs w:val="16"/>
                <w:lang w:eastAsia="pl-PL"/>
              </w:rPr>
            </w:pPr>
            <w:r>
              <w:rPr>
                <w:rFonts w:eastAsia="Times New Roman" w:cs="Calibri"/>
                <w:sz w:val="16"/>
                <w:szCs w:val="16"/>
                <w:lang w:eastAsia="pl-PL"/>
              </w:rPr>
              <w:t>housing cooperatives</w:t>
            </w:r>
          </w:p>
        </w:tc>
        <w:tc>
          <w:tcPr>
            <w:tcW w:w="1596" w:type="dxa"/>
            <w:shd w:val="clear" w:color="000000" w:fill="FFFFFF"/>
            <w:noWrap/>
            <w:vAlign w:val="bottom"/>
            <w:hideMark/>
          </w:tcPr>
          <w:p w:rsidR="00F467CA" w:rsidRPr="00F7496A" w:rsidRDefault="00F467CA" w:rsidP="006B1C05">
            <w:pPr>
              <w:spacing w:before="0" w:after="0"/>
              <w:ind w:right="113"/>
              <w:jc w:val="right"/>
              <w:rPr>
                <w:rFonts w:eastAsia="Times New Roman" w:cs="Calibri"/>
                <w:sz w:val="16"/>
                <w:szCs w:val="16"/>
                <w:lang w:eastAsia="pl-PL"/>
              </w:rPr>
            </w:pPr>
            <w:r w:rsidRPr="00F7496A">
              <w:rPr>
                <w:rFonts w:eastAsia="Times New Roman" w:cs="Calibri"/>
                <w:sz w:val="16"/>
                <w:szCs w:val="16"/>
                <w:lang w:eastAsia="pl-PL"/>
              </w:rPr>
              <w:t>50 686</w:t>
            </w:r>
          </w:p>
        </w:tc>
        <w:tc>
          <w:tcPr>
            <w:tcW w:w="1276" w:type="dxa"/>
            <w:shd w:val="clear" w:color="000000" w:fill="FFFFFF"/>
            <w:noWrap/>
            <w:vAlign w:val="bottom"/>
            <w:hideMark/>
          </w:tcPr>
          <w:p w:rsidR="00F467CA" w:rsidRPr="00F7496A" w:rsidRDefault="00F467CA" w:rsidP="00B22D3C">
            <w:pPr>
              <w:spacing w:before="0" w:after="0"/>
              <w:ind w:right="113"/>
              <w:jc w:val="right"/>
              <w:rPr>
                <w:rFonts w:eastAsia="Times New Roman" w:cs="Calibri"/>
                <w:sz w:val="16"/>
                <w:szCs w:val="16"/>
                <w:lang w:eastAsia="pl-PL"/>
              </w:rPr>
            </w:pPr>
            <w:r w:rsidRPr="00F7496A">
              <w:rPr>
                <w:rFonts w:eastAsia="Times New Roman" w:cs="Calibri"/>
                <w:sz w:val="16"/>
                <w:szCs w:val="16"/>
                <w:lang w:eastAsia="pl-PL"/>
              </w:rPr>
              <w:t>37</w:t>
            </w:r>
            <w:r w:rsidR="00B22D3C">
              <w:rPr>
                <w:rFonts w:eastAsia="Times New Roman" w:cs="Calibri"/>
                <w:sz w:val="16"/>
                <w:szCs w:val="16"/>
                <w:lang w:eastAsia="pl-PL"/>
              </w:rPr>
              <w:t>.</w:t>
            </w:r>
            <w:r w:rsidRPr="00F7496A">
              <w:rPr>
                <w:rFonts w:eastAsia="Times New Roman" w:cs="Calibri"/>
                <w:sz w:val="16"/>
                <w:szCs w:val="16"/>
                <w:lang w:eastAsia="pl-PL"/>
              </w:rPr>
              <w:t>8</w:t>
            </w:r>
          </w:p>
        </w:tc>
      </w:tr>
      <w:tr w:rsidR="00F467CA" w:rsidRPr="006B7D12" w:rsidTr="00E41DF8">
        <w:trPr>
          <w:trHeight w:val="283"/>
        </w:trPr>
        <w:tc>
          <w:tcPr>
            <w:tcW w:w="4920" w:type="dxa"/>
            <w:shd w:val="clear" w:color="auto" w:fill="auto"/>
            <w:noWrap/>
            <w:vAlign w:val="bottom"/>
            <w:hideMark/>
          </w:tcPr>
          <w:p w:rsidR="00F467CA" w:rsidRPr="00F7496A" w:rsidRDefault="00496D3A" w:rsidP="00E41DF8">
            <w:pPr>
              <w:spacing w:before="0" w:after="0"/>
              <w:rPr>
                <w:rFonts w:eastAsia="Times New Roman" w:cs="Calibri"/>
                <w:sz w:val="16"/>
                <w:szCs w:val="16"/>
                <w:lang w:eastAsia="pl-PL"/>
              </w:rPr>
            </w:pPr>
            <w:r>
              <w:rPr>
                <w:rFonts w:eastAsia="Times New Roman" w:cs="Calibri"/>
                <w:sz w:val="16"/>
                <w:szCs w:val="16"/>
                <w:lang w:eastAsia="pl-PL"/>
              </w:rPr>
              <w:t>State Treasury</w:t>
            </w:r>
          </w:p>
        </w:tc>
        <w:tc>
          <w:tcPr>
            <w:tcW w:w="1596" w:type="dxa"/>
            <w:shd w:val="clear" w:color="auto" w:fill="auto"/>
            <w:noWrap/>
            <w:vAlign w:val="bottom"/>
            <w:hideMark/>
          </w:tcPr>
          <w:p w:rsidR="00F467CA" w:rsidRPr="00F7496A" w:rsidRDefault="00F467CA" w:rsidP="006B1C05">
            <w:pPr>
              <w:spacing w:before="0" w:after="0"/>
              <w:ind w:right="113"/>
              <w:jc w:val="right"/>
              <w:rPr>
                <w:rFonts w:eastAsia="Times New Roman" w:cs="Calibri"/>
                <w:sz w:val="16"/>
                <w:szCs w:val="16"/>
                <w:lang w:eastAsia="pl-PL"/>
              </w:rPr>
            </w:pPr>
            <w:r w:rsidRPr="00F7496A">
              <w:rPr>
                <w:rFonts w:eastAsia="Times New Roman" w:cs="Calibri"/>
                <w:sz w:val="16"/>
                <w:szCs w:val="16"/>
                <w:lang w:eastAsia="pl-PL"/>
              </w:rPr>
              <w:t>1 159</w:t>
            </w:r>
          </w:p>
        </w:tc>
        <w:tc>
          <w:tcPr>
            <w:tcW w:w="1276" w:type="dxa"/>
            <w:shd w:val="clear" w:color="auto" w:fill="auto"/>
            <w:noWrap/>
            <w:vAlign w:val="bottom"/>
            <w:hideMark/>
          </w:tcPr>
          <w:p w:rsidR="00F467CA" w:rsidRPr="00F7496A" w:rsidRDefault="00F467CA" w:rsidP="00B22D3C">
            <w:pPr>
              <w:spacing w:before="0" w:after="0"/>
              <w:ind w:right="113"/>
              <w:jc w:val="right"/>
              <w:rPr>
                <w:rFonts w:eastAsia="Times New Roman" w:cs="Calibri"/>
                <w:sz w:val="16"/>
                <w:szCs w:val="16"/>
                <w:lang w:eastAsia="pl-PL"/>
              </w:rPr>
            </w:pPr>
            <w:r w:rsidRPr="00F7496A">
              <w:rPr>
                <w:rFonts w:eastAsia="Times New Roman" w:cs="Calibri"/>
                <w:sz w:val="16"/>
                <w:szCs w:val="16"/>
                <w:lang w:eastAsia="pl-PL"/>
              </w:rPr>
              <w:t>0</w:t>
            </w:r>
            <w:r w:rsidR="00B22D3C">
              <w:rPr>
                <w:rFonts w:eastAsia="Times New Roman" w:cs="Calibri"/>
                <w:sz w:val="16"/>
                <w:szCs w:val="16"/>
                <w:lang w:eastAsia="pl-PL"/>
              </w:rPr>
              <w:t>.</w:t>
            </w:r>
            <w:r w:rsidRPr="00F7496A">
              <w:rPr>
                <w:rFonts w:eastAsia="Times New Roman" w:cs="Calibri"/>
                <w:sz w:val="16"/>
                <w:szCs w:val="16"/>
                <w:lang w:eastAsia="pl-PL"/>
              </w:rPr>
              <w:t>9</w:t>
            </w:r>
          </w:p>
        </w:tc>
      </w:tr>
      <w:tr w:rsidR="00F467CA" w:rsidRPr="006B7D12" w:rsidTr="00E41DF8">
        <w:trPr>
          <w:trHeight w:val="283"/>
        </w:trPr>
        <w:tc>
          <w:tcPr>
            <w:tcW w:w="4920" w:type="dxa"/>
            <w:shd w:val="clear" w:color="auto" w:fill="auto"/>
            <w:noWrap/>
            <w:vAlign w:val="bottom"/>
            <w:hideMark/>
          </w:tcPr>
          <w:p w:rsidR="00F467CA" w:rsidRPr="00F7496A" w:rsidRDefault="00496D3A" w:rsidP="00E41DF8">
            <w:pPr>
              <w:spacing w:before="0" w:after="0"/>
              <w:rPr>
                <w:rFonts w:eastAsia="Times New Roman" w:cs="Calibri"/>
                <w:sz w:val="16"/>
                <w:szCs w:val="16"/>
                <w:lang w:eastAsia="pl-PL"/>
              </w:rPr>
            </w:pPr>
            <w:r>
              <w:rPr>
                <w:rFonts w:eastAsia="Times New Roman" w:cs="Calibri"/>
                <w:sz w:val="16"/>
                <w:szCs w:val="16"/>
                <w:lang w:eastAsia="pl-PL"/>
              </w:rPr>
              <w:t>companies</w:t>
            </w:r>
          </w:p>
        </w:tc>
        <w:tc>
          <w:tcPr>
            <w:tcW w:w="1596" w:type="dxa"/>
            <w:shd w:val="clear" w:color="auto" w:fill="auto"/>
            <w:noWrap/>
            <w:vAlign w:val="bottom"/>
            <w:hideMark/>
          </w:tcPr>
          <w:p w:rsidR="00F467CA" w:rsidRPr="00F7496A" w:rsidRDefault="00F467CA" w:rsidP="006B1C05">
            <w:pPr>
              <w:spacing w:before="0" w:after="0"/>
              <w:ind w:right="113"/>
              <w:jc w:val="right"/>
              <w:rPr>
                <w:rFonts w:eastAsia="Times New Roman" w:cs="Calibri"/>
                <w:sz w:val="16"/>
                <w:szCs w:val="16"/>
                <w:lang w:eastAsia="pl-PL"/>
              </w:rPr>
            </w:pPr>
            <w:r w:rsidRPr="00F7496A">
              <w:rPr>
                <w:rFonts w:eastAsia="Times New Roman" w:cs="Calibri"/>
                <w:sz w:val="16"/>
                <w:szCs w:val="16"/>
                <w:lang w:eastAsia="pl-PL"/>
              </w:rPr>
              <w:t>6 626</w:t>
            </w:r>
          </w:p>
        </w:tc>
        <w:tc>
          <w:tcPr>
            <w:tcW w:w="1276" w:type="dxa"/>
            <w:shd w:val="clear" w:color="auto" w:fill="auto"/>
            <w:noWrap/>
            <w:vAlign w:val="bottom"/>
            <w:hideMark/>
          </w:tcPr>
          <w:p w:rsidR="00F467CA" w:rsidRPr="00F7496A" w:rsidRDefault="00F467CA" w:rsidP="00B22D3C">
            <w:pPr>
              <w:spacing w:before="0" w:after="0"/>
              <w:ind w:right="113"/>
              <w:jc w:val="right"/>
              <w:rPr>
                <w:rFonts w:eastAsia="Times New Roman" w:cs="Calibri"/>
                <w:sz w:val="16"/>
                <w:szCs w:val="16"/>
                <w:lang w:eastAsia="pl-PL"/>
              </w:rPr>
            </w:pPr>
            <w:r w:rsidRPr="00F7496A">
              <w:rPr>
                <w:rFonts w:eastAsia="Times New Roman" w:cs="Calibri"/>
                <w:sz w:val="16"/>
                <w:szCs w:val="16"/>
                <w:lang w:eastAsia="pl-PL"/>
              </w:rPr>
              <w:t>4</w:t>
            </w:r>
            <w:r w:rsidR="00B22D3C">
              <w:rPr>
                <w:rFonts w:eastAsia="Times New Roman" w:cs="Calibri"/>
                <w:sz w:val="16"/>
                <w:szCs w:val="16"/>
                <w:lang w:eastAsia="pl-PL"/>
              </w:rPr>
              <w:t>.</w:t>
            </w:r>
            <w:r w:rsidRPr="00F7496A">
              <w:rPr>
                <w:rFonts w:eastAsia="Times New Roman" w:cs="Calibri"/>
                <w:sz w:val="16"/>
                <w:szCs w:val="16"/>
                <w:lang w:eastAsia="pl-PL"/>
              </w:rPr>
              <w:t>9</w:t>
            </w:r>
          </w:p>
        </w:tc>
      </w:tr>
      <w:tr w:rsidR="00F467CA" w:rsidRPr="006B7D12" w:rsidTr="00E41DF8">
        <w:trPr>
          <w:trHeight w:val="283"/>
        </w:trPr>
        <w:tc>
          <w:tcPr>
            <w:tcW w:w="4920" w:type="dxa"/>
            <w:shd w:val="clear" w:color="auto" w:fill="auto"/>
            <w:noWrap/>
            <w:vAlign w:val="bottom"/>
            <w:hideMark/>
          </w:tcPr>
          <w:p w:rsidR="00F467CA" w:rsidRPr="00F7496A" w:rsidRDefault="00496D3A" w:rsidP="00E41DF8">
            <w:pPr>
              <w:spacing w:before="0" w:after="0"/>
              <w:rPr>
                <w:rFonts w:eastAsia="Times New Roman" w:cs="Calibri"/>
                <w:sz w:val="16"/>
                <w:szCs w:val="16"/>
                <w:lang w:eastAsia="pl-PL"/>
              </w:rPr>
            </w:pPr>
            <w:r>
              <w:rPr>
                <w:rFonts w:eastAsia="Times New Roman" w:cs="Calibri"/>
                <w:sz w:val="16"/>
                <w:szCs w:val="16"/>
                <w:lang w:eastAsia="pl-PL"/>
              </w:rPr>
              <w:t>housing condominiums</w:t>
            </w:r>
          </w:p>
        </w:tc>
        <w:tc>
          <w:tcPr>
            <w:tcW w:w="1596" w:type="dxa"/>
            <w:shd w:val="clear" w:color="auto" w:fill="auto"/>
            <w:noWrap/>
            <w:vAlign w:val="bottom"/>
            <w:hideMark/>
          </w:tcPr>
          <w:p w:rsidR="00F467CA" w:rsidRPr="00F7496A" w:rsidRDefault="00F467CA" w:rsidP="006B1C05">
            <w:pPr>
              <w:spacing w:before="0" w:after="0"/>
              <w:ind w:right="113"/>
              <w:jc w:val="right"/>
              <w:rPr>
                <w:rFonts w:eastAsia="Times New Roman" w:cs="Calibri"/>
                <w:sz w:val="16"/>
                <w:szCs w:val="16"/>
                <w:lang w:eastAsia="pl-PL"/>
              </w:rPr>
            </w:pPr>
            <w:r w:rsidRPr="00F7496A">
              <w:rPr>
                <w:rFonts w:eastAsia="Times New Roman" w:cs="Calibri"/>
                <w:sz w:val="16"/>
                <w:szCs w:val="16"/>
                <w:lang w:eastAsia="pl-PL"/>
              </w:rPr>
              <w:t>-</w:t>
            </w:r>
          </w:p>
        </w:tc>
        <w:tc>
          <w:tcPr>
            <w:tcW w:w="1276" w:type="dxa"/>
            <w:shd w:val="clear" w:color="auto" w:fill="auto"/>
            <w:noWrap/>
            <w:vAlign w:val="bottom"/>
            <w:hideMark/>
          </w:tcPr>
          <w:p w:rsidR="00F467CA" w:rsidRPr="00F7496A" w:rsidRDefault="00F467CA" w:rsidP="006B1C05">
            <w:pPr>
              <w:spacing w:before="0" w:after="0"/>
              <w:ind w:right="113"/>
              <w:jc w:val="right"/>
              <w:rPr>
                <w:rFonts w:eastAsia="Times New Roman" w:cs="Calibri"/>
                <w:sz w:val="16"/>
                <w:szCs w:val="16"/>
                <w:lang w:eastAsia="pl-PL"/>
              </w:rPr>
            </w:pPr>
            <w:r w:rsidRPr="00F7496A">
              <w:rPr>
                <w:rFonts w:eastAsia="Times New Roman" w:cs="Calibri"/>
                <w:sz w:val="16"/>
                <w:szCs w:val="16"/>
                <w:lang w:eastAsia="pl-PL"/>
              </w:rPr>
              <w:t>-</w:t>
            </w:r>
          </w:p>
        </w:tc>
      </w:tr>
      <w:tr w:rsidR="00F467CA" w:rsidRPr="006B7D12" w:rsidTr="00E41DF8">
        <w:trPr>
          <w:trHeight w:val="283"/>
        </w:trPr>
        <w:tc>
          <w:tcPr>
            <w:tcW w:w="4920" w:type="dxa"/>
            <w:shd w:val="clear" w:color="auto" w:fill="auto"/>
            <w:noWrap/>
            <w:vAlign w:val="center"/>
            <w:hideMark/>
          </w:tcPr>
          <w:p w:rsidR="00F467CA" w:rsidRPr="00F7496A" w:rsidRDefault="00496D3A" w:rsidP="00E41DF8">
            <w:pPr>
              <w:spacing w:before="0" w:after="0"/>
              <w:rPr>
                <w:rFonts w:eastAsia="Times New Roman" w:cs="Calibri"/>
                <w:sz w:val="16"/>
                <w:szCs w:val="16"/>
                <w:lang w:eastAsia="pl-PL"/>
              </w:rPr>
            </w:pPr>
            <w:r w:rsidRPr="00496D3A">
              <w:rPr>
                <w:rFonts w:eastAsia="Times New Roman" w:cs="Calibri"/>
                <w:sz w:val="16"/>
                <w:szCs w:val="16"/>
                <w:lang w:eastAsia="pl-PL"/>
              </w:rPr>
              <w:t>public building societies</w:t>
            </w:r>
          </w:p>
        </w:tc>
        <w:tc>
          <w:tcPr>
            <w:tcW w:w="1596" w:type="dxa"/>
            <w:shd w:val="clear" w:color="auto" w:fill="auto"/>
            <w:noWrap/>
            <w:vAlign w:val="bottom"/>
            <w:hideMark/>
          </w:tcPr>
          <w:p w:rsidR="00F467CA" w:rsidRPr="00F7496A" w:rsidRDefault="00F467CA" w:rsidP="006B1C05">
            <w:pPr>
              <w:spacing w:before="0" w:after="0"/>
              <w:ind w:right="113"/>
              <w:jc w:val="right"/>
              <w:rPr>
                <w:rFonts w:eastAsia="Times New Roman" w:cs="Calibri"/>
                <w:sz w:val="16"/>
                <w:szCs w:val="16"/>
                <w:lang w:eastAsia="pl-PL"/>
              </w:rPr>
            </w:pPr>
            <w:r w:rsidRPr="00F7496A">
              <w:rPr>
                <w:rFonts w:eastAsia="Times New Roman" w:cs="Calibri"/>
                <w:sz w:val="16"/>
                <w:szCs w:val="16"/>
                <w:lang w:eastAsia="pl-PL"/>
              </w:rPr>
              <w:t>336</w:t>
            </w:r>
          </w:p>
        </w:tc>
        <w:tc>
          <w:tcPr>
            <w:tcW w:w="1276" w:type="dxa"/>
            <w:shd w:val="clear" w:color="auto" w:fill="auto"/>
            <w:noWrap/>
            <w:vAlign w:val="bottom"/>
            <w:hideMark/>
          </w:tcPr>
          <w:p w:rsidR="00F467CA" w:rsidRPr="00F7496A" w:rsidRDefault="00F467CA" w:rsidP="00B22D3C">
            <w:pPr>
              <w:spacing w:before="0" w:after="0"/>
              <w:ind w:right="113"/>
              <w:jc w:val="right"/>
              <w:rPr>
                <w:rFonts w:eastAsia="Times New Roman" w:cs="Calibri"/>
                <w:sz w:val="16"/>
                <w:szCs w:val="16"/>
                <w:lang w:eastAsia="pl-PL"/>
              </w:rPr>
            </w:pPr>
            <w:r w:rsidRPr="00F7496A">
              <w:rPr>
                <w:rFonts w:eastAsia="Times New Roman" w:cs="Calibri"/>
                <w:sz w:val="16"/>
                <w:szCs w:val="16"/>
                <w:lang w:eastAsia="pl-PL"/>
              </w:rPr>
              <w:t>0</w:t>
            </w:r>
            <w:r w:rsidR="00B22D3C">
              <w:rPr>
                <w:rFonts w:eastAsia="Times New Roman" w:cs="Calibri"/>
                <w:sz w:val="16"/>
                <w:szCs w:val="16"/>
                <w:lang w:eastAsia="pl-PL"/>
              </w:rPr>
              <w:t>.</w:t>
            </w:r>
            <w:r w:rsidRPr="00F7496A">
              <w:rPr>
                <w:rFonts w:eastAsia="Times New Roman" w:cs="Calibri"/>
                <w:sz w:val="16"/>
                <w:szCs w:val="16"/>
                <w:lang w:eastAsia="pl-PL"/>
              </w:rPr>
              <w:t>3</w:t>
            </w:r>
          </w:p>
        </w:tc>
      </w:tr>
      <w:tr w:rsidR="00F467CA" w:rsidRPr="006B7D12" w:rsidTr="00E41DF8">
        <w:trPr>
          <w:trHeight w:val="283"/>
        </w:trPr>
        <w:tc>
          <w:tcPr>
            <w:tcW w:w="4920" w:type="dxa"/>
            <w:shd w:val="clear" w:color="000000" w:fill="FFFFFF"/>
            <w:noWrap/>
            <w:vAlign w:val="bottom"/>
            <w:hideMark/>
          </w:tcPr>
          <w:p w:rsidR="00F467CA" w:rsidRPr="00F7496A" w:rsidRDefault="00496D3A" w:rsidP="00E41DF8">
            <w:pPr>
              <w:spacing w:before="0" w:after="0"/>
              <w:rPr>
                <w:rFonts w:eastAsia="Times New Roman" w:cs="Calibri"/>
                <w:sz w:val="16"/>
                <w:szCs w:val="16"/>
                <w:lang w:eastAsia="pl-PL"/>
              </w:rPr>
            </w:pPr>
            <w:r>
              <w:rPr>
                <w:rFonts w:eastAsia="Times New Roman" w:cs="Calibri"/>
                <w:sz w:val="16"/>
                <w:szCs w:val="16"/>
                <w:lang w:eastAsia="pl-PL"/>
              </w:rPr>
              <w:t>other entities</w:t>
            </w:r>
          </w:p>
        </w:tc>
        <w:tc>
          <w:tcPr>
            <w:tcW w:w="1596" w:type="dxa"/>
            <w:shd w:val="clear" w:color="000000" w:fill="FFFFFF"/>
            <w:noWrap/>
            <w:vAlign w:val="bottom"/>
            <w:hideMark/>
          </w:tcPr>
          <w:p w:rsidR="00F467CA" w:rsidRPr="00F7496A" w:rsidRDefault="00F467CA" w:rsidP="006B1C05">
            <w:pPr>
              <w:spacing w:before="0" w:after="0"/>
              <w:ind w:right="113"/>
              <w:jc w:val="right"/>
              <w:rPr>
                <w:rFonts w:eastAsia="Times New Roman" w:cs="Calibri"/>
                <w:sz w:val="16"/>
                <w:szCs w:val="16"/>
                <w:lang w:eastAsia="pl-PL"/>
              </w:rPr>
            </w:pPr>
            <w:r w:rsidRPr="00F7496A">
              <w:rPr>
                <w:rFonts w:eastAsia="Times New Roman" w:cs="Calibri"/>
                <w:sz w:val="16"/>
                <w:szCs w:val="16"/>
                <w:lang w:eastAsia="pl-PL"/>
              </w:rPr>
              <w:t>40 396</w:t>
            </w:r>
          </w:p>
        </w:tc>
        <w:tc>
          <w:tcPr>
            <w:tcW w:w="1276" w:type="dxa"/>
            <w:shd w:val="clear" w:color="000000" w:fill="FFFFFF"/>
            <w:noWrap/>
            <w:vAlign w:val="bottom"/>
            <w:hideMark/>
          </w:tcPr>
          <w:p w:rsidR="00F467CA" w:rsidRPr="00F7496A" w:rsidRDefault="00F467CA" w:rsidP="00B22D3C">
            <w:pPr>
              <w:spacing w:before="0" w:after="0"/>
              <w:ind w:right="113"/>
              <w:jc w:val="right"/>
              <w:rPr>
                <w:rFonts w:eastAsia="Times New Roman" w:cs="Calibri"/>
                <w:sz w:val="16"/>
                <w:szCs w:val="16"/>
                <w:lang w:eastAsia="pl-PL"/>
              </w:rPr>
            </w:pPr>
            <w:r w:rsidRPr="00F7496A">
              <w:rPr>
                <w:rFonts w:eastAsia="Times New Roman" w:cs="Calibri"/>
                <w:sz w:val="16"/>
                <w:szCs w:val="16"/>
                <w:lang w:eastAsia="pl-PL"/>
              </w:rPr>
              <w:t>30</w:t>
            </w:r>
            <w:r w:rsidR="00B22D3C">
              <w:rPr>
                <w:rFonts w:eastAsia="Times New Roman" w:cs="Calibri"/>
                <w:sz w:val="16"/>
                <w:szCs w:val="16"/>
                <w:lang w:eastAsia="pl-PL"/>
              </w:rPr>
              <w:t>.</w:t>
            </w:r>
            <w:r w:rsidRPr="00F7496A">
              <w:rPr>
                <w:rFonts w:eastAsia="Times New Roman" w:cs="Calibri"/>
                <w:sz w:val="16"/>
                <w:szCs w:val="16"/>
                <w:lang w:eastAsia="pl-PL"/>
              </w:rPr>
              <w:t>1</w:t>
            </w:r>
          </w:p>
        </w:tc>
      </w:tr>
    </w:tbl>
    <w:p w:rsidR="00F467CA" w:rsidRPr="00850E7A" w:rsidRDefault="00F467CA" w:rsidP="00F467CA">
      <w:pPr>
        <w:pStyle w:val="Nagwek1"/>
        <w:spacing w:before="0" w:after="0"/>
        <w:rPr>
          <w:rFonts w:ascii="Fira Sans" w:hAnsi="Fira Sans"/>
        </w:rPr>
      </w:pPr>
    </w:p>
    <w:p w:rsidR="00F467CA" w:rsidRPr="00DD60ED" w:rsidRDefault="00B22D3C" w:rsidP="00F467CA">
      <w:pPr>
        <w:pStyle w:val="Nagwek1"/>
        <w:spacing w:before="0" w:after="0"/>
      </w:pPr>
      <w:r>
        <w:t>Arrears in payments for dwellings</w:t>
      </w:r>
    </w:p>
    <w:p w:rsidR="00F467CA" w:rsidRDefault="00F467CA" w:rsidP="00F467CA">
      <w:pPr>
        <w:spacing w:before="0" w:after="0"/>
        <w:rPr>
          <w:rFonts w:eastAsia="Times New Roman" w:cs="Times New Roman"/>
          <w:bCs/>
          <w:szCs w:val="19"/>
          <w:lang w:eastAsia="pl-PL"/>
        </w:rPr>
      </w:pPr>
      <w:r w:rsidRPr="0097136B">
        <w:rPr>
          <w:noProof/>
          <w:color w:val="FF0000"/>
          <w:spacing w:val="-2"/>
          <w:sz w:val="32"/>
          <w:szCs w:val="32"/>
          <w:lang w:eastAsia="pl-PL"/>
        </w:rPr>
        <mc:AlternateContent>
          <mc:Choice Requires="wps">
            <w:drawing>
              <wp:anchor distT="45720" distB="45720" distL="114300" distR="114300" simplePos="0" relativeHeight="251663360" behindDoc="1" locked="0" layoutInCell="1" allowOverlap="1" wp14:anchorId="3A63F6C3" wp14:editId="27FE5C3A">
                <wp:simplePos x="0" y="0"/>
                <wp:positionH relativeFrom="rightMargin">
                  <wp:posOffset>91440</wp:posOffset>
                </wp:positionH>
                <wp:positionV relativeFrom="paragraph">
                  <wp:posOffset>12065</wp:posOffset>
                </wp:positionV>
                <wp:extent cx="1704975" cy="791210"/>
                <wp:effectExtent l="0" t="0" r="0" b="0"/>
                <wp:wrapTight wrapText="bothSides">
                  <wp:wrapPolygon edited="0">
                    <wp:start x="724" y="0"/>
                    <wp:lineTo x="724" y="20803"/>
                    <wp:lineTo x="20755" y="20803"/>
                    <wp:lineTo x="20755" y="0"/>
                    <wp:lineTo x="724" y="0"/>
                  </wp:wrapPolygon>
                </wp:wrapTight>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791210"/>
                        </a:xfrm>
                        <a:prstGeom prst="rect">
                          <a:avLst/>
                        </a:prstGeom>
                        <a:noFill/>
                        <a:ln w="9525">
                          <a:noFill/>
                          <a:miter lim="800000"/>
                          <a:headEnd/>
                          <a:tailEnd/>
                        </a:ln>
                      </wps:spPr>
                      <wps:txbx>
                        <w:txbxContent>
                          <w:p w:rsidR="00E84AB6" w:rsidRPr="00281994" w:rsidRDefault="00E84AB6" w:rsidP="00F467CA">
                            <w:pPr>
                              <w:pStyle w:val="tekstzboku"/>
                              <w:rPr>
                                <w:lang w:val="en-GB"/>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As of 31 December 2018</w:t>
                            </w:r>
                            <w:r w:rsidR="00CA0A0F">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in 25.5 % of dwellings tenants were in arrears with dwelling payments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63F6C3" id="_x0000_s1034" type="#_x0000_t202" style="position:absolute;margin-left:7.2pt;margin-top:.95pt;width:134.25pt;height:62.3pt;z-index:-25165312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" filled="f" stroked="f">
                <v:textbox>
                  <w:txbxContent>
                    <w:p w:rsidR="00E84AB6" w:rsidRPr="00281994" w:rsidRDefault="00E84AB6" w:rsidP="00F467CA">
                      <w:pPr>
                        <w:pStyle w:val="tekstzboku"/>
                        <w:rPr>
                          <w:lang w:val="en-GB"/>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As of 31 December 2018</w:t>
                      </w:r>
                      <w:r w:rsidR="00CA0A0F">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in 25.5 % of dwellings tenants were in arrears with dwelling payments</w:t>
                      </w:r>
                    </w:p>
                  </w:txbxContent>
                </v:textbox>
                <w10:wrap type="tight" anchorx="margin"/>
              </v:shape>
            </w:pict>
          </mc:Fallback>
        </mc:AlternateContent>
      </w:r>
    </w:p>
    <w:p w:rsidR="00F467CA" w:rsidRPr="00281994" w:rsidRDefault="00F467CA" w:rsidP="00F467CA">
      <w:pPr>
        <w:spacing w:before="0" w:after="0"/>
        <w:rPr>
          <w:shd w:val="clear" w:color="auto" w:fill="FFFFFF"/>
          <w:lang w:val="en-GB"/>
        </w:rPr>
      </w:pPr>
      <w:r w:rsidRPr="00281994">
        <w:rPr>
          <w:shd w:val="clear" w:color="auto" w:fill="FFFFFF"/>
          <w:lang w:val="en-GB"/>
        </w:rPr>
        <w:t xml:space="preserve">As </w:t>
      </w:r>
      <w:r w:rsidR="00B22D3C" w:rsidRPr="00281994">
        <w:rPr>
          <w:shd w:val="clear" w:color="auto" w:fill="FFFFFF"/>
          <w:lang w:val="en-GB"/>
        </w:rPr>
        <w:t>of</w:t>
      </w:r>
      <w:r w:rsidRPr="00281994">
        <w:rPr>
          <w:shd w:val="clear" w:color="auto" w:fill="FFFFFF"/>
          <w:lang w:val="en-GB"/>
        </w:rPr>
        <w:t xml:space="preserve"> 31 December 2018, out of approx. 7</w:t>
      </w:r>
      <w:r w:rsidR="00B22D3C" w:rsidRPr="00281994">
        <w:rPr>
          <w:shd w:val="clear" w:color="auto" w:fill="FFFFFF"/>
          <w:lang w:val="en-GB"/>
        </w:rPr>
        <w:t>.</w:t>
      </w:r>
      <w:r w:rsidRPr="00281994">
        <w:rPr>
          <w:shd w:val="clear" w:color="auto" w:fill="FFFFFF"/>
          <w:lang w:val="en-GB"/>
        </w:rPr>
        <w:t xml:space="preserve">5 </w:t>
      </w:r>
      <w:r w:rsidR="00B22D3C" w:rsidRPr="00281994">
        <w:rPr>
          <w:shd w:val="clear" w:color="auto" w:fill="FFFFFF"/>
          <w:lang w:val="en-GB"/>
        </w:rPr>
        <w:t>million</w:t>
      </w:r>
      <w:r w:rsidRPr="00281994">
        <w:rPr>
          <w:shd w:val="clear" w:color="auto" w:fill="FFFFFF"/>
          <w:lang w:val="en-GB"/>
        </w:rPr>
        <w:t xml:space="preserve"> dwelling stocks (</w:t>
      </w:r>
      <w:r w:rsidR="00B22D3C" w:rsidRPr="00281994">
        <w:rPr>
          <w:shd w:val="clear" w:color="auto" w:fill="FFFFFF"/>
          <w:lang w:val="en-GB"/>
        </w:rPr>
        <w:t>including</w:t>
      </w:r>
      <w:r w:rsidRPr="00281994">
        <w:rPr>
          <w:shd w:val="clear" w:color="auto" w:fill="FFFFFF"/>
          <w:lang w:val="en-GB"/>
        </w:rPr>
        <w:t xml:space="preserve"> dwellings under separate ownership, and still managed by housing cooperatives) in 2</w:t>
      </w:r>
      <w:r w:rsidR="00B22D3C" w:rsidRPr="00281994">
        <w:rPr>
          <w:shd w:val="clear" w:color="auto" w:fill="FFFFFF"/>
          <w:lang w:val="en-GB"/>
        </w:rPr>
        <w:t>5.</w:t>
      </w:r>
      <w:r w:rsidR="006B1C05" w:rsidRPr="00281994">
        <w:rPr>
          <w:shd w:val="clear" w:color="auto" w:fill="FFFFFF"/>
          <w:lang w:val="en-GB"/>
        </w:rPr>
        <w:t>5</w:t>
      </w:r>
      <w:r w:rsidR="00B22D3C" w:rsidRPr="00281994">
        <w:rPr>
          <w:shd w:val="clear" w:color="auto" w:fill="FFFFFF"/>
          <w:lang w:val="en-GB"/>
        </w:rPr>
        <w:t> </w:t>
      </w:r>
      <w:r w:rsidRPr="00281994">
        <w:rPr>
          <w:shd w:val="clear" w:color="auto" w:fill="FFFFFF"/>
          <w:lang w:val="en-GB"/>
        </w:rPr>
        <w:t xml:space="preserve">% of dwellings tenants were in arrears with dwelling payments. Total amount of arrears from the beginning of their occurrence (along with interest) under non-payment for the dwelling amounted to PLN </w:t>
      </w:r>
      <w:r w:rsidR="006B1C05" w:rsidRPr="00281994">
        <w:rPr>
          <w:shd w:val="clear" w:color="auto" w:fill="FFFFFF"/>
          <w:lang w:val="en-GB"/>
        </w:rPr>
        <w:t>6.5</w:t>
      </w:r>
      <w:r w:rsidRPr="00281994">
        <w:rPr>
          <w:shd w:val="clear" w:color="auto" w:fill="FFFFFF"/>
          <w:lang w:val="en-GB"/>
        </w:rPr>
        <w:t xml:space="preserve"> b</w:t>
      </w:r>
      <w:r w:rsidR="00B22D3C" w:rsidRPr="00281994">
        <w:rPr>
          <w:shd w:val="clear" w:color="auto" w:fill="FFFFFF"/>
          <w:lang w:val="en-GB"/>
        </w:rPr>
        <w:t>illio</w:t>
      </w:r>
      <w:r w:rsidRPr="00281994">
        <w:rPr>
          <w:shd w:val="clear" w:color="auto" w:fill="FFFFFF"/>
          <w:lang w:val="en-GB"/>
        </w:rPr>
        <w:t>n.</w:t>
      </w:r>
    </w:p>
    <w:p w:rsidR="00E41DF8" w:rsidRPr="00281994" w:rsidRDefault="00E41DF8" w:rsidP="00F467CA">
      <w:pPr>
        <w:spacing w:before="0" w:after="0"/>
        <w:rPr>
          <w:rFonts w:eastAsia="Times New Roman" w:cs="Times New Roman"/>
          <w:bCs/>
          <w:szCs w:val="19"/>
          <w:lang w:val="en-GB" w:eastAsia="pl-PL"/>
        </w:rPr>
      </w:pPr>
    </w:p>
    <w:p w:rsidR="00F467CA" w:rsidRPr="00281994" w:rsidRDefault="00F467CA" w:rsidP="00F467CA">
      <w:pPr>
        <w:spacing w:before="0" w:after="0"/>
        <w:rPr>
          <w:rFonts w:eastAsia="Times New Roman" w:cs="Times New Roman"/>
          <w:b/>
          <w:bCs/>
          <w:sz w:val="18"/>
          <w:szCs w:val="18"/>
          <w:lang w:val="en-GB" w:eastAsia="pl-PL"/>
        </w:rPr>
      </w:pPr>
      <w:bookmarkStart w:id="1" w:name="_Toc496766924"/>
      <w:r w:rsidRPr="00281994">
        <w:rPr>
          <w:rFonts w:eastAsia="Times New Roman" w:cs="Times New Roman"/>
          <w:b/>
          <w:bCs/>
          <w:sz w:val="18"/>
          <w:szCs w:val="18"/>
          <w:lang w:val="en-GB" w:eastAsia="pl-PL"/>
        </w:rPr>
        <w:t>Tabl</w:t>
      </w:r>
      <w:r w:rsidR="00D13A67" w:rsidRPr="00281994">
        <w:rPr>
          <w:rFonts w:eastAsia="Times New Roman" w:cs="Times New Roman"/>
          <w:b/>
          <w:bCs/>
          <w:sz w:val="18"/>
          <w:szCs w:val="18"/>
          <w:lang w:val="en-GB" w:eastAsia="pl-PL"/>
        </w:rPr>
        <w:t>e</w:t>
      </w:r>
      <w:r w:rsidRPr="00281994">
        <w:rPr>
          <w:rFonts w:eastAsia="Times New Roman" w:cs="Times New Roman"/>
          <w:b/>
          <w:bCs/>
          <w:sz w:val="18"/>
          <w:szCs w:val="18"/>
          <w:lang w:val="en-GB" w:eastAsia="pl-PL"/>
        </w:rPr>
        <w:t xml:space="preserve"> 4. </w:t>
      </w:r>
      <w:bookmarkEnd w:id="1"/>
      <w:r w:rsidR="00D13A67" w:rsidRPr="00281994">
        <w:rPr>
          <w:rFonts w:eastAsia="Times New Roman" w:cs="Times New Roman"/>
          <w:b/>
          <w:bCs/>
          <w:sz w:val="18"/>
          <w:szCs w:val="18"/>
          <w:lang w:val="en-GB" w:eastAsia="pl-PL"/>
        </w:rPr>
        <w:t>Arrears in payments for dwelling by type of ownership – as of 31.12.2018</w:t>
      </w:r>
    </w:p>
    <w:p w:rsidR="006B1C05" w:rsidRPr="00281994" w:rsidRDefault="006B1C05" w:rsidP="00F467CA">
      <w:pPr>
        <w:spacing w:before="0" w:after="0"/>
        <w:rPr>
          <w:rFonts w:eastAsia="Times New Roman" w:cs="Times New Roman"/>
          <w:b/>
          <w:bCs/>
          <w:sz w:val="18"/>
          <w:szCs w:val="18"/>
          <w:lang w:val="en-GB" w:eastAsia="pl-PL"/>
        </w:rPr>
      </w:pPr>
    </w:p>
    <w:tbl>
      <w:tblPr>
        <w:tblW w:w="7511" w:type="dxa"/>
        <w:tblBorders>
          <w:insideH w:val="single" w:sz="12" w:space="0" w:color="001D77"/>
          <w:insideV w:val="single" w:sz="4" w:space="0" w:color="001D77"/>
        </w:tblBorders>
        <w:tblCellMar>
          <w:left w:w="70" w:type="dxa"/>
          <w:right w:w="70" w:type="dxa"/>
        </w:tblCellMar>
        <w:tblLook w:val="04A0" w:firstRow="1" w:lastRow="0" w:firstColumn="1" w:lastColumn="0" w:noHBand="0" w:noVBand="1"/>
      </w:tblPr>
      <w:tblGrid>
        <w:gridCol w:w="3047"/>
        <w:gridCol w:w="1134"/>
        <w:gridCol w:w="992"/>
        <w:gridCol w:w="2338"/>
      </w:tblGrid>
      <w:tr w:rsidR="00F467CA" w:rsidRPr="00CA0A0F" w:rsidTr="00DD60ED">
        <w:trPr>
          <w:trHeight w:val="753"/>
        </w:trPr>
        <w:tc>
          <w:tcPr>
            <w:tcW w:w="3047" w:type="dxa"/>
            <w:vMerge w:val="restart"/>
            <w:vAlign w:val="center"/>
            <w:hideMark/>
          </w:tcPr>
          <w:p w:rsidR="00F467CA" w:rsidRPr="00F7496A" w:rsidRDefault="00D13A67" w:rsidP="00E41DF8">
            <w:pPr>
              <w:spacing w:before="0" w:after="0"/>
              <w:jc w:val="center"/>
              <w:rPr>
                <w:rFonts w:eastAsia="Times New Roman" w:cs="Calibri"/>
                <w:sz w:val="16"/>
                <w:szCs w:val="16"/>
                <w:lang w:eastAsia="pl-PL"/>
              </w:rPr>
            </w:pPr>
            <w:r>
              <w:rPr>
                <w:rFonts w:eastAsia="Times New Roman" w:cs="Calibri"/>
                <w:sz w:val="16"/>
                <w:szCs w:val="16"/>
                <w:lang w:eastAsia="pl-PL"/>
              </w:rPr>
              <w:t>In stocks</w:t>
            </w:r>
            <w:r w:rsidR="00F467CA" w:rsidRPr="00F7496A">
              <w:rPr>
                <w:rFonts w:eastAsia="Times New Roman" w:cs="Calibri"/>
                <w:sz w:val="16"/>
                <w:szCs w:val="16"/>
                <w:lang w:eastAsia="pl-PL"/>
              </w:rPr>
              <w:t>:</w:t>
            </w:r>
          </w:p>
        </w:tc>
        <w:tc>
          <w:tcPr>
            <w:tcW w:w="2126" w:type="dxa"/>
            <w:gridSpan w:val="2"/>
            <w:tcBorders>
              <w:top w:val="nil"/>
              <w:bottom w:val="single" w:sz="4" w:space="0" w:color="001D77"/>
            </w:tcBorders>
            <w:vAlign w:val="center"/>
            <w:hideMark/>
          </w:tcPr>
          <w:p w:rsidR="00F467CA" w:rsidRPr="00F7496A" w:rsidRDefault="00D13A67" w:rsidP="00E41DF8">
            <w:pPr>
              <w:spacing w:before="0" w:after="0"/>
              <w:jc w:val="center"/>
              <w:rPr>
                <w:rFonts w:eastAsia="Times New Roman" w:cs="Calibri"/>
                <w:sz w:val="16"/>
                <w:szCs w:val="16"/>
                <w:lang w:eastAsia="pl-PL"/>
              </w:rPr>
            </w:pPr>
            <w:r>
              <w:rPr>
                <w:rFonts w:eastAsia="Times New Roman" w:cs="Calibri"/>
                <w:sz w:val="16"/>
                <w:szCs w:val="16"/>
                <w:lang w:eastAsia="pl-PL"/>
              </w:rPr>
              <w:t>Arrears</w:t>
            </w:r>
          </w:p>
        </w:tc>
        <w:tc>
          <w:tcPr>
            <w:tcW w:w="2338" w:type="dxa"/>
            <w:tcBorders>
              <w:top w:val="nil"/>
              <w:bottom w:val="single" w:sz="4" w:space="0" w:color="001D77"/>
            </w:tcBorders>
            <w:vAlign w:val="center"/>
            <w:hideMark/>
          </w:tcPr>
          <w:p w:rsidR="00D13A67" w:rsidRPr="00281994" w:rsidRDefault="00D13A67" w:rsidP="00D13A67">
            <w:pPr>
              <w:spacing w:before="0" w:after="0"/>
              <w:jc w:val="center"/>
              <w:rPr>
                <w:rFonts w:eastAsia="Times New Roman" w:cs="Calibri"/>
                <w:sz w:val="16"/>
                <w:szCs w:val="16"/>
                <w:lang w:val="en-GB" w:eastAsia="pl-PL"/>
              </w:rPr>
            </w:pPr>
            <w:r w:rsidRPr="00281994">
              <w:rPr>
                <w:rFonts w:eastAsia="Times New Roman" w:cs="Calibri"/>
                <w:sz w:val="16"/>
                <w:szCs w:val="16"/>
                <w:lang w:val="en-GB" w:eastAsia="pl-PL"/>
              </w:rPr>
              <w:t>Average overdue rent for one</w:t>
            </w:r>
          </w:p>
          <w:p w:rsidR="00F467CA" w:rsidRPr="00281994" w:rsidRDefault="00D13A67" w:rsidP="00B22D3C">
            <w:pPr>
              <w:spacing w:before="0" w:after="0"/>
              <w:jc w:val="center"/>
              <w:rPr>
                <w:rFonts w:eastAsia="Times New Roman" w:cs="Calibri"/>
                <w:sz w:val="16"/>
                <w:szCs w:val="16"/>
                <w:lang w:val="en-GB" w:eastAsia="pl-PL"/>
              </w:rPr>
            </w:pPr>
            <w:r w:rsidRPr="00281994">
              <w:rPr>
                <w:rFonts w:eastAsia="Times New Roman" w:cs="Calibri"/>
                <w:sz w:val="16"/>
                <w:szCs w:val="16"/>
                <w:lang w:val="en-GB" w:eastAsia="pl-PL"/>
              </w:rPr>
              <w:t xml:space="preserve">dwelling with tenants </w:t>
            </w:r>
            <w:r w:rsidR="00B22D3C" w:rsidRPr="00281994">
              <w:rPr>
                <w:rFonts w:eastAsia="Times New Roman" w:cs="Calibri"/>
                <w:sz w:val="16"/>
                <w:szCs w:val="16"/>
                <w:lang w:val="en-GB" w:eastAsia="pl-PL"/>
              </w:rPr>
              <w:t>in </w:t>
            </w:r>
            <w:r w:rsidRPr="00281994">
              <w:rPr>
                <w:rFonts w:eastAsia="Times New Roman" w:cs="Calibri"/>
                <w:sz w:val="16"/>
                <w:szCs w:val="16"/>
                <w:lang w:val="en-GB" w:eastAsia="pl-PL"/>
              </w:rPr>
              <w:t>payment arrears</w:t>
            </w:r>
          </w:p>
        </w:tc>
      </w:tr>
      <w:tr w:rsidR="00F467CA" w:rsidRPr="00F7496A" w:rsidTr="006B1C05">
        <w:trPr>
          <w:trHeight w:val="315"/>
        </w:trPr>
        <w:tc>
          <w:tcPr>
            <w:tcW w:w="3047" w:type="dxa"/>
            <w:vMerge/>
            <w:vAlign w:val="center"/>
            <w:hideMark/>
          </w:tcPr>
          <w:p w:rsidR="00F467CA" w:rsidRPr="00281994" w:rsidRDefault="00F467CA" w:rsidP="00E41DF8">
            <w:pPr>
              <w:spacing w:before="0" w:after="0"/>
              <w:rPr>
                <w:rFonts w:eastAsia="Times New Roman" w:cs="Calibri"/>
                <w:sz w:val="16"/>
                <w:szCs w:val="16"/>
                <w:lang w:val="en-GB" w:eastAsia="pl-PL"/>
              </w:rPr>
            </w:pPr>
          </w:p>
        </w:tc>
        <w:tc>
          <w:tcPr>
            <w:tcW w:w="1134" w:type="dxa"/>
            <w:tcBorders>
              <w:top w:val="single" w:sz="4" w:space="0" w:color="001D77"/>
            </w:tcBorders>
            <w:shd w:val="clear" w:color="auto" w:fill="auto"/>
            <w:noWrap/>
            <w:vAlign w:val="center"/>
            <w:hideMark/>
          </w:tcPr>
          <w:p w:rsidR="00F467CA" w:rsidRPr="00F7496A" w:rsidRDefault="00D13A67" w:rsidP="00B22D3C">
            <w:pPr>
              <w:spacing w:before="0" w:after="0"/>
              <w:jc w:val="center"/>
              <w:rPr>
                <w:rFonts w:eastAsia="Times New Roman" w:cs="Calibri"/>
                <w:sz w:val="16"/>
                <w:szCs w:val="16"/>
                <w:lang w:eastAsia="pl-PL"/>
              </w:rPr>
            </w:pPr>
            <w:r>
              <w:rPr>
                <w:rFonts w:eastAsia="Times New Roman" w:cs="Calibri"/>
                <w:sz w:val="16"/>
                <w:szCs w:val="16"/>
                <w:lang w:eastAsia="pl-PL"/>
              </w:rPr>
              <w:t>thousand PLN</w:t>
            </w:r>
          </w:p>
        </w:tc>
        <w:tc>
          <w:tcPr>
            <w:tcW w:w="992" w:type="dxa"/>
            <w:tcBorders>
              <w:top w:val="single" w:sz="4" w:space="0" w:color="001D77"/>
            </w:tcBorders>
            <w:shd w:val="clear" w:color="auto" w:fill="auto"/>
            <w:noWrap/>
            <w:vAlign w:val="center"/>
            <w:hideMark/>
          </w:tcPr>
          <w:p w:rsidR="00F467CA" w:rsidRPr="00F7496A" w:rsidRDefault="00F467CA" w:rsidP="00E41DF8">
            <w:pPr>
              <w:spacing w:before="0" w:after="0"/>
              <w:jc w:val="center"/>
              <w:rPr>
                <w:rFonts w:eastAsia="Times New Roman" w:cs="Calibri"/>
                <w:sz w:val="16"/>
                <w:szCs w:val="16"/>
                <w:lang w:eastAsia="pl-PL"/>
              </w:rPr>
            </w:pPr>
            <w:r w:rsidRPr="00F7496A">
              <w:rPr>
                <w:rFonts w:eastAsia="Times New Roman" w:cs="Calibri"/>
                <w:sz w:val="16"/>
                <w:szCs w:val="16"/>
                <w:lang w:eastAsia="pl-PL"/>
              </w:rPr>
              <w:t>%</w:t>
            </w:r>
          </w:p>
        </w:tc>
        <w:tc>
          <w:tcPr>
            <w:tcW w:w="2338" w:type="dxa"/>
            <w:tcBorders>
              <w:top w:val="single" w:sz="4" w:space="0" w:color="001D77"/>
            </w:tcBorders>
            <w:shd w:val="clear" w:color="auto" w:fill="auto"/>
            <w:noWrap/>
            <w:vAlign w:val="center"/>
            <w:hideMark/>
          </w:tcPr>
          <w:p w:rsidR="00F467CA" w:rsidRPr="00F7496A" w:rsidRDefault="00D13A67" w:rsidP="00E41DF8">
            <w:pPr>
              <w:spacing w:before="0" w:after="0"/>
              <w:jc w:val="center"/>
              <w:rPr>
                <w:rFonts w:eastAsia="Times New Roman" w:cs="Calibri"/>
                <w:sz w:val="16"/>
                <w:szCs w:val="16"/>
                <w:lang w:eastAsia="pl-PL"/>
              </w:rPr>
            </w:pPr>
            <w:r>
              <w:rPr>
                <w:rFonts w:eastAsia="Times New Roman" w:cs="Calibri"/>
                <w:sz w:val="16"/>
                <w:szCs w:val="16"/>
                <w:lang w:eastAsia="pl-PL"/>
              </w:rPr>
              <w:t>PLN</w:t>
            </w:r>
          </w:p>
        </w:tc>
      </w:tr>
      <w:tr w:rsidR="00F467CA" w:rsidRPr="00B7368E" w:rsidTr="006B1C05">
        <w:trPr>
          <w:trHeight w:val="283"/>
        </w:trPr>
        <w:tc>
          <w:tcPr>
            <w:tcW w:w="3047" w:type="dxa"/>
            <w:tcBorders>
              <w:bottom w:val="single" w:sz="4" w:space="0" w:color="001D77"/>
            </w:tcBorders>
            <w:shd w:val="clear" w:color="auto" w:fill="auto"/>
            <w:noWrap/>
            <w:vAlign w:val="bottom"/>
            <w:hideMark/>
          </w:tcPr>
          <w:p w:rsidR="00F467CA" w:rsidRPr="00B7368E" w:rsidRDefault="00D13A67" w:rsidP="00E41DF8">
            <w:pPr>
              <w:spacing w:before="0" w:after="0"/>
              <w:rPr>
                <w:rFonts w:eastAsia="Times New Roman" w:cs="Calibri"/>
                <w:b/>
                <w:sz w:val="16"/>
                <w:szCs w:val="16"/>
                <w:lang w:eastAsia="pl-PL"/>
              </w:rPr>
            </w:pPr>
            <w:r>
              <w:rPr>
                <w:rFonts w:eastAsia="Times New Roman" w:cs="Calibri"/>
                <w:b/>
                <w:sz w:val="16"/>
                <w:szCs w:val="16"/>
                <w:lang w:eastAsia="pl-PL"/>
              </w:rPr>
              <w:t>Total</w:t>
            </w:r>
          </w:p>
        </w:tc>
        <w:tc>
          <w:tcPr>
            <w:tcW w:w="1134" w:type="dxa"/>
            <w:tcBorders>
              <w:bottom w:val="single" w:sz="4" w:space="0" w:color="001D77"/>
            </w:tcBorders>
            <w:shd w:val="clear" w:color="auto" w:fill="auto"/>
            <w:noWrap/>
            <w:vAlign w:val="bottom"/>
            <w:hideMark/>
          </w:tcPr>
          <w:p w:rsidR="00F467CA" w:rsidRPr="00B7368E" w:rsidRDefault="00F467CA" w:rsidP="00E41DF8">
            <w:pPr>
              <w:spacing w:before="0" w:after="0"/>
              <w:jc w:val="right"/>
              <w:rPr>
                <w:rFonts w:eastAsia="Times New Roman" w:cs="Calibri"/>
                <w:b/>
                <w:sz w:val="16"/>
                <w:szCs w:val="16"/>
                <w:lang w:eastAsia="pl-PL"/>
              </w:rPr>
            </w:pPr>
            <w:r w:rsidRPr="00B7368E">
              <w:rPr>
                <w:rFonts w:eastAsia="Times New Roman" w:cs="Calibri"/>
                <w:b/>
                <w:sz w:val="16"/>
                <w:szCs w:val="16"/>
                <w:lang w:eastAsia="pl-PL"/>
              </w:rPr>
              <w:t>6 471 4</w:t>
            </w:r>
            <w:r>
              <w:rPr>
                <w:rFonts w:eastAsia="Times New Roman" w:cs="Calibri"/>
                <w:b/>
                <w:sz w:val="16"/>
                <w:szCs w:val="16"/>
                <w:lang w:eastAsia="pl-PL"/>
              </w:rPr>
              <w:t>93</w:t>
            </w:r>
            <w:r w:rsidR="00B22D3C">
              <w:rPr>
                <w:rFonts w:eastAsia="Times New Roman" w:cs="Calibri"/>
                <w:b/>
                <w:sz w:val="16"/>
                <w:szCs w:val="16"/>
                <w:lang w:eastAsia="pl-PL"/>
              </w:rPr>
              <w:t>.</w:t>
            </w:r>
            <w:r w:rsidRPr="00B7368E">
              <w:rPr>
                <w:rFonts w:eastAsia="Times New Roman" w:cs="Calibri"/>
                <w:b/>
                <w:sz w:val="16"/>
                <w:szCs w:val="16"/>
                <w:lang w:eastAsia="pl-PL"/>
              </w:rPr>
              <w:t>5</w:t>
            </w:r>
          </w:p>
        </w:tc>
        <w:tc>
          <w:tcPr>
            <w:tcW w:w="992" w:type="dxa"/>
            <w:tcBorders>
              <w:bottom w:val="single" w:sz="4" w:space="0" w:color="001D77"/>
            </w:tcBorders>
            <w:shd w:val="clear" w:color="auto" w:fill="auto"/>
            <w:noWrap/>
            <w:vAlign w:val="bottom"/>
            <w:hideMark/>
          </w:tcPr>
          <w:p w:rsidR="00F467CA" w:rsidRPr="00B7368E" w:rsidRDefault="00F467CA" w:rsidP="00E41DF8">
            <w:pPr>
              <w:spacing w:before="0" w:after="0"/>
              <w:jc w:val="right"/>
              <w:rPr>
                <w:rFonts w:eastAsia="Times New Roman" w:cs="Calibri"/>
                <w:b/>
                <w:sz w:val="16"/>
                <w:szCs w:val="16"/>
                <w:lang w:eastAsia="pl-PL"/>
              </w:rPr>
            </w:pPr>
            <w:r w:rsidRPr="00B7368E">
              <w:rPr>
                <w:rFonts w:eastAsia="Times New Roman" w:cs="Calibri"/>
                <w:b/>
                <w:sz w:val="16"/>
                <w:szCs w:val="16"/>
                <w:lang w:eastAsia="pl-PL"/>
              </w:rPr>
              <w:t>100</w:t>
            </w:r>
            <w:r w:rsidR="00B22D3C">
              <w:rPr>
                <w:rFonts w:eastAsia="Times New Roman" w:cs="Calibri"/>
                <w:b/>
                <w:sz w:val="16"/>
                <w:szCs w:val="16"/>
                <w:lang w:eastAsia="pl-PL"/>
              </w:rPr>
              <w:t>.</w:t>
            </w:r>
            <w:r>
              <w:rPr>
                <w:rFonts w:eastAsia="Times New Roman" w:cs="Calibri"/>
                <w:b/>
                <w:sz w:val="16"/>
                <w:szCs w:val="16"/>
                <w:lang w:eastAsia="pl-PL"/>
              </w:rPr>
              <w:t>0</w:t>
            </w:r>
          </w:p>
        </w:tc>
        <w:tc>
          <w:tcPr>
            <w:tcW w:w="2338" w:type="dxa"/>
            <w:tcBorders>
              <w:bottom w:val="single" w:sz="4" w:space="0" w:color="001D77"/>
            </w:tcBorders>
            <w:shd w:val="clear" w:color="auto" w:fill="auto"/>
            <w:noWrap/>
            <w:vAlign w:val="bottom"/>
            <w:hideMark/>
          </w:tcPr>
          <w:p w:rsidR="00F467CA" w:rsidRPr="00B7368E" w:rsidRDefault="00F467CA" w:rsidP="00E41DF8">
            <w:pPr>
              <w:spacing w:before="0" w:after="0"/>
              <w:jc w:val="right"/>
              <w:rPr>
                <w:rFonts w:eastAsia="Times New Roman" w:cs="Calibri"/>
                <w:b/>
                <w:sz w:val="16"/>
                <w:szCs w:val="16"/>
                <w:lang w:eastAsia="pl-PL"/>
              </w:rPr>
            </w:pPr>
            <w:r w:rsidRPr="00B7368E">
              <w:rPr>
                <w:rFonts w:eastAsia="Times New Roman" w:cs="Calibri"/>
                <w:b/>
                <w:sz w:val="16"/>
                <w:szCs w:val="16"/>
                <w:lang w:eastAsia="pl-PL"/>
              </w:rPr>
              <w:t>3 407</w:t>
            </w:r>
          </w:p>
        </w:tc>
      </w:tr>
      <w:tr w:rsidR="00F467CA" w:rsidRPr="00F7496A" w:rsidTr="006B1C05">
        <w:trPr>
          <w:trHeight w:val="283"/>
        </w:trPr>
        <w:tc>
          <w:tcPr>
            <w:tcW w:w="3047" w:type="dxa"/>
            <w:tcBorders>
              <w:top w:val="single" w:sz="4" w:space="0" w:color="001D77"/>
              <w:bottom w:val="single" w:sz="4" w:space="0" w:color="001D77"/>
            </w:tcBorders>
            <w:shd w:val="clear" w:color="auto" w:fill="auto"/>
            <w:noWrap/>
            <w:vAlign w:val="bottom"/>
            <w:hideMark/>
          </w:tcPr>
          <w:p w:rsidR="00F467CA" w:rsidRPr="00F7496A" w:rsidRDefault="0003779C" w:rsidP="00E41DF8">
            <w:pPr>
              <w:spacing w:before="0" w:after="0"/>
              <w:rPr>
                <w:rFonts w:eastAsia="Times New Roman" w:cs="Calibri"/>
                <w:sz w:val="16"/>
                <w:szCs w:val="16"/>
                <w:lang w:eastAsia="pl-PL"/>
              </w:rPr>
            </w:pPr>
            <w:r>
              <w:rPr>
                <w:rFonts w:eastAsia="Times New Roman" w:cs="Calibri"/>
                <w:sz w:val="16"/>
                <w:szCs w:val="16"/>
                <w:lang w:eastAsia="pl-PL"/>
              </w:rPr>
              <w:t>g</w:t>
            </w:r>
            <w:r w:rsidR="00D13A67">
              <w:rPr>
                <w:rFonts w:eastAsia="Times New Roman" w:cs="Calibri"/>
                <w:sz w:val="16"/>
                <w:szCs w:val="16"/>
                <w:lang w:eastAsia="pl-PL"/>
              </w:rPr>
              <w:t>mina</w:t>
            </w:r>
            <w:r w:rsidR="00B22D3C">
              <w:rPr>
                <w:rFonts w:eastAsia="Times New Roman" w:cs="Calibri"/>
                <w:sz w:val="16"/>
                <w:szCs w:val="16"/>
                <w:lang w:eastAsia="pl-PL"/>
              </w:rPr>
              <w:t>s</w:t>
            </w:r>
            <w:r>
              <w:rPr>
                <w:rFonts w:eastAsia="Times New Roman" w:cs="Calibri"/>
                <w:sz w:val="16"/>
                <w:szCs w:val="16"/>
                <w:lang w:eastAsia="pl-PL"/>
              </w:rPr>
              <w:t xml:space="preserve"> (municipal)</w:t>
            </w:r>
          </w:p>
        </w:tc>
        <w:tc>
          <w:tcPr>
            <w:tcW w:w="1134" w:type="dxa"/>
            <w:tcBorders>
              <w:top w:val="single" w:sz="4" w:space="0" w:color="001D77"/>
              <w:bottom w:val="single" w:sz="4" w:space="0" w:color="001D77"/>
            </w:tcBorders>
            <w:shd w:val="clear" w:color="auto" w:fill="auto"/>
            <w:noWrap/>
            <w:vAlign w:val="bottom"/>
            <w:hideMark/>
          </w:tcPr>
          <w:p w:rsidR="00F467CA" w:rsidRPr="00F7496A" w:rsidRDefault="00F467CA" w:rsidP="00E41DF8">
            <w:pPr>
              <w:spacing w:before="0" w:after="0"/>
              <w:jc w:val="right"/>
              <w:rPr>
                <w:rFonts w:eastAsia="Times New Roman" w:cs="Calibri"/>
                <w:sz w:val="16"/>
                <w:szCs w:val="16"/>
                <w:lang w:eastAsia="pl-PL"/>
              </w:rPr>
            </w:pPr>
            <w:r w:rsidRPr="00F7496A">
              <w:rPr>
                <w:rFonts w:eastAsia="Times New Roman" w:cs="Calibri"/>
                <w:sz w:val="16"/>
                <w:szCs w:val="16"/>
                <w:lang w:eastAsia="pl-PL"/>
              </w:rPr>
              <w:t>4 189 508</w:t>
            </w:r>
            <w:r w:rsidR="00B22D3C">
              <w:rPr>
                <w:rFonts w:eastAsia="Times New Roman" w:cs="Calibri"/>
                <w:sz w:val="16"/>
                <w:szCs w:val="16"/>
                <w:lang w:eastAsia="pl-PL"/>
              </w:rPr>
              <w:t>.</w:t>
            </w:r>
            <w:r w:rsidRPr="00F7496A">
              <w:rPr>
                <w:rFonts w:eastAsia="Times New Roman" w:cs="Calibri"/>
                <w:sz w:val="16"/>
                <w:szCs w:val="16"/>
                <w:lang w:eastAsia="pl-PL"/>
              </w:rPr>
              <w:t>0</w:t>
            </w:r>
          </w:p>
        </w:tc>
        <w:tc>
          <w:tcPr>
            <w:tcW w:w="992" w:type="dxa"/>
            <w:tcBorders>
              <w:top w:val="single" w:sz="4" w:space="0" w:color="001D77"/>
              <w:bottom w:val="single" w:sz="4" w:space="0" w:color="001D77"/>
            </w:tcBorders>
            <w:shd w:val="clear" w:color="auto" w:fill="auto"/>
            <w:noWrap/>
            <w:vAlign w:val="bottom"/>
            <w:hideMark/>
          </w:tcPr>
          <w:p w:rsidR="00F467CA" w:rsidRPr="00F7496A" w:rsidRDefault="00F467CA" w:rsidP="00E41DF8">
            <w:pPr>
              <w:spacing w:before="0" w:after="0"/>
              <w:jc w:val="right"/>
              <w:rPr>
                <w:rFonts w:eastAsia="Times New Roman" w:cs="Calibri"/>
                <w:sz w:val="16"/>
                <w:szCs w:val="16"/>
                <w:lang w:eastAsia="pl-PL"/>
              </w:rPr>
            </w:pPr>
            <w:r w:rsidRPr="00F7496A">
              <w:rPr>
                <w:rFonts w:eastAsia="Times New Roman" w:cs="Calibri"/>
                <w:sz w:val="16"/>
                <w:szCs w:val="16"/>
                <w:lang w:eastAsia="pl-PL"/>
              </w:rPr>
              <w:t>64</w:t>
            </w:r>
            <w:r w:rsidR="00B22D3C">
              <w:rPr>
                <w:rFonts w:eastAsia="Times New Roman" w:cs="Calibri"/>
                <w:sz w:val="16"/>
                <w:szCs w:val="16"/>
                <w:lang w:eastAsia="pl-PL"/>
              </w:rPr>
              <w:t>.</w:t>
            </w:r>
            <w:r w:rsidRPr="00F7496A">
              <w:rPr>
                <w:rFonts w:eastAsia="Times New Roman" w:cs="Calibri"/>
                <w:sz w:val="16"/>
                <w:szCs w:val="16"/>
                <w:lang w:eastAsia="pl-PL"/>
              </w:rPr>
              <w:t>7</w:t>
            </w:r>
          </w:p>
        </w:tc>
        <w:tc>
          <w:tcPr>
            <w:tcW w:w="2338" w:type="dxa"/>
            <w:tcBorders>
              <w:top w:val="single" w:sz="4" w:space="0" w:color="001D77"/>
              <w:bottom w:val="single" w:sz="4" w:space="0" w:color="001D77"/>
            </w:tcBorders>
            <w:shd w:val="clear" w:color="auto" w:fill="auto"/>
            <w:noWrap/>
            <w:vAlign w:val="bottom"/>
            <w:hideMark/>
          </w:tcPr>
          <w:p w:rsidR="00F467CA" w:rsidRPr="00F7496A" w:rsidRDefault="00F467CA" w:rsidP="00E41DF8">
            <w:pPr>
              <w:spacing w:before="0" w:after="0"/>
              <w:jc w:val="right"/>
              <w:rPr>
                <w:rFonts w:eastAsia="Times New Roman" w:cs="Calibri"/>
                <w:sz w:val="16"/>
                <w:szCs w:val="16"/>
                <w:lang w:eastAsia="pl-PL"/>
              </w:rPr>
            </w:pPr>
            <w:r w:rsidRPr="00F7496A">
              <w:rPr>
                <w:rFonts w:eastAsia="Times New Roman" w:cs="Calibri"/>
                <w:sz w:val="16"/>
                <w:szCs w:val="16"/>
                <w:lang w:eastAsia="pl-PL"/>
              </w:rPr>
              <w:t>10 728</w:t>
            </w:r>
          </w:p>
        </w:tc>
      </w:tr>
      <w:tr w:rsidR="00F467CA" w:rsidRPr="00F7496A" w:rsidTr="006B1C05">
        <w:trPr>
          <w:trHeight w:val="283"/>
        </w:trPr>
        <w:tc>
          <w:tcPr>
            <w:tcW w:w="3047" w:type="dxa"/>
            <w:tcBorders>
              <w:top w:val="single" w:sz="4" w:space="0" w:color="001D77"/>
              <w:bottom w:val="single" w:sz="4" w:space="0" w:color="001D77"/>
            </w:tcBorders>
            <w:shd w:val="clear" w:color="auto" w:fill="auto"/>
            <w:noWrap/>
            <w:vAlign w:val="bottom"/>
            <w:hideMark/>
          </w:tcPr>
          <w:p w:rsidR="00F467CA" w:rsidRPr="00F7496A" w:rsidRDefault="00D13A67" w:rsidP="00E41DF8">
            <w:pPr>
              <w:spacing w:before="0" w:after="0"/>
              <w:rPr>
                <w:rFonts w:eastAsia="Times New Roman" w:cs="Calibri"/>
                <w:sz w:val="16"/>
                <w:szCs w:val="16"/>
                <w:lang w:eastAsia="pl-PL"/>
              </w:rPr>
            </w:pPr>
            <w:r>
              <w:rPr>
                <w:rFonts w:eastAsia="Times New Roman" w:cs="Calibri"/>
                <w:sz w:val="16"/>
                <w:szCs w:val="16"/>
                <w:lang w:eastAsia="pl-PL"/>
              </w:rPr>
              <w:t>housing cooperatives</w:t>
            </w:r>
          </w:p>
        </w:tc>
        <w:tc>
          <w:tcPr>
            <w:tcW w:w="1134" w:type="dxa"/>
            <w:tcBorders>
              <w:top w:val="single" w:sz="4" w:space="0" w:color="001D77"/>
              <w:bottom w:val="single" w:sz="4" w:space="0" w:color="001D77"/>
            </w:tcBorders>
            <w:shd w:val="clear" w:color="auto" w:fill="auto"/>
            <w:noWrap/>
            <w:vAlign w:val="bottom"/>
            <w:hideMark/>
          </w:tcPr>
          <w:p w:rsidR="00F467CA" w:rsidRPr="00F7496A" w:rsidRDefault="00F467CA" w:rsidP="00E41DF8">
            <w:pPr>
              <w:spacing w:before="0" w:after="0"/>
              <w:jc w:val="right"/>
              <w:rPr>
                <w:rFonts w:eastAsia="Times New Roman" w:cs="Calibri"/>
                <w:sz w:val="16"/>
                <w:szCs w:val="16"/>
                <w:lang w:eastAsia="pl-PL"/>
              </w:rPr>
            </w:pPr>
            <w:r w:rsidRPr="00F7496A">
              <w:rPr>
                <w:rFonts w:eastAsia="Times New Roman" w:cs="Calibri"/>
                <w:sz w:val="16"/>
                <w:szCs w:val="16"/>
                <w:lang w:eastAsia="pl-PL"/>
              </w:rPr>
              <w:t>1 136 439</w:t>
            </w:r>
            <w:r w:rsidR="00B22D3C">
              <w:rPr>
                <w:rFonts w:eastAsia="Times New Roman" w:cs="Calibri"/>
                <w:sz w:val="16"/>
                <w:szCs w:val="16"/>
                <w:lang w:eastAsia="pl-PL"/>
              </w:rPr>
              <w:t>.</w:t>
            </w:r>
            <w:r w:rsidRPr="00F7496A">
              <w:rPr>
                <w:rFonts w:eastAsia="Times New Roman" w:cs="Calibri"/>
                <w:sz w:val="16"/>
                <w:szCs w:val="16"/>
                <w:lang w:eastAsia="pl-PL"/>
              </w:rPr>
              <w:t>5</w:t>
            </w:r>
          </w:p>
        </w:tc>
        <w:tc>
          <w:tcPr>
            <w:tcW w:w="992" w:type="dxa"/>
            <w:tcBorders>
              <w:top w:val="single" w:sz="4" w:space="0" w:color="001D77"/>
              <w:bottom w:val="single" w:sz="4" w:space="0" w:color="001D77"/>
            </w:tcBorders>
            <w:shd w:val="clear" w:color="auto" w:fill="auto"/>
            <w:noWrap/>
            <w:vAlign w:val="bottom"/>
            <w:hideMark/>
          </w:tcPr>
          <w:p w:rsidR="00F467CA" w:rsidRPr="00F7496A" w:rsidRDefault="00F467CA" w:rsidP="00E41DF8">
            <w:pPr>
              <w:spacing w:before="0" w:after="0"/>
              <w:jc w:val="right"/>
              <w:rPr>
                <w:rFonts w:eastAsia="Times New Roman" w:cs="Calibri"/>
                <w:sz w:val="16"/>
                <w:szCs w:val="16"/>
                <w:lang w:eastAsia="pl-PL"/>
              </w:rPr>
            </w:pPr>
            <w:r w:rsidRPr="00F7496A">
              <w:rPr>
                <w:rFonts w:eastAsia="Times New Roman" w:cs="Calibri"/>
                <w:sz w:val="16"/>
                <w:szCs w:val="16"/>
                <w:lang w:eastAsia="pl-PL"/>
              </w:rPr>
              <w:t>17</w:t>
            </w:r>
            <w:r w:rsidR="00B22D3C">
              <w:rPr>
                <w:rFonts w:eastAsia="Times New Roman" w:cs="Calibri"/>
                <w:sz w:val="16"/>
                <w:szCs w:val="16"/>
                <w:lang w:eastAsia="pl-PL"/>
              </w:rPr>
              <w:t>.</w:t>
            </w:r>
            <w:r w:rsidRPr="00F7496A">
              <w:rPr>
                <w:rFonts w:eastAsia="Times New Roman" w:cs="Calibri"/>
                <w:sz w:val="16"/>
                <w:szCs w:val="16"/>
                <w:lang w:eastAsia="pl-PL"/>
              </w:rPr>
              <w:t>6</w:t>
            </w:r>
          </w:p>
        </w:tc>
        <w:tc>
          <w:tcPr>
            <w:tcW w:w="2338" w:type="dxa"/>
            <w:tcBorders>
              <w:top w:val="single" w:sz="4" w:space="0" w:color="001D77"/>
              <w:bottom w:val="single" w:sz="4" w:space="0" w:color="001D77"/>
            </w:tcBorders>
            <w:shd w:val="clear" w:color="auto" w:fill="auto"/>
            <w:noWrap/>
            <w:vAlign w:val="bottom"/>
            <w:hideMark/>
          </w:tcPr>
          <w:p w:rsidR="00F467CA" w:rsidRPr="00F7496A" w:rsidRDefault="00F467CA" w:rsidP="00E41DF8">
            <w:pPr>
              <w:spacing w:before="0" w:after="0"/>
              <w:jc w:val="right"/>
              <w:rPr>
                <w:rFonts w:eastAsia="Times New Roman" w:cs="Calibri"/>
                <w:sz w:val="16"/>
                <w:szCs w:val="16"/>
                <w:lang w:eastAsia="pl-PL"/>
              </w:rPr>
            </w:pPr>
            <w:r w:rsidRPr="00F7496A">
              <w:rPr>
                <w:rFonts w:eastAsia="Times New Roman" w:cs="Calibri"/>
                <w:sz w:val="16"/>
                <w:szCs w:val="16"/>
                <w:lang w:eastAsia="pl-PL"/>
              </w:rPr>
              <w:t>1 210</w:t>
            </w:r>
          </w:p>
        </w:tc>
      </w:tr>
      <w:tr w:rsidR="00F467CA" w:rsidRPr="00F7496A" w:rsidTr="006B1C05">
        <w:trPr>
          <w:trHeight w:val="283"/>
        </w:trPr>
        <w:tc>
          <w:tcPr>
            <w:tcW w:w="3047" w:type="dxa"/>
            <w:tcBorders>
              <w:top w:val="single" w:sz="4" w:space="0" w:color="001D77"/>
              <w:bottom w:val="single" w:sz="4" w:space="0" w:color="001D77"/>
            </w:tcBorders>
            <w:shd w:val="clear" w:color="auto" w:fill="auto"/>
            <w:noWrap/>
            <w:vAlign w:val="bottom"/>
            <w:hideMark/>
          </w:tcPr>
          <w:p w:rsidR="00F467CA" w:rsidRPr="00F7496A" w:rsidRDefault="00D13A67" w:rsidP="00E41DF8">
            <w:pPr>
              <w:spacing w:before="0" w:after="0"/>
              <w:rPr>
                <w:rFonts w:eastAsia="Times New Roman" w:cs="Calibri"/>
                <w:sz w:val="16"/>
                <w:szCs w:val="16"/>
                <w:lang w:eastAsia="pl-PL"/>
              </w:rPr>
            </w:pPr>
            <w:r>
              <w:rPr>
                <w:rFonts w:eastAsia="Times New Roman" w:cs="Calibri"/>
                <w:sz w:val="16"/>
                <w:szCs w:val="16"/>
                <w:lang w:eastAsia="pl-PL"/>
              </w:rPr>
              <w:t>companies</w:t>
            </w:r>
          </w:p>
        </w:tc>
        <w:tc>
          <w:tcPr>
            <w:tcW w:w="1134" w:type="dxa"/>
            <w:tcBorders>
              <w:top w:val="single" w:sz="4" w:space="0" w:color="001D77"/>
              <w:bottom w:val="single" w:sz="4" w:space="0" w:color="001D77"/>
            </w:tcBorders>
            <w:shd w:val="clear" w:color="auto" w:fill="auto"/>
            <w:noWrap/>
            <w:vAlign w:val="bottom"/>
            <w:hideMark/>
          </w:tcPr>
          <w:p w:rsidR="00F467CA" w:rsidRPr="00F7496A" w:rsidRDefault="00F467CA" w:rsidP="0003779C">
            <w:pPr>
              <w:spacing w:before="0" w:after="0"/>
              <w:jc w:val="right"/>
              <w:rPr>
                <w:rFonts w:eastAsia="Times New Roman" w:cs="Calibri"/>
                <w:sz w:val="16"/>
                <w:szCs w:val="16"/>
                <w:lang w:eastAsia="pl-PL"/>
              </w:rPr>
            </w:pPr>
            <w:r w:rsidRPr="00F7496A">
              <w:rPr>
                <w:rFonts w:eastAsia="Times New Roman" w:cs="Calibri"/>
                <w:sz w:val="16"/>
                <w:szCs w:val="16"/>
                <w:lang w:eastAsia="pl-PL"/>
              </w:rPr>
              <w:t>209 614</w:t>
            </w:r>
            <w:r w:rsidR="00B22D3C">
              <w:rPr>
                <w:rFonts w:eastAsia="Times New Roman" w:cs="Calibri"/>
                <w:sz w:val="16"/>
                <w:szCs w:val="16"/>
                <w:lang w:eastAsia="pl-PL"/>
              </w:rPr>
              <w:t>.</w:t>
            </w:r>
            <w:r w:rsidRPr="00F7496A">
              <w:rPr>
                <w:rFonts w:eastAsia="Times New Roman" w:cs="Calibri"/>
                <w:sz w:val="16"/>
                <w:szCs w:val="16"/>
                <w:lang w:eastAsia="pl-PL"/>
              </w:rPr>
              <w:t>2</w:t>
            </w:r>
          </w:p>
        </w:tc>
        <w:tc>
          <w:tcPr>
            <w:tcW w:w="992" w:type="dxa"/>
            <w:tcBorders>
              <w:top w:val="single" w:sz="4" w:space="0" w:color="001D77"/>
              <w:bottom w:val="single" w:sz="4" w:space="0" w:color="001D77"/>
            </w:tcBorders>
            <w:shd w:val="clear" w:color="auto" w:fill="auto"/>
            <w:noWrap/>
            <w:vAlign w:val="bottom"/>
            <w:hideMark/>
          </w:tcPr>
          <w:p w:rsidR="00F467CA" w:rsidRPr="00F7496A" w:rsidRDefault="00F467CA" w:rsidP="00E41DF8">
            <w:pPr>
              <w:spacing w:before="0" w:after="0"/>
              <w:jc w:val="right"/>
              <w:rPr>
                <w:rFonts w:eastAsia="Times New Roman" w:cs="Calibri"/>
                <w:sz w:val="16"/>
                <w:szCs w:val="16"/>
                <w:lang w:eastAsia="pl-PL"/>
              </w:rPr>
            </w:pPr>
            <w:r w:rsidRPr="00F7496A">
              <w:rPr>
                <w:rFonts w:eastAsia="Times New Roman" w:cs="Calibri"/>
                <w:sz w:val="16"/>
                <w:szCs w:val="16"/>
                <w:lang w:eastAsia="pl-PL"/>
              </w:rPr>
              <w:t>3</w:t>
            </w:r>
            <w:r w:rsidR="00B22D3C">
              <w:rPr>
                <w:rFonts w:eastAsia="Times New Roman" w:cs="Calibri"/>
                <w:sz w:val="16"/>
                <w:szCs w:val="16"/>
                <w:lang w:eastAsia="pl-PL"/>
              </w:rPr>
              <w:t>.</w:t>
            </w:r>
            <w:r w:rsidRPr="00F7496A">
              <w:rPr>
                <w:rFonts w:eastAsia="Times New Roman" w:cs="Calibri"/>
                <w:sz w:val="16"/>
                <w:szCs w:val="16"/>
                <w:lang w:eastAsia="pl-PL"/>
              </w:rPr>
              <w:t>2</w:t>
            </w:r>
          </w:p>
        </w:tc>
        <w:tc>
          <w:tcPr>
            <w:tcW w:w="2338" w:type="dxa"/>
            <w:tcBorders>
              <w:top w:val="single" w:sz="4" w:space="0" w:color="001D77"/>
              <w:bottom w:val="single" w:sz="4" w:space="0" w:color="001D77"/>
            </w:tcBorders>
            <w:shd w:val="clear" w:color="auto" w:fill="auto"/>
            <w:noWrap/>
            <w:vAlign w:val="bottom"/>
            <w:hideMark/>
          </w:tcPr>
          <w:p w:rsidR="00F467CA" w:rsidRPr="00F7496A" w:rsidRDefault="00F467CA" w:rsidP="00E41DF8">
            <w:pPr>
              <w:spacing w:before="0" w:after="0"/>
              <w:jc w:val="right"/>
              <w:rPr>
                <w:rFonts w:eastAsia="Times New Roman" w:cs="Calibri"/>
                <w:sz w:val="16"/>
                <w:szCs w:val="16"/>
                <w:lang w:eastAsia="pl-PL"/>
              </w:rPr>
            </w:pPr>
            <w:r w:rsidRPr="00F7496A">
              <w:rPr>
                <w:rFonts w:eastAsia="Times New Roman" w:cs="Calibri"/>
                <w:sz w:val="16"/>
                <w:szCs w:val="16"/>
                <w:lang w:eastAsia="pl-PL"/>
              </w:rPr>
              <w:t>9 709</w:t>
            </w:r>
          </w:p>
        </w:tc>
      </w:tr>
      <w:tr w:rsidR="00F467CA" w:rsidRPr="00F7496A" w:rsidTr="006B1C05">
        <w:trPr>
          <w:trHeight w:val="283"/>
        </w:trPr>
        <w:tc>
          <w:tcPr>
            <w:tcW w:w="3047" w:type="dxa"/>
            <w:tcBorders>
              <w:top w:val="single" w:sz="4" w:space="0" w:color="001D77"/>
              <w:bottom w:val="single" w:sz="4" w:space="0" w:color="001D77"/>
            </w:tcBorders>
            <w:shd w:val="clear" w:color="auto" w:fill="auto"/>
            <w:noWrap/>
            <w:vAlign w:val="bottom"/>
            <w:hideMark/>
          </w:tcPr>
          <w:p w:rsidR="00F467CA" w:rsidRPr="00F7496A" w:rsidRDefault="00D13A67" w:rsidP="00E41DF8">
            <w:pPr>
              <w:spacing w:before="0" w:after="0"/>
              <w:rPr>
                <w:rFonts w:eastAsia="Times New Roman" w:cs="Calibri"/>
                <w:sz w:val="16"/>
                <w:szCs w:val="16"/>
                <w:lang w:eastAsia="pl-PL"/>
              </w:rPr>
            </w:pPr>
            <w:r>
              <w:rPr>
                <w:rFonts w:eastAsia="Times New Roman" w:cs="Calibri"/>
                <w:sz w:val="16"/>
                <w:szCs w:val="16"/>
                <w:lang w:eastAsia="pl-PL"/>
              </w:rPr>
              <w:t>State Treasury</w:t>
            </w:r>
          </w:p>
        </w:tc>
        <w:tc>
          <w:tcPr>
            <w:tcW w:w="1134" w:type="dxa"/>
            <w:tcBorders>
              <w:top w:val="single" w:sz="4" w:space="0" w:color="001D77"/>
              <w:bottom w:val="single" w:sz="4" w:space="0" w:color="001D77"/>
            </w:tcBorders>
            <w:shd w:val="clear" w:color="auto" w:fill="auto"/>
            <w:noWrap/>
            <w:vAlign w:val="bottom"/>
            <w:hideMark/>
          </w:tcPr>
          <w:p w:rsidR="00F467CA" w:rsidRPr="00F7496A" w:rsidRDefault="00F467CA" w:rsidP="00E41DF8">
            <w:pPr>
              <w:spacing w:before="0" w:after="0"/>
              <w:jc w:val="right"/>
              <w:rPr>
                <w:rFonts w:eastAsia="Times New Roman" w:cs="Calibri"/>
                <w:sz w:val="16"/>
                <w:szCs w:val="16"/>
                <w:lang w:eastAsia="pl-PL"/>
              </w:rPr>
            </w:pPr>
            <w:r w:rsidRPr="00F7496A">
              <w:rPr>
                <w:rFonts w:eastAsia="Times New Roman" w:cs="Calibri"/>
                <w:sz w:val="16"/>
                <w:szCs w:val="16"/>
                <w:lang w:eastAsia="pl-PL"/>
              </w:rPr>
              <w:t>61 799</w:t>
            </w:r>
            <w:r w:rsidR="00B22D3C">
              <w:rPr>
                <w:rFonts w:eastAsia="Times New Roman" w:cs="Calibri"/>
                <w:sz w:val="16"/>
                <w:szCs w:val="16"/>
                <w:lang w:eastAsia="pl-PL"/>
              </w:rPr>
              <w:t>.</w:t>
            </w:r>
            <w:r w:rsidRPr="00F7496A">
              <w:rPr>
                <w:rFonts w:eastAsia="Times New Roman" w:cs="Calibri"/>
                <w:sz w:val="16"/>
                <w:szCs w:val="16"/>
                <w:lang w:eastAsia="pl-PL"/>
              </w:rPr>
              <w:t>7</w:t>
            </w:r>
          </w:p>
        </w:tc>
        <w:tc>
          <w:tcPr>
            <w:tcW w:w="992" w:type="dxa"/>
            <w:tcBorders>
              <w:top w:val="single" w:sz="4" w:space="0" w:color="001D77"/>
              <w:bottom w:val="single" w:sz="4" w:space="0" w:color="001D77"/>
            </w:tcBorders>
            <w:shd w:val="clear" w:color="auto" w:fill="auto"/>
            <w:noWrap/>
            <w:vAlign w:val="bottom"/>
            <w:hideMark/>
          </w:tcPr>
          <w:p w:rsidR="00F467CA" w:rsidRPr="00F7496A" w:rsidRDefault="00F467CA" w:rsidP="00E41DF8">
            <w:pPr>
              <w:spacing w:before="0" w:after="0"/>
              <w:jc w:val="right"/>
              <w:rPr>
                <w:rFonts w:eastAsia="Times New Roman" w:cs="Calibri"/>
                <w:sz w:val="16"/>
                <w:szCs w:val="16"/>
                <w:lang w:eastAsia="pl-PL"/>
              </w:rPr>
            </w:pPr>
            <w:r w:rsidRPr="00F7496A">
              <w:rPr>
                <w:rFonts w:eastAsia="Times New Roman" w:cs="Calibri"/>
                <w:sz w:val="16"/>
                <w:szCs w:val="16"/>
                <w:lang w:eastAsia="pl-PL"/>
              </w:rPr>
              <w:t>1</w:t>
            </w:r>
            <w:r w:rsidR="00B22D3C">
              <w:rPr>
                <w:rFonts w:eastAsia="Times New Roman" w:cs="Calibri"/>
                <w:sz w:val="16"/>
                <w:szCs w:val="16"/>
                <w:lang w:eastAsia="pl-PL"/>
              </w:rPr>
              <w:t>.</w:t>
            </w:r>
            <w:r w:rsidRPr="00F7496A">
              <w:rPr>
                <w:rFonts w:eastAsia="Times New Roman" w:cs="Calibri"/>
                <w:sz w:val="16"/>
                <w:szCs w:val="16"/>
                <w:lang w:eastAsia="pl-PL"/>
              </w:rPr>
              <w:t>0</w:t>
            </w:r>
          </w:p>
        </w:tc>
        <w:tc>
          <w:tcPr>
            <w:tcW w:w="2338" w:type="dxa"/>
            <w:tcBorders>
              <w:top w:val="single" w:sz="4" w:space="0" w:color="001D77"/>
              <w:bottom w:val="single" w:sz="4" w:space="0" w:color="001D77"/>
            </w:tcBorders>
            <w:shd w:val="clear" w:color="auto" w:fill="auto"/>
            <w:noWrap/>
            <w:vAlign w:val="bottom"/>
            <w:hideMark/>
          </w:tcPr>
          <w:p w:rsidR="00F467CA" w:rsidRPr="00F7496A" w:rsidRDefault="00F467CA" w:rsidP="00E41DF8">
            <w:pPr>
              <w:spacing w:before="0" w:after="0"/>
              <w:jc w:val="right"/>
              <w:rPr>
                <w:rFonts w:eastAsia="Times New Roman" w:cs="Calibri"/>
                <w:sz w:val="16"/>
                <w:szCs w:val="16"/>
                <w:lang w:eastAsia="pl-PL"/>
              </w:rPr>
            </w:pPr>
            <w:r w:rsidRPr="00F7496A">
              <w:rPr>
                <w:rFonts w:eastAsia="Times New Roman" w:cs="Calibri"/>
                <w:sz w:val="16"/>
                <w:szCs w:val="16"/>
                <w:lang w:eastAsia="pl-PL"/>
              </w:rPr>
              <w:t>5 069</w:t>
            </w:r>
          </w:p>
        </w:tc>
      </w:tr>
      <w:tr w:rsidR="00F467CA" w:rsidRPr="00F7496A" w:rsidTr="006B1C05">
        <w:trPr>
          <w:trHeight w:val="283"/>
        </w:trPr>
        <w:tc>
          <w:tcPr>
            <w:tcW w:w="3047" w:type="dxa"/>
            <w:tcBorders>
              <w:top w:val="single" w:sz="4" w:space="0" w:color="001D77"/>
              <w:bottom w:val="single" w:sz="4" w:space="0" w:color="001D77"/>
            </w:tcBorders>
            <w:shd w:val="clear" w:color="auto" w:fill="auto"/>
            <w:noWrap/>
            <w:vAlign w:val="bottom"/>
            <w:hideMark/>
          </w:tcPr>
          <w:p w:rsidR="00F467CA" w:rsidRPr="00F7496A" w:rsidRDefault="00D13A67" w:rsidP="006B1C05">
            <w:pPr>
              <w:spacing w:before="0" w:after="0"/>
              <w:rPr>
                <w:rFonts w:eastAsia="Times New Roman" w:cs="Calibri"/>
                <w:sz w:val="16"/>
                <w:szCs w:val="16"/>
                <w:lang w:eastAsia="pl-PL"/>
              </w:rPr>
            </w:pPr>
            <w:r w:rsidRPr="00D13A67">
              <w:rPr>
                <w:rFonts w:eastAsia="Times New Roman" w:cs="Calibri"/>
                <w:sz w:val="16"/>
                <w:szCs w:val="16"/>
                <w:lang w:eastAsia="pl-PL"/>
              </w:rPr>
              <w:t>public building societies</w:t>
            </w:r>
          </w:p>
        </w:tc>
        <w:tc>
          <w:tcPr>
            <w:tcW w:w="1134" w:type="dxa"/>
            <w:tcBorders>
              <w:top w:val="single" w:sz="4" w:space="0" w:color="001D77"/>
              <w:bottom w:val="single" w:sz="4" w:space="0" w:color="001D77"/>
            </w:tcBorders>
            <w:shd w:val="clear" w:color="auto" w:fill="auto"/>
            <w:noWrap/>
            <w:vAlign w:val="bottom"/>
            <w:hideMark/>
          </w:tcPr>
          <w:p w:rsidR="00F467CA" w:rsidRPr="00F7496A" w:rsidRDefault="00F467CA" w:rsidP="00E41DF8">
            <w:pPr>
              <w:spacing w:before="0" w:after="0"/>
              <w:jc w:val="right"/>
              <w:rPr>
                <w:rFonts w:eastAsia="Times New Roman" w:cs="Calibri"/>
                <w:sz w:val="16"/>
                <w:szCs w:val="16"/>
                <w:lang w:eastAsia="pl-PL"/>
              </w:rPr>
            </w:pPr>
            <w:r w:rsidRPr="00F7496A">
              <w:rPr>
                <w:rFonts w:eastAsia="Times New Roman" w:cs="Calibri"/>
                <w:sz w:val="16"/>
                <w:szCs w:val="16"/>
                <w:lang w:eastAsia="pl-PL"/>
              </w:rPr>
              <w:t>59 738</w:t>
            </w:r>
            <w:r w:rsidR="00B22D3C">
              <w:rPr>
                <w:rFonts w:eastAsia="Times New Roman" w:cs="Calibri"/>
                <w:sz w:val="16"/>
                <w:szCs w:val="16"/>
                <w:lang w:eastAsia="pl-PL"/>
              </w:rPr>
              <w:t>.</w:t>
            </w:r>
            <w:r w:rsidRPr="00F7496A">
              <w:rPr>
                <w:rFonts w:eastAsia="Times New Roman" w:cs="Calibri"/>
                <w:sz w:val="16"/>
                <w:szCs w:val="16"/>
                <w:lang w:eastAsia="pl-PL"/>
              </w:rPr>
              <w:t>9</w:t>
            </w:r>
          </w:p>
        </w:tc>
        <w:tc>
          <w:tcPr>
            <w:tcW w:w="992" w:type="dxa"/>
            <w:tcBorders>
              <w:top w:val="single" w:sz="4" w:space="0" w:color="001D77"/>
              <w:bottom w:val="single" w:sz="4" w:space="0" w:color="001D77"/>
            </w:tcBorders>
            <w:shd w:val="clear" w:color="auto" w:fill="auto"/>
            <w:noWrap/>
            <w:vAlign w:val="bottom"/>
            <w:hideMark/>
          </w:tcPr>
          <w:p w:rsidR="00F467CA" w:rsidRPr="00F7496A" w:rsidRDefault="00F467CA" w:rsidP="00E41DF8">
            <w:pPr>
              <w:spacing w:before="0" w:after="0"/>
              <w:jc w:val="right"/>
              <w:rPr>
                <w:rFonts w:eastAsia="Times New Roman" w:cs="Calibri"/>
                <w:sz w:val="16"/>
                <w:szCs w:val="16"/>
                <w:lang w:eastAsia="pl-PL"/>
              </w:rPr>
            </w:pPr>
            <w:r w:rsidRPr="00F7496A">
              <w:rPr>
                <w:rFonts w:eastAsia="Times New Roman" w:cs="Calibri"/>
                <w:sz w:val="16"/>
                <w:szCs w:val="16"/>
                <w:lang w:eastAsia="pl-PL"/>
              </w:rPr>
              <w:t>0</w:t>
            </w:r>
            <w:r w:rsidR="00B22D3C">
              <w:rPr>
                <w:rFonts w:eastAsia="Times New Roman" w:cs="Calibri"/>
                <w:sz w:val="16"/>
                <w:szCs w:val="16"/>
                <w:lang w:eastAsia="pl-PL"/>
              </w:rPr>
              <w:t>.</w:t>
            </w:r>
            <w:r w:rsidRPr="00F7496A">
              <w:rPr>
                <w:rFonts w:eastAsia="Times New Roman" w:cs="Calibri"/>
                <w:sz w:val="16"/>
                <w:szCs w:val="16"/>
                <w:lang w:eastAsia="pl-PL"/>
              </w:rPr>
              <w:t>9</w:t>
            </w:r>
          </w:p>
        </w:tc>
        <w:tc>
          <w:tcPr>
            <w:tcW w:w="2338" w:type="dxa"/>
            <w:tcBorders>
              <w:top w:val="single" w:sz="4" w:space="0" w:color="001D77"/>
              <w:bottom w:val="single" w:sz="4" w:space="0" w:color="001D77"/>
            </w:tcBorders>
            <w:shd w:val="clear" w:color="auto" w:fill="auto"/>
            <w:noWrap/>
            <w:vAlign w:val="bottom"/>
            <w:hideMark/>
          </w:tcPr>
          <w:p w:rsidR="00F467CA" w:rsidRPr="00F7496A" w:rsidRDefault="00F467CA" w:rsidP="00E41DF8">
            <w:pPr>
              <w:spacing w:before="0" w:after="0"/>
              <w:jc w:val="right"/>
              <w:rPr>
                <w:rFonts w:eastAsia="Times New Roman" w:cs="Calibri"/>
                <w:sz w:val="16"/>
                <w:szCs w:val="16"/>
                <w:lang w:eastAsia="pl-PL"/>
              </w:rPr>
            </w:pPr>
            <w:r w:rsidRPr="00F7496A">
              <w:rPr>
                <w:rFonts w:eastAsia="Times New Roman" w:cs="Calibri"/>
                <w:sz w:val="16"/>
                <w:szCs w:val="16"/>
                <w:lang w:eastAsia="pl-PL"/>
              </w:rPr>
              <w:t>2 392</w:t>
            </w:r>
          </w:p>
        </w:tc>
      </w:tr>
      <w:tr w:rsidR="00F467CA" w:rsidRPr="00F7496A" w:rsidTr="006B1C05">
        <w:trPr>
          <w:trHeight w:val="283"/>
        </w:trPr>
        <w:tc>
          <w:tcPr>
            <w:tcW w:w="3047" w:type="dxa"/>
            <w:tcBorders>
              <w:top w:val="single" w:sz="4" w:space="0" w:color="001D77"/>
              <w:bottom w:val="single" w:sz="4" w:space="0" w:color="001D77"/>
            </w:tcBorders>
            <w:shd w:val="clear" w:color="auto" w:fill="auto"/>
            <w:vAlign w:val="bottom"/>
            <w:hideMark/>
          </w:tcPr>
          <w:p w:rsidR="00F467CA" w:rsidRPr="00281994" w:rsidRDefault="00D13A67" w:rsidP="00D13A67">
            <w:pPr>
              <w:spacing w:before="0" w:after="0"/>
              <w:rPr>
                <w:rFonts w:eastAsia="Times New Roman" w:cs="Calibri"/>
                <w:sz w:val="16"/>
                <w:szCs w:val="16"/>
                <w:lang w:val="en-GB" w:eastAsia="pl-PL"/>
              </w:rPr>
            </w:pPr>
            <w:r w:rsidRPr="00281994">
              <w:rPr>
                <w:rFonts w:eastAsia="Times New Roman" w:cs="Calibri"/>
                <w:sz w:val="16"/>
                <w:szCs w:val="16"/>
                <w:lang w:val="en-GB" w:eastAsia="pl-PL"/>
              </w:rPr>
              <w:t>natural persons in buildings covered by housing condominiums</w:t>
            </w:r>
          </w:p>
        </w:tc>
        <w:tc>
          <w:tcPr>
            <w:tcW w:w="1134" w:type="dxa"/>
            <w:tcBorders>
              <w:top w:val="single" w:sz="4" w:space="0" w:color="001D77"/>
              <w:bottom w:val="single" w:sz="4" w:space="0" w:color="001D77"/>
            </w:tcBorders>
            <w:shd w:val="clear" w:color="auto" w:fill="auto"/>
            <w:noWrap/>
            <w:vAlign w:val="bottom"/>
            <w:hideMark/>
          </w:tcPr>
          <w:p w:rsidR="00F467CA" w:rsidRPr="00F7496A" w:rsidRDefault="00F467CA" w:rsidP="00E41DF8">
            <w:pPr>
              <w:spacing w:before="0" w:after="0"/>
              <w:jc w:val="right"/>
              <w:rPr>
                <w:rFonts w:eastAsia="Times New Roman" w:cs="Calibri"/>
                <w:sz w:val="16"/>
                <w:szCs w:val="16"/>
                <w:lang w:eastAsia="pl-PL"/>
              </w:rPr>
            </w:pPr>
            <w:r w:rsidRPr="00F7496A">
              <w:rPr>
                <w:rFonts w:eastAsia="Times New Roman" w:cs="Calibri"/>
                <w:sz w:val="16"/>
                <w:szCs w:val="16"/>
                <w:lang w:eastAsia="pl-PL"/>
              </w:rPr>
              <w:t>797 406</w:t>
            </w:r>
            <w:r w:rsidR="00B22D3C">
              <w:rPr>
                <w:rFonts w:eastAsia="Times New Roman" w:cs="Calibri"/>
                <w:sz w:val="16"/>
                <w:szCs w:val="16"/>
                <w:lang w:eastAsia="pl-PL"/>
              </w:rPr>
              <w:t>.</w:t>
            </w:r>
            <w:r w:rsidRPr="00F7496A">
              <w:rPr>
                <w:rFonts w:eastAsia="Times New Roman" w:cs="Calibri"/>
                <w:sz w:val="16"/>
                <w:szCs w:val="16"/>
                <w:lang w:eastAsia="pl-PL"/>
              </w:rPr>
              <w:t>9</w:t>
            </w:r>
          </w:p>
        </w:tc>
        <w:tc>
          <w:tcPr>
            <w:tcW w:w="992" w:type="dxa"/>
            <w:tcBorders>
              <w:top w:val="single" w:sz="4" w:space="0" w:color="001D77"/>
              <w:bottom w:val="single" w:sz="4" w:space="0" w:color="001D77"/>
            </w:tcBorders>
            <w:shd w:val="clear" w:color="auto" w:fill="auto"/>
            <w:noWrap/>
            <w:vAlign w:val="bottom"/>
            <w:hideMark/>
          </w:tcPr>
          <w:p w:rsidR="00F467CA" w:rsidRPr="00F7496A" w:rsidRDefault="00F467CA" w:rsidP="00E41DF8">
            <w:pPr>
              <w:spacing w:before="0" w:after="0"/>
              <w:jc w:val="right"/>
              <w:rPr>
                <w:rFonts w:eastAsia="Times New Roman" w:cs="Calibri"/>
                <w:sz w:val="16"/>
                <w:szCs w:val="16"/>
                <w:lang w:eastAsia="pl-PL"/>
              </w:rPr>
            </w:pPr>
            <w:r w:rsidRPr="00F7496A">
              <w:rPr>
                <w:rFonts w:eastAsia="Times New Roman" w:cs="Calibri"/>
                <w:sz w:val="16"/>
                <w:szCs w:val="16"/>
                <w:lang w:eastAsia="pl-PL"/>
              </w:rPr>
              <w:t>12</w:t>
            </w:r>
            <w:r w:rsidR="00B22D3C">
              <w:rPr>
                <w:rFonts w:eastAsia="Times New Roman" w:cs="Calibri"/>
                <w:sz w:val="16"/>
                <w:szCs w:val="16"/>
                <w:lang w:eastAsia="pl-PL"/>
              </w:rPr>
              <w:t>.</w:t>
            </w:r>
            <w:r w:rsidRPr="00F7496A">
              <w:rPr>
                <w:rFonts w:eastAsia="Times New Roman" w:cs="Calibri"/>
                <w:sz w:val="16"/>
                <w:szCs w:val="16"/>
                <w:lang w:eastAsia="pl-PL"/>
              </w:rPr>
              <w:t>3</w:t>
            </w:r>
          </w:p>
        </w:tc>
        <w:tc>
          <w:tcPr>
            <w:tcW w:w="2338" w:type="dxa"/>
            <w:tcBorders>
              <w:top w:val="single" w:sz="4" w:space="0" w:color="001D77"/>
              <w:bottom w:val="single" w:sz="4" w:space="0" w:color="001D77"/>
            </w:tcBorders>
            <w:shd w:val="clear" w:color="auto" w:fill="auto"/>
            <w:noWrap/>
            <w:vAlign w:val="bottom"/>
            <w:hideMark/>
          </w:tcPr>
          <w:p w:rsidR="00F467CA" w:rsidRPr="00F7496A" w:rsidRDefault="00F467CA" w:rsidP="00E41DF8">
            <w:pPr>
              <w:spacing w:before="0" w:after="0"/>
              <w:jc w:val="right"/>
              <w:rPr>
                <w:rFonts w:eastAsia="Times New Roman" w:cs="Calibri"/>
                <w:sz w:val="16"/>
                <w:szCs w:val="16"/>
                <w:lang w:eastAsia="pl-PL"/>
              </w:rPr>
            </w:pPr>
            <w:r w:rsidRPr="00F7496A">
              <w:rPr>
                <w:rFonts w:eastAsia="Times New Roman" w:cs="Calibri"/>
                <w:sz w:val="16"/>
                <w:szCs w:val="16"/>
                <w:lang w:eastAsia="pl-PL"/>
              </w:rPr>
              <w:t>1 564</w:t>
            </w:r>
          </w:p>
        </w:tc>
      </w:tr>
      <w:tr w:rsidR="00F467CA" w:rsidRPr="00F7496A" w:rsidTr="006B1C05">
        <w:trPr>
          <w:trHeight w:val="283"/>
        </w:trPr>
        <w:tc>
          <w:tcPr>
            <w:tcW w:w="3047" w:type="dxa"/>
            <w:tcBorders>
              <w:top w:val="single" w:sz="4" w:space="0" w:color="001D77"/>
            </w:tcBorders>
            <w:shd w:val="clear" w:color="auto" w:fill="auto"/>
            <w:noWrap/>
            <w:vAlign w:val="bottom"/>
            <w:hideMark/>
          </w:tcPr>
          <w:p w:rsidR="00F467CA" w:rsidRPr="00F7496A" w:rsidRDefault="00AE79E0" w:rsidP="00E41DF8">
            <w:pPr>
              <w:spacing w:before="0" w:after="0"/>
              <w:rPr>
                <w:rFonts w:eastAsia="Times New Roman" w:cs="Calibri"/>
                <w:sz w:val="16"/>
                <w:szCs w:val="16"/>
                <w:lang w:eastAsia="pl-PL"/>
              </w:rPr>
            </w:pPr>
            <w:r>
              <w:rPr>
                <w:rFonts w:eastAsia="Times New Roman" w:cs="Calibri"/>
                <w:sz w:val="16"/>
                <w:szCs w:val="16"/>
                <w:lang w:eastAsia="pl-PL"/>
              </w:rPr>
              <w:t>o</w:t>
            </w:r>
            <w:r w:rsidR="00D13A67">
              <w:rPr>
                <w:rFonts w:eastAsia="Times New Roman" w:cs="Calibri"/>
                <w:sz w:val="16"/>
                <w:szCs w:val="16"/>
                <w:lang w:eastAsia="pl-PL"/>
              </w:rPr>
              <w:t>ther entites</w:t>
            </w:r>
          </w:p>
        </w:tc>
        <w:tc>
          <w:tcPr>
            <w:tcW w:w="1134" w:type="dxa"/>
            <w:tcBorders>
              <w:top w:val="single" w:sz="4" w:space="0" w:color="001D77"/>
            </w:tcBorders>
            <w:shd w:val="clear" w:color="auto" w:fill="auto"/>
            <w:noWrap/>
            <w:vAlign w:val="bottom"/>
            <w:hideMark/>
          </w:tcPr>
          <w:p w:rsidR="00F467CA" w:rsidRPr="00F7496A" w:rsidRDefault="00F467CA" w:rsidP="00E41DF8">
            <w:pPr>
              <w:spacing w:before="0" w:after="0"/>
              <w:jc w:val="right"/>
              <w:rPr>
                <w:rFonts w:eastAsia="Times New Roman" w:cs="Calibri"/>
                <w:sz w:val="16"/>
                <w:szCs w:val="16"/>
                <w:lang w:eastAsia="pl-PL"/>
              </w:rPr>
            </w:pPr>
            <w:r w:rsidRPr="00F7496A">
              <w:rPr>
                <w:rFonts w:eastAsia="Times New Roman" w:cs="Calibri"/>
                <w:sz w:val="16"/>
                <w:szCs w:val="16"/>
                <w:lang w:eastAsia="pl-PL"/>
              </w:rPr>
              <w:t>16 98</w:t>
            </w:r>
            <w:r>
              <w:rPr>
                <w:rFonts w:eastAsia="Times New Roman" w:cs="Calibri"/>
                <w:sz w:val="16"/>
                <w:szCs w:val="16"/>
                <w:lang w:eastAsia="pl-PL"/>
              </w:rPr>
              <w:t>6</w:t>
            </w:r>
            <w:r w:rsidR="00B22D3C">
              <w:rPr>
                <w:rFonts w:eastAsia="Times New Roman" w:cs="Calibri"/>
                <w:sz w:val="16"/>
                <w:szCs w:val="16"/>
                <w:lang w:eastAsia="pl-PL"/>
              </w:rPr>
              <w:t>.</w:t>
            </w:r>
            <w:r w:rsidRPr="00F7496A">
              <w:rPr>
                <w:rFonts w:eastAsia="Times New Roman" w:cs="Calibri"/>
                <w:sz w:val="16"/>
                <w:szCs w:val="16"/>
                <w:lang w:eastAsia="pl-PL"/>
              </w:rPr>
              <w:t>3</w:t>
            </w:r>
          </w:p>
        </w:tc>
        <w:tc>
          <w:tcPr>
            <w:tcW w:w="992" w:type="dxa"/>
            <w:tcBorders>
              <w:top w:val="single" w:sz="4" w:space="0" w:color="001D77"/>
            </w:tcBorders>
            <w:shd w:val="clear" w:color="auto" w:fill="auto"/>
            <w:noWrap/>
            <w:vAlign w:val="bottom"/>
            <w:hideMark/>
          </w:tcPr>
          <w:p w:rsidR="00F467CA" w:rsidRPr="00F7496A" w:rsidRDefault="00F467CA" w:rsidP="00E41DF8">
            <w:pPr>
              <w:spacing w:before="0" w:after="0"/>
              <w:jc w:val="right"/>
              <w:rPr>
                <w:rFonts w:eastAsia="Times New Roman" w:cs="Calibri"/>
                <w:sz w:val="16"/>
                <w:szCs w:val="16"/>
                <w:lang w:eastAsia="pl-PL"/>
              </w:rPr>
            </w:pPr>
            <w:r w:rsidRPr="00F7496A">
              <w:rPr>
                <w:rFonts w:eastAsia="Times New Roman" w:cs="Calibri"/>
                <w:sz w:val="16"/>
                <w:szCs w:val="16"/>
                <w:lang w:eastAsia="pl-PL"/>
              </w:rPr>
              <w:t>0</w:t>
            </w:r>
            <w:r w:rsidR="00B22D3C">
              <w:rPr>
                <w:rFonts w:eastAsia="Times New Roman" w:cs="Calibri"/>
                <w:sz w:val="16"/>
                <w:szCs w:val="16"/>
                <w:lang w:eastAsia="pl-PL"/>
              </w:rPr>
              <w:t>.</w:t>
            </w:r>
            <w:r w:rsidRPr="00F7496A">
              <w:rPr>
                <w:rFonts w:eastAsia="Times New Roman" w:cs="Calibri"/>
                <w:sz w:val="16"/>
                <w:szCs w:val="16"/>
                <w:lang w:eastAsia="pl-PL"/>
              </w:rPr>
              <w:t>3</w:t>
            </w:r>
          </w:p>
        </w:tc>
        <w:tc>
          <w:tcPr>
            <w:tcW w:w="2338" w:type="dxa"/>
            <w:tcBorders>
              <w:top w:val="single" w:sz="4" w:space="0" w:color="001D77"/>
            </w:tcBorders>
            <w:shd w:val="clear" w:color="auto" w:fill="auto"/>
            <w:noWrap/>
            <w:vAlign w:val="bottom"/>
            <w:hideMark/>
          </w:tcPr>
          <w:p w:rsidR="00F467CA" w:rsidRPr="00F7496A" w:rsidRDefault="00F467CA" w:rsidP="00E41DF8">
            <w:pPr>
              <w:spacing w:before="0" w:after="0"/>
              <w:jc w:val="right"/>
              <w:rPr>
                <w:rFonts w:eastAsia="Times New Roman" w:cs="Calibri"/>
                <w:sz w:val="16"/>
                <w:szCs w:val="16"/>
                <w:lang w:eastAsia="pl-PL"/>
              </w:rPr>
            </w:pPr>
            <w:r w:rsidRPr="00F7496A">
              <w:rPr>
                <w:rFonts w:eastAsia="Times New Roman" w:cs="Calibri"/>
                <w:sz w:val="16"/>
                <w:szCs w:val="16"/>
                <w:lang w:eastAsia="pl-PL"/>
              </w:rPr>
              <w:t>13 117</w:t>
            </w:r>
          </w:p>
        </w:tc>
      </w:tr>
    </w:tbl>
    <w:p w:rsidR="00E41DF8" w:rsidRPr="00281994" w:rsidRDefault="00E41DF8" w:rsidP="00E41DF8">
      <w:pPr>
        <w:spacing w:after="0"/>
        <w:rPr>
          <w:shd w:val="clear" w:color="auto" w:fill="FFFFFF"/>
          <w:lang w:val="en-GB"/>
        </w:rPr>
      </w:pPr>
      <w:r w:rsidRPr="00281994">
        <w:rPr>
          <w:shd w:val="clear" w:color="auto" w:fill="FFFFFF"/>
          <w:lang w:val="en-GB"/>
        </w:rPr>
        <w:lastRenderedPageBreak/>
        <w:t>The largest share in the total amount of arrears had tenants of dwellings in gmina stock – 64.7</w:t>
      </w:r>
      <w:r w:rsidR="00DC418F" w:rsidRPr="00281994">
        <w:rPr>
          <w:shd w:val="clear" w:color="auto" w:fill="FFFFFF"/>
          <w:lang w:val="en-GB"/>
        </w:rPr>
        <w:t> </w:t>
      </w:r>
      <w:r w:rsidRPr="00281994">
        <w:rPr>
          <w:shd w:val="clear" w:color="auto" w:fill="FFFFFF"/>
          <w:lang w:val="en-GB"/>
        </w:rPr>
        <w:t>% and housing cooperatives – 17.6</w:t>
      </w:r>
      <w:r w:rsidR="00DC418F" w:rsidRPr="00281994">
        <w:rPr>
          <w:shd w:val="clear" w:color="auto" w:fill="FFFFFF"/>
          <w:lang w:val="en-GB"/>
        </w:rPr>
        <w:t> </w:t>
      </w:r>
      <w:r w:rsidRPr="00281994">
        <w:rPr>
          <w:shd w:val="clear" w:color="auto" w:fill="FFFFFF"/>
          <w:lang w:val="en-GB"/>
        </w:rPr>
        <w:t xml:space="preserve">%. As per dwellings, which tenants are in arrears, the largest non-payment was recorded for dwellings in stocks of other entities – PLN 13.1 </w:t>
      </w:r>
      <w:r w:rsidR="00DA707B" w:rsidRPr="00281994">
        <w:rPr>
          <w:shd w:val="clear" w:color="auto" w:fill="FFFFFF"/>
          <w:lang w:val="en-GB"/>
        </w:rPr>
        <w:t>thousand</w:t>
      </w:r>
      <w:r w:rsidRPr="00281994">
        <w:rPr>
          <w:shd w:val="clear" w:color="auto" w:fill="FFFFFF"/>
          <w:lang w:val="en-GB"/>
        </w:rPr>
        <w:t xml:space="preserve"> and dwellings in gmina stocks – PLN 10.7 </w:t>
      </w:r>
      <w:r w:rsidR="00DA707B" w:rsidRPr="00281994">
        <w:rPr>
          <w:shd w:val="clear" w:color="auto" w:fill="FFFFFF"/>
          <w:lang w:val="en-GB"/>
        </w:rPr>
        <w:t>thousand</w:t>
      </w:r>
      <w:r w:rsidR="00DC418F" w:rsidRPr="00281994">
        <w:rPr>
          <w:shd w:val="clear" w:color="auto" w:fill="FFFFFF"/>
          <w:lang w:val="en-GB"/>
        </w:rPr>
        <w:t>.</w:t>
      </w:r>
      <w:r w:rsidRPr="00281994">
        <w:rPr>
          <w:shd w:val="clear" w:color="auto" w:fill="FFFFFF"/>
          <w:lang w:val="en-GB"/>
        </w:rPr>
        <w:t xml:space="preserve"> On average, the lowest arrears for 1 dwelling </w:t>
      </w:r>
      <w:r w:rsidR="00E84AB6">
        <w:rPr>
          <w:shd w:val="clear" w:color="auto" w:fill="FFFFFF"/>
          <w:lang w:val="en-GB"/>
        </w:rPr>
        <w:t>fell</w:t>
      </w:r>
      <w:r w:rsidRPr="00281994">
        <w:rPr>
          <w:shd w:val="clear" w:color="auto" w:fill="FFFFFF"/>
          <w:lang w:val="en-GB"/>
        </w:rPr>
        <w:t xml:space="preserve"> to the stocks owned by housing cooperatives </w:t>
      </w:r>
      <w:r w:rsidR="00890023" w:rsidRPr="00281994">
        <w:rPr>
          <w:shd w:val="clear" w:color="auto" w:fill="FFFFFF"/>
          <w:lang w:val="en-GB"/>
        </w:rPr>
        <w:t>–</w:t>
      </w:r>
      <w:r w:rsidRPr="00281994">
        <w:rPr>
          <w:shd w:val="clear" w:color="auto" w:fill="FFFFFF"/>
          <w:lang w:val="en-GB"/>
        </w:rPr>
        <w:t xml:space="preserve"> PLN 1.2 </w:t>
      </w:r>
      <w:r w:rsidR="00DA707B" w:rsidRPr="00281994">
        <w:rPr>
          <w:shd w:val="clear" w:color="auto" w:fill="FFFFFF"/>
          <w:lang w:val="en-GB"/>
        </w:rPr>
        <w:t>thousand</w:t>
      </w:r>
      <w:r w:rsidRPr="00281994">
        <w:rPr>
          <w:shd w:val="clear" w:color="auto" w:fill="FFFFFF"/>
          <w:lang w:val="en-GB"/>
        </w:rPr>
        <w:t xml:space="preserve"> and stocks of natural persons in buildings under condominiums </w:t>
      </w:r>
      <w:r w:rsidR="00890023" w:rsidRPr="00281994">
        <w:rPr>
          <w:shd w:val="clear" w:color="auto" w:fill="FFFFFF"/>
          <w:lang w:val="en-GB"/>
        </w:rPr>
        <w:t>–</w:t>
      </w:r>
      <w:r w:rsidRPr="00281994">
        <w:rPr>
          <w:shd w:val="clear" w:color="auto" w:fill="FFFFFF"/>
          <w:lang w:val="en-GB"/>
        </w:rPr>
        <w:t xml:space="preserve"> PLN 1.6 </w:t>
      </w:r>
      <w:r w:rsidR="00DA707B" w:rsidRPr="00281994">
        <w:rPr>
          <w:shd w:val="clear" w:color="auto" w:fill="FFFFFF"/>
          <w:lang w:val="en-GB"/>
        </w:rPr>
        <w:t>thousand</w:t>
      </w:r>
      <w:r w:rsidR="00890023" w:rsidRPr="00281994">
        <w:rPr>
          <w:shd w:val="clear" w:color="auto" w:fill="FFFFFF"/>
          <w:lang w:val="en-GB"/>
        </w:rPr>
        <w:t>.</w:t>
      </w:r>
    </w:p>
    <w:p w:rsidR="00DB30AB" w:rsidRPr="00281994" w:rsidRDefault="00DB30AB" w:rsidP="00E41DF8">
      <w:pPr>
        <w:spacing w:after="0"/>
        <w:rPr>
          <w:shd w:val="clear" w:color="auto" w:fill="FFFFFF"/>
          <w:lang w:val="en-GB"/>
        </w:rPr>
      </w:pPr>
    </w:p>
    <w:p w:rsidR="00DB30AB" w:rsidRPr="00281994" w:rsidRDefault="00890023" w:rsidP="00DD60ED">
      <w:pPr>
        <w:spacing w:after="0"/>
        <w:rPr>
          <w:rFonts w:ascii="Fira Sans SemiBold" w:eastAsia="Times New Roman" w:hAnsi="Fira Sans SemiBold" w:cs="Times New Roman"/>
          <w:bCs/>
          <w:color w:val="001D77"/>
          <w:szCs w:val="24"/>
          <w:lang w:val="en-GB" w:eastAsia="pl-PL"/>
        </w:rPr>
      </w:pPr>
      <w:r w:rsidRPr="00281994">
        <w:rPr>
          <w:rFonts w:ascii="Fira Sans SemiBold" w:eastAsia="Times New Roman" w:hAnsi="Fira Sans SemiBold" w:cs="Times New Roman"/>
          <w:bCs/>
          <w:color w:val="001D77"/>
          <w:szCs w:val="24"/>
          <w:lang w:val="en-GB" w:eastAsia="pl-PL"/>
        </w:rPr>
        <w:t>Eviction proceedings</w:t>
      </w:r>
    </w:p>
    <w:p w:rsidR="00E41DF8" w:rsidRPr="00281994" w:rsidRDefault="006573DE" w:rsidP="00DD60ED">
      <w:pPr>
        <w:spacing w:after="0"/>
        <w:rPr>
          <w:shd w:val="clear" w:color="auto" w:fill="FFFFFF"/>
          <w:lang w:val="en-GB"/>
        </w:rPr>
      </w:pPr>
      <w:r w:rsidRPr="0097136B">
        <w:rPr>
          <w:noProof/>
          <w:color w:val="FF0000"/>
          <w:spacing w:val="-2"/>
          <w:sz w:val="32"/>
          <w:szCs w:val="32"/>
          <w:lang w:eastAsia="pl-PL"/>
        </w:rPr>
        <mc:AlternateContent>
          <mc:Choice Requires="wps">
            <w:drawing>
              <wp:anchor distT="45720" distB="45720" distL="114300" distR="114300" simplePos="0" relativeHeight="251645952" behindDoc="1" locked="0" layoutInCell="1" allowOverlap="1" wp14:anchorId="27590FBD" wp14:editId="1EBD85CD">
                <wp:simplePos x="0" y="0"/>
                <wp:positionH relativeFrom="rightMargin">
                  <wp:posOffset>125095</wp:posOffset>
                </wp:positionH>
                <wp:positionV relativeFrom="paragraph">
                  <wp:posOffset>162560</wp:posOffset>
                </wp:positionV>
                <wp:extent cx="1666875" cy="1245235"/>
                <wp:effectExtent l="0" t="0" r="0" b="0"/>
                <wp:wrapTight wrapText="bothSides">
                  <wp:wrapPolygon edited="0">
                    <wp:start x="741" y="0"/>
                    <wp:lineTo x="741" y="21148"/>
                    <wp:lineTo x="20736" y="21148"/>
                    <wp:lineTo x="20736" y="0"/>
                    <wp:lineTo x="741" y="0"/>
                  </wp:wrapPolygon>
                </wp:wrapTight>
                <wp:docPr id="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245235"/>
                        </a:xfrm>
                        <a:prstGeom prst="rect">
                          <a:avLst/>
                        </a:prstGeom>
                        <a:noFill/>
                        <a:ln w="9525">
                          <a:noFill/>
                          <a:miter lim="800000"/>
                          <a:headEnd/>
                          <a:tailEnd/>
                        </a:ln>
                      </wps:spPr>
                      <wps:txbx>
                        <w:txbxContent>
                          <w:p w:rsidR="00E84AB6" w:rsidRPr="00281994" w:rsidRDefault="00E84AB6" w:rsidP="009D1927">
                            <w:pPr>
                              <w:pStyle w:val="tekstzboku"/>
                              <w:rPr>
                                <w:lang w:val="en-GB"/>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Out of 15.7 thousand eviction proceedings pending in courts in 2018 </w:t>
                            </w:r>
                            <w:r w:rsidR="00E128CF">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about</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89</w:t>
                            </w:r>
                            <w:r w:rsidRPr="00281994">
                              <w:rPr>
                                <w:lang w:val="en-GB"/>
                              </w:rPr>
                              <w:t> </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were initiated due to arrears in payments for dwelling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590FBD" id="_x0000_s1035" type="#_x0000_t202" style="position:absolute;margin-left:9.85pt;margin-top:12.8pt;width:131.25pt;height:98.05pt;z-index:-25167052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" filled="f" stroked="f">
                <v:textbox>
                  <w:txbxContent>
                    <w:p w:rsidR="00E84AB6" w:rsidRPr="00281994" w:rsidRDefault="00E84AB6" w:rsidP="009D1927">
                      <w:pPr>
                        <w:pStyle w:val="tekstzboku"/>
                        <w:rPr>
                          <w:lang w:val="en-GB"/>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Out of 15.7 thousand eviction proceedings pending in courts in 2018 </w:t>
                      </w:r>
                      <w:r w:rsidR="00E128CF">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about</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89</w:t>
                      </w:r>
                      <w:r w:rsidRPr="00281994">
                        <w:rPr>
                          <w:lang w:val="en-GB"/>
                        </w:rPr>
                        <w:t> </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were initiated due to arrears in payments for dwelling</w:t>
                      </w:r>
                    </w:p>
                  </w:txbxContent>
                </v:textbox>
                <w10:wrap type="tight" anchorx="margin"/>
              </v:shape>
            </w:pict>
          </mc:Fallback>
        </mc:AlternateContent>
      </w:r>
    </w:p>
    <w:p w:rsidR="00E41DF8" w:rsidRPr="00281994" w:rsidRDefault="00E41DF8" w:rsidP="00E41DF8">
      <w:pPr>
        <w:spacing w:after="0"/>
        <w:rPr>
          <w:shd w:val="clear" w:color="auto" w:fill="FFFFFF"/>
          <w:lang w:val="en-GB"/>
        </w:rPr>
      </w:pPr>
      <w:r w:rsidRPr="00281994">
        <w:rPr>
          <w:shd w:val="clear" w:color="auto" w:fill="FFFFFF"/>
          <w:lang w:val="en-GB"/>
        </w:rPr>
        <w:t xml:space="preserve">Out of 15.7 </w:t>
      </w:r>
      <w:r w:rsidR="00DA707B" w:rsidRPr="00281994">
        <w:rPr>
          <w:shd w:val="clear" w:color="auto" w:fill="FFFFFF"/>
          <w:lang w:val="en-GB"/>
        </w:rPr>
        <w:t>thousand</w:t>
      </w:r>
      <w:r w:rsidRPr="00281994">
        <w:rPr>
          <w:shd w:val="clear" w:color="auto" w:fill="FFFFFF"/>
          <w:lang w:val="en-GB"/>
        </w:rPr>
        <w:t xml:space="preserve"> eviction proceedings pending in court</w:t>
      </w:r>
      <w:r w:rsidR="00890023" w:rsidRPr="00281994">
        <w:rPr>
          <w:shd w:val="clear" w:color="auto" w:fill="FFFFFF"/>
          <w:lang w:val="en-GB"/>
        </w:rPr>
        <w:t>s</w:t>
      </w:r>
      <w:r w:rsidRPr="00281994">
        <w:rPr>
          <w:shd w:val="clear" w:color="auto" w:fill="FFFFFF"/>
          <w:lang w:val="en-GB"/>
        </w:rPr>
        <w:t xml:space="preserve"> in 2018, </w:t>
      </w:r>
      <w:r w:rsidR="00890023" w:rsidRPr="00281994">
        <w:rPr>
          <w:shd w:val="clear" w:color="auto" w:fill="FFFFFF"/>
          <w:lang w:val="en-GB"/>
        </w:rPr>
        <w:t xml:space="preserve">more than </w:t>
      </w:r>
      <w:r w:rsidRPr="00281994">
        <w:rPr>
          <w:shd w:val="clear" w:color="auto" w:fill="FFFFFF"/>
          <w:lang w:val="en-GB"/>
        </w:rPr>
        <w:t>68.4</w:t>
      </w:r>
      <w:r w:rsidR="00890023" w:rsidRPr="00281994">
        <w:rPr>
          <w:shd w:val="clear" w:color="auto" w:fill="FFFFFF"/>
          <w:lang w:val="en-GB"/>
        </w:rPr>
        <w:t> </w:t>
      </w:r>
      <w:r w:rsidRPr="00281994">
        <w:rPr>
          <w:shd w:val="clear" w:color="auto" w:fill="FFFFFF"/>
          <w:lang w:val="en-GB"/>
        </w:rPr>
        <w:t xml:space="preserve">% concerned tenants occupying gminas dwellings, </w:t>
      </w:r>
      <w:r w:rsidR="00890023" w:rsidRPr="00281994">
        <w:rPr>
          <w:shd w:val="clear" w:color="auto" w:fill="FFFFFF"/>
          <w:lang w:val="en-GB"/>
        </w:rPr>
        <w:t>followed by</w:t>
      </w:r>
      <w:r w:rsidRPr="00281994">
        <w:rPr>
          <w:shd w:val="clear" w:color="auto" w:fill="FFFFFF"/>
          <w:lang w:val="en-GB"/>
        </w:rPr>
        <w:t xml:space="preserve"> proceedings against natural persons in buildings under condominiums </w:t>
      </w:r>
      <w:r w:rsidR="00890023" w:rsidRPr="00281994">
        <w:rPr>
          <w:shd w:val="clear" w:color="auto" w:fill="FFFFFF"/>
          <w:lang w:val="en-GB"/>
        </w:rPr>
        <w:t xml:space="preserve">– </w:t>
      </w:r>
      <w:r w:rsidRPr="00281994">
        <w:rPr>
          <w:shd w:val="clear" w:color="auto" w:fill="FFFFFF"/>
          <w:lang w:val="en-GB"/>
        </w:rPr>
        <w:t>15.1</w:t>
      </w:r>
      <w:r w:rsidR="00890023" w:rsidRPr="00281994">
        <w:rPr>
          <w:shd w:val="clear" w:color="auto" w:fill="FFFFFF"/>
          <w:lang w:val="en-GB"/>
        </w:rPr>
        <w:t> </w:t>
      </w:r>
      <w:r w:rsidRPr="00281994">
        <w:rPr>
          <w:shd w:val="clear" w:color="auto" w:fill="FFFFFF"/>
          <w:lang w:val="en-GB"/>
        </w:rPr>
        <w:t>%, and 8.8</w:t>
      </w:r>
      <w:r w:rsidR="00890023" w:rsidRPr="00281994">
        <w:rPr>
          <w:shd w:val="clear" w:color="auto" w:fill="FFFFFF"/>
          <w:lang w:val="en-GB"/>
        </w:rPr>
        <w:t> </w:t>
      </w:r>
      <w:r w:rsidRPr="00281994">
        <w:rPr>
          <w:shd w:val="clear" w:color="auto" w:fill="FFFFFF"/>
          <w:lang w:val="en-GB"/>
        </w:rPr>
        <w:t xml:space="preserve">% </w:t>
      </w:r>
      <w:r w:rsidR="00890023" w:rsidRPr="00281994">
        <w:rPr>
          <w:shd w:val="clear" w:color="auto" w:fill="FFFFFF"/>
          <w:lang w:val="en-GB"/>
        </w:rPr>
        <w:t xml:space="preserve">– </w:t>
      </w:r>
      <w:r w:rsidRPr="00281994">
        <w:rPr>
          <w:shd w:val="clear" w:color="auto" w:fill="FFFFFF"/>
          <w:lang w:val="en-GB"/>
        </w:rPr>
        <w:t xml:space="preserve">against tenants of dwellings in housing cooperatives. The lowest share comprised of proceedings against tenants of dwellings in stocks of other entities </w:t>
      </w:r>
      <w:r w:rsidR="00890023" w:rsidRPr="00281994">
        <w:rPr>
          <w:shd w:val="clear" w:color="auto" w:fill="FFFFFF"/>
          <w:lang w:val="en-GB"/>
        </w:rPr>
        <w:t xml:space="preserve">– </w:t>
      </w:r>
      <w:r w:rsidRPr="00281994">
        <w:rPr>
          <w:shd w:val="clear" w:color="auto" w:fill="FFFFFF"/>
          <w:lang w:val="en-GB"/>
        </w:rPr>
        <w:t>0.1</w:t>
      </w:r>
      <w:r w:rsidR="00890023" w:rsidRPr="00281994">
        <w:rPr>
          <w:shd w:val="clear" w:color="auto" w:fill="FFFFFF"/>
          <w:lang w:val="en-GB"/>
        </w:rPr>
        <w:t> </w:t>
      </w:r>
      <w:r w:rsidRPr="00281994">
        <w:rPr>
          <w:shd w:val="clear" w:color="auto" w:fill="FFFFFF"/>
          <w:lang w:val="en-GB"/>
        </w:rPr>
        <w:t>%. Nearly 89</w:t>
      </w:r>
      <w:r w:rsidR="00890023" w:rsidRPr="00281994">
        <w:rPr>
          <w:shd w:val="clear" w:color="auto" w:fill="FFFFFF"/>
          <w:lang w:val="en-GB"/>
        </w:rPr>
        <w:t> </w:t>
      </w:r>
      <w:r w:rsidRPr="00281994">
        <w:rPr>
          <w:shd w:val="clear" w:color="auto" w:fill="FFFFFF"/>
          <w:lang w:val="en-GB"/>
        </w:rPr>
        <w:t>% of eviction proceedings were initiated due to arrears in payments for dwelling. This was the most frequent reason in the case of dwellings under management of companies (in 97.6</w:t>
      </w:r>
      <w:r w:rsidR="00890023" w:rsidRPr="00281994">
        <w:rPr>
          <w:shd w:val="clear" w:color="auto" w:fill="FFFFFF"/>
          <w:lang w:val="en-GB"/>
        </w:rPr>
        <w:t> </w:t>
      </w:r>
      <w:r w:rsidRPr="00281994">
        <w:rPr>
          <w:shd w:val="clear" w:color="auto" w:fill="FFFFFF"/>
          <w:lang w:val="en-GB"/>
        </w:rPr>
        <w:t>% of all eviction proceedings), condominiums – 95.3</w:t>
      </w:r>
      <w:r w:rsidR="00890023" w:rsidRPr="00281994">
        <w:rPr>
          <w:shd w:val="clear" w:color="auto" w:fill="FFFFFF"/>
          <w:lang w:val="en-GB"/>
        </w:rPr>
        <w:t> </w:t>
      </w:r>
      <w:r w:rsidRPr="00281994">
        <w:rPr>
          <w:shd w:val="clear" w:color="auto" w:fill="FFFFFF"/>
          <w:lang w:val="en-GB"/>
        </w:rPr>
        <w:t>%, dwellings of other entities (94.7</w:t>
      </w:r>
      <w:r w:rsidR="00890023" w:rsidRPr="00281994">
        <w:rPr>
          <w:shd w:val="clear" w:color="auto" w:fill="FFFFFF"/>
          <w:lang w:val="en-GB"/>
        </w:rPr>
        <w:t> </w:t>
      </w:r>
      <w:r w:rsidRPr="00281994">
        <w:rPr>
          <w:shd w:val="clear" w:color="auto" w:fill="FFFFFF"/>
          <w:lang w:val="en-GB"/>
        </w:rPr>
        <w:t>%</w:t>
      </w:r>
      <w:r w:rsidR="00890023" w:rsidRPr="00281994">
        <w:rPr>
          <w:shd w:val="clear" w:color="auto" w:fill="FFFFFF"/>
          <w:lang w:val="en-GB"/>
        </w:rPr>
        <w:t>), and</w:t>
      </w:r>
      <w:r w:rsidR="00850E7A" w:rsidRPr="00281994">
        <w:rPr>
          <w:shd w:val="clear" w:color="auto" w:fill="FFFFFF"/>
          <w:lang w:val="en-GB"/>
        </w:rPr>
        <w:t xml:space="preserve"> housing cooperatives (94.3</w:t>
      </w:r>
      <w:r w:rsidR="00890023" w:rsidRPr="00281994">
        <w:rPr>
          <w:shd w:val="clear" w:color="auto" w:fill="FFFFFF"/>
          <w:lang w:val="en-GB"/>
        </w:rPr>
        <w:t> </w:t>
      </w:r>
      <w:r w:rsidR="00850E7A" w:rsidRPr="00281994">
        <w:rPr>
          <w:shd w:val="clear" w:color="auto" w:fill="FFFFFF"/>
          <w:lang w:val="en-GB"/>
        </w:rPr>
        <w:t>%)</w:t>
      </w:r>
      <w:r w:rsidRPr="00281994">
        <w:rPr>
          <w:shd w:val="clear" w:color="auto" w:fill="FFFFFF"/>
          <w:lang w:val="en-GB"/>
        </w:rPr>
        <w:t>.</w:t>
      </w:r>
    </w:p>
    <w:p w:rsidR="00DB30AB" w:rsidRPr="00281994" w:rsidRDefault="00DB30AB" w:rsidP="00E41DF8">
      <w:pPr>
        <w:spacing w:after="0"/>
        <w:rPr>
          <w:shd w:val="clear" w:color="auto" w:fill="FFFFFF"/>
          <w:lang w:val="en-GB"/>
        </w:rPr>
      </w:pPr>
    </w:p>
    <w:p w:rsidR="00DB30AB" w:rsidRPr="00281994" w:rsidRDefault="00890023" w:rsidP="00DB30AB">
      <w:pPr>
        <w:spacing w:before="0" w:after="0"/>
        <w:rPr>
          <w:rFonts w:ascii="Fira Sans SemiBold" w:eastAsia="Times New Roman" w:hAnsi="Fira Sans SemiBold" w:cs="Times New Roman"/>
          <w:bCs/>
          <w:color w:val="001D77"/>
          <w:szCs w:val="24"/>
          <w:lang w:val="en-GB" w:eastAsia="pl-PL"/>
        </w:rPr>
      </w:pPr>
      <w:r w:rsidRPr="00281994">
        <w:rPr>
          <w:rFonts w:ascii="Fira Sans SemiBold" w:eastAsia="Times New Roman" w:hAnsi="Fira Sans SemiBold" w:cs="Times New Roman"/>
          <w:bCs/>
          <w:color w:val="001D77"/>
          <w:szCs w:val="24"/>
          <w:lang w:val="en-GB" w:eastAsia="pl-PL"/>
        </w:rPr>
        <w:t>Dwelling stocks repairs</w:t>
      </w:r>
    </w:p>
    <w:p w:rsidR="00DD60ED" w:rsidRPr="00281994" w:rsidRDefault="003E2B77" w:rsidP="00DB30AB">
      <w:pPr>
        <w:spacing w:before="0" w:after="0"/>
        <w:rPr>
          <w:rFonts w:ascii="Fira Sans SemiBold" w:eastAsia="Times New Roman" w:hAnsi="Fira Sans SemiBold" w:cs="Times New Roman"/>
          <w:bCs/>
          <w:szCs w:val="19"/>
          <w:lang w:val="en-GB" w:eastAsia="pl-PL"/>
        </w:rPr>
      </w:pPr>
      <w:r w:rsidRPr="0097136B">
        <w:rPr>
          <w:noProof/>
          <w:color w:val="FF0000"/>
          <w:spacing w:val="-2"/>
          <w:sz w:val="32"/>
          <w:szCs w:val="32"/>
          <w:lang w:eastAsia="pl-PL"/>
        </w:rPr>
        <mc:AlternateContent>
          <mc:Choice Requires="wps">
            <w:drawing>
              <wp:anchor distT="45720" distB="45720" distL="114300" distR="114300" simplePos="0" relativeHeight="251648000" behindDoc="1" locked="0" layoutInCell="1" allowOverlap="1" wp14:anchorId="10AE0D32" wp14:editId="003CE4F3">
                <wp:simplePos x="0" y="0"/>
                <wp:positionH relativeFrom="rightMargin">
                  <wp:posOffset>127635</wp:posOffset>
                </wp:positionH>
                <wp:positionV relativeFrom="paragraph">
                  <wp:posOffset>79375</wp:posOffset>
                </wp:positionV>
                <wp:extent cx="1666875" cy="1016635"/>
                <wp:effectExtent l="0" t="0" r="0" b="0"/>
                <wp:wrapTight wrapText="bothSides">
                  <wp:wrapPolygon edited="0">
                    <wp:start x="741" y="0"/>
                    <wp:lineTo x="741" y="21047"/>
                    <wp:lineTo x="20736" y="21047"/>
                    <wp:lineTo x="20736" y="0"/>
                    <wp:lineTo x="741" y="0"/>
                  </wp:wrapPolygon>
                </wp:wrapTight>
                <wp:docPr id="1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016635"/>
                        </a:xfrm>
                        <a:prstGeom prst="rect">
                          <a:avLst/>
                        </a:prstGeom>
                        <a:noFill/>
                        <a:ln w="9525">
                          <a:noFill/>
                          <a:miter lim="800000"/>
                          <a:headEnd/>
                          <a:tailEnd/>
                        </a:ln>
                      </wps:spPr>
                      <wps:txbx>
                        <w:txbxContent>
                          <w:p w:rsidR="00E84AB6" w:rsidRPr="00281994" w:rsidRDefault="00E84AB6" w:rsidP="009D1927">
                            <w:pPr>
                              <w:pStyle w:val="tekstzboku"/>
                              <w:rPr>
                                <w:lang w:val="en-GB"/>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In 2018</w:t>
                            </w:r>
                            <w:r w:rsidR="00E128CF">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about 678 thousand repair works bringing buildings and dwellings to their initial technical value</w:t>
                            </w:r>
                            <w:r w:rsidR="003E2B77">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were conducted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E0D32" id="_x0000_s1036" type="#_x0000_t202" style="position:absolute;margin-left:10.05pt;margin-top:6.25pt;width:131.25pt;height:80.05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" filled="f" stroked="f">
                <v:textbox>
                  <w:txbxContent>
                    <w:p w:rsidR="00E84AB6" w:rsidRPr="00281994" w:rsidRDefault="00E84AB6" w:rsidP="009D1927">
                      <w:pPr>
                        <w:pStyle w:val="tekstzboku"/>
                        <w:rPr>
                          <w:lang w:val="en-GB"/>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In 2018</w:t>
                      </w:r>
                      <w:r w:rsidR="00E128CF">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about 678 thousand repair works bringing buildings and dwellings to their initial technical value</w:t>
                      </w:r>
                      <w:r w:rsidR="003E2B77">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were conducted</w:t>
                      </w:r>
                    </w:p>
                  </w:txbxContent>
                </v:textbox>
                <w10:wrap type="tight" anchorx="margin"/>
              </v:shape>
            </w:pict>
          </mc:Fallback>
        </mc:AlternateContent>
      </w:r>
    </w:p>
    <w:p w:rsidR="008E07D5" w:rsidRPr="00281994" w:rsidRDefault="00850E7A" w:rsidP="008E07D5">
      <w:pPr>
        <w:spacing w:after="0"/>
        <w:rPr>
          <w:shd w:val="clear" w:color="auto" w:fill="FFFFFF"/>
          <w:lang w:val="en-GB"/>
        </w:rPr>
      </w:pPr>
      <w:r w:rsidRPr="00281994">
        <w:rPr>
          <w:shd w:val="clear" w:color="auto" w:fill="FFFFFF"/>
          <w:lang w:val="en-GB"/>
        </w:rPr>
        <w:t xml:space="preserve">In 2018 </w:t>
      </w:r>
      <w:r w:rsidR="00890023" w:rsidRPr="00281994">
        <w:rPr>
          <w:shd w:val="clear" w:color="auto" w:fill="FFFFFF"/>
          <w:lang w:val="en-GB"/>
        </w:rPr>
        <w:t xml:space="preserve">about 678 thousand repair works </w:t>
      </w:r>
      <w:r w:rsidRPr="00281994">
        <w:rPr>
          <w:shd w:val="clear" w:color="auto" w:fill="FFFFFF"/>
          <w:lang w:val="en-GB"/>
        </w:rPr>
        <w:t>(not being major overhauls) bringing buildings and dwellings to their initial technical value</w:t>
      </w:r>
      <w:r w:rsidR="00890023" w:rsidRPr="00281994">
        <w:rPr>
          <w:shd w:val="clear" w:color="auto" w:fill="FFFFFF"/>
          <w:lang w:val="en-GB"/>
        </w:rPr>
        <w:t xml:space="preserve"> were conducted. They</w:t>
      </w:r>
      <w:r w:rsidRPr="00281994">
        <w:rPr>
          <w:shd w:val="clear" w:color="auto" w:fill="FFFFFF"/>
          <w:lang w:val="en-GB"/>
        </w:rPr>
        <w:t xml:space="preserve"> </w:t>
      </w:r>
      <w:r w:rsidR="00890023" w:rsidRPr="00281994">
        <w:rPr>
          <w:shd w:val="clear" w:color="auto" w:fill="FFFFFF"/>
          <w:lang w:val="en-GB"/>
        </w:rPr>
        <w:t>consisted of</w:t>
      </w:r>
      <w:r w:rsidR="008E07D5" w:rsidRPr="00281994">
        <w:rPr>
          <w:shd w:val="clear" w:color="auto" w:fill="FFFFFF"/>
          <w:lang w:val="en-GB"/>
        </w:rPr>
        <w:t xml:space="preserve"> repairs related to replacement of all or some installations</w:t>
      </w:r>
      <w:r w:rsidRPr="00281994">
        <w:rPr>
          <w:shd w:val="clear" w:color="auto" w:fill="FFFFFF"/>
          <w:lang w:val="en-GB"/>
        </w:rPr>
        <w:t>.</w:t>
      </w:r>
      <w:r w:rsidR="008E07D5" w:rsidRPr="00281994">
        <w:rPr>
          <w:shd w:val="clear" w:color="auto" w:fill="FFFFFF"/>
          <w:lang w:val="en-GB"/>
        </w:rPr>
        <w:t xml:space="preserve"> </w:t>
      </w:r>
      <w:r w:rsidR="00225AB9" w:rsidRPr="00281994">
        <w:rPr>
          <w:shd w:val="clear" w:color="auto" w:fill="FFFFFF"/>
          <w:lang w:val="en-GB"/>
        </w:rPr>
        <w:t xml:space="preserve">About </w:t>
      </w:r>
      <w:r w:rsidR="00E41DF8" w:rsidRPr="00281994">
        <w:rPr>
          <w:shd w:val="clear" w:color="auto" w:fill="FFFFFF"/>
          <w:lang w:val="en-GB"/>
        </w:rPr>
        <w:t xml:space="preserve">91.9 </w:t>
      </w:r>
      <w:r w:rsidR="00DA707B" w:rsidRPr="00281994">
        <w:rPr>
          <w:shd w:val="clear" w:color="auto" w:fill="FFFFFF"/>
          <w:lang w:val="en-GB"/>
        </w:rPr>
        <w:t>thousand</w:t>
      </w:r>
      <w:r w:rsidR="00E41DF8" w:rsidRPr="00281994">
        <w:rPr>
          <w:shd w:val="clear" w:color="auto" w:fill="FFFFFF"/>
          <w:lang w:val="en-GB"/>
        </w:rPr>
        <w:t xml:space="preserve"> dwellings </w:t>
      </w:r>
      <w:r w:rsidR="00225AB9" w:rsidRPr="00281994">
        <w:rPr>
          <w:shd w:val="clear" w:color="auto" w:fill="FFFFFF"/>
          <w:lang w:val="en-GB"/>
        </w:rPr>
        <w:t>renovation</w:t>
      </w:r>
      <w:r w:rsidR="00146BB0">
        <w:rPr>
          <w:shd w:val="clear" w:color="auto" w:fill="FFFFFF"/>
          <w:lang w:val="en-GB"/>
        </w:rPr>
        <w:t xml:space="preserve"> were</w:t>
      </w:r>
      <w:r w:rsidR="00225AB9" w:rsidRPr="00281994">
        <w:rPr>
          <w:shd w:val="clear" w:color="auto" w:fill="FFFFFF"/>
          <w:lang w:val="en-GB"/>
        </w:rPr>
        <w:t xml:space="preserve"> </w:t>
      </w:r>
      <w:r w:rsidR="00E41DF8" w:rsidRPr="00281994">
        <w:rPr>
          <w:shd w:val="clear" w:color="auto" w:fill="FFFFFF"/>
          <w:lang w:val="en-GB"/>
        </w:rPr>
        <w:t xml:space="preserve">related </w:t>
      </w:r>
      <w:r w:rsidR="00225AB9" w:rsidRPr="00281994">
        <w:rPr>
          <w:shd w:val="clear" w:color="auto" w:fill="FFFFFF"/>
          <w:lang w:val="en-GB"/>
        </w:rPr>
        <w:t>to improvement</w:t>
      </w:r>
      <w:r w:rsidR="00146BB0">
        <w:rPr>
          <w:shd w:val="clear" w:color="auto" w:fill="FFFFFF"/>
          <w:lang w:val="en-GB"/>
        </w:rPr>
        <w:t xml:space="preserve"> of </w:t>
      </w:r>
      <w:r w:rsidR="00225AB9" w:rsidRPr="00281994">
        <w:rPr>
          <w:shd w:val="clear" w:color="auto" w:fill="FFFFFF"/>
          <w:lang w:val="en-GB"/>
        </w:rPr>
        <w:t>housing standards by fitting buildings and dwellings located there</w:t>
      </w:r>
      <w:r w:rsidR="00146BB0">
        <w:rPr>
          <w:shd w:val="clear" w:color="auto" w:fill="FFFFFF"/>
          <w:lang w:val="en-GB"/>
        </w:rPr>
        <w:t>in</w:t>
      </w:r>
      <w:r w:rsidR="00225AB9" w:rsidRPr="00281994">
        <w:rPr>
          <w:shd w:val="clear" w:color="auto" w:fill="FFFFFF"/>
          <w:lang w:val="en-GB"/>
        </w:rPr>
        <w:t xml:space="preserve"> </w:t>
      </w:r>
      <w:r w:rsidR="00E41DF8" w:rsidRPr="00281994">
        <w:rPr>
          <w:shd w:val="clear" w:color="auto" w:fill="FFFFFF"/>
          <w:lang w:val="en-GB"/>
        </w:rPr>
        <w:t xml:space="preserve">with previously </w:t>
      </w:r>
      <w:r w:rsidR="00146BB0">
        <w:rPr>
          <w:shd w:val="clear" w:color="auto" w:fill="FFFFFF"/>
          <w:lang w:val="en-GB"/>
        </w:rPr>
        <w:t>missing</w:t>
      </w:r>
      <w:r w:rsidR="00E41DF8" w:rsidRPr="00281994">
        <w:rPr>
          <w:shd w:val="clear" w:color="auto" w:fill="FFFFFF"/>
          <w:lang w:val="en-GB"/>
        </w:rPr>
        <w:t xml:space="preserve"> technical and sanitary systems (water supply, sewage, central heating, hot water, gas supply netwo</w:t>
      </w:r>
      <w:r w:rsidR="00DB30AB" w:rsidRPr="00281994">
        <w:rPr>
          <w:shd w:val="clear" w:color="auto" w:fill="FFFFFF"/>
          <w:lang w:val="en-GB"/>
        </w:rPr>
        <w:t xml:space="preserve">rk). </w:t>
      </w:r>
    </w:p>
    <w:p w:rsidR="00E41DF8" w:rsidRPr="00281994" w:rsidRDefault="00DB30AB" w:rsidP="008E07D5">
      <w:pPr>
        <w:spacing w:before="0" w:after="0"/>
        <w:rPr>
          <w:shd w:val="clear" w:color="auto" w:fill="FFFFFF"/>
          <w:lang w:val="en-GB"/>
        </w:rPr>
      </w:pPr>
      <w:r w:rsidRPr="00281994">
        <w:rPr>
          <w:shd w:val="clear" w:color="auto" w:fill="FFFFFF"/>
          <w:lang w:val="en-GB"/>
        </w:rPr>
        <w:t>I</w:t>
      </w:r>
      <w:r w:rsidR="00E41DF8" w:rsidRPr="00281994">
        <w:rPr>
          <w:shd w:val="clear" w:color="auto" w:fill="FFFFFF"/>
          <w:lang w:val="en-GB"/>
        </w:rPr>
        <w:t xml:space="preserve">n the surveyed year, 22.7 </w:t>
      </w:r>
      <w:r w:rsidR="00DA707B" w:rsidRPr="00281994">
        <w:rPr>
          <w:shd w:val="clear" w:color="auto" w:fill="FFFFFF"/>
          <w:lang w:val="en-GB"/>
        </w:rPr>
        <w:t>thousand</w:t>
      </w:r>
      <w:r w:rsidR="00E41DF8" w:rsidRPr="00281994">
        <w:rPr>
          <w:shd w:val="clear" w:color="auto" w:fill="FFFFFF"/>
          <w:lang w:val="en-GB"/>
        </w:rPr>
        <w:t xml:space="preserve"> dwellings were </w:t>
      </w:r>
      <w:r w:rsidR="00225AB9" w:rsidRPr="00281994">
        <w:rPr>
          <w:shd w:val="clear" w:color="auto" w:fill="FFFFFF"/>
          <w:lang w:val="en-GB"/>
        </w:rPr>
        <w:t>fitted</w:t>
      </w:r>
      <w:r w:rsidR="00E41DF8" w:rsidRPr="00281994">
        <w:rPr>
          <w:shd w:val="clear" w:color="auto" w:fill="FFFFFF"/>
          <w:lang w:val="en-GB"/>
        </w:rPr>
        <w:t xml:space="preserve"> with central heating</w:t>
      </w:r>
      <w:r w:rsidRPr="00281994">
        <w:rPr>
          <w:shd w:val="clear" w:color="auto" w:fill="FFFFFF"/>
          <w:lang w:val="en-GB"/>
        </w:rPr>
        <w:t xml:space="preserve">, 19.6 </w:t>
      </w:r>
      <w:r w:rsidR="00DA707B" w:rsidRPr="00281994">
        <w:rPr>
          <w:shd w:val="clear" w:color="auto" w:fill="FFFFFF"/>
          <w:lang w:val="en-GB"/>
        </w:rPr>
        <w:t>thousand</w:t>
      </w:r>
      <w:r w:rsidRPr="00281994">
        <w:rPr>
          <w:shd w:val="clear" w:color="auto" w:fill="FFFFFF"/>
          <w:lang w:val="en-GB"/>
        </w:rPr>
        <w:t xml:space="preserve"> dwellings</w:t>
      </w:r>
      <w:r w:rsidR="00E41DF8" w:rsidRPr="00281994">
        <w:rPr>
          <w:shd w:val="clear" w:color="auto" w:fill="FFFFFF"/>
          <w:lang w:val="en-GB"/>
        </w:rPr>
        <w:t xml:space="preserve"> were directly connected to water supply system, and 16.6 </w:t>
      </w:r>
      <w:r w:rsidR="00DA707B" w:rsidRPr="00281994">
        <w:rPr>
          <w:shd w:val="clear" w:color="auto" w:fill="FFFFFF"/>
          <w:lang w:val="en-GB"/>
        </w:rPr>
        <w:t>thousand</w:t>
      </w:r>
      <w:r w:rsidR="00E41DF8" w:rsidRPr="00281994">
        <w:rPr>
          <w:shd w:val="clear" w:color="auto" w:fill="FFFFFF"/>
          <w:lang w:val="en-GB"/>
        </w:rPr>
        <w:t xml:space="preserve"> dwellings to sewage system</w:t>
      </w:r>
      <w:r w:rsidR="00146BB0">
        <w:rPr>
          <w:shd w:val="clear" w:color="auto" w:fill="FFFFFF"/>
          <w:lang w:val="en-GB"/>
        </w:rPr>
        <w:t>,</w:t>
      </w:r>
      <w:r w:rsidR="00E41DF8" w:rsidRPr="00281994">
        <w:rPr>
          <w:shd w:val="clear" w:color="auto" w:fill="FFFFFF"/>
          <w:lang w:val="en-GB"/>
        </w:rPr>
        <w:t xml:space="preserve"> 55</w:t>
      </w:r>
      <w:r w:rsidRPr="00281994">
        <w:rPr>
          <w:shd w:val="clear" w:color="auto" w:fill="FFFFFF"/>
          <w:lang w:val="en-GB"/>
        </w:rPr>
        <w:t>.2</w:t>
      </w:r>
      <w:r w:rsidR="00E41DF8" w:rsidRPr="00281994">
        <w:rPr>
          <w:shd w:val="clear" w:color="auto" w:fill="FFFFFF"/>
          <w:lang w:val="en-GB"/>
        </w:rPr>
        <w:t xml:space="preserve"> </w:t>
      </w:r>
      <w:r w:rsidR="00DA707B" w:rsidRPr="00281994">
        <w:rPr>
          <w:shd w:val="clear" w:color="auto" w:fill="FFFFFF"/>
          <w:lang w:val="en-GB"/>
        </w:rPr>
        <w:t>thousand</w:t>
      </w:r>
      <w:r w:rsidR="00E41DF8" w:rsidRPr="00281994">
        <w:rPr>
          <w:shd w:val="clear" w:color="auto" w:fill="FFFFFF"/>
          <w:lang w:val="en-GB"/>
        </w:rPr>
        <w:t xml:space="preserve"> dwellings were </w:t>
      </w:r>
      <w:r w:rsidR="00225AB9" w:rsidRPr="00281994">
        <w:rPr>
          <w:shd w:val="clear" w:color="auto" w:fill="FFFFFF"/>
          <w:lang w:val="en-GB"/>
        </w:rPr>
        <w:t>fitted</w:t>
      </w:r>
      <w:r w:rsidR="00E41DF8" w:rsidRPr="00281994">
        <w:rPr>
          <w:shd w:val="clear" w:color="auto" w:fill="FFFFFF"/>
          <w:lang w:val="en-GB"/>
        </w:rPr>
        <w:t xml:space="preserve"> with</w:t>
      </w:r>
      <w:r w:rsidR="009029F5" w:rsidRPr="00281994">
        <w:rPr>
          <w:shd w:val="clear" w:color="auto" w:fill="FFFFFF"/>
          <w:lang w:val="en-GB"/>
        </w:rPr>
        <w:t xml:space="preserve"> installation providing</w:t>
      </w:r>
      <w:r w:rsidR="00E41DF8" w:rsidRPr="00281994">
        <w:rPr>
          <w:shd w:val="clear" w:color="auto" w:fill="FFFFFF"/>
          <w:lang w:val="en-GB"/>
        </w:rPr>
        <w:t xml:space="preserve"> hot water, while </w:t>
      </w:r>
      <w:r w:rsidR="009029F5" w:rsidRPr="00281994">
        <w:rPr>
          <w:shd w:val="clear" w:color="auto" w:fill="FFFFFF"/>
          <w:lang w:val="en-GB"/>
        </w:rPr>
        <w:t xml:space="preserve">10.1 thousand dwellings were connected to </w:t>
      </w:r>
      <w:r w:rsidR="00E41DF8" w:rsidRPr="00281994">
        <w:rPr>
          <w:shd w:val="clear" w:color="auto" w:fill="FFFFFF"/>
          <w:lang w:val="en-GB"/>
        </w:rPr>
        <w:t xml:space="preserve">gas supply system. </w:t>
      </w:r>
    </w:p>
    <w:p w:rsidR="00850E7A" w:rsidRPr="00281994" w:rsidRDefault="00850E7A" w:rsidP="00E41DF8">
      <w:pPr>
        <w:spacing w:after="0"/>
        <w:rPr>
          <w:shd w:val="clear" w:color="auto" w:fill="FFFFFF"/>
          <w:lang w:val="en-GB"/>
        </w:rPr>
      </w:pPr>
    </w:p>
    <w:p w:rsidR="00E41DF8" w:rsidRPr="00281994" w:rsidRDefault="009029F5" w:rsidP="00E41DF8">
      <w:pPr>
        <w:spacing w:after="0"/>
        <w:rPr>
          <w:rFonts w:ascii="Fira Sans SemiBold" w:eastAsia="Times New Roman" w:hAnsi="Fira Sans SemiBold" w:cs="Times New Roman"/>
          <w:bCs/>
          <w:color w:val="001D77"/>
          <w:szCs w:val="24"/>
          <w:lang w:val="en-GB" w:eastAsia="pl-PL"/>
        </w:rPr>
      </w:pPr>
      <w:r w:rsidRPr="00281994">
        <w:rPr>
          <w:rFonts w:ascii="Fira Sans SemiBold" w:eastAsia="Times New Roman" w:hAnsi="Fira Sans SemiBold" w:cs="Times New Roman"/>
          <w:bCs/>
          <w:color w:val="001D77"/>
          <w:szCs w:val="24"/>
          <w:lang w:val="en-GB" w:eastAsia="pl-PL"/>
        </w:rPr>
        <w:t>Maintenance costs of dwelling and business premises stocks</w:t>
      </w:r>
    </w:p>
    <w:p w:rsidR="00850E7A" w:rsidRPr="00281994" w:rsidRDefault="006573DE" w:rsidP="00E41DF8">
      <w:pPr>
        <w:spacing w:after="0"/>
        <w:rPr>
          <w:shd w:val="clear" w:color="auto" w:fill="FFFFFF"/>
          <w:lang w:val="en-GB"/>
        </w:rPr>
      </w:pPr>
      <w:r w:rsidRPr="0097136B">
        <w:rPr>
          <w:noProof/>
          <w:color w:val="FF0000"/>
          <w:spacing w:val="-2"/>
          <w:sz w:val="32"/>
          <w:szCs w:val="32"/>
          <w:lang w:eastAsia="pl-PL"/>
        </w:rPr>
        <mc:AlternateContent>
          <mc:Choice Requires="wps">
            <w:drawing>
              <wp:anchor distT="45720" distB="45720" distL="114300" distR="114300" simplePos="0" relativeHeight="251649024" behindDoc="1" locked="0" layoutInCell="1" allowOverlap="1" wp14:anchorId="3CAC54BE" wp14:editId="3A3BD9C9">
                <wp:simplePos x="0" y="0"/>
                <wp:positionH relativeFrom="rightMargin">
                  <wp:posOffset>92075</wp:posOffset>
                </wp:positionH>
                <wp:positionV relativeFrom="paragraph">
                  <wp:posOffset>173038</wp:posOffset>
                </wp:positionV>
                <wp:extent cx="1699895" cy="1106170"/>
                <wp:effectExtent l="0" t="0" r="0" b="0"/>
                <wp:wrapTight wrapText="bothSides">
                  <wp:wrapPolygon edited="0">
                    <wp:start x="726" y="0"/>
                    <wp:lineTo x="726" y="21203"/>
                    <wp:lineTo x="20817" y="21203"/>
                    <wp:lineTo x="20817" y="0"/>
                    <wp:lineTo x="726" y="0"/>
                  </wp:wrapPolygon>
                </wp:wrapTight>
                <wp:docPr id="2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895" cy="1106170"/>
                        </a:xfrm>
                        <a:prstGeom prst="rect">
                          <a:avLst/>
                        </a:prstGeom>
                        <a:noFill/>
                        <a:ln w="9525">
                          <a:noFill/>
                          <a:miter lim="800000"/>
                          <a:headEnd/>
                          <a:tailEnd/>
                        </a:ln>
                      </wps:spPr>
                      <wps:txbx>
                        <w:txbxContent>
                          <w:p w:rsidR="00E84AB6" w:rsidRPr="00281994" w:rsidRDefault="00E84AB6" w:rsidP="009D1927">
                            <w:pPr>
                              <w:pStyle w:val="tekstzboku"/>
                              <w:rPr>
                                <w:lang w:val="en-GB"/>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In </w:t>
                            </w:r>
                            <w:r w:rsidRPr="00281994">
                              <w:rPr>
                                <w:lang w:val="en-GB"/>
                              </w:rPr>
                              <w:t>2018</w:t>
                            </w:r>
                            <w:r w:rsidR="00E128CF">
                              <w:rPr>
                                <w:lang w:val="en-GB"/>
                              </w:rPr>
                              <w:t>,</w:t>
                            </w:r>
                            <w:r w:rsidRPr="00281994">
                              <w:rPr>
                                <w:lang w:val="en-GB"/>
                              </w:rPr>
                              <w:t xml:space="preserve"> annual maintenance costs of dwelling and business premises stocks amounted to PLN 34.1 billion and were higher than in 2016 by 1.9 %.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AC54BE" id="_x0000_s1037" type="#_x0000_t202" style="position:absolute;margin-left:7.25pt;margin-top:13.65pt;width:133.85pt;height:87.1pt;z-index:-25166745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" filled="f" stroked="f">
                <v:textbox>
                  <w:txbxContent>
                    <w:p w:rsidR="00E84AB6" w:rsidRPr="00281994" w:rsidRDefault="00E84AB6" w:rsidP="009D1927">
                      <w:pPr>
                        <w:pStyle w:val="tekstzboku"/>
                        <w:rPr>
                          <w:lang w:val="en-GB"/>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In </w:t>
                      </w:r>
                      <w:r w:rsidRPr="00281994">
                        <w:rPr>
                          <w:lang w:val="en-GB"/>
                        </w:rPr>
                        <w:t>2018</w:t>
                      </w:r>
                      <w:r w:rsidR="00E128CF">
                        <w:rPr>
                          <w:lang w:val="en-GB"/>
                        </w:rPr>
                        <w:t>,</w:t>
                      </w:r>
                      <w:r w:rsidRPr="00281994">
                        <w:rPr>
                          <w:lang w:val="en-GB"/>
                        </w:rPr>
                        <w:t xml:space="preserve"> annual maintenance costs of dwelling and business premises stocks amounted to PLN 34.1 billion and were higher than in 2016 by 1.9 %.</w:t>
                      </w:r>
                    </w:p>
                  </w:txbxContent>
                </v:textbox>
                <w10:wrap type="tight" anchorx="margin"/>
              </v:shape>
            </w:pict>
          </mc:Fallback>
        </mc:AlternateContent>
      </w:r>
    </w:p>
    <w:p w:rsidR="00E41DF8" w:rsidRPr="00281994" w:rsidRDefault="00E41DF8" w:rsidP="00E41DF8">
      <w:pPr>
        <w:spacing w:after="0"/>
        <w:rPr>
          <w:shd w:val="clear" w:color="auto" w:fill="FFFFFF"/>
          <w:lang w:val="en-GB"/>
        </w:rPr>
      </w:pPr>
      <w:r w:rsidRPr="00281994">
        <w:rPr>
          <w:shd w:val="clear" w:color="auto" w:fill="FFFFFF"/>
          <w:lang w:val="en-GB"/>
        </w:rPr>
        <w:t xml:space="preserve">In 2018, the survey of maintenance costs of </w:t>
      </w:r>
      <w:r w:rsidR="00146BB0" w:rsidRPr="00281994">
        <w:rPr>
          <w:shd w:val="clear" w:color="auto" w:fill="FFFFFF"/>
          <w:lang w:val="en-GB"/>
        </w:rPr>
        <w:t>dwelling</w:t>
      </w:r>
      <w:r w:rsidR="00146BB0">
        <w:rPr>
          <w:shd w:val="clear" w:color="auto" w:fill="FFFFFF"/>
          <w:lang w:val="en-GB"/>
        </w:rPr>
        <w:t>s</w:t>
      </w:r>
      <w:r w:rsidR="00146BB0" w:rsidRPr="00281994">
        <w:rPr>
          <w:shd w:val="clear" w:color="auto" w:fill="FFFFFF"/>
          <w:lang w:val="en-GB"/>
        </w:rPr>
        <w:t xml:space="preserve"> and business premise</w:t>
      </w:r>
      <w:r w:rsidR="00146BB0">
        <w:rPr>
          <w:shd w:val="clear" w:color="auto" w:fill="FFFFFF"/>
          <w:lang w:val="en-GB"/>
        </w:rPr>
        <w:t>s</w:t>
      </w:r>
      <w:r w:rsidR="00146BB0" w:rsidRPr="00281994">
        <w:rPr>
          <w:shd w:val="clear" w:color="auto" w:fill="FFFFFF"/>
          <w:lang w:val="en-GB"/>
        </w:rPr>
        <w:t xml:space="preserve"> </w:t>
      </w:r>
      <w:r w:rsidRPr="00281994">
        <w:rPr>
          <w:shd w:val="clear" w:color="auto" w:fill="FFFFFF"/>
          <w:lang w:val="en-GB"/>
        </w:rPr>
        <w:t xml:space="preserve">stocks covered 7.3 </w:t>
      </w:r>
      <w:r w:rsidR="00B22D3C" w:rsidRPr="00281994">
        <w:rPr>
          <w:shd w:val="clear" w:color="auto" w:fill="FFFFFF"/>
          <w:lang w:val="en-GB"/>
        </w:rPr>
        <w:t>million</w:t>
      </w:r>
      <w:r w:rsidRPr="00281994">
        <w:rPr>
          <w:shd w:val="clear" w:color="auto" w:fill="FFFFFF"/>
          <w:lang w:val="en-GB"/>
        </w:rPr>
        <w:t xml:space="preserve"> of </w:t>
      </w:r>
      <w:r w:rsidR="008E07D5" w:rsidRPr="00281994">
        <w:rPr>
          <w:shd w:val="clear" w:color="auto" w:fill="FFFFFF"/>
          <w:lang w:val="en-GB"/>
        </w:rPr>
        <w:t>dwelling and business premise</w:t>
      </w:r>
      <w:r w:rsidR="006573DE" w:rsidRPr="00281994">
        <w:rPr>
          <w:shd w:val="clear" w:color="auto" w:fill="FFFFFF"/>
          <w:lang w:val="en-GB"/>
        </w:rPr>
        <w:t>s</w:t>
      </w:r>
      <w:r w:rsidRPr="00281994">
        <w:rPr>
          <w:shd w:val="clear" w:color="auto" w:fill="FFFFFF"/>
          <w:lang w:val="en-GB"/>
        </w:rPr>
        <w:t xml:space="preserve"> stocks, of which more than 7 </w:t>
      </w:r>
      <w:r w:rsidR="00B22D3C" w:rsidRPr="00281994">
        <w:rPr>
          <w:shd w:val="clear" w:color="auto" w:fill="FFFFFF"/>
          <w:lang w:val="en-GB"/>
        </w:rPr>
        <w:t>million</w:t>
      </w:r>
      <w:r w:rsidRPr="00281994">
        <w:rPr>
          <w:shd w:val="clear" w:color="auto" w:fill="FFFFFF"/>
          <w:lang w:val="en-GB"/>
        </w:rPr>
        <w:t xml:space="preserve"> residential</w:t>
      </w:r>
      <w:r w:rsidR="009029F5" w:rsidRPr="00281994">
        <w:rPr>
          <w:shd w:val="clear" w:color="auto" w:fill="FFFFFF"/>
          <w:lang w:val="en-GB"/>
        </w:rPr>
        <w:t xml:space="preserve"> premises, which constituted 98.</w:t>
      </w:r>
      <w:r w:rsidRPr="00281994">
        <w:rPr>
          <w:shd w:val="clear" w:color="auto" w:fill="FFFFFF"/>
          <w:lang w:val="en-GB"/>
        </w:rPr>
        <w:t>1</w:t>
      </w:r>
      <w:r w:rsidR="009029F5" w:rsidRPr="00281994">
        <w:rPr>
          <w:shd w:val="clear" w:color="auto" w:fill="FFFFFF"/>
          <w:lang w:val="en-GB"/>
        </w:rPr>
        <w:t> </w:t>
      </w:r>
      <w:r w:rsidRPr="00281994">
        <w:rPr>
          <w:shd w:val="clear" w:color="auto" w:fill="FFFFFF"/>
          <w:lang w:val="en-GB"/>
        </w:rPr>
        <w:t>% of the surveyed stocks.</w:t>
      </w:r>
    </w:p>
    <w:p w:rsidR="00E41DF8" w:rsidRPr="00281994" w:rsidRDefault="00E41DF8" w:rsidP="00E41DF8">
      <w:pPr>
        <w:spacing w:after="0"/>
        <w:rPr>
          <w:shd w:val="clear" w:color="auto" w:fill="FFFFFF"/>
          <w:lang w:val="en-GB"/>
        </w:rPr>
      </w:pPr>
      <w:r w:rsidRPr="00281994">
        <w:rPr>
          <w:shd w:val="clear" w:color="auto" w:fill="FFFFFF"/>
          <w:lang w:val="en-GB"/>
        </w:rPr>
        <w:t xml:space="preserve">Annual maintenance costs of </w:t>
      </w:r>
      <w:r w:rsidR="008E07D5" w:rsidRPr="00281994">
        <w:rPr>
          <w:shd w:val="clear" w:color="auto" w:fill="FFFFFF"/>
          <w:lang w:val="en-GB"/>
        </w:rPr>
        <w:t>dwelling</w:t>
      </w:r>
      <w:r w:rsidR="00146BB0">
        <w:rPr>
          <w:shd w:val="clear" w:color="auto" w:fill="FFFFFF"/>
          <w:lang w:val="en-GB"/>
        </w:rPr>
        <w:t>s</w:t>
      </w:r>
      <w:r w:rsidR="008E07D5" w:rsidRPr="00281994">
        <w:rPr>
          <w:shd w:val="clear" w:color="auto" w:fill="FFFFFF"/>
          <w:lang w:val="en-GB"/>
        </w:rPr>
        <w:t xml:space="preserve"> and business premise</w:t>
      </w:r>
      <w:r w:rsidR="00146BB0">
        <w:rPr>
          <w:shd w:val="clear" w:color="auto" w:fill="FFFFFF"/>
          <w:lang w:val="en-GB"/>
        </w:rPr>
        <w:t>s</w:t>
      </w:r>
      <w:r w:rsidRPr="00281994">
        <w:rPr>
          <w:shd w:val="clear" w:color="auto" w:fill="FFFFFF"/>
          <w:lang w:val="en-GB"/>
        </w:rPr>
        <w:t xml:space="preserve"> stocks of the surveyed entities amounted to PLN 34</w:t>
      </w:r>
      <w:r w:rsidR="009029F5" w:rsidRPr="00281994">
        <w:rPr>
          <w:shd w:val="clear" w:color="auto" w:fill="FFFFFF"/>
          <w:lang w:val="en-GB"/>
        </w:rPr>
        <w:t>.</w:t>
      </w:r>
      <w:r w:rsidRPr="00281994">
        <w:rPr>
          <w:shd w:val="clear" w:color="auto" w:fill="FFFFFF"/>
          <w:lang w:val="en-GB"/>
        </w:rPr>
        <w:t>1 b</w:t>
      </w:r>
      <w:r w:rsidR="009029F5" w:rsidRPr="00281994">
        <w:rPr>
          <w:shd w:val="clear" w:color="auto" w:fill="FFFFFF"/>
          <w:lang w:val="en-GB"/>
        </w:rPr>
        <w:t>illio</w:t>
      </w:r>
      <w:r w:rsidRPr="00281994">
        <w:rPr>
          <w:shd w:val="clear" w:color="auto" w:fill="FFFFFF"/>
          <w:lang w:val="en-GB"/>
        </w:rPr>
        <w:t>n an</w:t>
      </w:r>
      <w:r w:rsidR="009029F5" w:rsidRPr="00281994">
        <w:rPr>
          <w:shd w:val="clear" w:color="auto" w:fill="FFFFFF"/>
          <w:lang w:val="en-GB"/>
        </w:rPr>
        <w:t>d were higher than in 2016 by 1.</w:t>
      </w:r>
      <w:r w:rsidRPr="00281994">
        <w:rPr>
          <w:shd w:val="clear" w:color="auto" w:fill="FFFFFF"/>
          <w:lang w:val="en-GB"/>
        </w:rPr>
        <w:t>9</w:t>
      </w:r>
      <w:r w:rsidR="009029F5" w:rsidRPr="00281994">
        <w:rPr>
          <w:shd w:val="clear" w:color="auto" w:fill="FFFFFF"/>
          <w:lang w:val="en-GB"/>
        </w:rPr>
        <w:t> </w:t>
      </w:r>
      <w:r w:rsidRPr="00281994">
        <w:rPr>
          <w:shd w:val="clear" w:color="auto" w:fill="FFFFFF"/>
          <w:lang w:val="en-GB"/>
        </w:rPr>
        <w:t>%. Costs of municipal services provi</w:t>
      </w:r>
      <w:r w:rsidR="009029F5" w:rsidRPr="00281994">
        <w:rPr>
          <w:shd w:val="clear" w:color="auto" w:fill="FFFFFF"/>
          <w:lang w:val="en-GB"/>
        </w:rPr>
        <w:t>ded for premises decreased by 0.</w:t>
      </w:r>
      <w:r w:rsidRPr="00281994">
        <w:rPr>
          <w:shd w:val="clear" w:color="auto" w:fill="FFFFFF"/>
          <w:lang w:val="en-GB"/>
        </w:rPr>
        <w:t>8</w:t>
      </w:r>
      <w:r w:rsidR="009029F5" w:rsidRPr="00281994">
        <w:rPr>
          <w:shd w:val="clear" w:color="auto" w:fill="FFFFFF"/>
          <w:lang w:val="en-GB"/>
        </w:rPr>
        <w:t> </w:t>
      </w:r>
      <w:r w:rsidRPr="00281994">
        <w:rPr>
          <w:shd w:val="clear" w:color="auto" w:fill="FFFFFF"/>
          <w:lang w:val="en-GB"/>
        </w:rPr>
        <w:t>%.</w:t>
      </w:r>
    </w:p>
    <w:p w:rsidR="00E41DF8" w:rsidRPr="00281994" w:rsidRDefault="009D1927" w:rsidP="00E41DF8">
      <w:pPr>
        <w:spacing w:after="0"/>
        <w:rPr>
          <w:shd w:val="clear" w:color="auto" w:fill="FFFFFF"/>
          <w:lang w:val="en-GB"/>
        </w:rPr>
      </w:pPr>
      <w:r w:rsidRPr="00146BB0">
        <w:rPr>
          <w:noProof/>
          <w:shd w:val="clear" w:color="auto" w:fill="FFFFFF"/>
          <w:lang w:eastAsia="pl-PL"/>
        </w:rPr>
        <mc:AlternateContent>
          <mc:Choice Requires="wps">
            <w:drawing>
              <wp:anchor distT="45720" distB="45720" distL="114300" distR="114300" simplePos="0" relativeHeight="251666432" behindDoc="1" locked="0" layoutInCell="1" allowOverlap="1" wp14:anchorId="277A2D0F" wp14:editId="151F524C">
                <wp:simplePos x="0" y="0"/>
                <wp:positionH relativeFrom="rightMargin">
                  <wp:posOffset>92710</wp:posOffset>
                </wp:positionH>
                <wp:positionV relativeFrom="paragraph">
                  <wp:posOffset>115570</wp:posOffset>
                </wp:positionV>
                <wp:extent cx="1699895" cy="701040"/>
                <wp:effectExtent l="0" t="0" r="0" b="3810"/>
                <wp:wrapTight wrapText="bothSides">
                  <wp:wrapPolygon edited="0">
                    <wp:start x="726" y="0"/>
                    <wp:lineTo x="726" y="21130"/>
                    <wp:lineTo x="20817" y="21130"/>
                    <wp:lineTo x="20817" y="0"/>
                    <wp:lineTo x="726" y="0"/>
                  </wp:wrapPolygon>
                </wp:wrapTight>
                <wp:docPr id="2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895" cy="701040"/>
                        </a:xfrm>
                        <a:prstGeom prst="rect">
                          <a:avLst/>
                        </a:prstGeom>
                        <a:noFill/>
                        <a:ln w="9525">
                          <a:noFill/>
                          <a:miter lim="800000"/>
                          <a:headEnd/>
                          <a:tailEnd/>
                        </a:ln>
                      </wps:spPr>
                      <wps:txbx>
                        <w:txbxContent>
                          <w:p w:rsidR="00E84AB6" w:rsidRPr="00281994" w:rsidRDefault="00E84AB6" w:rsidP="009D1927">
                            <w:pPr>
                              <w:pStyle w:val="tekstzboku"/>
                              <w:rPr>
                                <w:lang w:val="en-GB"/>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In 2018</w:t>
                            </w:r>
                            <w:r w:rsidR="00E128CF">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operational costs amounted to PLN 16.4 billion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7A2D0F" id="_x0000_s1038" type="#_x0000_t202" style="position:absolute;margin-left:7.3pt;margin-top:9.1pt;width:133.85pt;height:55.2pt;z-index:-25165004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" filled="f" stroked="f">
                <v:textbox>
                  <w:txbxContent>
                    <w:p w:rsidR="00E84AB6" w:rsidRPr="00281994" w:rsidRDefault="00E84AB6" w:rsidP="009D1927">
                      <w:pPr>
                        <w:pStyle w:val="tekstzboku"/>
                        <w:rPr>
                          <w:lang w:val="en-GB"/>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In 2018</w:t>
                      </w:r>
                      <w:r w:rsidR="00E128CF">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operational costs amounted to PLN 16.4 billion</w:t>
                      </w:r>
                    </w:p>
                  </w:txbxContent>
                </v:textbox>
                <w10:wrap type="tight" anchorx="margin"/>
              </v:shape>
            </w:pict>
          </mc:Fallback>
        </mc:AlternateContent>
      </w:r>
      <w:r w:rsidR="00146BB0" w:rsidRPr="00146BB0">
        <w:rPr>
          <w:shd w:val="clear" w:color="auto" w:fill="FFFFFF"/>
          <w:lang w:val="en-GB"/>
        </w:rPr>
        <w:t>Out of</w:t>
      </w:r>
      <w:r w:rsidR="00E41DF8" w:rsidRPr="00281994">
        <w:rPr>
          <w:shd w:val="clear" w:color="auto" w:fill="FFFFFF"/>
          <w:lang w:val="en-GB"/>
        </w:rPr>
        <w:t xml:space="preserve"> the total maintenance costs of </w:t>
      </w:r>
      <w:r w:rsidR="00146BB0" w:rsidRPr="00281994">
        <w:rPr>
          <w:shd w:val="clear" w:color="auto" w:fill="FFFFFF"/>
          <w:lang w:val="en-GB"/>
        </w:rPr>
        <w:t>dwelling</w:t>
      </w:r>
      <w:r w:rsidR="00146BB0">
        <w:rPr>
          <w:shd w:val="clear" w:color="auto" w:fill="FFFFFF"/>
          <w:lang w:val="en-GB"/>
        </w:rPr>
        <w:t>s</w:t>
      </w:r>
      <w:r w:rsidR="00146BB0" w:rsidRPr="00281994">
        <w:rPr>
          <w:shd w:val="clear" w:color="auto" w:fill="FFFFFF"/>
          <w:lang w:val="en-GB"/>
        </w:rPr>
        <w:t xml:space="preserve"> and business premise</w:t>
      </w:r>
      <w:r w:rsidR="00146BB0">
        <w:rPr>
          <w:shd w:val="clear" w:color="auto" w:fill="FFFFFF"/>
          <w:lang w:val="en-GB"/>
        </w:rPr>
        <w:t>s</w:t>
      </w:r>
      <w:r w:rsidR="00E41DF8" w:rsidRPr="00281994">
        <w:rPr>
          <w:shd w:val="clear" w:color="auto" w:fill="FFFFFF"/>
          <w:lang w:val="en-GB"/>
        </w:rPr>
        <w:t>, 48.0</w:t>
      </w:r>
      <w:r w:rsidR="009029F5" w:rsidRPr="00281994">
        <w:rPr>
          <w:shd w:val="clear" w:color="auto" w:fill="FFFFFF"/>
          <w:lang w:val="en-GB"/>
        </w:rPr>
        <w:t> </w:t>
      </w:r>
      <w:r w:rsidR="00E41DF8" w:rsidRPr="00281994">
        <w:rPr>
          <w:shd w:val="clear" w:color="auto" w:fill="FFFFFF"/>
          <w:lang w:val="en-GB"/>
        </w:rPr>
        <w:t>% were operational costs and their annual amount was PLN 16.4 b</w:t>
      </w:r>
      <w:r w:rsidR="009029F5" w:rsidRPr="00281994">
        <w:rPr>
          <w:shd w:val="clear" w:color="auto" w:fill="FFFFFF"/>
          <w:lang w:val="en-GB"/>
        </w:rPr>
        <w:t>illio</w:t>
      </w:r>
      <w:r w:rsidR="00E41DF8" w:rsidRPr="00281994">
        <w:rPr>
          <w:shd w:val="clear" w:color="auto" w:fill="FFFFFF"/>
          <w:lang w:val="en-GB"/>
        </w:rPr>
        <w:t xml:space="preserve">n. The amount of costs varied significantly </w:t>
      </w:r>
      <w:r w:rsidR="009029F5" w:rsidRPr="00281994">
        <w:rPr>
          <w:shd w:val="clear" w:color="auto" w:fill="FFFFFF"/>
          <w:lang w:val="en-GB"/>
        </w:rPr>
        <w:t>depending on</w:t>
      </w:r>
      <w:r w:rsidR="00E41DF8" w:rsidRPr="00281994">
        <w:rPr>
          <w:shd w:val="clear" w:color="auto" w:fill="FFFFFF"/>
          <w:lang w:val="en-GB"/>
        </w:rPr>
        <w:t xml:space="preserve"> the </w:t>
      </w:r>
      <w:r w:rsidR="009029F5" w:rsidRPr="00281994">
        <w:rPr>
          <w:shd w:val="clear" w:color="auto" w:fill="FFFFFF"/>
          <w:lang w:val="en-GB"/>
        </w:rPr>
        <w:t>type</w:t>
      </w:r>
      <w:r w:rsidR="00E41DF8" w:rsidRPr="00281994">
        <w:rPr>
          <w:shd w:val="clear" w:color="auto" w:fill="FFFFFF"/>
          <w:lang w:val="en-GB"/>
        </w:rPr>
        <w:t xml:space="preserve"> of owner</w:t>
      </w:r>
      <w:r w:rsidR="009029F5" w:rsidRPr="00281994">
        <w:rPr>
          <w:shd w:val="clear" w:color="auto" w:fill="FFFFFF"/>
          <w:lang w:val="en-GB"/>
        </w:rPr>
        <w:t>s</w:t>
      </w:r>
      <w:r w:rsidR="00E41DF8" w:rsidRPr="00281994">
        <w:rPr>
          <w:shd w:val="clear" w:color="auto" w:fill="FFFFFF"/>
          <w:lang w:val="en-GB"/>
        </w:rPr>
        <w:t>hip</w:t>
      </w:r>
      <w:r w:rsidR="009029F5" w:rsidRPr="00281994">
        <w:rPr>
          <w:shd w:val="clear" w:color="auto" w:fill="FFFFFF"/>
          <w:lang w:val="en-GB"/>
        </w:rPr>
        <w:t>. The lowest</w:t>
      </w:r>
      <w:r w:rsidR="00E41DF8" w:rsidRPr="00281994">
        <w:rPr>
          <w:shd w:val="clear" w:color="auto" w:fill="FFFFFF"/>
          <w:lang w:val="en-GB"/>
        </w:rPr>
        <w:t xml:space="preserve"> operational costs per 1 m</w:t>
      </w:r>
      <w:r w:rsidR="00E41DF8" w:rsidRPr="00281994">
        <w:rPr>
          <w:shd w:val="clear" w:color="auto" w:fill="FFFFFF"/>
          <w:vertAlign w:val="superscript"/>
          <w:lang w:val="en-GB"/>
        </w:rPr>
        <w:t>2</w:t>
      </w:r>
      <w:r w:rsidR="00E41DF8" w:rsidRPr="00281994">
        <w:rPr>
          <w:shd w:val="clear" w:color="auto" w:fill="FFFFFF"/>
          <w:lang w:val="en-GB"/>
        </w:rPr>
        <w:t xml:space="preserve"> of useful floor area were incurred by premises of housing co</w:t>
      </w:r>
      <w:r w:rsidR="008E07D5" w:rsidRPr="00281994">
        <w:rPr>
          <w:shd w:val="clear" w:color="auto" w:fill="FFFFFF"/>
          <w:lang w:val="en-GB"/>
        </w:rPr>
        <w:t>ndominiums</w:t>
      </w:r>
      <w:r w:rsidR="00E41DF8" w:rsidRPr="00281994">
        <w:rPr>
          <w:shd w:val="clear" w:color="auto" w:fill="FFFFFF"/>
          <w:lang w:val="en-GB"/>
        </w:rPr>
        <w:t xml:space="preserve"> – PLN 34.2 and other entities – PLN 34.5, while the highest </w:t>
      </w:r>
      <w:r w:rsidR="009029F5" w:rsidRPr="00281994">
        <w:rPr>
          <w:shd w:val="clear" w:color="auto" w:fill="FFFFFF"/>
          <w:lang w:val="en-GB"/>
        </w:rPr>
        <w:t xml:space="preserve">– </w:t>
      </w:r>
      <w:r w:rsidR="00E41DF8" w:rsidRPr="00281994">
        <w:rPr>
          <w:shd w:val="clear" w:color="auto" w:fill="FFFFFF"/>
          <w:lang w:val="en-GB"/>
        </w:rPr>
        <w:t>by premises in stocks of municipal units – PLN 90.5, public building societies – PLN 72.5, State Treasury – PLN 80.4</w:t>
      </w:r>
      <w:r w:rsidR="009029F5" w:rsidRPr="00281994">
        <w:rPr>
          <w:shd w:val="clear" w:color="auto" w:fill="FFFFFF"/>
          <w:lang w:val="en-GB"/>
        </w:rPr>
        <w:t>,</w:t>
      </w:r>
      <w:r w:rsidR="00E41DF8" w:rsidRPr="00281994">
        <w:rPr>
          <w:shd w:val="clear" w:color="auto" w:fill="FFFFFF"/>
          <w:lang w:val="en-GB"/>
        </w:rPr>
        <w:t xml:space="preserve"> and companies – PLN 55.3.</w:t>
      </w:r>
    </w:p>
    <w:p w:rsidR="00E41DF8" w:rsidRPr="00281994" w:rsidRDefault="00E41DF8" w:rsidP="00E41DF8">
      <w:pPr>
        <w:spacing w:after="0"/>
        <w:rPr>
          <w:shd w:val="clear" w:color="auto" w:fill="FFFFFF"/>
          <w:lang w:val="en-GB"/>
        </w:rPr>
      </w:pPr>
      <w:r w:rsidRPr="00281994">
        <w:rPr>
          <w:shd w:val="clear" w:color="auto" w:fill="FFFFFF"/>
          <w:lang w:val="en-GB"/>
        </w:rPr>
        <w:t>Almost 45</w:t>
      </w:r>
      <w:r w:rsidR="009029F5" w:rsidRPr="00281994">
        <w:rPr>
          <w:shd w:val="clear" w:color="auto" w:fill="FFFFFF"/>
          <w:lang w:val="en-GB"/>
        </w:rPr>
        <w:t> </w:t>
      </w:r>
      <w:r w:rsidRPr="00281994">
        <w:rPr>
          <w:shd w:val="clear" w:color="auto" w:fill="FFFFFF"/>
          <w:lang w:val="en-GB"/>
        </w:rPr>
        <w:t xml:space="preserve">% of operational costs were expenditures related </w:t>
      </w:r>
      <w:r w:rsidR="00E128CF">
        <w:rPr>
          <w:shd w:val="clear" w:color="auto" w:fill="FFFFFF"/>
          <w:lang w:val="en-GB"/>
        </w:rPr>
        <w:t>to</w:t>
      </w:r>
      <w:r w:rsidRPr="00281994">
        <w:rPr>
          <w:shd w:val="clear" w:color="auto" w:fill="FFFFFF"/>
          <w:lang w:val="en-GB"/>
        </w:rPr>
        <w:t xml:space="preserve"> maintenance of buildings and premises (conservation and repairs), 33.7</w:t>
      </w:r>
      <w:r w:rsidR="009029F5" w:rsidRPr="00281994">
        <w:rPr>
          <w:shd w:val="clear" w:color="auto" w:fill="FFFFFF"/>
          <w:lang w:val="en-GB"/>
        </w:rPr>
        <w:t> </w:t>
      </w:r>
      <w:r w:rsidRPr="00281994">
        <w:rPr>
          <w:shd w:val="clear" w:color="auto" w:fill="FFFFFF"/>
          <w:lang w:val="en-GB"/>
        </w:rPr>
        <w:t xml:space="preserve">% </w:t>
      </w:r>
      <w:r w:rsidR="009029F5" w:rsidRPr="00281994">
        <w:rPr>
          <w:shd w:val="clear" w:color="auto" w:fill="FFFFFF"/>
          <w:lang w:val="en-GB"/>
        </w:rPr>
        <w:t>–</w:t>
      </w:r>
      <w:r w:rsidRPr="00281994">
        <w:rPr>
          <w:shd w:val="clear" w:color="auto" w:fill="FFFFFF"/>
          <w:lang w:val="en-GB"/>
        </w:rPr>
        <w:t xml:space="preserve"> expenditures related </w:t>
      </w:r>
      <w:r w:rsidR="009029F5" w:rsidRPr="00281994">
        <w:rPr>
          <w:shd w:val="clear" w:color="auto" w:fill="FFFFFF"/>
          <w:lang w:val="en-GB"/>
        </w:rPr>
        <w:t>to</w:t>
      </w:r>
      <w:r w:rsidRPr="00281994">
        <w:rPr>
          <w:shd w:val="clear" w:color="auto" w:fill="FFFFFF"/>
          <w:lang w:val="en-GB"/>
        </w:rPr>
        <w:t xml:space="preserve"> administration, 21.5</w:t>
      </w:r>
      <w:r w:rsidR="009029F5" w:rsidRPr="00281994">
        <w:rPr>
          <w:shd w:val="clear" w:color="auto" w:fill="FFFFFF"/>
          <w:lang w:val="en-GB"/>
        </w:rPr>
        <w:t> </w:t>
      </w:r>
      <w:r w:rsidRPr="00281994">
        <w:rPr>
          <w:shd w:val="clear" w:color="auto" w:fill="FFFFFF"/>
          <w:lang w:val="en-GB"/>
        </w:rPr>
        <w:t xml:space="preserve">% </w:t>
      </w:r>
      <w:r w:rsidR="009029F5" w:rsidRPr="00281994">
        <w:rPr>
          <w:shd w:val="clear" w:color="auto" w:fill="FFFFFF"/>
          <w:lang w:val="en-GB"/>
        </w:rPr>
        <w:t>–</w:t>
      </w:r>
      <w:r w:rsidRPr="00281994">
        <w:rPr>
          <w:shd w:val="clear" w:color="auto" w:fill="FFFFFF"/>
          <w:lang w:val="en-GB"/>
        </w:rPr>
        <w:t xml:space="preserve"> other costs (i.e. maintaining cleanliness, charges for receiving antennas, costs related </w:t>
      </w:r>
      <w:r w:rsidR="009029F5" w:rsidRPr="00281994">
        <w:rPr>
          <w:shd w:val="clear" w:color="auto" w:fill="FFFFFF"/>
          <w:lang w:val="en-GB"/>
        </w:rPr>
        <w:t>to</w:t>
      </w:r>
      <w:r w:rsidRPr="00281994">
        <w:rPr>
          <w:shd w:val="clear" w:color="auto" w:fill="FFFFFF"/>
          <w:lang w:val="en-GB"/>
        </w:rPr>
        <w:t xml:space="preserve"> usage of common spaces, etc.)</w:t>
      </w:r>
      <w:r w:rsidR="009029F5" w:rsidRPr="00281994">
        <w:rPr>
          <w:shd w:val="clear" w:color="auto" w:fill="FFFFFF"/>
          <w:lang w:val="en-GB"/>
        </w:rPr>
        <w:t>,</w:t>
      </w:r>
      <w:r w:rsidRPr="00281994">
        <w:rPr>
          <w:shd w:val="clear" w:color="auto" w:fill="FFFFFF"/>
          <w:lang w:val="en-GB"/>
        </w:rPr>
        <w:t xml:space="preserve"> and taxes for gminas </w:t>
      </w:r>
      <w:r w:rsidR="009029F5" w:rsidRPr="00281994">
        <w:rPr>
          <w:shd w:val="clear" w:color="auto" w:fill="FFFFFF"/>
          <w:lang w:val="en-GB"/>
        </w:rPr>
        <w:t>as well as</w:t>
      </w:r>
      <w:r w:rsidRPr="00281994">
        <w:rPr>
          <w:shd w:val="clear" w:color="auto" w:fill="FFFFFF"/>
          <w:lang w:val="en-GB"/>
        </w:rPr>
        <w:t xml:space="preserve"> other public and legal charges.</w:t>
      </w:r>
    </w:p>
    <w:p w:rsidR="00850E7A" w:rsidRPr="00281994" w:rsidRDefault="00850E7A" w:rsidP="00E41DF8">
      <w:pPr>
        <w:spacing w:after="0"/>
        <w:rPr>
          <w:shd w:val="clear" w:color="auto" w:fill="FFFFFF"/>
          <w:lang w:val="en-GB"/>
        </w:rPr>
      </w:pPr>
    </w:p>
    <w:p w:rsidR="00850E7A" w:rsidRPr="00281994" w:rsidRDefault="00850E7A" w:rsidP="00E41DF8">
      <w:pPr>
        <w:spacing w:after="0"/>
        <w:rPr>
          <w:shd w:val="clear" w:color="auto" w:fill="FFFFFF"/>
          <w:lang w:val="en-GB"/>
        </w:rPr>
      </w:pPr>
    </w:p>
    <w:p w:rsidR="00850E7A" w:rsidRPr="00281994" w:rsidRDefault="00850E7A" w:rsidP="00E41DF8">
      <w:pPr>
        <w:spacing w:after="0"/>
        <w:rPr>
          <w:shd w:val="clear" w:color="auto" w:fill="FFFFFF"/>
          <w:lang w:val="en-GB"/>
        </w:rPr>
      </w:pPr>
    </w:p>
    <w:p w:rsidR="00E41DF8" w:rsidRPr="00281994" w:rsidRDefault="00E41DF8" w:rsidP="00E41DF8">
      <w:pPr>
        <w:pStyle w:val="Legenda"/>
        <w:keepNext/>
        <w:rPr>
          <w:rFonts w:ascii="Fira Sans" w:hAnsi="Fira Sans"/>
          <w:bCs/>
          <w:i w:val="0"/>
          <w:sz w:val="18"/>
          <w:szCs w:val="18"/>
          <w:lang w:val="en-GB"/>
        </w:rPr>
      </w:pPr>
      <w:bookmarkStart w:id="2" w:name="_Toc496766928"/>
      <w:r w:rsidRPr="00281994">
        <w:rPr>
          <w:rFonts w:ascii="Fira Sans" w:hAnsi="Fira Sans"/>
          <w:bCs/>
          <w:i w:val="0"/>
          <w:sz w:val="18"/>
          <w:szCs w:val="18"/>
          <w:lang w:val="en-GB"/>
        </w:rPr>
        <w:lastRenderedPageBreak/>
        <w:t>Tabl</w:t>
      </w:r>
      <w:r w:rsidR="00D13A67" w:rsidRPr="00281994">
        <w:rPr>
          <w:rFonts w:ascii="Fira Sans" w:hAnsi="Fira Sans"/>
          <w:bCs/>
          <w:i w:val="0"/>
          <w:sz w:val="18"/>
          <w:szCs w:val="18"/>
          <w:lang w:val="en-GB"/>
        </w:rPr>
        <w:t>e</w:t>
      </w:r>
      <w:r w:rsidRPr="00281994">
        <w:rPr>
          <w:rFonts w:ascii="Fira Sans" w:hAnsi="Fira Sans"/>
          <w:bCs/>
          <w:i w:val="0"/>
          <w:sz w:val="18"/>
          <w:szCs w:val="18"/>
          <w:lang w:val="en-GB"/>
        </w:rPr>
        <w:t xml:space="preserve"> 5. </w:t>
      </w:r>
      <w:r w:rsidR="009029F5" w:rsidRPr="00281994">
        <w:rPr>
          <w:rFonts w:ascii="Fira Sans" w:hAnsi="Fira Sans"/>
          <w:bCs/>
          <w:i w:val="0"/>
          <w:sz w:val="18"/>
          <w:szCs w:val="18"/>
          <w:lang w:val="en-GB"/>
        </w:rPr>
        <w:t>A</w:t>
      </w:r>
      <w:r w:rsidR="00D13A67" w:rsidRPr="00281994">
        <w:rPr>
          <w:rFonts w:ascii="Fira Sans" w:hAnsi="Fira Sans"/>
          <w:bCs/>
          <w:i w:val="0"/>
          <w:sz w:val="18"/>
          <w:szCs w:val="18"/>
          <w:lang w:val="en-GB"/>
        </w:rPr>
        <w:t xml:space="preserve">mount of operating costs </w:t>
      </w:r>
      <w:r w:rsidR="00E128CF">
        <w:rPr>
          <w:rFonts w:ascii="Fira Sans" w:hAnsi="Fira Sans"/>
          <w:bCs/>
          <w:i w:val="0"/>
          <w:sz w:val="18"/>
          <w:szCs w:val="18"/>
          <w:lang w:val="en-GB"/>
        </w:rPr>
        <w:t>by</w:t>
      </w:r>
      <w:r w:rsidR="00D13A67" w:rsidRPr="00281994">
        <w:rPr>
          <w:rFonts w:ascii="Fira Sans" w:hAnsi="Fira Sans"/>
          <w:bCs/>
          <w:i w:val="0"/>
          <w:sz w:val="18"/>
          <w:szCs w:val="18"/>
          <w:lang w:val="en-GB"/>
        </w:rPr>
        <w:t xml:space="preserve"> groups of ownership</w:t>
      </w:r>
      <w:bookmarkEnd w:id="2"/>
    </w:p>
    <w:p w:rsidR="00E41DF8" w:rsidRPr="00281994" w:rsidRDefault="00E41DF8" w:rsidP="00E41DF8">
      <w:pPr>
        <w:spacing w:before="0" w:after="0" w:line="240" w:lineRule="auto"/>
        <w:rPr>
          <w:sz w:val="12"/>
          <w:szCs w:val="12"/>
          <w:lang w:val="en-GB" w:eastAsia="pl-PL"/>
        </w:rPr>
      </w:pPr>
    </w:p>
    <w:tbl>
      <w:tblPr>
        <w:tblW w:w="7513" w:type="dxa"/>
        <w:tblBorders>
          <w:insideH w:val="single" w:sz="4" w:space="0" w:color="001D77"/>
          <w:insideV w:val="single" w:sz="4" w:space="0" w:color="001D77"/>
        </w:tblBorders>
        <w:tblLayout w:type="fixed"/>
        <w:tblLook w:val="0000" w:firstRow="0" w:lastRow="0" w:firstColumn="0" w:lastColumn="0" w:noHBand="0" w:noVBand="0"/>
      </w:tblPr>
      <w:tblGrid>
        <w:gridCol w:w="3261"/>
        <w:gridCol w:w="1275"/>
        <w:gridCol w:w="1560"/>
        <w:gridCol w:w="1417"/>
      </w:tblGrid>
      <w:tr w:rsidR="00D13A67" w:rsidRPr="00CA0A0F" w:rsidTr="00D00C71">
        <w:trPr>
          <w:cantSplit/>
          <w:trHeight w:val="113"/>
        </w:trPr>
        <w:tc>
          <w:tcPr>
            <w:tcW w:w="3261" w:type="dxa"/>
            <w:vMerge w:val="restart"/>
            <w:tcBorders>
              <w:top w:val="nil"/>
              <w:bottom w:val="single" w:sz="4" w:space="0" w:color="001D77"/>
            </w:tcBorders>
            <w:vAlign w:val="center"/>
          </w:tcPr>
          <w:p w:rsidR="00D13A67" w:rsidRPr="00241155" w:rsidRDefault="00D13A67" w:rsidP="00D13A67">
            <w:pPr>
              <w:pStyle w:val="Tekstpodstawowy"/>
              <w:jc w:val="center"/>
              <w:rPr>
                <w:rFonts w:cs="Calibri"/>
                <w:sz w:val="16"/>
                <w:szCs w:val="16"/>
              </w:rPr>
            </w:pPr>
            <w:r>
              <w:rPr>
                <w:rFonts w:cs="Calibri"/>
                <w:sz w:val="16"/>
                <w:szCs w:val="16"/>
              </w:rPr>
              <w:t>Specification</w:t>
            </w:r>
          </w:p>
        </w:tc>
        <w:tc>
          <w:tcPr>
            <w:tcW w:w="1275" w:type="dxa"/>
            <w:vMerge w:val="restart"/>
            <w:tcBorders>
              <w:top w:val="nil"/>
              <w:bottom w:val="single" w:sz="4" w:space="0" w:color="001D77"/>
            </w:tcBorders>
            <w:vAlign w:val="center"/>
          </w:tcPr>
          <w:p w:rsidR="00D13A67" w:rsidRPr="00241155" w:rsidRDefault="00D13A67" w:rsidP="00D13A67">
            <w:pPr>
              <w:pStyle w:val="Tekstpodstawowy"/>
              <w:jc w:val="center"/>
              <w:rPr>
                <w:rFonts w:cs="Calibri"/>
                <w:sz w:val="16"/>
                <w:szCs w:val="16"/>
              </w:rPr>
            </w:pPr>
            <w:r>
              <w:rPr>
                <w:rFonts w:cs="Calibri"/>
                <w:sz w:val="16"/>
                <w:szCs w:val="16"/>
              </w:rPr>
              <w:t>Total</w:t>
            </w:r>
          </w:p>
        </w:tc>
        <w:tc>
          <w:tcPr>
            <w:tcW w:w="2977" w:type="dxa"/>
            <w:gridSpan w:val="2"/>
          </w:tcPr>
          <w:p w:rsidR="00D13A67" w:rsidRPr="00281994" w:rsidRDefault="004D7A97" w:rsidP="004D7A97">
            <w:pPr>
              <w:jc w:val="center"/>
              <w:rPr>
                <w:sz w:val="16"/>
                <w:szCs w:val="16"/>
                <w:lang w:val="en-GB"/>
              </w:rPr>
            </w:pPr>
            <w:r w:rsidRPr="00281994">
              <w:rPr>
                <w:sz w:val="16"/>
                <w:szCs w:val="16"/>
                <w:lang w:val="en-GB"/>
              </w:rPr>
              <w:t>o</w:t>
            </w:r>
            <w:r w:rsidR="00D13A67" w:rsidRPr="00281994">
              <w:rPr>
                <w:sz w:val="16"/>
                <w:szCs w:val="16"/>
                <w:lang w:val="en-GB"/>
              </w:rPr>
              <w:t>f which the elements of operating costs</w:t>
            </w:r>
          </w:p>
        </w:tc>
      </w:tr>
      <w:tr w:rsidR="00D13A67" w:rsidRPr="00FB432E" w:rsidTr="00D00C71">
        <w:trPr>
          <w:cantSplit/>
          <w:trHeight w:val="707"/>
        </w:trPr>
        <w:tc>
          <w:tcPr>
            <w:tcW w:w="3261" w:type="dxa"/>
            <w:vMerge/>
            <w:tcBorders>
              <w:top w:val="single" w:sz="4" w:space="0" w:color="001D77"/>
              <w:bottom w:val="single" w:sz="4" w:space="0" w:color="001D77"/>
            </w:tcBorders>
          </w:tcPr>
          <w:p w:rsidR="00D13A67" w:rsidRPr="00281994" w:rsidRDefault="00D13A67" w:rsidP="00D13A67">
            <w:pPr>
              <w:pStyle w:val="Tekstpodstawowy"/>
              <w:jc w:val="center"/>
              <w:rPr>
                <w:rFonts w:cs="Calibri"/>
                <w:sz w:val="16"/>
                <w:szCs w:val="16"/>
                <w:lang w:val="en-GB"/>
              </w:rPr>
            </w:pPr>
          </w:p>
        </w:tc>
        <w:tc>
          <w:tcPr>
            <w:tcW w:w="1275" w:type="dxa"/>
            <w:vMerge/>
            <w:tcBorders>
              <w:top w:val="single" w:sz="4" w:space="0" w:color="001D77"/>
              <w:bottom w:val="single" w:sz="4" w:space="0" w:color="001D77"/>
            </w:tcBorders>
            <w:vAlign w:val="center"/>
          </w:tcPr>
          <w:p w:rsidR="00D13A67" w:rsidRPr="00281994" w:rsidRDefault="00D13A67" w:rsidP="00D13A67">
            <w:pPr>
              <w:pStyle w:val="Tekstpodstawowy"/>
              <w:jc w:val="center"/>
              <w:rPr>
                <w:rFonts w:cs="Calibri"/>
                <w:sz w:val="16"/>
                <w:szCs w:val="16"/>
                <w:lang w:val="en-GB"/>
              </w:rPr>
            </w:pPr>
          </w:p>
        </w:tc>
        <w:tc>
          <w:tcPr>
            <w:tcW w:w="1560" w:type="dxa"/>
          </w:tcPr>
          <w:p w:rsidR="00D13A67" w:rsidRPr="00D13A67" w:rsidRDefault="00D13A67" w:rsidP="00D13A67">
            <w:pPr>
              <w:jc w:val="center"/>
              <w:rPr>
                <w:sz w:val="16"/>
                <w:szCs w:val="16"/>
              </w:rPr>
            </w:pPr>
            <w:r w:rsidRPr="00D13A67">
              <w:rPr>
                <w:sz w:val="16"/>
                <w:szCs w:val="16"/>
              </w:rPr>
              <w:t>management and</w:t>
            </w:r>
            <w:r>
              <w:rPr>
                <w:sz w:val="16"/>
                <w:szCs w:val="16"/>
              </w:rPr>
              <w:t xml:space="preserve"> administration</w:t>
            </w:r>
          </w:p>
        </w:tc>
        <w:tc>
          <w:tcPr>
            <w:tcW w:w="1417" w:type="dxa"/>
          </w:tcPr>
          <w:p w:rsidR="00D13A67" w:rsidRPr="00D13A67" w:rsidRDefault="00496D3A" w:rsidP="00D13A67">
            <w:pPr>
              <w:jc w:val="center"/>
              <w:rPr>
                <w:sz w:val="16"/>
                <w:szCs w:val="16"/>
              </w:rPr>
            </w:pPr>
            <w:r>
              <w:rPr>
                <w:sz w:val="16"/>
                <w:szCs w:val="16"/>
              </w:rPr>
              <w:t>m</w:t>
            </w:r>
            <w:r w:rsidR="00D13A67" w:rsidRPr="00D13A67">
              <w:rPr>
                <w:sz w:val="16"/>
                <w:szCs w:val="16"/>
              </w:rPr>
              <w:t>aintenance</w:t>
            </w:r>
            <w:r w:rsidR="00D13A67">
              <w:rPr>
                <w:sz w:val="16"/>
                <w:szCs w:val="16"/>
              </w:rPr>
              <w:t xml:space="preserve"> </w:t>
            </w:r>
            <w:r w:rsidR="00D13A67" w:rsidRPr="00D13A67">
              <w:rPr>
                <w:sz w:val="16"/>
                <w:szCs w:val="16"/>
              </w:rPr>
              <w:t>works and</w:t>
            </w:r>
            <w:r w:rsidR="00D13A67">
              <w:rPr>
                <w:sz w:val="16"/>
                <w:szCs w:val="16"/>
              </w:rPr>
              <w:t xml:space="preserve"> </w:t>
            </w:r>
            <w:r w:rsidR="00D13A67" w:rsidRPr="00D13A67">
              <w:rPr>
                <w:sz w:val="16"/>
                <w:szCs w:val="16"/>
              </w:rPr>
              <w:t>repairs</w:t>
            </w:r>
          </w:p>
        </w:tc>
      </w:tr>
      <w:tr w:rsidR="00E41DF8" w:rsidRPr="00FB432E" w:rsidTr="00E41DF8">
        <w:trPr>
          <w:cantSplit/>
          <w:trHeight w:val="277"/>
        </w:trPr>
        <w:tc>
          <w:tcPr>
            <w:tcW w:w="3261" w:type="dxa"/>
            <w:vMerge/>
            <w:tcBorders>
              <w:top w:val="single" w:sz="4" w:space="0" w:color="001D77"/>
              <w:bottom w:val="single" w:sz="12" w:space="0" w:color="001D77"/>
            </w:tcBorders>
          </w:tcPr>
          <w:p w:rsidR="00E41DF8" w:rsidRPr="00241155" w:rsidRDefault="00E41DF8" w:rsidP="00E41DF8">
            <w:pPr>
              <w:pStyle w:val="Tekstpodstawowy"/>
              <w:jc w:val="center"/>
              <w:rPr>
                <w:rFonts w:cs="Calibri"/>
                <w:sz w:val="16"/>
                <w:szCs w:val="16"/>
              </w:rPr>
            </w:pPr>
          </w:p>
        </w:tc>
        <w:tc>
          <w:tcPr>
            <w:tcW w:w="4252" w:type="dxa"/>
            <w:gridSpan w:val="3"/>
            <w:tcBorders>
              <w:top w:val="single" w:sz="4" w:space="0" w:color="001D77"/>
              <w:bottom w:val="single" w:sz="12" w:space="0" w:color="001D77"/>
            </w:tcBorders>
            <w:vAlign w:val="center"/>
          </w:tcPr>
          <w:p w:rsidR="00E41DF8" w:rsidRPr="00241155" w:rsidRDefault="00B22D3C" w:rsidP="007F3137">
            <w:pPr>
              <w:pStyle w:val="Tekstpodstawowy"/>
              <w:jc w:val="center"/>
              <w:rPr>
                <w:rFonts w:cs="Calibri"/>
                <w:sz w:val="16"/>
                <w:szCs w:val="16"/>
              </w:rPr>
            </w:pPr>
            <w:r>
              <w:rPr>
                <w:rFonts w:cs="Calibri"/>
                <w:sz w:val="16"/>
                <w:szCs w:val="16"/>
              </w:rPr>
              <w:t>million</w:t>
            </w:r>
            <w:r w:rsidR="00E41DF8" w:rsidRPr="00241155">
              <w:rPr>
                <w:rFonts w:cs="Calibri"/>
                <w:sz w:val="16"/>
                <w:szCs w:val="16"/>
              </w:rPr>
              <w:t xml:space="preserve"> </w:t>
            </w:r>
            <w:r w:rsidR="007F3137">
              <w:rPr>
                <w:rFonts w:cs="Calibri"/>
                <w:sz w:val="16"/>
                <w:szCs w:val="16"/>
              </w:rPr>
              <w:t>PLN</w:t>
            </w:r>
          </w:p>
        </w:tc>
      </w:tr>
      <w:tr w:rsidR="00E41DF8" w:rsidRPr="00FB432E" w:rsidTr="00E41DF8">
        <w:trPr>
          <w:cantSplit/>
          <w:trHeight w:val="221"/>
        </w:trPr>
        <w:tc>
          <w:tcPr>
            <w:tcW w:w="3261" w:type="dxa"/>
            <w:tcBorders>
              <w:top w:val="single" w:sz="12" w:space="0" w:color="001D77"/>
            </w:tcBorders>
          </w:tcPr>
          <w:p w:rsidR="00E41DF8" w:rsidRPr="00241155" w:rsidRDefault="00D13A67" w:rsidP="00F163AA">
            <w:pPr>
              <w:pStyle w:val="Tekstpodstawowy"/>
              <w:spacing w:before="80" w:after="80"/>
              <w:ind w:left="0"/>
              <w:rPr>
                <w:rFonts w:cs="Calibri"/>
                <w:b/>
                <w:sz w:val="16"/>
                <w:szCs w:val="16"/>
              </w:rPr>
            </w:pPr>
            <w:r>
              <w:rPr>
                <w:rFonts w:cs="Calibri"/>
                <w:b/>
                <w:sz w:val="16"/>
                <w:szCs w:val="16"/>
              </w:rPr>
              <w:t>TOTAL</w:t>
            </w:r>
          </w:p>
        </w:tc>
        <w:tc>
          <w:tcPr>
            <w:tcW w:w="1275" w:type="dxa"/>
            <w:tcBorders>
              <w:top w:val="single" w:sz="12" w:space="0" w:color="001D77"/>
            </w:tcBorders>
            <w:vAlign w:val="bottom"/>
          </w:tcPr>
          <w:p w:rsidR="00E41DF8" w:rsidRPr="00241155" w:rsidRDefault="00E41DF8" w:rsidP="008E07D5">
            <w:pPr>
              <w:spacing w:before="60" w:after="60" w:line="220" w:lineRule="exact"/>
              <w:ind w:right="113"/>
              <w:jc w:val="right"/>
              <w:rPr>
                <w:rFonts w:eastAsia="Times New Roman" w:cs="Calibri"/>
                <w:b/>
                <w:sz w:val="16"/>
                <w:szCs w:val="16"/>
                <w:lang w:eastAsia="pl-PL"/>
              </w:rPr>
            </w:pPr>
            <w:r w:rsidRPr="00241155">
              <w:rPr>
                <w:rFonts w:eastAsia="Times New Roman" w:cs="Calibri"/>
                <w:b/>
                <w:sz w:val="16"/>
                <w:szCs w:val="16"/>
                <w:lang w:eastAsia="pl-PL"/>
              </w:rPr>
              <w:t>16 37</w:t>
            </w:r>
            <w:r w:rsidR="008E07D5">
              <w:rPr>
                <w:rFonts w:eastAsia="Times New Roman" w:cs="Calibri"/>
                <w:b/>
                <w:sz w:val="16"/>
                <w:szCs w:val="16"/>
                <w:lang w:eastAsia="pl-PL"/>
              </w:rPr>
              <w:t>1</w:t>
            </w:r>
            <w:r w:rsidR="004D7A97">
              <w:rPr>
                <w:rFonts w:eastAsia="Times New Roman" w:cs="Calibri"/>
                <w:b/>
                <w:sz w:val="16"/>
                <w:szCs w:val="16"/>
                <w:lang w:eastAsia="pl-PL"/>
              </w:rPr>
              <w:t>.</w:t>
            </w:r>
            <w:r w:rsidRPr="00241155">
              <w:rPr>
                <w:rFonts w:eastAsia="Times New Roman" w:cs="Calibri"/>
                <w:b/>
                <w:sz w:val="16"/>
                <w:szCs w:val="16"/>
                <w:lang w:eastAsia="pl-PL"/>
              </w:rPr>
              <w:t xml:space="preserve">2 </w:t>
            </w:r>
          </w:p>
        </w:tc>
        <w:tc>
          <w:tcPr>
            <w:tcW w:w="1560" w:type="dxa"/>
            <w:tcBorders>
              <w:top w:val="single" w:sz="12" w:space="0" w:color="001D77"/>
            </w:tcBorders>
            <w:vAlign w:val="bottom"/>
          </w:tcPr>
          <w:p w:rsidR="00E41DF8" w:rsidRPr="00241155" w:rsidRDefault="00E41DF8" w:rsidP="00E41DF8">
            <w:pPr>
              <w:spacing w:before="60" w:after="60" w:line="220" w:lineRule="exact"/>
              <w:ind w:right="113"/>
              <w:jc w:val="right"/>
              <w:rPr>
                <w:rFonts w:eastAsia="Times New Roman" w:cs="Calibri"/>
                <w:b/>
                <w:sz w:val="16"/>
                <w:szCs w:val="16"/>
                <w:lang w:eastAsia="pl-PL"/>
              </w:rPr>
            </w:pPr>
            <w:r w:rsidRPr="00241155">
              <w:rPr>
                <w:rFonts w:eastAsia="Times New Roman" w:cs="Calibri"/>
                <w:b/>
                <w:sz w:val="16"/>
                <w:szCs w:val="16"/>
                <w:lang w:eastAsia="pl-PL"/>
              </w:rPr>
              <w:t>5 519</w:t>
            </w:r>
            <w:r w:rsidR="004D7A97">
              <w:rPr>
                <w:rFonts w:eastAsia="Times New Roman" w:cs="Calibri"/>
                <w:b/>
                <w:sz w:val="16"/>
                <w:szCs w:val="16"/>
                <w:lang w:eastAsia="pl-PL"/>
              </w:rPr>
              <w:t>.</w:t>
            </w:r>
            <w:r w:rsidRPr="00241155">
              <w:rPr>
                <w:rFonts w:eastAsia="Times New Roman" w:cs="Calibri"/>
                <w:b/>
                <w:sz w:val="16"/>
                <w:szCs w:val="16"/>
                <w:lang w:eastAsia="pl-PL"/>
              </w:rPr>
              <w:t xml:space="preserve">6 </w:t>
            </w:r>
          </w:p>
        </w:tc>
        <w:tc>
          <w:tcPr>
            <w:tcW w:w="1417" w:type="dxa"/>
            <w:tcBorders>
              <w:top w:val="single" w:sz="12" w:space="0" w:color="001D77"/>
            </w:tcBorders>
            <w:vAlign w:val="bottom"/>
          </w:tcPr>
          <w:p w:rsidR="00E41DF8" w:rsidRPr="00241155" w:rsidRDefault="00E41DF8" w:rsidP="00E41DF8">
            <w:pPr>
              <w:spacing w:before="60" w:after="60" w:line="220" w:lineRule="exact"/>
              <w:ind w:right="113"/>
              <w:jc w:val="right"/>
              <w:rPr>
                <w:rFonts w:eastAsia="Times New Roman" w:cs="Calibri"/>
                <w:b/>
                <w:sz w:val="16"/>
                <w:szCs w:val="16"/>
                <w:lang w:eastAsia="pl-PL"/>
              </w:rPr>
            </w:pPr>
            <w:r w:rsidRPr="00241155">
              <w:rPr>
                <w:rFonts w:eastAsia="Times New Roman" w:cs="Calibri"/>
                <w:b/>
                <w:sz w:val="16"/>
                <w:szCs w:val="16"/>
                <w:lang w:eastAsia="pl-PL"/>
              </w:rPr>
              <w:t>7 338</w:t>
            </w:r>
            <w:r w:rsidR="004D7A97">
              <w:rPr>
                <w:rFonts w:eastAsia="Times New Roman" w:cs="Calibri"/>
                <w:b/>
                <w:sz w:val="16"/>
                <w:szCs w:val="16"/>
                <w:lang w:eastAsia="pl-PL"/>
              </w:rPr>
              <w:t>.</w:t>
            </w:r>
            <w:r w:rsidRPr="00241155">
              <w:rPr>
                <w:rFonts w:eastAsia="Times New Roman" w:cs="Calibri"/>
                <w:b/>
                <w:sz w:val="16"/>
                <w:szCs w:val="16"/>
                <w:lang w:eastAsia="pl-PL"/>
              </w:rPr>
              <w:t xml:space="preserve">1 </w:t>
            </w:r>
          </w:p>
        </w:tc>
      </w:tr>
      <w:tr w:rsidR="00E41DF8" w:rsidRPr="00FB432E" w:rsidTr="00F163AA">
        <w:trPr>
          <w:cantSplit/>
          <w:trHeight w:val="113"/>
        </w:trPr>
        <w:tc>
          <w:tcPr>
            <w:tcW w:w="3261" w:type="dxa"/>
            <w:vAlign w:val="center"/>
          </w:tcPr>
          <w:p w:rsidR="00E41DF8" w:rsidRPr="00241155" w:rsidRDefault="00D13A67" w:rsidP="00F163AA">
            <w:pPr>
              <w:pStyle w:val="Tekstpodstawowy"/>
              <w:ind w:left="176"/>
              <w:rPr>
                <w:rFonts w:cs="Calibri"/>
                <w:sz w:val="16"/>
                <w:szCs w:val="16"/>
              </w:rPr>
            </w:pPr>
            <w:r>
              <w:rPr>
                <w:rFonts w:cs="Calibri"/>
                <w:sz w:val="16"/>
                <w:szCs w:val="16"/>
              </w:rPr>
              <w:t>of which</w:t>
            </w:r>
          </w:p>
        </w:tc>
        <w:tc>
          <w:tcPr>
            <w:tcW w:w="1275" w:type="dxa"/>
            <w:vAlign w:val="center"/>
          </w:tcPr>
          <w:p w:rsidR="00E41DF8" w:rsidRPr="00241155" w:rsidRDefault="00E41DF8" w:rsidP="00E41DF8">
            <w:pPr>
              <w:pStyle w:val="Tekstpodstawowy"/>
              <w:spacing w:before="80" w:after="80"/>
              <w:jc w:val="right"/>
              <w:rPr>
                <w:rFonts w:cs="Calibri"/>
                <w:sz w:val="16"/>
                <w:szCs w:val="16"/>
              </w:rPr>
            </w:pPr>
          </w:p>
        </w:tc>
        <w:tc>
          <w:tcPr>
            <w:tcW w:w="1560" w:type="dxa"/>
            <w:vAlign w:val="center"/>
          </w:tcPr>
          <w:p w:rsidR="00E41DF8" w:rsidRPr="00241155" w:rsidRDefault="00E41DF8" w:rsidP="00E41DF8">
            <w:pPr>
              <w:pStyle w:val="Tekstpodstawowy"/>
              <w:spacing w:before="80" w:after="80"/>
              <w:jc w:val="right"/>
              <w:rPr>
                <w:rFonts w:cs="Calibri"/>
                <w:sz w:val="16"/>
                <w:szCs w:val="16"/>
              </w:rPr>
            </w:pPr>
          </w:p>
        </w:tc>
        <w:tc>
          <w:tcPr>
            <w:tcW w:w="1417" w:type="dxa"/>
            <w:vAlign w:val="center"/>
          </w:tcPr>
          <w:p w:rsidR="00E41DF8" w:rsidRPr="00241155" w:rsidRDefault="00E41DF8" w:rsidP="00E41DF8">
            <w:pPr>
              <w:pStyle w:val="Tekstpodstawowy"/>
              <w:spacing w:before="80" w:after="80"/>
              <w:jc w:val="right"/>
              <w:rPr>
                <w:rFonts w:cs="Calibri"/>
                <w:sz w:val="16"/>
                <w:szCs w:val="16"/>
              </w:rPr>
            </w:pPr>
          </w:p>
        </w:tc>
      </w:tr>
      <w:tr w:rsidR="00E41DF8" w:rsidRPr="00FB432E" w:rsidTr="00E41DF8">
        <w:trPr>
          <w:cantSplit/>
          <w:trHeight w:val="189"/>
        </w:trPr>
        <w:tc>
          <w:tcPr>
            <w:tcW w:w="3261" w:type="dxa"/>
          </w:tcPr>
          <w:p w:rsidR="00E41DF8" w:rsidRPr="00241155" w:rsidRDefault="004D7A97" w:rsidP="00D13A67">
            <w:pPr>
              <w:pStyle w:val="Tekstpodstawowy"/>
              <w:spacing w:before="80" w:after="80"/>
              <w:ind w:left="0"/>
              <w:rPr>
                <w:rFonts w:cs="Calibri"/>
                <w:sz w:val="16"/>
                <w:szCs w:val="16"/>
              </w:rPr>
            </w:pPr>
            <w:r>
              <w:rPr>
                <w:rFonts w:cs="Calibri"/>
                <w:sz w:val="16"/>
                <w:szCs w:val="16"/>
              </w:rPr>
              <w:t>g</w:t>
            </w:r>
            <w:r w:rsidR="00E41DF8" w:rsidRPr="00241155">
              <w:rPr>
                <w:rFonts w:cs="Calibri"/>
                <w:sz w:val="16"/>
                <w:szCs w:val="16"/>
              </w:rPr>
              <w:t>min</w:t>
            </w:r>
            <w:r w:rsidR="00D13A67">
              <w:rPr>
                <w:rFonts w:cs="Calibri"/>
                <w:sz w:val="16"/>
                <w:szCs w:val="16"/>
              </w:rPr>
              <w:t>as</w:t>
            </w:r>
            <w:r>
              <w:rPr>
                <w:rFonts w:cs="Calibri"/>
                <w:sz w:val="16"/>
                <w:szCs w:val="16"/>
              </w:rPr>
              <w:t xml:space="preserve"> (municipal)</w:t>
            </w:r>
          </w:p>
        </w:tc>
        <w:tc>
          <w:tcPr>
            <w:tcW w:w="1275" w:type="dxa"/>
            <w:vAlign w:val="bottom"/>
          </w:tcPr>
          <w:p w:rsidR="00E41DF8" w:rsidRPr="00241155" w:rsidRDefault="00E41DF8" w:rsidP="00E41DF8">
            <w:pPr>
              <w:spacing w:before="60" w:after="60" w:line="220" w:lineRule="exact"/>
              <w:ind w:right="113"/>
              <w:jc w:val="right"/>
              <w:rPr>
                <w:rFonts w:eastAsia="Times New Roman" w:cs="Calibri"/>
                <w:sz w:val="16"/>
                <w:szCs w:val="16"/>
                <w:lang w:eastAsia="pl-PL"/>
              </w:rPr>
            </w:pPr>
            <w:r w:rsidRPr="00241155">
              <w:rPr>
                <w:rFonts w:eastAsia="Times New Roman" w:cs="Calibri"/>
                <w:sz w:val="16"/>
                <w:szCs w:val="16"/>
                <w:lang w:eastAsia="pl-PL"/>
              </w:rPr>
              <w:t>1 653</w:t>
            </w:r>
            <w:r w:rsidR="004D7A97">
              <w:rPr>
                <w:rFonts w:eastAsia="Times New Roman" w:cs="Calibri"/>
                <w:sz w:val="16"/>
                <w:szCs w:val="16"/>
                <w:lang w:eastAsia="pl-PL"/>
              </w:rPr>
              <w:t>.</w:t>
            </w:r>
            <w:r w:rsidRPr="00241155">
              <w:rPr>
                <w:rFonts w:eastAsia="Times New Roman" w:cs="Calibri"/>
                <w:sz w:val="16"/>
                <w:szCs w:val="16"/>
                <w:lang w:eastAsia="pl-PL"/>
              </w:rPr>
              <w:t xml:space="preserve">6 </w:t>
            </w:r>
          </w:p>
        </w:tc>
        <w:tc>
          <w:tcPr>
            <w:tcW w:w="1560" w:type="dxa"/>
            <w:vAlign w:val="bottom"/>
          </w:tcPr>
          <w:p w:rsidR="00E41DF8" w:rsidRPr="00241155" w:rsidRDefault="00E41DF8" w:rsidP="00E41DF8">
            <w:pPr>
              <w:spacing w:before="60" w:after="60" w:line="220" w:lineRule="exact"/>
              <w:ind w:right="113"/>
              <w:jc w:val="right"/>
              <w:rPr>
                <w:rFonts w:eastAsia="Times New Roman" w:cs="Calibri"/>
                <w:sz w:val="16"/>
                <w:szCs w:val="16"/>
                <w:lang w:eastAsia="pl-PL"/>
              </w:rPr>
            </w:pPr>
            <w:r w:rsidRPr="00241155">
              <w:rPr>
                <w:rFonts w:eastAsia="Times New Roman" w:cs="Calibri"/>
                <w:sz w:val="16"/>
                <w:szCs w:val="16"/>
                <w:lang w:eastAsia="pl-PL"/>
              </w:rPr>
              <w:t>672</w:t>
            </w:r>
            <w:r w:rsidR="004D7A97">
              <w:rPr>
                <w:rFonts w:eastAsia="Times New Roman" w:cs="Calibri"/>
                <w:sz w:val="16"/>
                <w:szCs w:val="16"/>
                <w:lang w:eastAsia="pl-PL"/>
              </w:rPr>
              <w:t>.</w:t>
            </w:r>
            <w:r w:rsidRPr="00241155">
              <w:rPr>
                <w:rFonts w:eastAsia="Times New Roman" w:cs="Calibri"/>
                <w:sz w:val="16"/>
                <w:szCs w:val="16"/>
                <w:lang w:eastAsia="pl-PL"/>
              </w:rPr>
              <w:t xml:space="preserve">1 </w:t>
            </w:r>
          </w:p>
        </w:tc>
        <w:tc>
          <w:tcPr>
            <w:tcW w:w="1417" w:type="dxa"/>
            <w:vAlign w:val="bottom"/>
          </w:tcPr>
          <w:p w:rsidR="00E41DF8" w:rsidRPr="00241155" w:rsidRDefault="00E41DF8" w:rsidP="00E41DF8">
            <w:pPr>
              <w:spacing w:before="60" w:after="60" w:line="220" w:lineRule="exact"/>
              <w:ind w:right="113"/>
              <w:jc w:val="right"/>
              <w:rPr>
                <w:rFonts w:eastAsia="Times New Roman" w:cs="Calibri"/>
                <w:sz w:val="16"/>
                <w:szCs w:val="16"/>
                <w:lang w:eastAsia="pl-PL"/>
              </w:rPr>
            </w:pPr>
            <w:r w:rsidRPr="00241155">
              <w:rPr>
                <w:rFonts w:eastAsia="Times New Roman" w:cs="Calibri"/>
                <w:sz w:val="16"/>
                <w:szCs w:val="16"/>
                <w:lang w:eastAsia="pl-PL"/>
              </w:rPr>
              <w:t>638</w:t>
            </w:r>
            <w:r w:rsidR="004D7A97">
              <w:rPr>
                <w:rFonts w:eastAsia="Times New Roman" w:cs="Calibri"/>
                <w:sz w:val="16"/>
                <w:szCs w:val="16"/>
                <w:lang w:eastAsia="pl-PL"/>
              </w:rPr>
              <w:t>.</w:t>
            </w:r>
            <w:r w:rsidRPr="00241155">
              <w:rPr>
                <w:rFonts w:eastAsia="Times New Roman" w:cs="Calibri"/>
                <w:sz w:val="16"/>
                <w:szCs w:val="16"/>
                <w:lang w:eastAsia="pl-PL"/>
              </w:rPr>
              <w:t xml:space="preserve">5 </w:t>
            </w:r>
          </w:p>
        </w:tc>
      </w:tr>
      <w:tr w:rsidR="00E41DF8" w:rsidRPr="00FB432E" w:rsidTr="00E41DF8">
        <w:trPr>
          <w:cantSplit/>
          <w:trHeight w:val="194"/>
        </w:trPr>
        <w:tc>
          <w:tcPr>
            <w:tcW w:w="3261" w:type="dxa"/>
          </w:tcPr>
          <w:p w:rsidR="00E41DF8" w:rsidRPr="00241155" w:rsidRDefault="00D13A67" w:rsidP="00F163AA">
            <w:pPr>
              <w:pStyle w:val="Tekstpodstawowy"/>
              <w:spacing w:before="80" w:after="80"/>
              <w:ind w:left="0"/>
              <w:rPr>
                <w:rFonts w:cs="Calibri"/>
                <w:sz w:val="16"/>
                <w:szCs w:val="16"/>
              </w:rPr>
            </w:pPr>
            <w:r>
              <w:rPr>
                <w:rFonts w:cs="Calibri"/>
                <w:sz w:val="16"/>
                <w:szCs w:val="16"/>
              </w:rPr>
              <w:t>housing cooperatives</w:t>
            </w:r>
          </w:p>
        </w:tc>
        <w:tc>
          <w:tcPr>
            <w:tcW w:w="1275" w:type="dxa"/>
            <w:vAlign w:val="bottom"/>
          </w:tcPr>
          <w:p w:rsidR="00E41DF8" w:rsidRPr="00241155" w:rsidRDefault="00E41DF8" w:rsidP="008E07D5">
            <w:pPr>
              <w:spacing w:before="60" w:after="60" w:line="220" w:lineRule="exact"/>
              <w:ind w:right="113"/>
              <w:jc w:val="right"/>
              <w:rPr>
                <w:rFonts w:eastAsia="Times New Roman" w:cs="Calibri"/>
                <w:sz w:val="16"/>
                <w:szCs w:val="16"/>
                <w:lang w:eastAsia="pl-PL"/>
              </w:rPr>
            </w:pPr>
            <w:r w:rsidRPr="00241155">
              <w:rPr>
                <w:rFonts w:eastAsia="Times New Roman" w:cs="Calibri"/>
                <w:sz w:val="16"/>
                <w:szCs w:val="16"/>
                <w:lang w:eastAsia="pl-PL"/>
              </w:rPr>
              <w:t>8 63</w:t>
            </w:r>
            <w:r w:rsidR="008E07D5">
              <w:rPr>
                <w:rFonts w:eastAsia="Times New Roman" w:cs="Calibri"/>
                <w:sz w:val="16"/>
                <w:szCs w:val="16"/>
                <w:lang w:eastAsia="pl-PL"/>
              </w:rPr>
              <w:t>3</w:t>
            </w:r>
            <w:r w:rsidR="004D7A97">
              <w:rPr>
                <w:rFonts w:eastAsia="Times New Roman" w:cs="Calibri"/>
                <w:sz w:val="16"/>
                <w:szCs w:val="16"/>
                <w:lang w:eastAsia="pl-PL"/>
              </w:rPr>
              <w:t>.</w:t>
            </w:r>
            <w:r w:rsidRPr="00241155">
              <w:rPr>
                <w:rFonts w:eastAsia="Times New Roman" w:cs="Calibri"/>
                <w:sz w:val="16"/>
                <w:szCs w:val="16"/>
                <w:lang w:eastAsia="pl-PL"/>
              </w:rPr>
              <w:t xml:space="preserve">9 </w:t>
            </w:r>
          </w:p>
        </w:tc>
        <w:tc>
          <w:tcPr>
            <w:tcW w:w="1560" w:type="dxa"/>
            <w:vAlign w:val="bottom"/>
          </w:tcPr>
          <w:p w:rsidR="00E41DF8" w:rsidRPr="00241155" w:rsidRDefault="00E41DF8" w:rsidP="00E41DF8">
            <w:pPr>
              <w:spacing w:before="60" w:after="60" w:line="220" w:lineRule="exact"/>
              <w:ind w:right="113"/>
              <w:jc w:val="right"/>
              <w:rPr>
                <w:rFonts w:eastAsia="Times New Roman" w:cs="Calibri"/>
                <w:sz w:val="16"/>
                <w:szCs w:val="16"/>
                <w:lang w:eastAsia="pl-PL"/>
              </w:rPr>
            </w:pPr>
            <w:r w:rsidRPr="00241155">
              <w:rPr>
                <w:rFonts w:eastAsia="Times New Roman" w:cs="Calibri"/>
                <w:sz w:val="16"/>
                <w:szCs w:val="16"/>
                <w:lang w:eastAsia="pl-PL"/>
              </w:rPr>
              <w:t>2 606</w:t>
            </w:r>
            <w:r w:rsidR="004D7A97">
              <w:rPr>
                <w:rFonts w:eastAsia="Times New Roman" w:cs="Calibri"/>
                <w:sz w:val="16"/>
                <w:szCs w:val="16"/>
                <w:lang w:eastAsia="pl-PL"/>
              </w:rPr>
              <w:t>.</w:t>
            </w:r>
            <w:r w:rsidRPr="00241155">
              <w:rPr>
                <w:rFonts w:eastAsia="Times New Roman" w:cs="Calibri"/>
                <w:sz w:val="16"/>
                <w:szCs w:val="16"/>
                <w:lang w:eastAsia="pl-PL"/>
              </w:rPr>
              <w:t xml:space="preserve">2 </w:t>
            </w:r>
          </w:p>
        </w:tc>
        <w:tc>
          <w:tcPr>
            <w:tcW w:w="1417" w:type="dxa"/>
            <w:vAlign w:val="bottom"/>
          </w:tcPr>
          <w:p w:rsidR="00E41DF8" w:rsidRPr="00241155" w:rsidRDefault="00E41DF8" w:rsidP="00E41DF8">
            <w:pPr>
              <w:spacing w:before="60" w:after="60" w:line="220" w:lineRule="exact"/>
              <w:ind w:right="113"/>
              <w:jc w:val="right"/>
              <w:rPr>
                <w:rFonts w:eastAsia="Times New Roman" w:cs="Calibri"/>
                <w:sz w:val="16"/>
                <w:szCs w:val="16"/>
                <w:lang w:eastAsia="pl-PL"/>
              </w:rPr>
            </w:pPr>
            <w:r w:rsidRPr="00241155">
              <w:rPr>
                <w:rFonts w:eastAsia="Times New Roman" w:cs="Calibri"/>
                <w:sz w:val="16"/>
                <w:szCs w:val="16"/>
                <w:lang w:eastAsia="pl-PL"/>
              </w:rPr>
              <w:t>3 786</w:t>
            </w:r>
            <w:r w:rsidR="004D7A97">
              <w:rPr>
                <w:rFonts w:eastAsia="Times New Roman" w:cs="Calibri"/>
                <w:sz w:val="16"/>
                <w:szCs w:val="16"/>
                <w:lang w:eastAsia="pl-PL"/>
              </w:rPr>
              <w:t>.</w:t>
            </w:r>
            <w:r w:rsidRPr="00241155">
              <w:rPr>
                <w:rFonts w:eastAsia="Times New Roman" w:cs="Calibri"/>
                <w:sz w:val="16"/>
                <w:szCs w:val="16"/>
                <w:lang w:eastAsia="pl-PL"/>
              </w:rPr>
              <w:t xml:space="preserve">8 </w:t>
            </w:r>
          </w:p>
        </w:tc>
      </w:tr>
      <w:tr w:rsidR="00E41DF8" w:rsidRPr="00FB432E" w:rsidTr="00E41DF8">
        <w:trPr>
          <w:cantSplit/>
          <w:trHeight w:val="193"/>
        </w:trPr>
        <w:tc>
          <w:tcPr>
            <w:tcW w:w="3261" w:type="dxa"/>
          </w:tcPr>
          <w:p w:rsidR="00E41DF8" w:rsidRPr="00241155" w:rsidRDefault="00D13A67" w:rsidP="00F163AA">
            <w:pPr>
              <w:pStyle w:val="Tekstpodstawowy"/>
              <w:spacing w:before="80" w:after="80"/>
              <w:ind w:left="0"/>
              <w:rPr>
                <w:rFonts w:cs="Calibri"/>
                <w:sz w:val="16"/>
                <w:szCs w:val="16"/>
              </w:rPr>
            </w:pPr>
            <w:r>
              <w:rPr>
                <w:rFonts w:cs="Calibri"/>
                <w:sz w:val="16"/>
                <w:szCs w:val="16"/>
              </w:rPr>
              <w:t>State Treasury</w:t>
            </w:r>
          </w:p>
        </w:tc>
        <w:tc>
          <w:tcPr>
            <w:tcW w:w="1275" w:type="dxa"/>
            <w:vAlign w:val="bottom"/>
          </w:tcPr>
          <w:p w:rsidR="00E41DF8" w:rsidRPr="00241155" w:rsidRDefault="00E41DF8" w:rsidP="00E41DF8">
            <w:pPr>
              <w:spacing w:before="60" w:after="60" w:line="220" w:lineRule="exact"/>
              <w:ind w:right="113"/>
              <w:jc w:val="right"/>
              <w:rPr>
                <w:rFonts w:eastAsia="Times New Roman" w:cs="Calibri"/>
                <w:sz w:val="16"/>
                <w:szCs w:val="16"/>
                <w:lang w:eastAsia="pl-PL"/>
              </w:rPr>
            </w:pPr>
            <w:r w:rsidRPr="00241155">
              <w:rPr>
                <w:rFonts w:eastAsia="Times New Roman" w:cs="Calibri"/>
                <w:sz w:val="16"/>
                <w:szCs w:val="16"/>
                <w:lang w:eastAsia="pl-PL"/>
              </w:rPr>
              <w:t>45</w:t>
            </w:r>
            <w:r w:rsidR="004D7A97">
              <w:rPr>
                <w:rFonts w:eastAsia="Times New Roman" w:cs="Calibri"/>
                <w:sz w:val="16"/>
                <w:szCs w:val="16"/>
                <w:lang w:eastAsia="pl-PL"/>
              </w:rPr>
              <w:t>.</w:t>
            </w:r>
            <w:r w:rsidRPr="00241155">
              <w:rPr>
                <w:rFonts w:eastAsia="Times New Roman" w:cs="Calibri"/>
                <w:sz w:val="16"/>
                <w:szCs w:val="16"/>
                <w:lang w:eastAsia="pl-PL"/>
              </w:rPr>
              <w:t xml:space="preserve">1 </w:t>
            </w:r>
          </w:p>
        </w:tc>
        <w:tc>
          <w:tcPr>
            <w:tcW w:w="1560" w:type="dxa"/>
            <w:vAlign w:val="bottom"/>
          </w:tcPr>
          <w:p w:rsidR="00E41DF8" w:rsidRPr="00241155" w:rsidRDefault="00E41DF8" w:rsidP="00E41DF8">
            <w:pPr>
              <w:spacing w:before="60" w:after="60" w:line="220" w:lineRule="exact"/>
              <w:ind w:right="113"/>
              <w:jc w:val="right"/>
              <w:rPr>
                <w:rFonts w:eastAsia="Times New Roman" w:cs="Calibri"/>
                <w:sz w:val="16"/>
                <w:szCs w:val="16"/>
                <w:lang w:eastAsia="pl-PL"/>
              </w:rPr>
            </w:pPr>
            <w:r w:rsidRPr="00241155">
              <w:rPr>
                <w:rFonts w:eastAsia="Times New Roman" w:cs="Calibri"/>
                <w:sz w:val="16"/>
                <w:szCs w:val="16"/>
                <w:lang w:eastAsia="pl-PL"/>
              </w:rPr>
              <w:t>30</w:t>
            </w:r>
            <w:r w:rsidR="004D7A97">
              <w:rPr>
                <w:rFonts w:eastAsia="Times New Roman" w:cs="Calibri"/>
                <w:sz w:val="16"/>
                <w:szCs w:val="16"/>
                <w:lang w:eastAsia="pl-PL"/>
              </w:rPr>
              <w:t>.</w:t>
            </w:r>
            <w:r w:rsidRPr="00241155">
              <w:rPr>
                <w:rFonts w:eastAsia="Times New Roman" w:cs="Calibri"/>
                <w:sz w:val="16"/>
                <w:szCs w:val="16"/>
                <w:lang w:eastAsia="pl-PL"/>
              </w:rPr>
              <w:t>0</w:t>
            </w:r>
          </w:p>
        </w:tc>
        <w:tc>
          <w:tcPr>
            <w:tcW w:w="1417" w:type="dxa"/>
            <w:vAlign w:val="bottom"/>
          </w:tcPr>
          <w:p w:rsidR="00E41DF8" w:rsidRPr="00241155" w:rsidRDefault="00E41DF8" w:rsidP="00E41DF8">
            <w:pPr>
              <w:spacing w:before="60" w:after="60" w:line="220" w:lineRule="exact"/>
              <w:ind w:right="113"/>
              <w:jc w:val="right"/>
              <w:rPr>
                <w:rFonts w:eastAsia="Times New Roman" w:cs="Calibri"/>
                <w:sz w:val="16"/>
                <w:szCs w:val="16"/>
                <w:lang w:eastAsia="pl-PL"/>
              </w:rPr>
            </w:pPr>
            <w:r w:rsidRPr="00241155">
              <w:rPr>
                <w:rFonts w:eastAsia="Times New Roman" w:cs="Calibri"/>
                <w:sz w:val="16"/>
                <w:szCs w:val="16"/>
                <w:lang w:eastAsia="pl-PL"/>
              </w:rPr>
              <w:t>8</w:t>
            </w:r>
            <w:r w:rsidR="004D7A97">
              <w:rPr>
                <w:rFonts w:eastAsia="Times New Roman" w:cs="Calibri"/>
                <w:sz w:val="16"/>
                <w:szCs w:val="16"/>
                <w:lang w:eastAsia="pl-PL"/>
              </w:rPr>
              <w:t>.</w:t>
            </w:r>
            <w:r w:rsidRPr="00241155">
              <w:rPr>
                <w:rFonts w:eastAsia="Times New Roman" w:cs="Calibri"/>
                <w:sz w:val="16"/>
                <w:szCs w:val="16"/>
                <w:lang w:eastAsia="pl-PL"/>
              </w:rPr>
              <w:t xml:space="preserve">0 </w:t>
            </w:r>
          </w:p>
        </w:tc>
      </w:tr>
      <w:tr w:rsidR="00E41DF8" w:rsidRPr="00FB432E" w:rsidTr="00E41DF8">
        <w:trPr>
          <w:cantSplit/>
          <w:trHeight w:val="207"/>
        </w:trPr>
        <w:tc>
          <w:tcPr>
            <w:tcW w:w="3261" w:type="dxa"/>
          </w:tcPr>
          <w:p w:rsidR="00E41DF8" w:rsidRPr="00241155" w:rsidRDefault="00D13A67" w:rsidP="00F163AA">
            <w:pPr>
              <w:pStyle w:val="Tekstpodstawowy"/>
              <w:spacing w:before="80" w:after="80"/>
              <w:ind w:left="0"/>
              <w:rPr>
                <w:rFonts w:cs="Calibri"/>
                <w:sz w:val="16"/>
                <w:szCs w:val="16"/>
              </w:rPr>
            </w:pPr>
            <w:r>
              <w:rPr>
                <w:rFonts w:cs="Calibri"/>
                <w:sz w:val="16"/>
                <w:szCs w:val="16"/>
              </w:rPr>
              <w:t>companies</w:t>
            </w:r>
          </w:p>
        </w:tc>
        <w:tc>
          <w:tcPr>
            <w:tcW w:w="1275" w:type="dxa"/>
            <w:vAlign w:val="bottom"/>
          </w:tcPr>
          <w:p w:rsidR="00E41DF8" w:rsidRPr="00241155" w:rsidRDefault="00E41DF8" w:rsidP="00E41DF8">
            <w:pPr>
              <w:spacing w:before="60" w:after="60" w:line="220" w:lineRule="exact"/>
              <w:ind w:right="113"/>
              <w:jc w:val="right"/>
              <w:rPr>
                <w:rFonts w:eastAsia="Times New Roman" w:cs="Calibri"/>
                <w:sz w:val="16"/>
                <w:szCs w:val="16"/>
                <w:lang w:eastAsia="pl-PL"/>
              </w:rPr>
            </w:pPr>
            <w:r w:rsidRPr="00241155">
              <w:rPr>
                <w:rFonts w:eastAsia="Times New Roman" w:cs="Calibri"/>
                <w:sz w:val="16"/>
                <w:szCs w:val="16"/>
                <w:lang w:eastAsia="pl-PL"/>
              </w:rPr>
              <w:t>58</w:t>
            </w:r>
            <w:r w:rsidR="004D7A97">
              <w:rPr>
                <w:rFonts w:eastAsia="Times New Roman" w:cs="Calibri"/>
                <w:sz w:val="16"/>
                <w:szCs w:val="16"/>
                <w:lang w:eastAsia="pl-PL"/>
              </w:rPr>
              <w:t>.</w:t>
            </w:r>
            <w:r w:rsidRPr="00241155">
              <w:rPr>
                <w:rFonts w:eastAsia="Times New Roman" w:cs="Calibri"/>
                <w:sz w:val="16"/>
                <w:szCs w:val="16"/>
                <w:lang w:eastAsia="pl-PL"/>
              </w:rPr>
              <w:t xml:space="preserve">4 </w:t>
            </w:r>
          </w:p>
        </w:tc>
        <w:tc>
          <w:tcPr>
            <w:tcW w:w="1560" w:type="dxa"/>
            <w:vAlign w:val="bottom"/>
          </w:tcPr>
          <w:p w:rsidR="00E41DF8" w:rsidRPr="00241155" w:rsidRDefault="00E41DF8" w:rsidP="00E41DF8">
            <w:pPr>
              <w:spacing w:before="60" w:after="60" w:line="220" w:lineRule="exact"/>
              <w:ind w:right="113"/>
              <w:jc w:val="right"/>
              <w:rPr>
                <w:rFonts w:eastAsia="Times New Roman" w:cs="Calibri"/>
                <w:sz w:val="16"/>
                <w:szCs w:val="16"/>
                <w:lang w:eastAsia="pl-PL"/>
              </w:rPr>
            </w:pPr>
            <w:r w:rsidRPr="00241155">
              <w:rPr>
                <w:rFonts w:eastAsia="Times New Roman" w:cs="Calibri"/>
                <w:sz w:val="16"/>
                <w:szCs w:val="16"/>
                <w:lang w:eastAsia="pl-PL"/>
              </w:rPr>
              <w:t>25</w:t>
            </w:r>
            <w:r w:rsidR="004D7A97">
              <w:rPr>
                <w:rFonts w:eastAsia="Times New Roman" w:cs="Calibri"/>
                <w:sz w:val="16"/>
                <w:szCs w:val="16"/>
                <w:lang w:eastAsia="pl-PL"/>
              </w:rPr>
              <w:t>.</w:t>
            </w:r>
            <w:r w:rsidRPr="00241155">
              <w:rPr>
                <w:rFonts w:eastAsia="Times New Roman" w:cs="Calibri"/>
                <w:sz w:val="16"/>
                <w:szCs w:val="16"/>
                <w:lang w:eastAsia="pl-PL"/>
              </w:rPr>
              <w:t xml:space="preserve">3 </w:t>
            </w:r>
          </w:p>
        </w:tc>
        <w:tc>
          <w:tcPr>
            <w:tcW w:w="1417" w:type="dxa"/>
            <w:vAlign w:val="bottom"/>
          </w:tcPr>
          <w:p w:rsidR="00E41DF8" w:rsidRPr="00241155" w:rsidRDefault="00E41DF8" w:rsidP="00E41DF8">
            <w:pPr>
              <w:spacing w:before="60" w:after="60" w:line="220" w:lineRule="exact"/>
              <w:ind w:right="113"/>
              <w:jc w:val="right"/>
              <w:rPr>
                <w:rFonts w:eastAsia="Times New Roman" w:cs="Calibri"/>
                <w:sz w:val="16"/>
                <w:szCs w:val="16"/>
                <w:lang w:eastAsia="pl-PL"/>
              </w:rPr>
            </w:pPr>
            <w:r w:rsidRPr="00241155">
              <w:rPr>
                <w:rFonts w:eastAsia="Times New Roman" w:cs="Calibri"/>
                <w:sz w:val="16"/>
                <w:szCs w:val="16"/>
                <w:lang w:eastAsia="pl-PL"/>
              </w:rPr>
              <w:t>22</w:t>
            </w:r>
            <w:r w:rsidR="004D7A97">
              <w:rPr>
                <w:rFonts w:eastAsia="Times New Roman" w:cs="Calibri"/>
                <w:sz w:val="16"/>
                <w:szCs w:val="16"/>
                <w:lang w:eastAsia="pl-PL"/>
              </w:rPr>
              <w:t>.</w:t>
            </w:r>
            <w:r w:rsidRPr="00241155">
              <w:rPr>
                <w:rFonts w:eastAsia="Times New Roman" w:cs="Calibri"/>
                <w:sz w:val="16"/>
                <w:szCs w:val="16"/>
                <w:lang w:eastAsia="pl-PL"/>
              </w:rPr>
              <w:t xml:space="preserve">7 </w:t>
            </w:r>
          </w:p>
        </w:tc>
      </w:tr>
      <w:tr w:rsidR="00E41DF8" w:rsidRPr="00FB432E" w:rsidTr="00E41DF8">
        <w:trPr>
          <w:cantSplit/>
          <w:trHeight w:val="192"/>
        </w:trPr>
        <w:tc>
          <w:tcPr>
            <w:tcW w:w="3261" w:type="dxa"/>
          </w:tcPr>
          <w:p w:rsidR="00E41DF8" w:rsidRPr="00241155" w:rsidRDefault="00496D3A" w:rsidP="00F163AA">
            <w:pPr>
              <w:pStyle w:val="Tekstpodstawowy"/>
              <w:spacing w:before="80" w:after="80"/>
              <w:ind w:left="0"/>
              <w:rPr>
                <w:rFonts w:cs="Calibri"/>
                <w:sz w:val="16"/>
                <w:szCs w:val="16"/>
              </w:rPr>
            </w:pPr>
            <w:r>
              <w:rPr>
                <w:rFonts w:cs="Calibri"/>
                <w:sz w:val="16"/>
                <w:szCs w:val="16"/>
              </w:rPr>
              <w:t>h</w:t>
            </w:r>
            <w:r w:rsidR="00D13A67">
              <w:rPr>
                <w:rFonts w:cs="Calibri"/>
                <w:sz w:val="16"/>
                <w:szCs w:val="16"/>
              </w:rPr>
              <w:t>ousing condominiums</w:t>
            </w:r>
          </w:p>
        </w:tc>
        <w:tc>
          <w:tcPr>
            <w:tcW w:w="1275" w:type="dxa"/>
            <w:vAlign w:val="bottom"/>
          </w:tcPr>
          <w:p w:rsidR="00E41DF8" w:rsidRPr="00241155" w:rsidRDefault="00E41DF8" w:rsidP="00E41DF8">
            <w:pPr>
              <w:spacing w:before="60" w:after="60" w:line="220" w:lineRule="exact"/>
              <w:ind w:right="113"/>
              <w:jc w:val="right"/>
              <w:rPr>
                <w:rFonts w:eastAsia="Times New Roman" w:cs="Calibri"/>
                <w:sz w:val="16"/>
                <w:szCs w:val="16"/>
                <w:lang w:eastAsia="pl-PL"/>
              </w:rPr>
            </w:pPr>
            <w:r w:rsidRPr="00241155">
              <w:rPr>
                <w:rFonts w:eastAsia="Times New Roman" w:cs="Calibri"/>
                <w:sz w:val="16"/>
                <w:szCs w:val="16"/>
                <w:lang w:eastAsia="pl-PL"/>
              </w:rPr>
              <w:t>5 642</w:t>
            </w:r>
            <w:r w:rsidR="004D7A97">
              <w:rPr>
                <w:rFonts w:eastAsia="Times New Roman" w:cs="Calibri"/>
                <w:sz w:val="16"/>
                <w:szCs w:val="16"/>
                <w:lang w:eastAsia="pl-PL"/>
              </w:rPr>
              <w:t>.</w:t>
            </w:r>
            <w:r w:rsidRPr="00241155">
              <w:rPr>
                <w:rFonts w:eastAsia="Times New Roman" w:cs="Calibri"/>
                <w:sz w:val="16"/>
                <w:szCs w:val="16"/>
                <w:lang w:eastAsia="pl-PL"/>
              </w:rPr>
              <w:t xml:space="preserve">4 </w:t>
            </w:r>
          </w:p>
        </w:tc>
        <w:tc>
          <w:tcPr>
            <w:tcW w:w="1560" w:type="dxa"/>
            <w:vAlign w:val="bottom"/>
          </w:tcPr>
          <w:p w:rsidR="00E41DF8" w:rsidRPr="00241155" w:rsidRDefault="00E41DF8" w:rsidP="00E41DF8">
            <w:pPr>
              <w:spacing w:before="60" w:after="60" w:line="220" w:lineRule="exact"/>
              <w:ind w:right="113"/>
              <w:jc w:val="right"/>
              <w:rPr>
                <w:rFonts w:eastAsia="Times New Roman" w:cs="Calibri"/>
                <w:sz w:val="16"/>
                <w:szCs w:val="16"/>
                <w:lang w:eastAsia="pl-PL"/>
              </w:rPr>
            </w:pPr>
            <w:r w:rsidRPr="00241155">
              <w:rPr>
                <w:rFonts w:eastAsia="Times New Roman" w:cs="Calibri"/>
                <w:sz w:val="16"/>
                <w:szCs w:val="16"/>
                <w:lang w:eastAsia="pl-PL"/>
              </w:rPr>
              <w:t>2</w:t>
            </w:r>
            <w:r w:rsidR="008E07D5">
              <w:rPr>
                <w:rFonts w:eastAsia="Times New Roman" w:cs="Calibri"/>
                <w:sz w:val="16"/>
                <w:szCs w:val="16"/>
                <w:lang w:eastAsia="pl-PL"/>
              </w:rPr>
              <w:t xml:space="preserve"> </w:t>
            </w:r>
            <w:r w:rsidRPr="00241155">
              <w:rPr>
                <w:rFonts w:eastAsia="Times New Roman" w:cs="Calibri"/>
                <w:sz w:val="16"/>
                <w:szCs w:val="16"/>
                <w:lang w:eastAsia="pl-PL"/>
              </w:rPr>
              <w:t>007</w:t>
            </w:r>
            <w:r w:rsidR="004D7A97">
              <w:rPr>
                <w:rFonts w:eastAsia="Times New Roman" w:cs="Calibri"/>
                <w:sz w:val="16"/>
                <w:szCs w:val="16"/>
                <w:lang w:eastAsia="pl-PL"/>
              </w:rPr>
              <w:t>.</w:t>
            </w:r>
            <w:r w:rsidRPr="00241155">
              <w:rPr>
                <w:rFonts w:eastAsia="Times New Roman" w:cs="Calibri"/>
                <w:sz w:val="16"/>
                <w:szCs w:val="16"/>
                <w:lang w:eastAsia="pl-PL"/>
              </w:rPr>
              <w:t xml:space="preserve">4 </w:t>
            </w:r>
          </w:p>
        </w:tc>
        <w:tc>
          <w:tcPr>
            <w:tcW w:w="1417" w:type="dxa"/>
            <w:vAlign w:val="bottom"/>
          </w:tcPr>
          <w:p w:rsidR="00E41DF8" w:rsidRPr="00241155" w:rsidRDefault="00E41DF8" w:rsidP="00E41DF8">
            <w:pPr>
              <w:spacing w:before="60" w:after="60" w:line="220" w:lineRule="exact"/>
              <w:ind w:right="113"/>
              <w:jc w:val="right"/>
              <w:rPr>
                <w:rFonts w:eastAsia="Times New Roman" w:cs="Calibri"/>
                <w:sz w:val="16"/>
                <w:szCs w:val="16"/>
                <w:lang w:eastAsia="pl-PL"/>
              </w:rPr>
            </w:pPr>
            <w:r w:rsidRPr="00241155">
              <w:rPr>
                <w:rFonts w:eastAsia="Times New Roman" w:cs="Calibri"/>
                <w:sz w:val="16"/>
                <w:szCs w:val="16"/>
                <w:lang w:eastAsia="pl-PL"/>
              </w:rPr>
              <w:t>2</w:t>
            </w:r>
            <w:r w:rsidR="008E07D5">
              <w:rPr>
                <w:rFonts w:eastAsia="Times New Roman" w:cs="Calibri"/>
                <w:sz w:val="16"/>
                <w:szCs w:val="16"/>
                <w:lang w:eastAsia="pl-PL"/>
              </w:rPr>
              <w:t xml:space="preserve"> </w:t>
            </w:r>
            <w:r w:rsidRPr="00241155">
              <w:rPr>
                <w:rFonts w:eastAsia="Times New Roman" w:cs="Calibri"/>
                <w:sz w:val="16"/>
                <w:szCs w:val="16"/>
                <w:lang w:eastAsia="pl-PL"/>
              </w:rPr>
              <w:t>800</w:t>
            </w:r>
            <w:r w:rsidR="004D7A97">
              <w:rPr>
                <w:rFonts w:eastAsia="Times New Roman" w:cs="Calibri"/>
                <w:sz w:val="16"/>
                <w:szCs w:val="16"/>
                <w:lang w:eastAsia="pl-PL"/>
              </w:rPr>
              <w:t>.</w:t>
            </w:r>
            <w:r w:rsidRPr="00241155">
              <w:rPr>
                <w:rFonts w:eastAsia="Times New Roman" w:cs="Calibri"/>
                <w:sz w:val="16"/>
                <w:szCs w:val="16"/>
                <w:lang w:eastAsia="pl-PL"/>
              </w:rPr>
              <w:t xml:space="preserve">0 </w:t>
            </w:r>
          </w:p>
        </w:tc>
      </w:tr>
      <w:tr w:rsidR="00E41DF8" w:rsidRPr="00FB432E" w:rsidTr="00E41DF8">
        <w:trPr>
          <w:cantSplit/>
          <w:trHeight w:val="225"/>
        </w:trPr>
        <w:tc>
          <w:tcPr>
            <w:tcW w:w="3261" w:type="dxa"/>
          </w:tcPr>
          <w:p w:rsidR="00E41DF8" w:rsidRPr="00241155" w:rsidRDefault="00BF23BF" w:rsidP="00F163AA">
            <w:pPr>
              <w:pStyle w:val="Tekstpodstawowy"/>
              <w:spacing w:before="80" w:after="80"/>
              <w:ind w:left="0"/>
              <w:rPr>
                <w:rFonts w:cs="Calibri"/>
                <w:sz w:val="16"/>
                <w:szCs w:val="16"/>
              </w:rPr>
            </w:pPr>
            <w:r>
              <w:rPr>
                <w:rFonts w:cs="Calibri"/>
                <w:sz w:val="16"/>
                <w:szCs w:val="16"/>
              </w:rPr>
              <w:t>public</w:t>
            </w:r>
            <w:r w:rsidR="00D13A67" w:rsidRPr="00D13A67">
              <w:rPr>
                <w:rFonts w:cs="Calibri"/>
                <w:sz w:val="16"/>
                <w:szCs w:val="16"/>
              </w:rPr>
              <w:t xml:space="preserve"> building societies</w:t>
            </w:r>
          </w:p>
        </w:tc>
        <w:tc>
          <w:tcPr>
            <w:tcW w:w="1275" w:type="dxa"/>
            <w:vAlign w:val="bottom"/>
          </w:tcPr>
          <w:p w:rsidR="00E41DF8" w:rsidRPr="00241155" w:rsidRDefault="00E41DF8" w:rsidP="00E41DF8">
            <w:pPr>
              <w:spacing w:before="60" w:after="60" w:line="220" w:lineRule="exact"/>
              <w:ind w:right="113"/>
              <w:jc w:val="right"/>
              <w:rPr>
                <w:rFonts w:eastAsia="Times New Roman" w:cs="Calibri"/>
                <w:sz w:val="16"/>
                <w:szCs w:val="16"/>
                <w:lang w:eastAsia="pl-PL"/>
              </w:rPr>
            </w:pPr>
            <w:r w:rsidRPr="00241155">
              <w:rPr>
                <w:rFonts w:eastAsia="Times New Roman" w:cs="Calibri"/>
                <w:sz w:val="16"/>
                <w:szCs w:val="16"/>
                <w:lang w:eastAsia="pl-PL"/>
              </w:rPr>
              <w:t>333</w:t>
            </w:r>
            <w:r w:rsidR="004D7A97">
              <w:rPr>
                <w:rFonts w:eastAsia="Times New Roman" w:cs="Calibri"/>
                <w:sz w:val="16"/>
                <w:szCs w:val="16"/>
                <w:lang w:eastAsia="pl-PL"/>
              </w:rPr>
              <w:t>.</w:t>
            </w:r>
            <w:r w:rsidRPr="00241155">
              <w:rPr>
                <w:rFonts w:eastAsia="Times New Roman" w:cs="Calibri"/>
                <w:sz w:val="16"/>
                <w:szCs w:val="16"/>
                <w:lang w:eastAsia="pl-PL"/>
              </w:rPr>
              <w:t xml:space="preserve">4 </w:t>
            </w:r>
          </w:p>
        </w:tc>
        <w:tc>
          <w:tcPr>
            <w:tcW w:w="1560" w:type="dxa"/>
            <w:vAlign w:val="bottom"/>
          </w:tcPr>
          <w:p w:rsidR="00E41DF8" w:rsidRPr="00241155" w:rsidRDefault="00E41DF8" w:rsidP="00E41DF8">
            <w:pPr>
              <w:spacing w:before="60" w:after="60" w:line="220" w:lineRule="exact"/>
              <w:ind w:right="113"/>
              <w:jc w:val="right"/>
              <w:rPr>
                <w:rFonts w:eastAsia="Times New Roman" w:cs="Calibri"/>
                <w:sz w:val="16"/>
                <w:szCs w:val="16"/>
                <w:lang w:eastAsia="pl-PL"/>
              </w:rPr>
            </w:pPr>
            <w:r w:rsidRPr="00241155">
              <w:rPr>
                <w:rFonts w:eastAsia="Times New Roman" w:cs="Calibri"/>
                <w:sz w:val="16"/>
                <w:szCs w:val="16"/>
                <w:lang w:eastAsia="pl-PL"/>
              </w:rPr>
              <w:t>175</w:t>
            </w:r>
            <w:r w:rsidR="004D7A97">
              <w:rPr>
                <w:rFonts w:eastAsia="Times New Roman" w:cs="Calibri"/>
                <w:sz w:val="16"/>
                <w:szCs w:val="16"/>
                <w:lang w:eastAsia="pl-PL"/>
              </w:rPr>
              <w:t>.</w:t>
            </w:r>
            <w:r w:rsidRPr="00241155">
              <w:rPr>
                <w:rFonts w:eastAsia="Times New Roman" w:cs="Calibri"/>
                <w:sz w:val="16"/>
                <w:szCs w:val="16"/>
                <w:lang w:eastAsia="pl-PL"/>
              </w:rPr>
              <w:t xml:space="preserve">8 </w:t>
            </w:r>
          </w:p>
        </w:tc>
        <w:tc>
          <w:tcPr>
            <w:tcW w:w="1417" w:type="dxa"/>
            <w:vAlign w:val="bottom"/>
          </w:tcPr>
          <w:p w:rsidR="00E41DF8" w:rsidRPr="00241155" w:rsidRDefault="00E41DF8" w:rsidP="00E41DF8">
            <w:pPr>
              <w:spacing w:before="60" w:after="60" w:line="220" w:lineRule="exact"/>
              <w:ind w:right="113"/>
              <w:jc w:val="right"/>
              <w:rPr>
                <w:rFonts w:eastAsia="Times New Roman" w:cs="Calibri"/>
                <w:sz w:val="16"/>
                <w:szCs w:val="16"/>
                <w:lang w:eastAsia="pl-PL"/>
              </w:rPr>
            </w:pPr>
            <w:r w:rsidRPr="00241155">
              <w:rPr>
                <w:rFonts w:eastAsia="Times New Roman" w:cs="Calibri"/>
                <w:sz w:val="16"/>
                <w:szCs w:val="16"/>
                <w:lang w:eastAsia="pl-PL"/>
              </w:rPr>
              <w:t>81</w:t>
            </w:r>
            <w:r w:rsidR="004D7A97">
              <w:rPr>
                <w:rFonts w:eastAsia="Times New Roman" w:cs="Calibri"/>
                <w:sz w:val="16"/>
                <w:szCs w:val="16"/>
                <w:lang w:eastAsia="pl-PL"/>
              </w:rPr>
              <w:t>.</w:t>
            </w:r>
            <w:r w:rsidRPr="00241155">
              <w:rPr>
                <w:rFonts w:eastAsia="Times New Roman" w:cs="Calibri"/>
                <w:sz w:val="16"/>
                <w:szCs w:val="16"/>
                <w:lang w:eastAsia="pl-PL"/>
              </w:rPr>
              <w:t xml:space="preserve">1 </w:t>
            </w:r>
          </w:p>
        </w:tc>
      </w:tr>
      <w:tr w:rsidR="00E41DF8" w:rsidRPr="00FB432E" w:rsidTr="00E41DF8">
        <w:trPr>
          <w:cantSplit/>
          <w:trHeight w:val="217"/>
        </w:trPr>
        <w:tc>
          <w:tcPr>
            <w:tcW w:w="3261" w:type="dxa"/>
          </w:tcPr>
          <w:p w:rsidR="00E41DF8" w:rsidRPr="00241155" w:rsidRDefault="00D13A67" w:rsidP="00F163AA">
            <w:pPr>
              <w:pStyle w:val="Tekstpodstawowy"/>
              <w:spacing w:before="80" w:after="80"/>
              <w:ind w:left="0"/>
              <w:rPr>
                <w:rFonts w:cs="Calibri"/>
                <w:sz w:val="16"/>
                <w:szCs w:val="16"/>
              </w:rPr>
            </w:pPr>
            <w:r>
              <w:rPr>
                <w:rFonts w:cs="Calibri"/>
                <w:sz w:val="16"/>
                <w:szCs w:val="16"/>
              </w:rPr>
              <w:t>other entities</w:t>
            </w:r>
          </w:p>
        </w:tc>
        <w:tc>
          <w:tcPr>
            <w:tcW w:w="1275" w:type="dxa"/>
            <w:vAlign w:val="bottom"/>
          </w:tcPr>
          <w:p w:rsidR="00E41DF8" w:rsidRPr="00241155" w:rsidRDefault="00E41DF8" w:rsidP="00E41DF8">
            <w:pPr>
              <w:spacing w:before="60" w:after="60" w:line="220" w:lineRule="exact"/>
              <w:ind w:right="113"/>
              <w:jc w:val="right"/>
              <w:rPr>
                <w:rFonts w:eastAsia="Times New Roman" w:cs="Calibri"/>
                <w:sz w:val="16"/>
                <w:szCs w:val="16"/>
                <w:lang w:eastAsia="pl-PL"/>
              </w:rPr>
            </w:pPr>
            <w:r w:rsidRPr="00241155">
              <w:rPr>
                <w:rFonts w:eastAsia="Times New Roman" w:cs="Calibri"/>
                <w:sz w:val="16"/>
                <w:szCs w:val="16"/>
                <w:lang w:eastAsia="pl-PL"/>
              </w:rPr>
              <w:t>4</w:t>
            </w:r>
            <w:r w:rsidR="004D7A97">
              <w:rPr>
                <w:rFonts w:eastAsia="Times New Roman" w:cs="Calibri"/>
                <w:sz w:val="16"/>
                <w:szCs w:val="16"/>
                <w:lang w:eastAsia="pl-PL"/>
              </w:rPr>
              <w:t>.</w:t>
            </w:r>
            <w:r w:rsidRPr="00241155">
              <w:rPr>
                <w:rFonts w:eastAsia="Times New Roman" w:cs="Calibri"/>
                <w:sz w:val="16"/>
                <w:szCs w:val="16"/>
                <w:lang w:eastAsia="pl-PL"/>
              </w:rPr>
              <w:t xml:space="preserve">3 </w:t>
            </w:r>
          </w:p>
        </w:tc>
        <w:tc>
          <w:tcPr>
            <w:tcW w:w="1560" w:type="dxa"/>
            <w:vAlign w:val="bottom"/>
          </w:tcPr>
          <w:p w:rsidR="00E41DF8" w:rsidRPr="00241155" w:rsidRDefault="00E41DF8" w:rsidP="00E41DF8">
            <w:pPr>
              <w:spacing w:before="60" w:after="60" w:line="220" w:lineRule="exact"/>
              <w:ind w:right="113"/>
              <w:jc w:val="right"/>
              <w:rPr>
                <w:rFonts w:eastAsia="Times New Roman" w:cs="Calibri"/>
                <w:sz w:val="16"/>
                <w:szCs w:val="16"/>
                <w:lang w:eastAsia="pl-PL"/>
              </w:rPr>
            </w:pPr>
            <w:r w:rsidRPr="00241155">
              <w:rPr>
                <w:rFonts w:eastAsia="Times New Roman" w:cs="Calibri"/>
                <w:sz w:val="16"/>
                <w:szCs w:val="16"/>
                <w:lang w:eastAsia="pl-PL"/>
              </w:rPr>
              <w:t>2</w:t>
            </w:r>
            <w:r w:rsidR="004D7A97">
              <w:rPr>
                <w:rFonts w:eastAsia="Times New Roman" w:cs="Calibri"/>
                <w:sz w:val="16"/>
                <w:szCs w:val="16"/>
                <w:lang w:eastAsia="pl-PL"/>
              </w:rPr>
              <w:t>.</w:t>
            </w:r>
            <w:r w:rsidRPr="00241155">
              <w:rPr>
                <w:rFonts w:eastAsia="Times New Roman" w:cs="Calibri"/>
                <w:sz w:val="16"/>
                <w:szCs w:val="16"/>
                <w:lang w:eastAsia="pl-PL"/>
              </w:rPr>
              <w:t xml:space="preserve">8 </w:t>
            </w:r>
          </w:p>
        </w:tc>
        <w:tc>
          <w:tcPr>
            <w:tcW w:w="1417" w:type="dxa"/>
            <w:vAlign w:val="bottom"/>
          </w:tcPr>
          <w:p w:rsidR="00E41DF8" w:rsidRPr="00241155" w:rsidRDefault="00E41DF8" w:rsidP="00E41DF8">
            <w:pPr>
              <w:spacing w:before="60" w:after="60" w:line="220" w:lineRule="exact"/>
              <w:ind w:right="113"/>
              <w:jc w:val="right"/>
              <w:rPr>
                <w:rFonts w:eastAsia="Times New Roman" w:cs="Calibri"/>
                <w:sz w:val="16"/>
                <w:szCs w:val="16"/>
                <w:lang w:eastAsia="pl-PL"/>
              </w:rPr>
            </w:pPr>
            <w:r w:rsidRPr="00241155">
              <w:rPr>
                <w:rFonts w:eastAsia="Times New Roman" w:cs="Calibri"/>
                <w:sz w:val="16"/>
                <w:szCs w:val="16"/>
                <w:lang w:eastAsia="pl-PL"/>
              </w:rPr>
              <w:t>1</w:t>
            </w:r>
            <w:r w:rsidR="004D7A97">
              <w:rPr>
                <w:rFonts w:eastAsia="Times New Roman" w:cs="Calibri"/>
                <w:sz w:val="16"/>
                <w:szCs w:val="16"/>
                <w:lang w:eastAsia="pl-PL"/>
              </w:rPr>
              <w:t>.</w:t>
            </w:r>
            <w:r w:rsidRPr="00241155">
              <w:rPr>
                <w:rFonts w:eastAsia="Times New Roman" w:cs="Calibri"/>
                <w:sz w:val="16"/>
                <w:szCs w:val="16"/>
                <w:lang w:eastAsia="pl-PL"/>
              </w:rPr>
              <w:t xml:space="preserve">0 </w:t>
            </w:r>
          </w:p>
        </w:tc>
      </w:tr>
    </w:tbl>
    <w:p w:rsidR="00E41DF8" w:rsidRPr="00313537" w:rsidRDefault="009D1927" w:rsidP="00E41DF8">
      <w:pPr>
        <w:spacing w:after="0"/>
        <w:rPr>
          <w:shd w:val="clear" w:color="auto" w:fill="FFFFFF"/>
        </w:rPr>
      </w:pPr>
      <w:r w:rsidRPr="0097136B">
        <w:rPr>
          <w:noProof/>
          <w:color w:val="FF0000"/>
          <w:spacing w:val="-2"/>
          <w:sz w:val="32"/>
          <w:szCs w:val="32"/>
          <w:lang w:eastAsia="pl-PL"/>
        </w:rPr>
        <mc:AlternateContent>
          <mc:Choice Requires="wps">
            <w:drawing>
              <wp:anchor distT="45720" distB="45720" distL="114300" distR="114300" simplePos="0" relativeHeight="251668480" behindDoc="1" locked="0" layoutInCell="1" allowOverlap="1" wp14:anchorId="1953A5E1" wp14:editId="390F67FA">
                <wp:simplePos x="0" y="0"/>
                <wp:positionH relativeFrom="rightMargin">
                  <wp:posOffset>89535</wp:posOffset>
                </wp:positionH>
                <wp:positionV relativeFrom="paragraph">
                  <wp:posOffset>189865</wp:posOffset>
                </wp:positionV>
                <wp:extent cx="1666875" cy="716280"/>
                <wp:effectExtent l="0" t="0" r="0" b="0"/>
                <wp:wrapTight wrapText="bothSides">
                  <wp:wrapPolygon edited="0">
                    <wp:start x="741" y="0"/>
                    <wp:lineTo x="741" y="20681"/>
                    <wp:lineTo x="20736" y="20681"/>
                    <wp:lineTo x="20736" y="0"/>
                    <wp:lineTo x="741" y="0"/>
                  </wp:wrapPolygon>
                </wp:wrapTight>
                <wp:docPr id="2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716280"/>
                        </a:xfrm>
                        <a:prstGeom prst="rect">
                          <a:avLst/>
                        </a:prstGeom>
                        <a:noFill/>
                        <a:ln w="9525">
                          <a:noFill/>
                          <a:miter lim="800000"/>
                          <a:headEnd/>
                          <a:tailEnd/>
                        </a:ln>
                      </wps:spPr>
                      <wps:txbx>
                        <w:txbxContent>
                          <w:p w:rsidR="00E84AB6" w:rsidRPr="00281994" w:rsidRDefault="00E84AB6" w:rsidP="009D1927">
                            <w:pPr>
                              <w:pStyle w:val="tekstzboku"/>
                              <w:rPr>
                                <w:lang w:val="en-GB"/>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In 2018, costs of municipal services provided amounted to PL 17.8 billion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53A5E1" id="_x0000_s1039" type="#_x0000_t202" style="position:absolute;margin-left:7.05pt;margin-top:14.95pt;width:131.25pt;height:56.4pt;z-index:-25164800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" filled="f" stroked="f">
                <v:textbox>
                  <w:txbxContent>
                    <w:p w:rsidR="00E84AB6" w:rsidRPr="00281994" w:rsidRDefault="00E84AB6" w:rsidP="009D1927">
                      <w:pPr>
                        <w:pStyle w:val="tekstzboku"/>
                        <w:rPr>
                          <w:lang w:val="en-GB"/>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In 2018, costs of municipal services provided amounted to PL 17.8 billion</w:t>
                      </w:r>
                    </w:p>
                  </w:txbxContent>
                </v:textbox>
                <w10:wrap type="tight" anchorx="margin"/>
              </v:shape>
            </w:pict>
          </mc:Fallback>
        </mc:AlternateContent>
      </w:r>
    </w:p>
    <w:p w:rsidR="00E41DF8" w:rsidRPr="00281994" w:rsidRDefault="00E41DF8" w:rsidP="00DE7848">
      <w:pPr>
        <w:spacing w:after="0"/>
        <w:rPr>
          <w:shd w:val="clear" w:color="auto" w:fill="FFFFFF"/>
          <w:lang w:val="en-GB"/>
        </w:rPr>
      </w:pPr>
      <w:r w:rsidRPr="00281994">
        <w:rPr>
          <w:shd w:val="clear" w:color="auto" w:fill="FFFFFF"/>
          <w:lang w:val="en-GB"/>
        </w:rPr>
        <w:t xml:space="preserve">In 2018, costs of municipal services provided amounted to PL </w:t>
      </w:r>
      <w:r w:rsidR="008E07D5" w:rsidRPr="00281994">
        <w:rPr>
          <w:shd w:val="clear" w:color="auto" w:fill="FFFFFF"/>
          <w:lang w:val="en-GB"/>
        </w:rPr>
        <w:t>17.8</w:t>
      </w:r>
      <w:r w:rsidRPr="00281994">
        <w:rPr>
          <w:shd w:val="clear" w:color="auto" w:fill="FFFFFF"/>
          <w:lang w:val="en-GB"/>
        </w:rPr>
        <w:t xml:space="preserve"> b</w:t>
      </w:r>
      <w:r w:rsidR="00686E57" w:rsidRPr="00281994">
        <w:rPr>
          <w:shd w:val="clear" w:color="auto" w:fill="FFFFFF"/>
          <w:lang w:val="en-GB"/>
        </w:rPr>
        <w:t>illio</w:t>
      </w:r>
      <w:r w:rsidRPr="00281994">
        <w:rPr>
          <w:shd w:val="clear" w:color="auto" w:fill="FFFFFF"/>
          <w:lang w:val="en-GB"/>
        </w:rPr>
        <w:t>n. Taking into consideration the form of ownership of premises, on an annual basis, the lowest amount per 1 m</w:t>
      </w:r>
      <w:r w:rsidRPr="00281994">
        <w:rPr>
          <w:shd w:val="clear" w:color="auto" w:fill="FFFFFF"/>
          <w:vertAlign w:val="superscript"/>
          <w:lang w:val="en-GB"/>
        </w:rPr>
        <w:t>2</w:t>
      </w:r>
      <w:r w:rsidRPr="00281994">
        <w:rPr>
          <w:shd w:val="clear" w:color="auto" w:fill="FFFFFF"/>
          <w:lang w:val="en-GB"/>
        </w:rPr>
        <w:t xml:space="preserve"> of useful floor area was paid for municipal services provided in the case of premises owned by other entities – PLN 30.3, the highest in the case of premises in the stocks of State Treasury – PLN 58.6.</w:t>
      </w:r>
    </w:p>
    <w:p w:rsidR="00E41DF8" w:rsidRPr="00281994" w:rsidRDefault="00E41DF8" w:rsidP="00F163AA">
      <w:pPr>
        <w:spacing w:before="80" w:after="0"/>
        <w:rPr>
          <w:shd w:val="clear" w:color="auto" w:fill="FFFFFF"/>
          <w:lang w:val="en-GB"/>
        </w:rPr>
      </w:pPr>
      <w:r w:rsidRPr="00281994">
        <w:rPr>
          <w:shd w:val="clear" w:color="auto" w:fill="FFFFFF"/>
          <w:lang w:val="en-GB"/>
        </w:rPr>
        <w:t>In the total costs of municipal services provided, 58.9</w:t>
      </w:r>
      <w:r w:rsidR="00686E57" w:rsidRPr="00281994">
        <w:rPr>
          <w:shd w:val="clear" w:color="auto" w:fill="FFFFFF"/>
          <w:lang w:val="en-GB"/>
        </w:rPr>
        <w:t> </w:t>
      </w:r>
      <w:r w:rsidRPr="00281994">
        <w:rPr>
          <w:shd w:val="clear" w:color="auto" w:fill="FFFFFF"/>
          <w:lang w:val="en-GB"/>
        </w:rPr>
        <w:t>% were charges for central heating and hot water. Other elements of costs of the services provided were as follows:</w:t>
      </w:r>
    </w:p>
    <w:p w:rsidR="00E41DF8" w:rsidRPr="00281994" w:rsidRDefault="00E41DF8" w:rsidP="00686E57">
      <w:pPr>
        <w:pStyle w:val="Akapitzlist"/>
        <w:numPr>
          <w:ilvl w:val="0"/>
          <w:numId w:val="4"/>
        </w:numPr>
        <w:spacing w:before="80" w:after="0"/>
        <w:ind w:left="142" w:hanging="153"/>
        <w:rPr>
          <w:shd w:val="clear" w:color="auto" w:fill="FFFFFF"/>
          <w:lang w:val="en-GB"/>
        </w:rPr>
      </w:pPr>
      <w:r w:rsidRPr="00281994">
        <w:rPr>
          <w:shd w:val="clear" w:color="auto" w:fill="FFFFFF"/>
          <w:lang w:val="en-GB"/>
        </w:rPr>
        <w:t xml:space="preserve">costs related </w:t>
      </w:r>
      <w:r w:rsidR="00686E57" w:rsidRPr="00281994">
        <w:rPr>
          <w:shd w:val="clear" w:color="auto" w:fill="FFFFFF"/>
          <w:lang w:val="en-GB"/>
        </w:rPr>
        <w:t>to</w:t>
      </w:r>
      <w:r w:rsidRPr="00281994">
        <w:rPr>
          <w:shd w:val="clear" w:color="auto" w:fill="FFFFFF"/>
          <w:lang w:val="en-GB"/>
        </w:rPr>
        <w:t xml:space="preserve"> cold water consumption, sewage </w:t>
      </w:r>
      <w:r w:rsidR="008E07D5" w:rsidRPr="00281994">
        <w:rPr>
          <w:shd w:val="clear" w:color="auto" w:fill="FFFFFF"/>
          <w:lang w:val="en-GB"/>
        </w:rPr>
        <w:t xml:space="preserve">discharging </w:t>
      </w:r>
      <w:r w:rsidRPr="00281994">
        <w:rPr>
          <w:shd w:val="clear" w:color="auto" w:fill="FFFFFF"/>
          <w:lang w:val="en-GB"/>
        </w:rPr>
        <w:t>and removal of liquid waste – 29.</w:t>
      </w:r>
      <w:r w:rsidR="00F163AA" w:rsidRPr="00281994">
        <w:rPr>
          <w:shd w:val="clear" w:color="auto" w:fill="FFFFFF"/>
          <w:lang w:val="en-GB"/>
        </w:rPr>
        <w:t>4</w:t>
      </w:r>
      <w:r w:rsidR="00686E57" w:rsidRPr="00281994">
        <w:rPr>
          <w:shd w:val="clear" w:color="auto" w:fill="FFFFFF"/>
          <w:lang w:val="en-GB"/>
        </w:rPr>
        <w:t> </w:t>
      </w:r>
      <w:r w:rsidRPr="00281994">
        <w:rPr>
          <w:shd w:val="clear" w:color="auto" w:fill="FFFFFF"/>
          <w:lang w:val="en-GB"/>
        </w:rPr>
        <w:t>%,</w:t>
      </w:r>
    </w:p>
    <w:p w:rsidR="00E41DF8" w:rsidRPr="00281994" w:rsidRDefault="00E41DF8" w:rsidP="00686E57">
      <w:pPr>
        <w:pStyle w:val="Akapitzlist"/>
        <w:numPr>
          <w:ilvl w:val="0"/>
          <w:numId w:val="4"/>
        </w:numPr>
        <w:spacing w:before="80" w:after="0"/>
        <w:ind w:left="142" w:hanging="153"/>
        <w:rPr>
          <w:shd w:val="clear" w:color="auto" w:fill="FFFFFF"/>
          <w:lang w:val="en-GB"/>
        </w:rPr>
      </w:pPr>
      <w:r w:rsidRPr="00281994">
        <w:rPr>
          <w:shd w:val="clear" w:color="auto" w:fill="FFFFFF"/>
          <w:lang w:val="en-GB"/>
        </w:rPr>
        <w:t xml:space="preserve">costs related </w:t>
      </w:r>
      <w:r w:rsidR="00686E57" w:rsidRPr="00281994">
        <w:rPr>
          <w:shd w:val="clear" w:color="auto" w:fill="FFFFFF"/>
          <w:lang w:val="en-GB"/>
        </w:rPr>
        <w:t>to</w:t>
      </w:r>
      <w:r w:rsidRPr="00281994">
        <w:rPr>
          <w:shd w:val="clear" w:color="auto" w:fill="FFFFFF"/>
          <w:lang w:val="en-GB"/>
        </w:rPr>
        <w:t xml:space="preserve"> </w:t>
      </w:r>
      <w:r w:rsidR="00F163AA" w:rsidRPr="00281994">
        <w:rPr>
          <w:shd w:val="clear" w:color="auto" w:fill="FFFFFF"/>
          <w:lang w:val="en-GB"/>
        </w:rPr>
        <w:t>collection</w:t>
      </w:r>
      <w:r w:rsidRPr="00281994">
        <w:rPr>
          <w:shd w:val="clear" w:color="auto" w:fill="FFFFFF"/>
          <w:lang w:val="en-GB"/>
        </w:rPr>
        <w:t xml:space="preserve"> of municipal waste – 10.</w:t>
      </w:r>
      <w:r w:rsidR="00F163AA" w:rsidRPr="00281994">
        <w:rPr>
          <w:shd w:val="clear" w:color="auto" w:fill="FFFFFF"/>
          <w:lang w:val="en-GB"/>
        </w:rPr>
        <w:t>7</w:t>
      </w:r>
      <w:r w:rsidR="00686E57" w:rsidRPr="00281994">
        <w:rPr>
          <w:shd w:val="clear" w:color="auto" w:fill="FFFFFF"/>
          <w:lang w:val="en-GB"/>
        </w:rPr>
        <w:t> </w:t>
      </w:r>
      <w:r w:rsidRPr="00281994">
        <w:rPr>
          <w:shd w:val="clear" w:color="auto" w:fill="FFFFFF"/>
          <w:lang w:val="en-GB"/>
        </w:rPr>
        <w:t>%,</w:t>
      </w:r>
    </w:p>
    <w:p w:rsidR="00E41DF8" w:rsidRPr="00281994" w:rsidRDefault="00E41DF8" w:rsidP="00686E57">
      <w:pPr>
        <w:pStyle w:val="Akapitzlist"/>
        <w:numPr>
          <w:ilvl w:val="0"/>
          <w:numId w:val="4"/>
        </w:numPr>
        <w:spacing w:before="80" w:after="0"/>
        <w:ind w:left="142" w:hanging="153"/>
        <w:rPr>
          <w:shd w:val="clear" w:color="auto" w:fill="FFFFFF"/>
          <w:lang w:val="en-GB"/>
        </w:rPr>
      </w:pPr>
      <w:r w:rsidRPr="00281994">
        <w:rPr>
          <w:shd w:val="clear" w:color="auto" w:fill="FFFFFF"/>
          <w:lang w:val="en-GB"/>
        </w:rPr>
        <w:t xml:space="preserve">costs of </w:t>
      </w:r>
      <w:r w:rsidR="00C42F45" w:rsidRPr="00281994">
        <w:rPr>
          <w:shd w:val="clear" w:color="auto" w:fill="FFFFFF"/>
          <w:lang w:val="en-GB"/>
        </w:rPr>
        <w:t>lift</w:t>
      </w:r>
      <w:r w:rsidRPr="00281994">
        <w:rPr>
          <w:shd w:val="clear" w:color="auto" w:fill="FFFFFF"/>
          <w:lang w:val="en-GB"/>
        </w:rPr>
        <w:t xml:space="preserve"> maintenance – approx. 1</w:t>
      </w:r>
      <w:r w:rsidR="00686E57" w:rsidRPr="00281994">
        <w:rPr>
          <w:shd w:val="clear" w:color="auto" w:fill="FFFFFF"/>
          <w:lang w:val="en-GB"/>
        </w:rPr>
        <w:t> </w:t>
      </w:r>
      <w:r w:rsidRPr="00281994">
        <w:rPr>
          <w:shd w:val="clear" w:color="auto" w:fill="FFFFFF"/>
          <w:lang w:val="en-GB"/>
        </w:rPr>
        <w:t xml:space="preserve">% (in some entities </w:t>
      </w:r>
      <w:r w:rsidR="00686E57" w:rsidRPr="00281994">
        <w:rPr>
          <w:shd w:val="clear" w:color="auto" w:fill="FFFFFF"/>
          <w:lang w:val="en-GB"/>
        </w:rPr>
        <w:t xml:space="preserve">e.g. housing condominiums </w:t>
      </w:r>
      <w:r w:rsidRPr="00281994">
        <w:rPr>
          <w:shd w:val="clear" w:color="auto" w:fill="FFFFFF"/>
          <w:lang w:val="en-GB"/>
        </w:rPr>
        <w:t>this item constitutes a</w:t>
      </w:r>
      <w:r w:rsidR="00686E57" w:rsidRPr="00281994">
        <w:rPr>
          <w:shd w:val="clear" w:color="auto" w:fill="FFFFFF"/>
          <w:lang w:val="en-GB"/>
        </w:rPr>
        <w:t> </w:t>
      </w:r>
      <w:r w:rsidRPr="00281994">
        <w:rPr>
          <w:shd w:val="clear" w:color="auto" w:fill="FFFFFF"/>
          <w:lang w:val="en-GB"/>
        </w:rPr>
        <w:t xml:space="preserve">component of costs related </w:t>
      </w:r>
      <w:r w:rsidR="00686E57" w:rsidRPr="00281994">
        <w:rPr>
          <w:shd w:val="clear" w:color="auto" w:fill="FFFFFF"/>
          <w:lang w:val="en-GB"/>
        </w:rPr>
        <w:t>to conservation and repairs</w:t>
      </w:r>
      <w:r w:rsidRPr="00281994">
        <w:rPr>
          <w:shd w:val="clear" w:color="auto" w:fill="FFFFFF"/>
          <w:lang w:val="en-GB"/>
        </w:rPr>
        <w:t>).</w:t>
      </w:r>
    </w:p>
    <w:p w:rsidR="00E41DF8" w:rsidRPr="00281994" w:rsidRDefault="00E41DF8" w:rsidP="00E41DF8">
      <w:pPr>
        <w:spacing w:after="0"/>
        <w:rPr>
          <w:shd w:val="clear" w:color="auto" w:fill="FFFFFF"/>
          <w:lang w:val="en-GB"/>
        </w:rPr>
      </w:pPr>
    </w:p>
    <w:p w:rsidR="00E41DF8" w:rsidRPr="00281994" w:rsidRDefault="00E41DF8" w:rsidP="00E41DF8">
      <w:pPr>
        <w:spacing w:before="0" w:after="0"/>
        <w:rPr>
          <w:b/>
          <w:spacing w:val="-2"/>
          <w:sz w:val="18"/>
          <w:lang w:val="en-GB"/>
        </w:rPr>
      </w:pPr>
      <w:bookmarkStart w:id="3" w:name="_Toc496766929"/>
      <w:r w:rsidRPr="00281994">
        <w:rPr>
          <w:b/>
          <w:spacing w:val="-2"/>
          <w:sz w:val="18"/>
          <w:lang w:val="en-GB"/>
        </w:rPr>
        <w:t>Tabl</w:t>
      </w:r>
      <w:r w:rsidR="00D13A67" w:rsidRPr="00281994">
        <w:rPr>
          <w:b/>
          <w:spacing w:val="-2"/>
          <w:sz w:val="18"/>
          <w:lang w:val="en-GB"/>
        </w:rPr>
        <w:t>e</w:t>
      </w:r>
      <w:r w:rsidRPr="00281994">
        <w:rPr>
          <w:b/>
          <w:spacing w:val="-2"/>
          <w:sz w:val="18"/>
          <w:lang w:val="en-GB"/>
        </w:rPr>
        <w:t xml:space="preserve"> 6. </w:t>
      </w:r>
      <w:bookmarkEnd w:id="3"/>
      <w:r w:rsidR="00D13A67" w:rsidRPr="00281994">
        <w:rPr>
          <w:b/>
          <w:spacing w:val="-2"/>
          <w:sz w:val="18"/>
          <w:lang w:val="en-GB"/>
        </w:rPr>
        <w:t>Amount of costs of provided services in the analysed groups of ownership</w:t>
      </w:r>
    </w:p>
    <w:p w:rsidR="00E41DF8" w:rsidRPr="00281994" w:rsidRDefault="00E41DF8" w:rsidP="00E41DF8">
      <w:pPr>
        <w:spacing w:before="0" w:after="0" w:line="240" w:lineRule="auto"/>
        <w:rPr>
          <w:rFonts w:eastAsia="Times New Roman" w:cs="Times New Roman"/>
          <w:bCs/>
          <w:szCs w:val="19"/>
          <w:lang w:val="en-GB" w:eastAsia="pl-PL"/>
        </w:rPr>
      </w:pPr>
    </w:p>
    <w:tbl>
      <w:tblPr>
        <w:tblW w:w="8075" w:type="dxa"/>
        <w:tblBorders>
          <w:insideH w:val="single" w:sz="4" w:space="0" w:color="001D77"/>
          <w:insideV w:val="single" w:sz="4" w:space="0" w:color="001D77"/>
        </w:tblBorders>
        <w:tblLayout w:type="fixed"/>
        <w:tblCellMar>
          <w:left w:w="28" w:type="dxa"/>
          <w:right w:w="28" w:type="dxa"/>
        </w:tblCellMar>
        <w:tblLook w:val="0000" w:firstRow="0" w:lastRow="0" w:firstColumn="0" w:lastColumn="0" w:noHBand="0" w:noVBand="0"/>
      </w:tblPr>
      <w:tblGrid>
        <w:gridCol w:w="2546"/>
        <w:gridCol w:w="1026"/>
        <w:gridCol w:w="1134"/>
        <w:gridCol w:w="1134"/>
        <w:gridCol w:w="1134"/>
        <w:gridCol w:w="1017"/>
        <w:gridCol w:w="84"/>
      </w:tblGrid>
      <w:tr w:rsidR="00E41DF8" w:rsidRPr="00CA0A0F" w:rsidTr="003E3377">
        <w:trPr>
          <w:cantSplit/>
          <w:trHeight w:val="283"/>
        </w:trPr>
        <w:tc>
          <w:tcPr>
            <w:tcW w:w="2546" w:type="dxa"/>
            <w:vMerge w:val="restart"/>
            <w:vAlign w:val="center"/>
          </w:tcPr>
          <w:p w:rsidR="00E41DF8" w:rsidRPr="00A10F8C" w:rsidRDefault="003E3377" w:rsidP="00E41DF8">
            <w:pPr>
              <w:jc w:val="center"/>
              <w:rPr>
                <w:rFonts w:eastAsia="Times New Roman" w:cs="Calibri"/>
                <w:sz w:val="16"/>
                <w:szCs w:val="16"/>
                <w:lang w:eastAsia="pl-PL"/>
              </w:rPr>
            </w:pPr>
            <w:r>
              <w:rPr>
                <w:rFonts w:eastAsia="Times New Roman" w:cs="Calibri"/>
                <w:sz w:val="16"/>
                <w:szCs w:val="16"/>
                <w:lang w:eastAsia="pl-PL"/>
              </w:rPr>
              <w:t>Specification</w:t>
            </w:r>
          </w:p>
        </w:tc>
        <w:tc>
          <w:tcPr>
            <w:tcW w:w="1026" w:type="dxa"/>
            <w:vMerge w:val="restart"/>
            <w:vAlign w:val="center"/>
          </w:tcPr>
          <w:p w:rsidR="00E41DF8" w:rsidRPr="00A10F8C" w:rsidRDefault="003E3377" w:rsidP="00E41DF8">
            <w:pPr>
              <w:spacing w:after="0"/>
              <w:jc w:val="center"/>
              <w:rPr>
                <w:rFonts w:eastAsia="Times New Roman" w:cs="Calibri"/>
                <w:sz w:val="16"/>
                <w:szCs w:val="16"/>
                <w:lang w:eastAsia="pl-PL"/>
              </w:rPr>
            </w:pPr>
            <w:r>
              <w:rPr>
                <w:rFonts w:eastAsia="Times New Roman" w:cs="Calibri"/>
                <w:sz w:val="16"/>
                <w:szCs w:val="16"/>
                <w:lang w:eastAsia="pl-PL"/>
              </w:rPr>
              <w:t>Total</w:t>
            </w:r>
          </w:p>
        </w:tc>
        <w:tc>
          <w:tcPr>
            <w:tcW w:w="4503" w:type="dxa"/>
            <w:gridSpan w:val="5"/>
            <w:vAlign w:val="center"/>
          </w:tcPr>
          <w:p w:rsidR="00E41DF8" w:rsidRPr="00281994" w:rsidRDefault="003E3377" w:rsidP="00E41DF8">
            <w:pPr>
              <w:spacing w:before="0" w:after="0"/>
              <w:jc w:val="center"/>
              <w:rPr>
                <w:rFonts w:eastAsia="Times New Roman" w:cs="Calibri"/>
                <w:sz w:val="16"/>
                <w:szCs w:val="16"/>
                <w:lang w:val="en-GB" w:eastAsia="pl-PL"/>
              </w:rPr>
            </w:pPr>
            <w:r w:rsidRPr="00281994">
              <w:rPr>
                <w:rFonts w:eastAsia="Times New Roman" w:cs="Calibri"/>
                <w:sz w:val="16"/>
                <w:szCs w:val="16"/>
                <w:lang w:val="en-GB" w:eastAsia="pl-PL"/>
              </w:rPr>
              <w:t>Elements of costs of the provided services</w:t>
            </w:r>
          </w:p>
        </w:tc>
      </w:tr>
      <w:tr w:rsidR="00E41DF8" w:rsidRPr="00E54076" w:rsidTr="003E3377">
        <w:trPr>
          <w:gridAfter w:val="1"/>
          <w:wAfter w:w="84" w:type="dxa"/>
          <w:cantSplit/>
          <w:trHeight w:val="1345"/>
        </w:trPr>
        <w:tc>
          <w:tcPr>
            <w:tcW w:w="2546" w:type="dxa"/>
            <w:vMerge/>
            <w:vAlign w:val="center"/>
          </w:tcPr>
          <w:p w:rsidR="00E41DF8" w:rsidRPr="00281994" w:rsidRDefault="00E41DF8" w:rsidP="00E41DF8">
            <w:pPr>
              <w:jc w:val="center"/>
              <w:rPr>
                <w:rFonts w:eastAsia="Times New Roman" w:cs="Calibri"/>
                <w:sz w:val="16"/>
                <w:szCs w:val="16"/>
                <w:lang w:val="en-GB" w:eastAsia="pl-PL"/>
              </w:rPr>
            </w:pPr>
          </w:p>
        </w:tc>
        <w:tc>
          <w:tcPr>
            <w:tcW w:w="1026" w:type="dxa"/>
            <w:vMerge/>
            <w:vAlign w:val="center"/>
          </w:tcPr>
          <w:p w:rsidR="00E41DF8" w:rsidRPr="00281994" w:rsidRDefault="00E41DF8" w:rsidP="00E41DF8">
            <w:pPr>
              <w:spacing w:after="0"/>
              <w:jc w:val="center"/>
              <w:rPr>
                <w:rFonts w:eastAsia="Times New Roman" w:cs="Calibri"/>
                <w:sz w:val="16"/>
                <w:szCs w:val="16"/>
                <w:lang w:val="en-GB" w:eastAsia="pl-PL"/>
              </w:rPr>
            </w:pPr>
          </w:p>
        </w:tc>
        <w:tc>
          <w:tcPr>
            <w:tcW w:w="1134" w:type="dxa"/>
            <w:vAlign w:val="center"/>
          </w:tcPr>
          <w:p w:rsidR="003E3377" w:rsidRPr="00281994" w:rsidRDefault="003E3377" w:rsidP="003E3377">
            <w:pPr>
              <w:spacing w:before="0" w:after="0"/>
              <w:jc w:val="center"/>
              <w:rPr>
                <w:rFonts w:eastAsia="Times New Roman" w:cs="Calibri"/>
                <w:sz w:val="16"/>
                <w:szCs w:val="16"/>
                <w:lang w:val="en-GB" w:eastAsia="pl-PL"/>
              </w:rPr>
            </w:pPr>
            <w:r w:rsidRPr="00281994">
              <w:rPr>
                <w:rFonts w:eastAsia="Times New Roman" w:cs="Calibri"/>
                <w:sz w:val="16"/>
                <w:szCs w:val="16"/>
                <w:lang w:val="en-GB" w:eastAsia="pl-PL"/>
              </w:rPr>
              <w:t>central</w:t>
            </w:r>
          </w:p>
          <w:p w:rsidR="003E3377" w:rsidRPr="00281994" w:rsidRDefault="003E3377" w:rsidP="003E3377">
            <w:pPr>
              <w:spacing w:before="0" w:after="0"/>
              <w:jc w:val="center"/>
              <w:rPr>
                <w:rFonts w:eastAsia="Times New Roman" w:cs="Calibri"/>
                <w:sz w:val="16"/>
                <w:szCs w:val="16"/>
                <w:lang w:val="en-GB" w:eastAsia="pl-PL"/>
              </w:rPr>
            </w:pPr>
            <w:r w:rsidRPr="00281994">
              <w:rPr>
                <w:rFonts w:eastAsia="Times New Roman" w:cs="Calibri"/>
                <w:sz w:val="16"/>
                <w:szCs w:val="16"/>
                <w:lang w:val="en-GB" w:eastAsia="pl-PL"/>
              </w:rPr>
              <w:t>heating and</w:t>
            </w:r>
          </w:p>
          <w:p w:rsidR="00E41DF8" w:rsidRPr="00281994" w:rsidRDefault="003E3377" w:rsidP="003E3377">
            <w:pPr>
              <w:spacing w:before="0" w:after="0"/>
              <w:jc w:val="center"/>
              <w:rPr>
                <w:rFonts w:eastAsia="Times New Roman" w:cs="Calibri"/>
                <w:sz w:val="16"/>
                <w:szCs w:val="16"/>
                <w:lang w:val="en-GB" w:eastAsia="pl-PL"/>
              </w:rPr>
            </w:pPr>
            <w:r w:rsidRPr="00281994">
              <w:rPr>
                <w:rFonts w:eastAsia="Times New Roman" w:cs="Calibri"/>
                <w:sz w:val="16"/>
                <w:szCs w:val="16"/>
                <w:lang w:val="en-GB" w:eastAsia="pl-PL"/>
              </w:rPr>
              <w:t>hot water</w:t>
            </w:r>
          </w:p>
        </w:tc>
        <w:tc>
          <w:tcPr>
            <w:tcW w:w="1134" w:type="dxa"/>
            <w:vAlign w:val="center"/>
          </w:tcPr>
          <w:p w:rsidR="00E41DF8" w:rsidRPr="00281994" w:rsidRDefault="003E3377" w:rsidP="00DE7848">
            <w:pPr>
              <w:spacing w:before="0" w:after="0"/>
              <w:jc w:val="center"/>
              <w:rPr>
                <w:rFonts w:eastAsia="Times New Roman" w:cs="Calibri"/>
                <w:sz w:val="16"/>
                <w:szCs w:val="16"/>
                <w:lang w:val="en-GB" w:eastAsia="pl-PL"/>
              </w:rPr>
            </w:pPr>
            <w:r w:rsidRPr="00281994">
              <w:rPr>
                <w:rFonts w:eastAsia="Times New Roman" w:cs="Calibri"/>
                <w:sz w:val="16"/>
                <w:szCs w:val="16"/>
                <w:lang w:val="en-GB" w:eastAsia="pl-PL"/>
              </w:rPr>
              <w:t>cold water and sewage discharge</w:t>
            </w:r>
            <w:r w:rsidR="00DE7848" w:rsidRPr="00281994">
              <w:rPr>
                <w:rFonts w:eastAsia="Times New Roman" w:cs="Calibri"/>
                <w:sz w:val="16"/>
                <w:szCs w:val="16"/>
                <w:lang w:val="en-GB" w:eastAsia="pl-PL"/>
              </w:rPr>
              <w:t>,</w:t>
            </w:r>
            <w:r w:rsidRPr="00281994">
              <w:rPr>
                <w:rFonts w:eastAsia="Times New Roman" w:cs="Calibri"/>
                <w:sz w:val="16"/>
                <w:szCs w:val="16"/>
                <w:lang w:val="en-GB" w:eastAsia="pl-PL"/>
              </w:rPr>
              <w:t xml:space="preserve"> </w:t>
            </w:r>
            <w:r w:rsidR="00DE7848" w:rsidRPr="00281994">
              <w:rPr>
                <w:rFonts w:eastAsia="Times New Roman" w:cs="Calibri"/>
                <w:sz w:val="16"/>
                <w:szCs w:val="16"/>
                <w:lang w:val="en-GB" w:eastAsia="pl-PL"/>
              </w:rPr>
              <w:t>or</w:t>
            </w:r>
            <w:r w:rsidRPr="00281994">
              <w:rPr>
                <w:rFonts w:eastAsia="Times New Roman" w:cs="Calibri"/>
                <w:sz w:val="16"/>
                <w:szCs w:val="16"/>
                <w:lang w:val="en-GB" w:eastAsia="pl-PL"/>
              </w:rPr>
              <w:t xml:space="preserve"> liquid waste removal</w:t>
            </w:r>
          </w:p>
        </w:tc>
        <w:tc>
          <w:tcPr>
            <w:tcW w:w="1134" w:type="dxa"/>
            <w:vAlign w:val="center"/>
          </w:tcPr>
          <w:p w:rsidR="00E41DF8" w:rsidRPr="00A10F8C" w:rsidRDefault="003E3377" w:rsidP="003E3377">
            <w:pPr>
              <w:spacing w:after="0"/>
              <w:jc w:val="center"/>
              <w:rPr>
                <w:rFonts w:eastAsia="Times New Roman" w:cs="Calibri"/>
                <w:sz w:val="16"/>
                <w:szCs w:val="16"/>
                <w:lang w:eastAsia="pl-PL"/>
              </w:rPr>
            </w:pPr>
            <w:r w:rsidRPr="003E3377">
              <w:rPr>
                <w:rFonts w:eastAsia="Times New Roman" w:cs="Calibri"/>
                <w:sz w:val="16"/>
                <w:szCs w:val="16"/>
                <w:lang w:eastAsia="pl-PL"/>
              </w:rPr>
              <w:t>collection of</w:t>
            </w:r>
            <w:r>
              <w:rPr>
                <w:rFonts w:eastAsia="Times New Roman" w:cs="Calibri"/>
                <w:sz w:val="16"/>
                <w:szCs w:val="16"/>
                <w:lang w:eastAsia="pl-PL"/>
              </w:rPr>
              <w:t> </w:t>
            </w:r>
            <w:r w:rsidRPr="003E3377">
              <w:rPr>
                <w:rFonts w:eastAsia="Times New Roman" w:cs="Calibri"/>
                <w:sz w:val="16"/>
                <w:szCs w:val="16"/>
                <w:lang w:eastAsia="pl-PL"/>
              </w:rPr>
              <w:t>municipal</w:t>
            </w:r>
            <w:r>
              <w:rPr>
                <w:rFonts w:eastAsia="Times New Roman" w:cs="Calibri"/>
                <w:sz w:val="16"/>
                <w:szCs w:val="16"/>
                <w:lang w:eastAsia="pl-PL"/>
              </w:rPr>
              <w:t xml:space="preserve"> </w:t>
            </w:r>
            <w:r w:rsidRPr="003E3377">
              <w:rPr>
                <w:rFonts w:eastAsia="Times New Roman" w:cs="Calibri"/>
                <w:sz w:val="16"/>
                <w:szCs w:val="16"/>
                <w:lang w:eastAsia="pl-PL"/>
              </w:rPr>
              <w:t>waste</w:t>
            </w:r>
          </w:p>
        </w:tc>
        <w:tc>
          <w:tcPr>
            <w:tcW w:w="1017" w:type="dxa"/>
            <w:vAlign w:val="center"/>
          </w:tcPr>
          <w:p w:rsidR="00E41DF8" w:rsidRPr="00A10F8C" w:rsidRDefault="00C42F45" w:rsidP="003E3377">
            <w:pPr>
              <w:spacing w:after="0"/>
              <w:jc w:val="center"/>
              <w:rPr>
                <w:rFonts w:eastAsia="Times New Roman" w:cs="Calibri"/>
                <w:sz w:val="16"/>
                <w:szCs w:val="16"/>
                <w:lang w:eastAsia="pl-PL"/>
              </w:rPr>
            </w:pPr>
            <w:r>
              <w:rPr>
                <w:rFonts w:eastAsia="Times New Roman" w:cs="Calibri"/>
                <w:sz w:val="16"/>
                <w:szCs w:val="16"/>
                <w:lang w:eastAsia="pl-PL"/>
              </w:rPr>
              <w:t>l</w:t>
            </w:r>
            <w:r w:rsidR="003E3377" w:rsidRPr="003E3377">
              <w:rPr>
                <w:rFonts w:eastAsia="Times New Roman" w:cs="Calibri"/>
                <w:sz w:val="16"/>
                <w:szCs w:val="16"/>
                <w:lang w:eastAsia="pl-PL"/>
              </w:rPr>
              <w:t>ift</w:t>
            </w:r>
            <w:r w:rsidR="003E3377">
              <w:rPr>
                <w:rFonts w:eastAsia="Times New Roman" w:cs="Calibri"/>
                <w:sz w:val="16"/>
                <w:szCs w:val="16"/>
                <w:lang w:eastAsia="pl-PL"/>
              </w:rPr>
              <w:t xml:space="preserve"> </w:t>
            </w:r>
            <w:r w:rsidR="003E3377" w:rsidRPr="003E3377">
              <w:rPr>
                <w:rFonts w:eastAsia="Times New Roman" w:cs="Calibri"/>
                <w:sz w:val="16"/>
                <w:szCs w:val="16"/>
                <w:lang w:eastAsia="pl-PL"/>
              </w:rPr>
              <w:t>maintenance</w:t>
            </w:r>
          </w:p>
        </w:tc>
      </w:tr>
      <w:tr w:rsidR="00E41DF8" w:rsidRPr="00E54076" w:rsidTr="00E41DF8">
        <w:trPr>
          <w:cantSplit/>
          <w:trHeight w:val="115"/>
        </w:trPr>
        <w:tc>
          <w:tcPr>
            <w:tcW w:w="2546" w:type="dxa"/>
            <w:vMerge/>
            <w:vAlign w:val="center"/>
          </w:tcPr>
          <w:p w:rsidR="00E41DF8" w:rsidRPr="00A10F8C" w:rsidRDefault="00E41DF8" w:rsidP="00E41DF8">
            <w:pPr>
              <w:jc w:val="center"/>
              <w:rPr>
                <w:rFonts w:eastAsia="Times New Roman" w:cs="Calibri"/>
                <w:sz w:val="16"/>
                <w:szCs w:val="16"/>
                <w:lang w:eastAsia="pl-PL"/>
              </w:rPr>
            </w:pPr>
          </w:p>
        </w:tc>
        <w:tc>
          <w:tcPr>
            <w:tcW w:w="5529" w:type="dxa"/>
            <w:gridSpan w:val="6"/>
            <w:vAlign w:val="center"/>
          </w:tcPr>
          <w:p w:rsidR="00E41DF8" w:rsidRPr="00A10F8C" w:rsidRDefault="00E41DF8" w:rsidP="00496D3A">
            <w:pPr>
              <w:spacing w:before="0" w:after="0"/>
              <w:jc w:val="center"/>
              <w:rPr>
                <w:rFonts w:eastAsia="Times New Roman" w:cs="Calibri"/>
                <w:sz w:val="16"/>
                <w:szCs w:val="16"/>
                <w:lang w:eastAsia="pl-PL"/>
              </w:rPr>
            </w:pPr>
            <w:r w:rsidRPr="00A10F8C">
              <w:rPr>
                <w:rFonts w:eastAsia="Times New Roman" w:cs="Calibri"/>
                <w:sz w:val="16"/>
                <w:szCs w:val="16"/>
                <w:lang w:eastAsia="pl-PL"/>
              </w:rPr>
              <w:t>m</w:t>
            </w:r>
            <w:r w:rsidR="00496D3A">
              <w:rPr>
                <w:rFonts w:eastAsia="Times New Roman" w:cs="Calibri"/>
                <w:sz w:val="16"/>
                <w:szCs w:val="16"/>
                <w:lang w:eastAsia="pl-PL"/>
              </w:rPr>
              <w:t>i</w:t>
            </w:r>
            <w:r w:rsidRPr="00A10F8C">
              <w:rPr>
                <w:rFonts w:eastAsia="Times New Roman" w:cs="Calibri"/>
                <w:sz w:val="16"/>
                <w:szCs w:val="16"/>
                <w:lang w:eastAsia="pl-PL"/>
              </w:rPr>
              <w:t>l</w:t>
            </w:r>
            <w:r w:rsidR="00496D3A">
              <w:rPr>
                <w:rFonts w:eastAsia="Times New Roman" w:cs="Calibri"/>
                <w:sz w:val="16"/>
                <w:szCs w:val="16"/>
                <w:lang w:eastAsia="pl-PL"/>
              </w:rPr>
              <w:t>io</w:t>
            </w:r>
            <w:r w:rsidRPr="00A10F8C">
              <w:rPr>
                <w:rFonts w:eastAsia="Times New Roman" w:cs="Calibri"/>
                <w:sz w:val="16"/>
                <w:szCs w:val="16"/>
                <w:lang w:eastAsia="pl-PL"/>
              </w:rPr>
              <w:t xml:space="preserve">n </w:t>
            </w:r>
            <w:r w:rsidR="00496D3A">
              <w:rPr>
                <w:rFonts w:eastAsia="Times New Roman" w:cs="Calibri"/>
                <w:sz w:val="16"/>
                <w:szCs w:val="16"/>
                <w:lang w:eastAsia="pl-PL"/>
              </w:rPr>
              <w:t>PLN</w:t>
            </w:r>
          </w:p>
        </w:tc>
      </w:tr>
      <w:tr w:rsidR="00E41DF8" w:rsidRPr="00967E95" w:rsidTr="003E3377">
        <w:trPr>
          <w:gridAfter w:val="1"/>
          <w:wAfter w:w="84" w:type="dxa"/>
          <w:cantSplit/>
          <w:trHeight w:val="340"/>
        </w:trPr>
        <w:tc>
          <w:tcPr>
            <w:tcW w:w="2546" w:type="dxa"/>
            <w:tcBorders>
              <w:top w:val="single" w:sz="12" w:space="0" w:color="001D77"/>
              <w:bottom w:val="single" w:sz="4" w:space="0" w:color="001D77"/>
            </w:tcBorders>
            <w:vAlign w:val="bottom"/>
          </w:tcPr>
          <w:p w:rsidR="00E41DF8" w:rsidRPr="00A10F8C" w:rsidRDefault="003E3377" w:rsidP="003E3377">
            <w:pPr>
              <w:spacing w:before="0" w:after="0"/>
              <w:rPr>
                <w:rFonts w:eastAsia="Times New Roman" w:cs="Calibri"/>
                <w:b/>
                <w:sz w:val="16"/>
                <w:szCs w:val="16"/>
                <w:lang w:eastAsia="pl-PL"/>
              </w:rPr>
            </w:pPr>
            <w:r>
              <w:rPr>
                <w:rFonts w:eastAsia="Times New Roman" w:cs="Calibri"/>
                <w:b/>
                <w:sz w:val="16"/>
                <w:szCs w:val="16"/>
                <w:lang w:eastAsia="pl-PL"/>
              </w:rPr>
              <w:t>TOTAL</w:t>
            </w:r>
          </w:p>
        </w:tc>
        <w:tc>
          <w:tcPr>
            <w:tcW w:w="1026" w:type="dxa"/>
            <w:tcBorders>
              <w:top w:val="single" w:sz="12" w:space="0" w:color="001D77"/>
              <w:bottom w:val="single" w:sz="4" w:space="0" w:color="001D77"/>
            </w:tcBorders>
            <w:vAlign w:val="bottom"/>
          </w:tcPr>
          <w:p w:rsidR="00E41DF8" w:rsidRPr="00A10F8C" w:rsidRDefault="00E41DF8" w:rsidP="00E41DF8">
            <w:pPr>
              <w:spacing w:before="0" w:after="0"/>
              <w:jc w:val="right"/>
              <w:rPr>
                <w:rFonts w:eastAsia="Times New Roman" w:cs="Calibri"/>
                <w:b/>
                <w:sz w:val="16"/>
                <w:szCs w:val="16"/>
                <w:lang w:eastAsia="pl-PL"/>
              </w:rPr>
            </w:pPr>
            <w:r w:rsidRPr="00A10F8C">
              <w:rPr>
                <w:rFonts w:eastAsia="Times New Roman" w:cs="Calibri"/>
                <w:b/>
                <w:sz w:val="16"/>
                <w:szCs w:val="16"/>
                <w:lang w:eastAsia="pl-PL"/>
              </w:rPr>
              <w:t>17 758</w:t>
            </w:r>
            <w:r w:rsidR="00636C5A">
              <w:rPr>
                <w:rFonts w:eastAsia="Times New Roman" w:cs="Calibri"/>
                <w:b/>
                <w:sz w:val="16"/>
                <w:szCs w:val="16"/>
                <w:lang w:eastAsia="pl-PL"/>
              </w:rPr>
              <w:t>.</w:t>
            </w:r>
            <w:r w:rsidRPr="00A10F8C">
              <w:rPr>
                <w:rFonts w:eastAsia="Times New Roman" w:cs="Calibri"/>
                <w:b/>
                <w:sz w:val="16"/>
                <w:szCs w:val="16"/>
                <w:lang w:eastAsia="pl-PL"/>
              </w:rPr>
              <w:t>8</w:t>
            </w:r>
          </w:p>
        </w:tc>
        <w:tc>
          <w:tcPr>
            <w:tcW w:w="1134" w:type="dxa"/>
            <w:tcBorders>
              <w:top w:val="single" w:sz="12" w:space="0" w:color="001D77"/>
              <w:bottom w:val="single" w:sz="4" w:space="0" w:color="001D77"/>
            </w:tcBorders>
            <w:vAlign w:val="bottom"/>
          </w:tcPr>
          <w:p w:rsidR="00E41DF8" w:rsidRPr="00A10F8C" w:rsidRDefault="00E41DF8" w:rsidP="00E41DF8">
            <w:pPr>
              <w:spacing w:before="0" w:after="0"/>
              <w:jc w:val="right"/>
              <w:rPr>
                <w:rFonts w:eastAsia="Times New Roman" w:cs="Calibri"/>
                <w:b/>
                <w:sz w:val="16"/>
                <w:szCs w:val="16"/>
                <w:lang w:eastAsia="pl-PL"/>
              </w:rPr>
            </w:pPr>
            <w:r w:rsidRPr="00A10F8C">
              <w:rPr>
                <w:rFonts w:eastAsia="Times New Roman" w:cs="Calibri"/>
                <w:b/>
                <w:sz w:val="16"/>
                <w:szCs w:val="16"/>
                <w:lang w:eastAsia="pl-PL"/>
              </w:rPr>
              <w:t>10 466</w:t>
            </w:r>
            <w:r w:rsidR="00636C5A">
              <w:rPr>
                <w:rFonts w:eastAsia="Times New Roman" w:cs="Calibri"/>
                <w:b/>
                <w:sz w:val="16"/>
                <w:szCs w:val="16"/>
                <w:lang w:eastAsia="pl-PL"/>
              </w:rPr>
              <w:t>.</w:t>
            </w:r>
            <w:r>
              <w:rPr>
                <w:rFonts w:eastAsia="Times New Roman" w:cs="Calibri"/>
                <w:b/>
                <w:sz w:val="16"/>
                <w:szCs w:val="16"/>
                <w:lang w:eastAsia="pl-PL"/>
              </w:rPr>
              <w:t>4</w:t>
            </w:r>
          </w:p>
        </w:tc>
        <w:tc>
          <w:tcPr>
            <w:tcW w:w="1134" w:type="dxa"/>
            <w:tcBorders>
              <w:top w:val="single" w:sz="12" w:space="0" w:color="001D77"/>
              <w:bottom w:val="single" w:sz="4" w:space="0" w:color="001D77"/>
            </w:tcBorders>
            <w:vAlign w:val="bottom"/>
          </w:tcPr>
          <w:p w:rsidR="00E41DF8" w:rsidRPr="00A10F8C" w:rsidRDefault="00E41DF8" w:rsidP="00E41DF8">
            <w:pPr>
              <w:spacing w:before="0" w:after="0"/>
              <w:jc w:val="right"/>
              <w:rPr>
                <w:rFonts w:eastAsia="Times New Roman" w:cs="Calibri"/>
                <w:b/>
                <w:sz w:val="16"/>
                <w:szCs w:val="16"/>
                <w:lang w:eastAsia="pl-PL"/>
              </w:rPr>
            </w:pPr>
            <w:r w:rsidRPr="00A10F8C">
              <w:rPr>
                <w:rFonts w:eastAsia="Times New Roman" w:cs="Calibri"/>
                <w:b/>
                <w:sz w:val="16"/>
                <w:szCs w:val="16"/>
                <w:lang w:eastAsia="pl-PL"/>
              </w:rPr>
              <w:t>5 227</w:t>
            </w:r>
            <w:r w:rsidR="00636C5A">
              <w:rPr>
                <w:rFonts w:eastAsia="Times New Roman" w:cs="Calibri"/>
                <w:b/>
                <w:sz w:val="16"/>
                <w:szCs w:val="16"/>
                <w:lang w:eastAsia="pl-PL"/>
              </w:rPr>
              <w:t>.</w:t>
            </w:r>
            <w:r w:rsidRPr="00A10F8C">
              <w:rPr>
                <w:rFonts w:eastAsia="Times New Roman" w:cs="Calibri"/>
                <w:b/>
                <w:sz w:val="16"/>
                <w:szCs w:val="16"/>
                <w:lang w:eastAsia="pl-PL"/>
              </w:rPr>
              <w:t>7</w:t>
            </w:r>
          </w:p>
        </w:tc>
        <w:tc>
          <w:tcPr>
            <w:tcW w:w="1134" w:type="dxa"/>
            <w:tcBorders>
              <w:top w:val="single" w:sz="12" w:space="0" w:color="001D77"/>
              <w:bottom w:val="single" w:sz="4" w:space="0" w:color="001D77"/>
            </w:tcBorders>
            <w:vAlign w:val="bottom"/>
          </w:tcPr>
          <w:p w:rsidR="00E41DF8" w:rsidRPr="00A10F8C" w:rsidRDefault="00E41DF8" w:rsidP="00E41DF8">
            <w:pPr>
              <w:spacing w:before="0" w:after="0"/>
              <w:jc w:val="right"/>
              <w:rPr>
                <w:rFonts w:eastAsia="Times New Roman" w:cs="Calibri"/>
                <w:b/>
                <w:sz w:val="16"/>
                <w:szCs w:val="16"/>
                <w:lang w:eastAsia="pl-PL"/>
              </w:rPr>
            </w:pPr>
            <w:r w:rsidRPr="00A10F8C">
              <w:rPr>
                <w:rFonts w:eastAsia="Times New Roman" w:cs="Calibri"/>
                <w:b/>
                <w:sz w:val="16"/>
                <w:szCs w:val="16"/>
                <w:lang w:eastAsia="pl-PL"/>
              </w:rPr>
              <w:t>1 895</w:t>
            </w:r>
            <w:r w:rsidR="00636C5A">
              <w:rPr>
                <w:rFonts w:eastAsia="Times New Roman" w:cs="Calibri"/>
                <w:b/>
                <w:sz w:val="16"/>
                <w:szCs w:val="16"/>
                <w:lang w:eastAsia="pl-PL"/>
              </w:rPr>
              <w:t>.</w:t>
            </w:r>
            <w:r w:rsidRPr="00A10F8C">
              <w:rPr>
                <w:rFonts w:eastAsia="Times New Roman" w:cs="Calibri"/>
                <w:b/>
                <w:sz w:val="16"/>
                <w:szCs w:val="16"/>
                <w:lang w:eastAsia="pl-PL"/>
              </w:rPr>
              <w:t>8</w:t>
            </w:r>
          </w:p>
        </w:tc>
        <w:tc>
          <w:tcPr>
            <w:tcW w:w="1017" w:type="dxa"/>
            <w:tcBorders>
              <w:top w:val="single" w:sz="12" w:space="0" w:color="001D77"/>
              <w:bottom w:val="single" w:sz="4" w:space="0" w:color="001D77"/>
            </w:tcBorders>
            <w:vAlign w:val="bottom"/>
          </w:tcPr>
          <w:p w:rsidR="00E41DF8" w:rsidRPr="00A10F8C" w:rsidRDefault="00E41DF8" w:rsidP="00E41DF8">
            <w:pPr>
              <w:spacing w:before="0" w:after="0"/>
              <w:jc w:val="right"/>
              <w:rPr>
                <w:rFonts w:eastAsia="Times New Roman" w:cs="Calibri"/>
                <w:b/>
                <w:sz w:val="16"/>
                <w:szCs w:val="16"/>
                <w:lang w:eastAsia="pl-PL"/>
              </w:rPr>
            </w:pPr>
            <w:r w:rsidRPr="00A10F8C">
              <w:rPr>
                <w:rFonts w:eastAsia="Times New Roman" w:cs="Calibri"/>
                <w:b/>
                <w:sz w:val="16"/>
                <w:szCs w:val="16"/>
                <w:lang w:eastAsia="pl-PL"/>
              </w:rPr>
              <w:t>168</w:t>
            </w:r>
            <w:r w:rsidR="00636C5A">
              <w:rPr>
                <w:rFonts w:eastAsia="Times New Roman" w:cs="Calibri"/>
                <w:b/>
                <w:sz w:val="16"/>
                <w:szCs w:val="16"/>
                <w:lang w:eastAsia="pl-PL"/>
              </w:rPr>
              <w:t>.</w:t>
            </w:r>
            <w:r w:rsidRPr="00A10F8C">
              <w:rPr>
                <w:rFonts w:eastAsia="Times New Roman" w:cs="Calibri"/>
                <w:b/>
                <w:sz w:val="16"/>
                <w:szCs w:val="16"/>
                <w:lang w:eastAsia="pl-PL"/>
              </w:rPr>
              <w:t>8</w:t>
            </w:r>
            <w:r w:rsidR="00C42F45">
              <w:rPr>
                <w:rFonts w:eastAsia="Times New Roman" w:cs="Calibri"/>
                <w:b/>
                <w:sz w:val="16"/>
                <w:szCs w:val="16"/>
                <w:lang w:eastAsia="pl-PL"/>
              </w:rPr>
              <w:t>0</w:t>
            </w:r>
          </w:p>
        </w:tc>
      </w:tr>
      <w:tr w:rsidR="00E41DF8" w:rsidRPr="00E54076" w:rsidTr="003E3377">
        <w:trPr>
          <w:gridAfter w:val="1"/>
          <w:wAfter w:w="84" w:type="dxa"/>
          <w:cantSplit/>
          <w:trHeight w:val="227"/>
        </w:trPr>
        <w:tc>
          <w:tcPr>
            <w:tcW w:w="2546" w:type="dxa"/>
            <w:tcBorders>
              <w:top w:val="single" w:sz="4" w:space="0" w:color="001D77"/>
            </w:tcBorders>
            <w:vAlign w:val="bottom"/>
          </w:tcPr>
          <w:p w:rsidR="00E41DF8" w:rsidRPr="00A10F8C" w:rsidRDefault="00345D51" w:rsidP="00E128CF">
            <w:pPr>
              <w:spacing w:before="0" w:after="0"/>
              <w:ind w:left="176"/>
              <w:rPr>
                <w:rFonts w:eastAsia="Times New Roman" w:cs="Calibri"/>
                <w:sz w:val="16"/>
                <w:szCs w:val="16"/>
                <w:lang w:eastAsia="pl-PL"/>
              </w:rPr>
            </w:pPr>
            <w:r>
              <w:rPr>
                <w:rFonts w:eastAsia="Times New Roman" w:cs="Calibri"/>
                <w:sz w:val="16"/>
                <w:szCs w:val="16"/>
                <w:lang w:eastAsia="pl-PL"/>
              </w:rPr>
              <w:t>o</w:t>
            </w:r>
            <w:r w:rsidR="003E3377">
              <w:rPr>
                <w:rFonts w:eastAsia="Times New Roman" w:cs="Calibri"/>
                <w:sz w:val="16"/>
                <w:szCs w:val="16"/>
                <w:lang w:eastAsia="pl-PL"/>
              </w:rPr>
              <w:t>f which</w:t>
            </w:r>
          </w:p>
        </w:tc>
        <w:tc>
          <w:tcPr>
            <w:tcW w:w="1026" w:type="dxa"/>
            <w:tcBorders>
              <w:top w:val="single" w:sz="4" w:space="0" w:color="001D77"/>
            </w:tcBorders>
          </w:tcPr>
          <w:p w:rsidR="00E41DF8" w:rsidRPr="00A10F8C" w:rsidRDefault="00E41DF8" w:rsidP="00E41DF8">
            <w:pPr>
              <w:spacing w:before="0" w:after="0"/>
              <w:jc w:val="right"/>
              <w:rPr>
                <w:rFonts w:eastAsia="Times New Roman" w:cs="Calibri"/>
                <w:sz w:val="16"/>
                <w:szCs w:val="16"/>
                <w:lang w:eastAsia="pl-PL"/>
              </w:rPr>
            </w:pPr>
          </w:p>
        </w:tc>
        <w:tc>
          <w:tcPr>
            <w:tcW w:w="1134" w:type="dxa"/>
            <w:tcBorders>
              <w:top w:val="single" w:sz="4" w:space="0" w:color="001D77"/>
            </w:tcBorders>
          </w:tcPr>
          <w:p w:rsidR="00E41DF8" w:rsidRPr="00A10F8C" w:rsidRDefault="00E41DF8" w:rsidP="00E41DF8">
            <w:pPr>
              <w:spacing w:before="0" w:after="0"/>
              <w:jc w:val="right"/>
              <w:rPr>
                <w:rFonts w:eastAsia="Times New Roman" w:cs="Calibri"/>
                <w:sz w:val="16"/>
                <w:szCs w:val="16"/>
                <w:lang w:eastAsia="pl-PL"/>
              </w:rPr>
            </w:pPr>
          </w:p>
        </w:tc>
        <w:tc>
          <w:tcPr>
            <w:tcW w:w="1134" w:type="dxa"/>
            <w:tcBorders>
              <w:top w:val="single" w:sz="4" w:space="0" w:color="001D77"/>
            </w:tcBorders>
          </w:tcPr>
          <w:p w:rsidR="00E41DF8" w:rsidRPr="00A10F8C" w:rsidRDefault="00E41DF8" w:rsidP="00E41DF8">
            <w:pPr>
              <w:spacing w:before="0" w:after="0"/>
              <w:jc w:val="right"/>
              <w:rPr>
                <w:rFonts w:eastAsia="Times New Roman" w:cs="Calibri"/>
                <w:sz w:val="16"/>
                <w:szCs w:val="16"/>
                <w:lang w:eastAsia="pl-PL"/>
              </w:rPr>
            </w:pPr>
          </w:p>
        </w:tc>
        <w:tc>
          <w:tcPr>
            <w:tcW w:w="1134" w:type="dxa"/>
            <w:tcBorders>
              <w:top w:val="single" w:sz="4" w:space="0" w:color="001D77"/>
            </w:tcBorders>
          </w:tcPr>
          <w:p w:rsidR="00E41DF8" w:rsidRPr="00A10F8C" w:rsidRDefault="00E41DF8" w:rsidP="00E41DF8">
            <w:pPr>
              <w:spacing w:before="0" w:after="0"/>
              <w:jc w:val="right"/>
              <w:rPr>
                <w:rFonts w:eastAsia="Times New Roman" w:cs="Calibri"/>
                <w:sz w:val="16"/>
                <w:szCs w:val="16"/>
                <w:lang w:eastAsia="pl-PL"/>
              </w:rPr>
            </w:pPr>
          </w:p>
        </w:tc>
        <w:tc>
          <w:tcPr>
            <w:tcW w:w="1017" w:type="dxa"/>
            <w:tcBorders>
              <w:top w:val="single" w:sz="4" w:space="0" w:color="001D77"/>
            </w:tcBorders>
          </w:tcPr>
          <w:p w:rsidR="00E41DF8" w:rsidRPr="00A10F8C" w:rsidRDefault="00E41DF8" w:rsidP="00E41DF8">
            <w:pPr>
              <w:spacing w:before="0" w:after="0"/>
              <w:jc w:val="right"/>
              <w:rPr>
                <w:rFonts w:eastAsia="Times New Roman" w:cs="Calibri"/>
                <w:sz w:val="16"/>
                <w:szCs w:val="16"/>
                <w:lang w:eastAsia="pl-PL"/>
              </w:rPr>
            </w:pPr>
          </w:p>
        </w:tc>
      </w:tr>
      <w:tr w:rsidR="00E41DF8" w:rsidRPr="00E54076" w:rsidTr="003E3377">
        <w:trPr>
          <w:gridAfter w:val="1"/>
          <w:wAfter w:w="84" w:type="dxa"/>
          <w:cantSplit/>
          <w:trHeight w:val="283"/>
        </w:trPr>
        <w:tc>
          <w:tcPr>
            <w:tcW w:w="2546" w:type="dxa"/>
            <w:vAlign w:val="bottom"/>
          </w:tcPr>
          <w:p w:rsidR="00E41DF8" w:rsidRPr="00A10F8C" w:rsidRDefault="00636C5A" w:rsidP="003E3377">
            <w:pPr>
              <w:spacing w:before="0" w:after="0"/>
              <w:rPr>
                <w:rFonts w:eastAsia="Times New Roman" w:cs="Calibri"/>
                <w:sz w:val="16"/>
                <w:szCs w:val="16"/>
                <w:lang w:eastAsia="pl-PL"/>
              </w:rPr>
            </w:pPr>
            <w:r>
              <w:rPr>
                <w:rFonts w:eastAsia="Times New Roman" w:cs="Calibri"/>
                <w:sz w:val="16"/>
                <w:szCs w:val="16"/>
                <w:lang w:eastAsia="pl-PL"/>
              </w:rPr>
              <w:t>g</w:t>
            </w:r>
            <w:r w:rsidR="00E41DF8" w:rsidRPr="00A10F8C">
              <w:rPr>
                <w:rFonts w:eastAsia="Times New Roman" w:cs="Calibri"/>
                <w:sz w:val="16"/>
                <w:szCs w:val="16"/>
                <w:lang w:eastAsia="pl-PL"/>
              </w:rPr>
              <w:t>min</w:t>
            </w:r>
            <w:r w:rsidR="003E3377">
              <w:rPr>
                <w:rFonts w:eastAsia="Times New Roman" w:cs="Calibri"/>
                <w:sz w:val="16"/>
                <w:szCs w:val="16"/>
                <w:lang w:eastAsia="pl-PL"/>
              </w:rPr>
              <w:t>as</w:t>
            </w:r>
            <w:r>
              <w:rPr>
                <w:rFonts w:eastAsia="Times New Roman" w:cs="Calibri"/>
                <w:sz w:val="16"/>
                <w:szCs w:val="16"/>
                <w:lang w:eastAsia="pl-PL"/>
              </w:rPr>
              <w:t xml:space="preserve"> (municipal)</w:t>
            </w:r>
          </w:p>
        </w:tc>
        <w:tc>
          <w:tcPr>
            <w:tcW w:w="1026" w:type="dxa"/>
            <w:vAlign w:val="bottom"/>
          </w:tcPr>
          <w:p w:rsidR="00E41DF8" w:rsidRPr="00A10F8C" w:rsidRDefault="00E41DF8" w:rsidP="00E41DF8">
            <w:pPr>
              <w:spacing w:before="0" w:after="0"/>
              <w:jc w:val="right"/>
              <w:rPr>
                <w:rFonts w:eastAsia="Times New Roman" w:cs="Calibri"/>
                <w:sz w:val="16"/>
                <w:szCs w:val="16"/>
                <w:lang w:eastAsia="pl-PL"/>
              </w:rPr>
            </w:pPr>
            <w:r w:rsidRPr="00A10F8C">
              <w:rPr>
                <w:rFonts w:eastAsia="Times New Roman" w:cs="Calibri"/>
                <w:sz w:val="16"/>
                <w:szCs w:val="16"/>
                <w:lang w:eastAsia="pl-PL"/>
              </w:rPr>
              <w:t>675</w:t>
            </w:r>
            <w:r w:rsidR="00636C5A">
              <w:rPr>
                <w:rFonts w:eastAsia="Times New Roman" w:cs="Calibri"/>
                <w:sz w:val="16"/>
                <w:szCs w:val="16"/>
                <w:lang w:eastAsia="pl-PL"/>
              </w:rPr>
              <w:t>.</w:t>
            </w:r>
            <w:r w:rsidRPr="00A10F8C">
              <w:rPr>
                <w:rFonts w:eastAsia="Times New Roman" w:cs="Calibri"/>
                <w:sz w:val="16"/>
                <w:szCs w:val="16"/>
                <w:lang w:eastAsia="pl-PL"/>
              </w:rPr>
              <w:t>6</w:t>
            </w:r>
          </w:p>
        </w:tc>
        <w:tc>
          <w:tcPr>
            <w:tcW w:w="1134" w:type="dxa"/>
            <w:vAlign w:val="bottom"/>
          </w:tcPr>
          <w:p w:rsidR="00E41DF8" w:rsidRPr="00A10F8C" w:rsidRDefault="00E41DF8" w:rsidP="00E41DF8">
            <w:pPr>
              <w:spacing w:before="0" w:after="0"/>
              <w:jc w:val="right"/>
              <w:rPr>
                <w:rFonts w:eastAsia="Times New Roman" w:cs="Calibri"/>
                <w:sz w:val="16"/>
                <w:szCs w:val="16"/>
                <w:lang w:eastAsia="pl-PL"/>
              </w:rPr>
            </w:pPr>
            <w:r w:rsidRPr="00A10F8C">
              <w:rPr>
                <w:rFonts w:eastAsia="Times New Roman" w:cs="Calibri"/>
                <w:sz w:val="16"/>
                <w:szCs w:val="16"/>
                <w:lang w:eastAsia="pl-PL"/>
              </w:rPr>
              <w:t>265</w:t>
            </w:r>
            <w:r w:rsidR="00636C5A">
              <w:rPr>
                <w:rFonts w:eastAsia="Times New Roman" w:cs="Calibri"/>
                <w:sz w:val="16"/>
                <w:szCs w:val="16"/>
                <w:lang w:eastAsia="pl-PL"/>
              </w:rPr>
              <w:t>.</w:t>
            </w:r>
            <w:r w:rsidRPr="00A10F8C">
              <w:rPr>
                <w:rFonts w:eastAsia="Times New Roman" w:cs="Calibri"/>
                <w:sz w:val="16"/>
                <w:szCs w:val="16"/>
                <w:lang w:eastAsia="pl-PL"/>
              </w:rPr>
              <w:t>3</w:t>
            </w:r>
          </w:p>
        </w:tc>
        <w:tc>
          <w:tcPr>
            <w:tcW w:w="1134" w:type="dxa"/>
            <w:vAlign w:val="bottom"/>
          </w:tcPr>
          <w:p w:rsidR="00E41DF8" w:rsidRPr="00A10F8C" w:rsidRDefault="00E41DF8" w:rsidP="00E41DF8">
            <w:pPr>
              <w:spacing w:before="0" w:after="0"/>
              <w:jc w:val="right"/>
              <w:rPr>
                <w:rFonts w:eastAsia="Times New Roman" w:cs="Calibri"/>
                <w:sz w:val="16"/>
                <w:szCs w:val="16"/>
                <w:lang w:eastAsia="pl-PL"/>
              </w:rPr>
            </w:pPr>
            <w:r w:rsidRPr="00A10F8C">
              <w:rPr>
                <w:rFonts w:eastAsia="Times New Roman" w:cs="Calibri"/>
                <w:sz w:val="16"/>
                <w:szCs w:val="16"/>
                <w:lang w:eastAsia="pl-PL"/>
              </w:rPr>
              <w:t>283</w:t>
            </w:r>
            <w:r w:rsidR="00636C5A">
              <w:rPr>
                <w:rFonts w:eastAsia="Times New Roman" w:cs="Calibri"/>
                <w:sz w:val="16"/>
                <w:szCs w:val="16"/>
                <w:lang w:eastAsia="pl-PL"/>
              </w:rPr>
              <w:t>.</w:t>
            </w:r>
            <w:r w:rsidRPr="00A10F8C">
              <w:rPr>
                <w:rFonts w:eastAsia="Times New Roman" w:cs="Calibri"/>
                <w:sz w:val="16"/>
                <w:szCs w:val="16"/>
                <w:lang w:eastAsia="pl-PL"/>
              </w:rPr>
              <w:t>5</w:t>
            </w:r>
          </w:p>
        </w:tc>
        <w:tc>
          <w:tcPr>
            <w:tcW w:w="1134" w:type="dxa"/>
            <w:vAlign w:val="bottom"/>
          </w:tcPr>
          <w:p w:rsidR="00E41DF8" w:rsidRPr="00A10F8C" w:rsidRDefault="00E41DF8" w:rsidP="00E41DF8">
            <w:pPr>
              <w:spacing w:before="0" w:after="0"/>
              <w:jc w:val="right"/>
              <w:rPr>
                <w:rFonts w:eastAsia="Times New Roman" w:cs="Calibri"/>
                <w:sz w:val="16"/>
                <w:szCs w:val="16"/>
                <w:lang w:eastAsia="pl-PL"/>
              </w:rPr>
            </w:pPr>
            <w:r w:rsidRPr="00A10F8C">
              <w:rPr>
                <w:rFonts w:eastAsia="Times New Roman" w:cs="Calibri"/>
                <w:sz w:val="16"/>
                <w:szCs w:val="16"/>
                <w:lang w:eastAsia="pl-PL"/>
              </w:rPr>
              <w:t>123</w:t>
            </w:r>
            <w:r w:rsidR="00636C5A">
              <w:rPr>
                <w:rFonts w:eastAsia="Times New Roman" w:cs="Calibri"/>
                <w:sz w:val="16"/>
                <w:szCs w:val="16"/>
                <w:lang w:eastAsia="pl-PL"/>
              </w:rPr>
              <w:t>.</w:t>
            </w:r>
            <w:r w:rsidRPr="00A10F8C">
              <w:rPr>
                <w:rFonts w:eastAsia="Times New Roman" w:cs="Calibri"/>
                <w:sz w:val="16"/>
                <w:szCs w:val="16"/>
                <w:lang w:eastAsia="pl-PL"/>
              </w:rPr>
              <w:t>7</w:t>
            </w:r>
          </w:p>
        </w:tc>
        <w:tc>
          <w:tcPr>
            <w:tcW w:w="1017" w:type="dxa"/>
            <w:vAlign w:val="bottom"/>
          </w:tcPr>
          <w:p w:rsidR="00E41DF8" w:rsidRPr="00A10F8C" w:rsidRDefault="00E41DF8" w:rsidP="00E41DF8">
            <w:pPr>
              <w:spacing w:before="0" w:after="0"/>
              <w:jc w:val="right"/>
              <w:rPr>
                <w:rFonts w:eastAsia="Times New Roman" w:cs="Calibri"/>
                <w:sz w:val="16"/>
                <w:szCs w:val="16"/>
                <w:lang w:eastAsia="pl-PL"/>
              </w:rPr>
            </w:pPr>
            <w:r w:rsidRPr="00A10F8C">
              <w:rPr>
                <w:rFonts w:eastAsia="Times New Roman" w:cs="Calibri"/>
                <w:sz w:val="16"/>
                <w:szCs w:val="16"/>
                <w:lang w:eastAsia="pl-PL"/>
              </w:rPr>
              <w:t>3</w:t>
            </w:r>
            <w:r w:rsidR="00636C5A">
              <w:rPr>
                <w:rFonts w:eastAsia="Times New Roman" w:cs="Calibri"/>
                <w:sz w:val="16"/>
                <w:szCs w:val="16"/>
                <w:lang w:eastAsia="pl-PL"/>
              </w:rPr>
              <w:t>.</w:t>
            </w:r>
            <w:r w:rsidRPr="00A10F8C">
              <w:rPr>
                <w:rFonts w:eastAsia="Times New Roman" w:cs="Calibri"/>
                <w:sz w:val="16"/>
                <w:szCs w:val="16"/>
                <w:lang w:eastAsia="pl-PL"/>
              </w:rPr>
              <w:t>1</w:t>
            </w:r>
            <w:r w:rsidR="00C42F45">
              <w:rPr>
                <w:rFonts w:eastAsia="Times New Roman" w:cs="Calibri"/>
                <w:sz w:val="16"/>
                <w:szCs w:val="16"/>
                <w:lang w:eastAsia="pl-PL"/>
              </w:rPr>
              <w:t>0</w:t>
            </w:r>
          </w:p>
        </w:tc>
      </w:tr>
      <w:tr w:rsidR="00E41DF8" w:rsidRPr="00E54076" w:rsidTr="003E3377">
        <w:trPr>
          <w:gridAfter w:val="1"/>
          <w:wAfter w:w="84" w:type="dxa"/>
          <w:cantSplit/>
          <w:trHeight w:val="283"/>
        </w:trPr>
        <w:tc>
          <w:tcPr>
            <w:tcW w:w="2546" w:type="dxa"/>
            <w:vAlign w:val="bottom"/>
          </w:tcPr>
          <w:p w:rsidR="00E41DF8" w:rsidRPr="00A10F8C" w:rsidRDefault="003E3377" w:rsidP="003E3377">
            <w:pPr>
              <w:spacing w:before="0" w:after="0"/>
              <w:rPr>
                <w:rFonts w:eastAsia="Times New Roman" w:cs="Calibri"/>
                <w:sz w:val="16"/>
                <w:szCs w:val="16"/>
                <w:lang w:eastAsia="pl-PL"/>
              </w:rPr>
            </w:pPr>
            <w:r>
              <w:rPr>
                <w:rFonts w:eastAsia="Times New Roman" w:cs="Calibri"/>
                <w:sz w:val="16"/>
                <w:szCs w:val="16"/>
                <w:lang w:eastAsia="pl-PL"/>
              </w:rPr>
              <w:t>housing cooperatives</w:t>
            </w:r>
          </w:p>
        </w:tc>
        <w:tc>
          <w:tcPr>
            <w:tcW w:w="1026" w:type="dxa"/>
            <w:vAlign w:val="bottom"/>
          </w:tcPr>
          <w:p w:rsidR="00E41DF8" w:rsidRPr="00A10F8C" w:rsidRDefault="00E41DF8" w:rsidP="00E41DF8">
            <w:pPr>
              <w:spacing w:before="0" w:after="0"/>
              <w:jc w:val="right"/>
              <w:rPr>
                <w:rFonts w:eastAsia="Times New Roman" w:cs="Calibri"/>
                <w:sz w:val="16"/>
                <w:szCs w:val="16"/>
                <w:lang w:eastAsia="pl-PL"/>
              </w:rPr>
            </w:pPr>
            <w:r w:rsidRPr="00A10F8C">
              <w:rPr>
                <w:rFonts w:eastAsia="Times New Roman" w:cs="Calibri"/>
                <w:sz w:val="16"/>
                <w:szCs w:val="16"/>
                <w:lang w:eastAsia="pl-PL"/>
              </w:rPr>
              <w:t>9 413</w:t>
            </w:r>
            <w:r w:rsidR="00636C5A">
              <w:rPr>
                <w:rFonts w:eastAsia="Times New Roman" w:cs="Calibri"/>
                <w:sz w:val="16"/>
                <w:szCs w:val="16"/>
                <w:lang w:eastAsia="pl-PL"/>
              </w:rPr>
              <w:t>.</w:t>
            </w:r>
            <w:r w:rsidRPr="00A10F8C">
              <w:rPr>
                <w:rFonts w:eastAsia="Times New Roman" w:cs="Calibri"/>
                <w:sz w:val="16"/>
                <w:szCs w:val="16"/>
                <w:lang w:eastAsia="pl-PL"/>
              </w:rPr>
              <w:t>3</w:t>
            </w:r>
          </w:p>
        </w:tc>
        <w:tc>
          <w:tcPr>
            <w:tcW w:w="1134" w:type="dxa"/>
            <w:vAlign w:val="bottom"/>
          </w:tcPr>
          <w:p w:rsidR="00E41DF8" w:rsidRPr="00A10F8C" w:rsidRDefault="00E41DF8" w:rsidP="00E41DF8">
            <w:pPr>
              <w:spacing w:before="0" w:after="0"/>
              <w:jc w:val="right"/>
              <w:rPr>
                <w:rFonts w:eastAsia="Times New Roman" w:cs="Calibri"/>
                <w:sz w:val="16"/>
                <w:szCs w:val="16"/>
                <w:lang w:eastAsia="pl-PL"/>
              </w:rPr>
            </w:pPr>
            <w:r w:rsidRPr="00A10F8C">
              <w:rPr>
                <w:rFonts w:eastAsia="Times New Roman" w:cs="Calibri"/>
                <w:sz w:val="16"/>
                <w:szCs w:val="16"/>
                <w:lang w:eastAsia="pl-PL"/>
              </w:rPr>
              <w:t>5 799</w:t>
            </w:r>
            <w:r w:rsidR="00636C5A">
              <w:rPr>
                <w:rFonts w:eastAsia="Times New Roman" w:cs="Calibri"/>
                <w:sz w:val="16"/>
                <w:szCs w:val="16"/>
                <w:lang w:eastAsia="pl-PL"/>
              </w:rPr>
              <w:t>.</w:t>
            </w:r>
            <w:r w:rsidRPr="00A10F8C">
              <w:rPr>
                <w:rFonts w:eastAsia="Times New Roman" w:cs="Calibri"/>
                <w:sz w:val="16"/>
                <w:szCs w:val="16"/>
                <w:lang w:eastAsia="pl-PL"/>
              </w:rPr>
              <w:t>5</w:t>
            </w:r>
          </w:p>
        </w:tc>
        <w:tc>
          <w:tcPr>
            <w:tcW w:w="1134" w:type="dxa"/>
            <w:vAlign w:val="bottom"/>
          </w:tcPr>
          <w:p w:rsidR="00E41DF8" w:rsidRPr="00A10F8C" w:rsidRDefault="00E41DF8" w:rsidP="00E41DF8">
            <w:pPr>
              <w:spacing w:before="0" w:after="0"/>
              <w:jc w:val="right"/>
              <w:rPr>
                <w:rFonts w:eastAsia="Times New Roman" w:cs="Calibri"/>
                <w:sz w:val="16"/>
                <w:szCs w:val="16"/>
                <w:lang w:eastAsia="pl-PL"/>
              </w:rPr>
            </w:pPr>
            <w:r w:rsidRPr="00A10F8C">
              <w:rPr>
                <w:rFonts w:eastAsia="Times New Roman" w:cs="Calibri"/>
                <w:sz w:val="16"/>
                <w:szCs w:val="16"/>
                <w:lang w:eastAsia="pl-PL"/>
              </w:rPr>
              <w:t>2 541</w:t>
            </w:r>
            <w:r w:rsidR="00636C5A">
              <w:rPr>
                <w:rFonts w:eastAsia="Times New Roman" w:cs="Calibri"/>
                <w:sz w:val="16"/>
                <w:szCs w:val="16"/>
                <w:lang w:eastAsia="pl-PL"/>
              </w:rPr>
              <w:t>.</w:t>
            </w:r>
            <w:r w:rsidRPr="00A10F8C">
              <w:rPr>
                <w:rFonts w:eastAsia="Times New Roman" w:cs="Calibri"/>
                <w:sz w:val="16"/>
                <w:szCs w:val="16"/>
                <w:lang w:eastAsia="pl-PL"/>
              </w:rPr>
              <w:t>3</w:t>
            </w:r>
          </w:p>
        </w:tc>
        <w:tc>
          <w:tcPr>
            <w:tcW w:w="1134" w:type="dxa"/>
            <w:vAlign w:val="bottom"/>
          </w:tcPr>
          <w:p w:rsidR="00E41DF8" w:rsidRPr="00A10F8C" w:rsidRDefault="00E41DF8" w:rsidP="00E41DF8">
            <w:pPr>
              <w:spacing w:before="0" w:after="0"/>
              <w:jc w:val="right"/>
              <w:rPr>
                <w:rFonts w:eastAsia="Times New Roman" w:cs="Calibri"/>
                <w:sz w:val="16"/>
                <w:szCs w:val="16"/>
                <w:lang w:eastAsia="pl-PL"/>
              </w:rPr>
            </w:pPr>
            <w:r w:rsidRPr="00A10F8C">
              <w:rPr>
                <w:rFonts w:eastAsia="Times New Roman" w:cs="Calibri"/>
                <w:sz w:val="16"/>
                <w:szCs w:val="16"/>
                <w:lang w:eastAsia="pl-PL"/>
              </w:rPr>
              <w:t>908</w:t>
            </w:r>
            <w:r w:rsidR="00636C5A">
              <w:rPr>
                <w:rFonts w:eastAsia="Times New Roman" w:cs="Calibri"/>
                <w:sz w:val="16"/>
                <w:szCs w:val="16"/>
                <w:lang w:eastAsia="pl-PL"/>
              </w:rPr>
              <w:t>.</w:t>
            </w:r>
            <w:r w:rsidRPr="00A10F8C">
              <w:rPr>
                <w:rFonts w:eastAsia="Times New Roman" w:cs="Calibri"/>
                <w:sz w:val="16"/>
                <w:szCs w:val="16"/>
                <w:lang w:eastAsia="pl-PL"/>
              </w:rPr>
              <w:t>6</w:t>
            </w:r>
          </w:p>
        </w:tc>
        <w:tc>
          <w:tcPr>
            <w:tcW w:w="1017" w:type="dxa"/>
            <w:vAlign w:val="bottom"/>
          </w:tcPr>
          <w:p w:rsidR="00E41DF8" w:rsidRPr="00A10F8C" w:rsidRDefault="00E41DF8" w:rsidP="00E41DF8">
            <w:pPr>
              <w:spacing w:before="0" w:after="0"/>
              <w:jc w:val="right"/>
              <w:rPr>
                <w:rFonts w:eastAsia="Times New Roman" w:cs="Calibri"/>
                <w:sz w:val="16"/>
                <w:szCs w:val="16"/>
                <w:lang w:eastAsia="pl-PL"/>
              </w:rPr>
            </w:pPr>
            <w:r w:rsidRPr="00A10F8C">
              <w:rPr>
                <w:rFonts w:eastAsia="Times New Roman" w:cs="Calibri"/>
                <w:sz w:val="16"/>
                <w:szCs w:val="16"/>
                <w:lang w:eastAsia="pl-PL"/>
              </w:rPr>
              <w:t>164</w:t>
            </w:r>
            <w:r w:rsidR="00636C5A">
              <w:rPr>
                <w:rFonts w:eastAsia="Times New Roman" w:cs="Calibri"/>
                <w:sz w:val="16"/>
                <w:szCs w:val="16"/>
                <w:lang w:eastAsia="pl-PL"/>
              </w:rPr>
              <w:t>.</w:t>
            </w:r>
            <w:r w:rsidRPr="00A10F8C">
              <w:rPr>
                <w:rFonts w:eastAsia="Times New Roman" w:cs="Calibri"/>
                <w:sz w:val="16"/>
                <w:szCs w:val="16"/>
                <w:lang w:eastAsia="pl-PL"/>
              </w:rPr>
              <w:t>0</w:t>
            </w:r>
            <w:r w:rsidR="00C42F45">
              <w:rPr>
                <w:rFonts w:eastAsia="Times New Roman" w:cs="Calibri"/>
                <w:sz w:val="16"/>
                <w:szCs w:val="16"/>
                <w:lang w:eastAsia="pl-PL"/>
              </w:rPr>
              <w:t>0</w:t>
            </w:r>
          </w:p>
        </w:tc>
      </w:tr>
      <w:tr w:rsidR="00E41DF8" w:rsidRPr="00E54076" w:rsidTr="003E3377">
        <w:trPr>
          <w:gridAfter w:val="1"/>
          <w:wAfter w:w="84" w:type="dxa"/>
          <w:cantSplit/>
          <w:trHeight w:val="283"/>
        </w:trPr>
        <w:tc>
          <w:tcPr>
            <w:tcW w:w="2546" w:type="dxa"/>
            <w:vAlign w:val="bottom"/>
          </w:tcPr>
          <w:p w:rsidR="00E41DF8" w:rsidRPr="00A10F8C" w:rsidRDefault="003E3377" w:rsidP="003E3377">
            <w:pPr>
              <w:spacing w:before="0" w:after="0"/>
              <w:rPr>
                <w:rFonts w:eastAsia="Times New Roman" w:cs="Calibri"/>
                <w:sz w:val="16"/>
                <w:szCs w:val="16"/>
                <w:lang w:eastAsia="pl-PL"/>
              </w:rPr>
            </w:pPr>
            <w:r>
              <w:rPr>
                <w:rFonts w:eastAsia="Times New Roman" w:cs="Calibri"/>
                <w:sz w:val="16"/>
                <w:szCs w:val="16"/>
                <w:lang w:eastAsia="pl-PL"/>
              </w:rPr>
              <w:t>State Treasury</w:t>
            </w:r>
          </w:p>
        </w:tc>
        <w:tc>
          <w:tcPr>
            <w:tcW w:w="1026" w:type="dxa"/>
            <w:vAlign w:val="bottom"/>
          </w:tcPr>
          <w:p w:rsidR="00E41DF8" w:rsidRPr="00A10F8C" w:rsidRDefault="00E41DF8" w:rsidP="00E41DF8">
            <w:pPr>
              <w:spacing w:before="0" w:after="0"/>
              <w:jc w:val="right"/>
              <w:rPr>
                <w:rFonts w:eastAsia="Times New Roman" w:cs="Calibri"/>
                <w:sz w:val="16"/>
                <w:szCs w:val="16"/>
                <w:lang w:eastAsia="pl-PL"/>
              </w:rPr>
            </w:pPr>
            <w:r w:rsidRPr="00A10F8C">
              <w:rPr>
                <w:rFonts w:eastAsia="Times New Roman" w:cs="Calibri"/>
                <w:sz w:val="16"/>
                <w:szCs w:val="16"/>
                <w:lang w:eastAsia="pl-PL"/>
              </w:rPr>
              <w:t>3</w:t>
            </w:r>
            <w:r>
              <w:rPr>
                <w:rFonts w:eastAsia="Times New Roman" w:cs="Calibri"/>
                <w:sz w:val="16"/>
                <w:szCs w:val="16"/>
                <w:lang w:eastAsia="pl-PL"/>
              </w:rPr>
              <w:t>2</w:t>
            </w:r>
            <w:r w:rsidR="00636C5A">
              <w:rPr>
                <w:rFonts w:eastAsia="Times New Roman" w:cs="Calibri"/>
                <w:sz w:val="16"/>
                <w:szCs w:val="16"/>
                <w:lang w:eastAsia="pl-PL"/>
              </w:rPr>
              <w:t>.</w:t>
            </w:r>
            <w:r>
              <w:rPr>
                <w:rFonts w:eastAsia="Times New Roman" w:cs="Calibri"/>
                <w:sz w:val="16"/>
                <w:szCs w:val="16"/>
                <w:lang w:eastAsia="pl-PL"/>
              </w:rPr>
              <w:t>9</w:t>
            </w:r>
          </w:p>
        </w:tc>
        <w:tc>
          <w:tcPr>
            <w:tcW w:w="1134" w:type="dxa"/>
            <w:vAlign w:val="bottom"/>
          </w:tcPr>
          <w:p w:rsidR="00E41DF8" w:rsidRPr="00A10F8C" w:rsidRDefault="00E41DF8" w:rsidP="00E41DF8">
            <w:pPr>
              <w:spacing w:before="0" w:after="0"/>
              <w:jc w:val="right"/>
              <w:rPr>
                <w:rFonts w:eastAsia="Times New Roman" w:cs="Calibri"/>
                <w:sz w:val="16"/>
                <w:szCs w:val="16"/>
                <w:lang w:eastAsia="pl-PL"/>
              </w:rPr>
            </w:pPr>
            <w:r w:rsidRPr="00A10F8C">
              <w:rPr>
                <w:rFonts w:eastAsia="Times New Roman" w:cs="Calibri"/>
                <w:sz w:val="16"/>
                <w:szCs w:val="16"/>
                <w:lang w:eastAsia="pl-PL"/>
              </w:rPr>
              <w:t>20</w:t>
            </w:r>
            <w:r w:rsidR="00636C5A">
              <w:rPr>
                <w:rFonts w:eastAsia="Times New Roman" w:cs="Calibri"/>
                <w:sz w:val="16"/>
                <w:szCs w:val="16"/>
                <w:lang w:eastAsia="pl-PL"/>
              </w:rPr>
              <w:t>.</w:t>
            </w:r>
            <w:r w:rsidRPr="00A10F8C">
              <w:rPr>
                <w:rFonts w:eastAsia="Times New Roman" w:cs="Calibri"/>
                <w:sz w:val="16"/>
                <w:szCs w:val="16"/>
                <w:lang w:eastAsia="pl-PL"/>
              </w:rPr>
              <w:t>5</w:t>
            </w:r>
          </w:p>
        </w:tc>
        <w:tc>
          <w:tcPr>
            <w:tcW w:w="1134" w:type="dxa"/>
            <w:vAlign w:val="bottom"/>
          </w:tcPr>
          <w:p w:rsidR="00E41DF8" w:rsidRPr="00A10F8C" w:rsidRDefault="00E41DF8" w:rsidP="00E41DF8">
            <w:pPr>
              <w:spacing w:before="0" w:after="0"/>
              <w:jc w:val="right"/>
              <w:rPr>
                <w:rFonts w:eastAsia="Times New Roman" w:cs="Calibri"/>
                <w:sz w:val="16"/>
                <w:szCs w:val="16"/>
                <w:lang w:eastAsia="pl-PL"/>
              </w:rPr>
            </w:pPr>
            <w:r w:rsidRPr="00A10F8C">
              <w:rPr>
                <w:rFonts w:eastAsia="Times New Roman" w:cs="Calibri"/>
                <w:sz w:val="16"/>
                <w:szCs w:val="16"/>
                <w:lang w:eastAsia="pl-PL"/>
              </w:rPr>
              <w:t>8</w:t>
            </w:r>
            <w:r w:rsidR="00636C5A">
              <w:rPr>
                <w:rFonts w:eastAsia="Times New Roman" w:cs="Calibri"/>
                <w:sz w:val="16"/>
                <w:szCs w:val="16"/>
                <w:lang w:eastAsia="pl-PL"/>
              </w:rPr>
              <w:t>.</w:t>
            </w:r>
            <w:r w:rsidRPr="00A10F8C">
              <w:rPr>
                <w:rFonts w:eastAsia="Times New Roman" w:cs="Calibri"/>
                <w:sz w:val="16"/>
                <w:szCs w:val="16"/>
                <w:lang w:eastAsia="pl-PL"/>
              </w:rPr>
              <w:t>0</w:t>
            </w:r>
          </w:p>
        </w:tc>
        <w:tc>
          <w:tcPr>
            <w:tcW w:w="1134" w:type="dxa"/>
            <w:vAlign w:val="bottom"/>
          </w:tcPr>
          <w:p w:rsidR="00E41DF8" w:rsidRPr="00A10F8C" w:rsidRDefault="00E41DF8" w:rsidP="00E41DF8">
            <w:pPr>
              <w:spacing w:before="0" w:after="0"/>
              <w:jc w:val="right"/>
              <w:rPr>
                <w:rFonts w:eastAsia="Times New Roman" w:cs="Calibri"/>
                <w:sz w:val="16"/>
                <w:szCs w:val="16"/>
                <w:lang w:eastAsia="pl-PL"/>
              </w:rPr>
            </w:pPr>
            <w:r w:rsidRPr="00A10F8C">
              <w:rPr>
                <w:rFonts w:eastAsia="Times New Roman" w:cs="Calibri"/>
                <w:sz w:val="16"/>
                <w:szCs w:val="16"/>
                <w:lang w:eastAsia="pl-PL"/>
              </w:rPr>
              <w:t>4</w:t>
            </w:r>
            <w:r w:rsidR="00636C5A">
              <w:rPr>
                <w:rFonts w:eastAsia="Times New Roman" w:cs="Calibri"/>
                <w:sz w:val="16"/>
                <w:szCs w:val="16"/>
                <w:lang w:eastAsia="pl-PL"/>
              </w:rPr>
              <w:t>.</w:t>
            </w:r>
            <w:r w:rsidRPr="00A10F8C">
              <w:rPr>
                <w:rFonts w:eastAsia="Times New Roman" w:cs="Calibri"/>
                <w:sz w:val="16"/>
                <w:szCs w:val="16"/>
                <w:lang w:eastAsia="pl-PL"/>
              </w:rPr>
              <w:t>4</w:t>
            </w:r>
          </w:p>
        </w:tc>
        <w:tc>
          <w:tcPr>
            <w:tcW w:w="1017" w:type="dxa"/>
            <w:vAlign w:val="bottom"/>
          </w:tcPr>
          <w:p w:rsidR="00E41DF8" w:rsidRPr="00A10F8C" w:rsidRDefault="00E41DF8" w:rsidP="00E41DF8">
            <w:pPr>
              <w:spacing w:before="0" w:after="0"/>
              <w:jc w:val="right"/>
              <w:rPr>
                <w:rFonts w:eastAsia="Times New Roman" w:cs="Calibri"/>
                <w:sz w:val="16"/>
                <w:szCs w:val="16"/>
                <w:lang w:eastAsia="pl-PL"/>
              </w:rPr>
            </w:pPr>
            <w:r w:rsidRPr="00A10F8C">
              <w:rPr>
                <w:rFonts w:eastAsia="Times New Roman" w:cs="Calibri"/>
                <w:sz w:val="16"/>
                <w:szCs w:val="16"/>
                <w:lang w:eastAsia="pl-PL"/>
              </w:rPr>
              <w:t>0</w:t>
            </w:r>
            <w:r w:rsidR="00636C5A">
              <w:rPr>
                <w:rFonts w:eastAsia="Times New Roman" w:cs="Calibri"/>
                <w:sz w:val="16"/>
                <w:szCs w:val="16"/>
                <w:lang w:eastAsia="pl-PL"/>
              </w:rPr>
              <w:t>.</w:t>
            </w:r>
            <w:r w:rsidRPr="00A10F8C">
              <w:rPr>
                <w:rFonts w:eastAsia="Times New Roman" w:cs="Calibri"/>
                <w:sz w:val="16"/>
                <w:szCs w:val="16"/>
                <w:lang w:eastAsia="pl-PL"/>
              </w:rPr>
              <w:t>06</w:t>
            </w:r>
          </w:p>
        </w:tc>
      </w:tr>
      <w:tr w:rsidR="00E41DF8" w:rsidRPr="00E54076" w:rsidTr="003E3377">
        <w:trPr>
          <w:gridAfter w:val="1"/>
          <w:wAfter w:w="84" w:type="dxa"/>
          <w:cantSplit/>
          <w:trHeight w:val="283"/>
        </w:trPr>
        <w:tc>
          <w:tcPr>
            <w:tcW w:w="2546" w:type="dxa"/>
            <w:vAlign w:val="bottom"/>
          </w:tcPr>
          <w:p w:rsidR="00E41DF8" w:rsidRPr="00A10F8C" w:rsidRDefault="003E3377" w:rsidP="003E3377">
            <w:pPr>
              <w:spacing w:before="0" w:after="0"/>
              <w:rPr>
                <w:rFonts w:eastAsia="Times New Roman" w:cs="Calibri"/>
                <w:sz w:val="16"/>
                <w:szCs w:val="16"/>
                <w:lang w:eastAsia="pl-PL"/>
              </w:rPr>
            </w:pPr>
            <w:r>
              <w:rPr>
                <w:rFonts w:eastAsia="Times New Roman" w:cs="Calibri"/>
                <w:sz w:val="16"/>
                <w:szCs w:val="16"/>
                <w:lang w:eastAsia="pl-PL"/>
              </w:rPr>
              <w:t>companies</w:t>
            </w:r>
          </w:p>
        </w:tc>
        <w:tc>
          <w:tcPr>
            <w:tcW w:w="1026" w:type="dxa"/>
            <w:vAlign w:val="bottom"/>
          </w:tcPr>
          <w:p w:rsidR="00E41DF8" w:rsidRPr="00A10F8C" w:rsidRDefault="00E41DF8" w:rsidP="00E41DF8">
            <w:pPr>
              <w:spacing w:before="0" w:after="0"/>
              <w:jc w:val="right"/>
              <w:rPr>
                <w:rFonts w:eastAsia="Times New Roman" w:cs="Calibri"/>
                <w:sz w:val="16"/>
                <w:szCs w:val="16"/>
                <w:lang w:eastAsia="pl-PL"/>
              </w:rPr>
            </w:pPr>
            <w:r w:rsidRPr="00A10F8C">
              <w:rPr>
                <w:rFonts w:eastAsia="Times New Roman" w:cs="Calibri"/>
                <w:sz w:val="16"/>
                <w:szCs w:val="16"/>
                <w:lang w:eastAsia="pl-PL"/>
              </w:rPr>
              <w:t>43</w:t>
            </w:r>
            <w:r w:rsidR="00636C5A">
              <w:rPr>
                <w:rFonts w:eastAsia="Times New Roman" w:cs="Calibri"/>
                <w:sz w:val="16"/>
                <w:szCs w:val="16"/>
                <w:lang w:eastAsia="pl-PL"/>
              </w:rPr>
              <w:t>.</w:t>
            </w:r>
            <w:r w:rsidRPr="00A10F8C">
              <w:rPr>
                <w:rFonts w:eastAsia="Times New Roman" w:cs="Calibri"/>
                <w:sz w:val="16"/>
                <w:szCs w:val="16"/>
                <w:lang w:eastAsia="pl-PL"/>
              </w:rPr>
              <w:t>0</w:t>
            </w:r>
          </w:p>
        </w:tc>
        <w:tc>
          <w:tcPr>
            <w:tcW w:w="1134" w:type="dxa"/>
            <w:vAlign w:val="bottom"/>
          </w:tcPr>
          <w:p w:rsidR="00E41DF8" w:rsidRPr="00A10F8C" w:rsidRDefault="00E41DF8" w:rsidP="00E41DF8">
            <w:pPr>
              <w:spacing w:before="0" w:after="0"/>
              <w:jc w:val="right"/>
              <w:rPr>
                <w:rFonts w:eastAsia="Times New Roman" w:cs="Calibri"/>
                <w:sz w:val="16"/>
                <w:szCs w:val="16"/>
                <w:lang w:eastAsia="pl-PL"/>
              </w:rPr>
            </w:pPr>
            <w:r w:rsidRPr="00A10F8C">
              <w:rPr>
                <w:rFonts w:eastAsia="Times New Roman" w:cs="Calibri"/>
                <w:sz w:val="16"/>
                <w:szCs w:val="16"/>
                <w:lang w:eastAsia="pl-PL"/>
              </w:rPr>
              <w:t>21</w:t>
            </w:r>
            <w:r w:rsidR="00636C5A">
              <w:rPr>
                <w:rFonts w:eastAsia="Times New Roman" w:cs="Calibri"/>
                <w:sz w:val="16"/>
                <w:szCs w:val="16"/>
                <w:lang w:eastAsia="pl-PL"/>
              </w:rPr>
              <w:t>.</w:t>
            </w:r>
            <w:r w:rsidRPr="00A10F8C">
              <w:rPr>
                <w:rFonts w:eastAsia="Times New Roman" w:cs="Calibri"/>
                <w:sz w:val="16"/>
                <w:szCs w:val="16"/>
                <w:lang w:eastAsia="pl-PL"/>
              </w:rPr>
              <w:t>4</w:t>
            </w:r>
          </w:p>
        </w:tc>
        <w:tc>
          <w:tcPr>
            <w:tcW w:w="1134" w:type="dxa"/>
            <w:vAlign w:val="bottom"/>
          </w:tcPr>
          <w:p w:rsidR="00E41DF8" w:rsidRPr="00A10F8C" w:rsidRDefault="00E41DF8" w:rsidP="00E41DF8">
            <w:pPr>
              <w:spacing w:before="0" w:after="0"/>
              <w:jc w:val="right"/>
              <w:rPr>
                <w:rFonts w:eastAsia="Times New Roman" w:cs="Calibri"/>
                <w:sz w:val="16"/>
                <w:szCs w:val="16"/>
                <w:lang w:eastAsia="pl-PL"/>
              </w:rPr>
            </w:pPr>
            <w:r w:rsidRPr="00A10F8C">
              <w:rPr>
                <w:rFonts w:eastAsia="Times New Roman" w:cs="Calibri"/>
                <w:sz w:val="16"/>
                <w:szCs w:val="16"/>
                <w:lang w:eastAsia="pl-PL"/>
              </w:rPr>
              <w:t>13</w:t>
            </w:r>
            <w:r w:rsidR="00636C5A">
              <w:rPr>
                <w:rFonts w:eastAsia="Times New Roman" w:cs="Calibri"/>
                <w:sz w:val="16"/>
                <w:szCs w:val="16"/>
                <w:lang w:eastAsia="pl-PL"/>
              </w:rPr>
              <w:t>.</w:t>
            </w:r>
            <w:r w:rsidRPr="00A10F8C">
              <w:rPr>
                <w:rFonts w:eastAsia="Times New Roman" w:cs="Calibri"/>
                <w:sz w:val="16"/>
                <w:szCs w:val="16"/>
                <w:lang w:eastAsia="pl-PL"/>
              </w:rPr>
              <w:t>1</w:t>
            </w:r>
          </w:p>
        </w:tc>
        <w:tc>
          <w:tcPr>
            <w:tcW w:w="1134" w:type="dxa"/>
            <w:vAlign w:val="bottom"/>
          </w:tcPr>
          <w:p w:rsidR="00E41DF8" w:rsidRPr="00A10F8C" w:rsidRDefault="00E41DF8" w:rsidP="00E41DF8">
            <w:pPr>
              <w:spacing w:before="0" w:after="0"/>
              <w:jc w:val="right"/>
              <w:rPr>
                <w:rFonts w:eastAsia="Times New Roman" w:cs="Calibri"/>
                <w:sz w:val="16"/>
                <w:szCs w:val="16"/>
                <w:lang w:eastAsia="pl-PL"/>
              </w:rPr>
            </w:pPr>
            <w:r w:rsidRPr="00A10F8C">
              <w:rPr>
                <w:rFonts w:eastAsia="Times New Roman" w:cs="Calibri"/>
                <w:sz w:val="16"/>
                <w:szCs w:val="16"/>
                <w:lang w:eastAsia="pl-PL"/>
              </w:rPr>
              <w:t>8</w:t>
            </w:r>
            <w:r w:rsidR="00636C5A">
              <w:rPr>
                <w:rFonts w:eastAsia="Times New Roman" w:cs="Calibri"/>
                <w:sz w:val="16"/>
                <w:szCs w:val="16"/>
                <w:lang w:eastAsia="pl-PL"/>
              </w:rPr>
              <w:t>.</w:t>
            </w:r>
            <w:r w:rsidRPr="00A10F8C">
              <w:rPr>
                <w:rFonts w:eastAsia="Times New Roman" w:cs="Calibri"/>
                <w:sz w:val="16"/>
                <w:szCs w:val="16"/>
                <w:lang w:eastAsia="pl-PL"/>
              </w:rPr>
              <w:t>2</w:t>
            </w:r>
          </w:p>
        </w:tc>
        <w:tc>
          <w:tcPr>
            <w:tcW w:w="1017" w:type="dxa"/>
            <w:vAlign w:val="bottom"/>
          </w:tcPr>
          <w:p w:rsidR="00E41DF8" w:rsidRPr="00A10F8C" w:rsidRDefault="00E41DF8" w:rsidP="00E41DF8">
            <w:pPr>
              <w:spacing w:before="0" w:after="0"/>
              <w:jc w:val="right"/>
              <w:rPr>
                <w:rFonts w:eastAsia="Times New Roman" w:cs="Calibri"/>
                <w:sz w:val="16"/>
                <w:szCs w:val="16"/>
                <w:lang w:eastAsia="pl-PL"/>
              </w:rPr>
            </w:pPr>
            <w:r w:rsidRPr="00A10F8C">
              <w:rPr>
                <w:rFonts w:eastAsia="Times New Roman" w:cs="Calibri"/>
                <w:sz w:val="16"/>
                <w:szCs w:val="16"/>
                <w:lang w:eastAsia="pl-PL"/>
              </w:rPr>
              <w:t>0</w:t>
            </w:r>
            <w:r w:rsidR="00636C5A">
              <w:rPr>
                <w:rFonts w:eastAsia="Times New Roman" w:cs="Calibri"/>
                <w:sz w:val="16"/>
                <w:szCs w:val="16"/>
                <w:lang w:eastAsia="pl-PL"/>
              </w:rPr>
              <w:t>.</w:t>
            </w:r>
            <w:r w:rsidRPr="00A10F8C">
              <w:rPr>
                <w:rFonts w:eastAsia="Times New Roman" w:cs="Calibri"/>
                <w:sz w:val="16"/>
                <w:szCs w:val="16"/>
                <w:lang w:eastAsia="pl-PL"/>
              </w:rPr>
              <w:t>2</w:t>
            </w:r>
            <w:r w:rsidR="00C42F45">
              <w:rPr>
                <w:rFonts w:eastAsia="Times New Roman" w:cs="Calibri"/>
                <w:sz w:val="16"/>
                <w:szCs w:val="16"/>
                <w:lang w:eastAsia="pl-PL"/>
              </w:rPr>
              <w:t>0</w:t>
            </w:r>
          </w:p>
        </w:tc>
      </w:tr>
      <w:tr w:rsidR="00E41DF8" w:rsidRPr="00E54076" w:rsidTr="003E3377">
        <w:trPr>
          <w:gridAfter w:val="1"/>
          <w:wAfter w:w="84" w:type="dxa"/>
          <w:cantSplit/>
          <w:trHeight w:val="283"/>
        </w:trPr>
        <w:tc>
          <w:tcPr>
            <w:tcW w:w="2546" w:type="dxa"/>
            <w:vAlign w:val="bottom"/>
          </w:tcPr>
          <w:p w:rsidR="00E41DF8" w:rsidRPr="00A10F8C" w:rsidRDefault="00496D3A" w:rsidP="003E3377">
            <w:pPr>
              <w:spacing w:before="0" w:after="0"/>
              <w:rPr>
                <w:rFonts w:eastAsia="Times New Roman" w:cs="Calibri"/>
                <w:sz w:val="16"/>
                <w:szCs w:val="16"/>
                <w:lang w:eastAsia="pl-PL"/>
              </w:rPr>
            </w:pPr>
            <w:r>
              <w:rPr>
                <w:rFonts w:eastAsia="Times New Roman" w:cs="Calibri"/>
                <w:sz w:val="16"/>
                <w:szCs w:val="16"/>
                <w:lang w:eastAsia="pl-PL"/>
              </w:rPr>
              <w:t>h</w:t>
            </w:r>
            <w:r w:rsidR="003E3377">
              <w:rPr>
                <w:rFonts w:eastAsia="Times New Roman" w:cs="Calibri"/>
                <w:sz w:val="16"/>
                <w:szCs w:val="16"/>
                <w:lang w:eastAsia="pl-PL"/>
              </w:rPr>
              <w:t>ousing condominiums</w:t>
            </w:r>
          </w:p>
        </w:tc>
        <w:tc>
          <w:tcPr>
            <w:tcW w:w="1026" w:type="dxa"/>
            <w:vAlign w:val="bottom"/>
          </w:tcPr>
          <w:p w:rsidR="00E41DF8" w:rsidRPr="00A10F8C" w:rsidRDefault="00E41DF8" w:rsidP="00E41DF8">
            <w:pPr>
              <w:spacing w:before="0" w:after="0"/>
              <w:jc w:val="right"/>
              <w:rPr>
                <w:rFonts w:eastAsia="Times New Roman" w:cs="Calibri"/>
                <w:sz w:val="16"/>
                <w:szCs w:val="16"/>
                <w:lang w:eastAsia="pl-PL"/>
              </w:rPr>
            </w:pPr>
            <w:r w:rsidRPr="00A10F8C">
              <w:rPr>
                <w:rFonts w:eastAsia="Times New Roman" w:cs="Calibri"/>
                <w:sz w:val="16"/>
                <w:szCs w:val="16"/>
                <w:lang w:eastAsia="pl-PL"/>
              </w:rPr>
              <w:t>7 387</w:t>
            </w:r>
            <w:r w:rsidR="00636C5A">
              <w:rPr>
                <w:rFonts w:eastAsia="Times New Roman" w:cs="Calibri"/>
                <w:sz w:val="16"/>
                <w:szCs w:val="16"/>
                <w:lang w:eastAsia="pl-PL"/>
              </w:rPr>
              <w:t>.</w:t>
            </w:r>
            <w:r>
              <w:rPr>
                <w:rFonts w:eastAsia="Times New Roman" w:cs="Calibri"/>
                <w:sz w:val="16"/>
                <w:szCs w:val="16"/>
                <w:lang w:eastAsia="pl-PL"/>
              </w:rPr>
              <w:t>4</w:t>
            </w:r>
          </w:p>
        </w:tc>
        <w:tc>
          <w:tcPr>
            <w:tcW w:w="1134" w:type="dxa"/>
            <w:vAlign w:val="bottom"/>
          </w:tcPr>
          <w:p w:rsidR="00E41DF8" w:rsidRPr="00A10F8C" w:rsidRDefault="00E41DF8" w:rsidP="00E41DF8">
            <w:pPr>
              <w:spacing w:before="0" w:after="0"/>
              <w:jc w:val="right"/>
              <w:rPr>
                <w:rFonts w:eastAsia="Times New Roman" w:cs="Calibri"/>
                <w:sz w:val="16"/>
                <w:szCs w:val="16"/>
                <w:lang w:eastAsia="pl-PL"/>
              </w:rPr>
            </w:pPr>
            <w:r w:rsidRPr="00A10F8C">
              <w:rPr>
                <w:rFonts w:eastAsia="Times New Roman" w:cs="Calibri"/>
                <w:sz w:val="16"/>
                <w:szCs w:val="16"/>
                <w:lang w:eastAsia="pl-PL"/>
              </w:rPr>
              <w:t>4 253</w:t>
            </w:r>
            <w:r w:rsidR="00636C5A">
              <w:rPr>
                <w:rFonts w:eastAsia="Times New Roman" w:cs="Calibri"/>
                <w:sz w:val="16"/>
                <w:szCs w:val="16"/>
                <w:lang w:eastAsia="pl-PL"/>
              </w:rPr>
              <w:t>.</w:t>
            </w:r>
            <w:r w:rsidRPr="00A10F8C">
              <w:rPr>
                <w:rFonts w:eastAsia="Times New Roman" w:cs="Calibri"/>
                <w:sz w:val="16"/>
                <w:szCs w:val="16"/>
                <w:lang w:eastAsia="pl-PL"/>
              </w:rPr>
              <w:t>8</w:t>
            </w:r>
          </w:p>
        </w:tc>
        <w:tc>
          <w:tcPr>
            <w:tcW w:w="1134" w:type="dxa"/>
            <w:vAlign w:val="bottom"/>
          </w:tcPr>
          <w:p w:rsidR="00E41DF8" w:rsidRPr="00A10F8C" w:rsidRDefault="00E41DF8" w:rsidP="00E41DF8">
            <w:pPr>
              <w:spacing w:before="0" w:after="0"/>
              <w:jc w:val="right"/>
              <w:rPr>
                <w:rFonts w:eastAsia="Times New Roman" w:cs="Calibri"/>
                <w:sz w:val="16"/>
                <w:szCs w:val="16"/>
                <w:lang w:eastAsia="pl-PL"/>
              </w:rPr>
            </w:pPr>
            <w:r w:rsidRPr="00A10F8C">
              <w:rPr>
                <w:rFonts w:eastAsia="Times New Roman" w:cs="Calibri"/>
                <w:sz w:val="16"/>
                <w:szCs w:val="16"/>
                <w:lang w:eastAsia="pl-PL"/>
              </w:rPr>
              <w:t>2 311</w:t>
            </w:r>
            <w:r w:rsidR="00636C5A">
              <w:rPr>
                <w:rFonts w:eastAsia="Times New Roman" w:cs="Calibri"/>
                <w:sz w:val="16"/>
                <w:szCs w:val="16"/>
                <w:lang w:eastAsia="pl-PL"/>
              </w:rPr>
              <w:t>.</w:t>
            </w:r>
            <w:r w:rsidRPr="00A10F8C">
              <w:rPr>
                <w:rFonts w:eastAsia="Times New Roman" w:cs="Calibri"/>
                <w:sz w:val="16"/>
                <w:szCs w:val="16"/>
                <w:lang w:eastAsia="pl-PL"/>
              </w:rPr>
              <w:t>8</w:t>
            </w:r>
          </w:p>
        </w:tc>
        <w:tc>
          <w:tcPr>
            <w:tcW w:w="1134" w:type="dxa"/>
            <w:vAlign w:val="bottom"/>
          </w:tcPr>
          <w:p w:rsidR="00E41DF8" w:rsidRPr="00A10F8C" w:rsidRDefault="00E41DF8" w:rsidP="00E41DF8">
            <w:pPr>
              <w:spacing w:before="0" w:after="0"/>
              <w:jc w:val="right"/>
              <w:rPr>
                <w:rFonts w:eastAsia="Times New Roman" w:cs="Calibri"/>
                <w:sz w:val="16"/>
                <w:szCs w:val="16"/>
                <w:lang w:eastAsia="pl-PL"/>
              </w:rPr>
            </w:pPr>
            <w:r w:rsidRPr="00A10F8C">
              <w:rPr>
                <w:rFonts w:eastAsia="Times New Roman" w:cs="Calibri"/>
                <w:sz w:val="16"/>
                <w:szCs w:val="16"/>
                <w:lang w:eastAsia="pl-PL"/>
              </w:rPr>
              <w:t>821</w:t>
            </w:r>
            <w:r w:rsidR="00636C5A">
              <w:rPr>
                <w:rFonts w:eastAsia="Times New Roman" w:cs="Calibri"/>
                <w:sz w:val="16"/>
                <w:szCs w:val="16"/>
                <w:lang w:eastAsia="pl-PL"/>
              </w:rPr>
              <w:t>.</w:t>
            </w:r>
            <w:r w:rsidRPr="00A10F8C">
              <w:rPr>
                <w:rFonts w:eastAsia="Times New Roman" w:cs="Calibri"/>
                <w:sz w:val="16"/>
                <w:szCs w:val="16"/>
                <w:lang w:eastAsia="pl-PL"/>
              </w:rPr>
              <w:t>8</w:t>
            </w:r>
          </w:p>
        </w:tc>
        <w:tc>
          <w:tcPr>
            <w:tcW w:w="1017" w:type="dxa"/>
            <w:vAlign w:val="bottom"/>
          </w:tcPr>
          <w:p w:rsidR="00E41DF8" w:rsidRPr="00A10F8C" w:rsidRDefault="00E41DF8" w:rsidP="00E41DF8">
            <w:pPr>
              <w:spacing w:before="0" w:after="0"/>
              <w:jc w:val="right"/>
              <w:rPr>
                <w:rFonts w:eastAsia="Times New Roman" w:cs="Calibri"/>
                <w:sz w:val="16"/>
                <w:szCs w:val="16"/>
                <w:lang w:eastAsia="pl-PL"/>
              </w:rPr>
            </w:pPr>
            <w:r w:rsidRPr="00A10F8C">
              <w:rPr>
                <w:rFonts w:eastAsia="Times New Roman" w:cs="Calibri"/>
                <w:sz w:val="16"/>
                <w:szCs w:val="16"/>
                <w:lang w:eastAsia="pl-PL"/>
              </w:rPr>
              <w:t xml:space="preserve">- </w:t>
            </w:r>
          </w:p>
        </w:tc>
      </w:tr>
      <w:tr w:rsidR="00E41DF8" w:rsidRPr="00E54076" w:rsidTr="003E3377">
        <w:trPr>
          <w:gridAfter w:val="1"/>
          <w:wAfter w:w="84" w:type="dxa"/>
          <w:cantSplit/>
          <w:trHeight w:val="283"/>
        </w:trPr>
        <w:tc>
          <w:tcPr>
            <w:tcW w:w="2546" w:type="dxa"/>
            <w:vAlign w:val="bottom"/>
          </w:tcPr>
          <w:p w:rsidR="00E41DF8" w:rsidRPr="00A10F8C" w:rsidRDefault="00890ED3" w:rsidP="003E3377">
            <w:pPr>
              <w:spacing w:before="0" w:after="0"/>
              <w:rPr>
                <w:rFonts w:eastAsia="Times New Roman" w:cs="Calibri"/>
                <w:sz w:val="16"/>
                <w:szCs w:val="16"/>
                <w:lang w:eastAsia="pl-PL"/>
              </w:rPr>
            </w:pPr>
            <w:r>
              <w:rPr>
                <w:rFonts w:eastAsia="Times New Roman" w:cs="Calibri"/>
                <w:sz w:val="16"/>
                <w:szCs w:val="16"/>
                <w:lang w:eastAsia="pl-PL"/>
              </w:rPr>
              <w:t>public</w:t>
            </w:r>
            <w:r w:rsidR="003E3377" w:rsidRPr="003E3377">
              <w:rPr>
                <w:rFonts w:eastAsia="Times New Roman" w:cs="Calibri"/>
                <w:sz w:val="16"/>
                <w:szCs w:val="16"/>
                <w:lang w:eastAsia="pl-PL"/>
              </w:rPr>
              <w:t xml:space="preserve"> building societies</w:t>
            </w:r>
          </w:p>
        </w:tc>
        <w:tc>
          <w:tcPr>
            <w:tcW w:w="1026" w:type="dxa"/>
            <w:vAlign w:val="bottom"/>
          </w:tcPr>
          <w:p w:rsidR="00E41DF8" w:rsidRPr="00A10F8C" w:rsidRDefault="00E41DF8" w:rsidP="00E41DF8">
            <w:pPr>
              <w:spacing w:before="0" w:after="0"/>
              <w:jc w:val="right"/>
              <w:rPr>
                <w:rFonts w:eastAsia="Times New Roman" w:cs="Calibri"/>
                <w:sz w:val="16"/>
                <w:szCs w:val="16"/>
                <w:lang w:eastAsia="pl-PL"/>
              </w:rPr>
            </w:pPr>
            <w:r w:rsidRPr="00A10F8C">
              <w:rPr>
                <w:rFonts w:eastAsia="Times New Roman" w:cs="Calibri"/>
                <w:sz w:val="16"/>
                <w:szCs w:val="16"/>
                <w:lang w:eastAsia="pl-PL"/>
              </w:rPr>
              <w:t>202</w:t>
            </w:r>
            <w:r w:rsidR="00636C5A">
              <w:rPr>
                <w:rFonts w:eastAsia="Times New Roman" w:cs="Calibri"/>
                <w:sz w:val="16"/>
                <w:szCs w:val="16"/>
                <w:lang w:eastAsia="pl-PL"/>
              </w:rPr>
              <w:t>.</w:t>
            </w:r>
            <w:r w:rsidRPr="00A10F8C">
              <w:rPr>
                <w:rFonts w:eastAsia="Times New Roman" w:cs="Calibri"/>
                <w:sz w:val="16"/>
                <w:szCs w:val="16"/>
                <w:lang w:eastAsia="pl-PL"/>
              </w:rPr>
              <w:t>7</w:t>
            </w:r>
          </w:p>
        </w:tc>
        <w:tc>
          <w:tcPr>
            <w:tcW w:w="1134" w:type="dxa"/>
            <w:vAlign w:val="bottom"/>
          </w:tcPr>
          <w:p w:rsidR="00E41DF8" w:rsidRPr="00A10F8C" w:rsidRDefault="00E41DF8" w:rsidP="00E41DF8">
            <w:pPr>
              <w:spacing w:before="0" w:after="0"/>
              <w:jc w:val="right"/>
              <w:rPr>
                <w:rFonts w:eastAsia="Times New Roman" w:cs="Calibri"/>
                <w:sz w:val="16"/>
                <w:szCs w:val="16"/>
                <w:lang w:eastAsia="pl-PL"/>
              </w:rPr>
            </w:pPr>
            <w:r w:rsidRPr="00A10F8C">
              <w:rPr>
                <w:rFonts w:eastAsia="Times New Roman" w:cs="Calibri"/>
                <w:sz w:val="16"/>
                <w:szCs w:val="16"/>
                <w:lang w:eastAsia="pl-PL"/>
              </w:rPr>
              <w:t>103</w:t>
            </w:r>
            <w:r w:rsidR="00636C5A">
              <w:rPr>
                <w:rFonts w:eastAsia="Times New Roman" w:cs="Calibri"/>
                <w:sz w:val="16"/>
                <w:szCs w:val="16"/>
                <w:lang w:eastAsia="pl-PL"/>
              </w:rPr>
              <w:t>.</w:t>
            </w:r>
            <w:r w:rsidRPr="00A10F8C">
              <w:rPr>
                <w:rFonts w:eastAsia="Times New Roman" w:cs="Calibri"/>
                <w:sz w:val="16"/>
                <w:szCs w:val="16"/>
                <w:lang w:eastAsia="pl-PL"/>
              </w:rPr>
              <w:t>8</w:t>
            </w:r>
          </w:p>
        </w:tc>
        <w:tc>
          <w:tcPr>
            <w:tcW w:w="1134" w:type="dxa"/>
            <w:vAlign w:val="bottom"/>
          </w:tcPr>
          <w:p w:rsidR="00E41DF8" w:rsidRPr="00A10F8C" w:rsidRDefault="00E41DF8" w:rsidP="00E41DF8">
            <w:pPr>
              <w:spacing w:before="0" w:after="0"/>
              <w:jc w:val="right"/>
              <w:rPr>
                <w:rFonts w:eastAsia="Times New Roman" w:cs="Calibri"/>
                <w:sz w:val="16"/>
                <w:szCs w:val="16"/>
                <w:lang w:eastAsia="pl-PL"/>
              </w:rPr>
            </w:pPr>
            <w:r w:rsidRPr="00A10F8C">
              <w:rPr>
                <w:rFonts w:eastAsia="Times New Roman" w:cs="Calibri"/>
                <w:sz w:val="16"/>
                <w:szCs w:val="16"/>
                <w:lang w:eastAsia="pl-PL"/>
              </w:rPr>
              <w:t>68</w:t>
            </w:r>
            <w:r w:rsidR="00636C5A">
              <w:rPr>
                <w:rFonts w:eastAsia="Times New Roman" w:cs="Calibri"/>
                <w:sz w:val="16"/>
                <w:szCs w:val="16"/>
                <w:lang w:eastAsia="pl-PL"/>
              </w:rPr>
              <w:t>.</w:t>
            </w:r>
            <w:r w:rsidRPr="00A10F8C">
              <w:rPr>
                <w:rFonts w:eastAsia="Times New Roman" w:cs="Calibri"/>
                <w:sz w:val="16"/>
                <w:szCs w:val="16"/>
                <w:lang w:eastAsia="pl-PL"/>
              </w:rPr>
              <w:t>8</w:t>
            </w:r>
          </w:p>
        </w:tc>
        <w:tc>
          <w:tcPr>
            <w:tcW w:w="1134" w:type="dxa"/>
            <w:vAlign w:val="bottom"/>
          </w:tcPr>
          <w:p w:rsidR="00E41DF8" w:rsidRPr="00A10F8C" w:rsidRDefault="00E41DF8" w:rsidP="00E41DF8">
            <w:pPr>
              <w:spacing w:before="0" w:after="0"/>
              <w:jc w:val="right"/>
              <w:rPr>
                <w:rFonts w:eastAsia="Times New Roman" w:cs="Calibri"/>
                <w:sz w:val="16"/>
                <w:szCs w:val="16"/>
                <w:lang w:eastAsia="pl-PL"/>
              </w:rPr>
            </w:pPr>
            <w:r w:rsidRPr="00A10F8C">
              <w:rPr>
                <w:rFonts w:eastAsia="Times New Roman" w:cs="Calibri"/>
                <w:sz w:val="16"/>
                <w:szCs w:val="16"/>
                <w:lang w:eastAsia="pl-PL"/>
              </w:rPr>
              <w:t>28</w:t>
            </w:r>
            <w:r w:rsidR="00636C5A">
              <w:rPr>
                <w:rFonts w:eastAsia="Times New Roman" w:cs="Calibri"/>
                <w:sz w:val="16"/>
                <w:szCs w:val="16"/>
                <w:lang w:eastAsia="pl-PL"/>
              </w:rPr>
              <w:t>.</w:t>
            </w:r>
            <w:r w:rsidRPr="00A10F8C">
              <w:rPr>
                <w:rFonts w:eastAsia="Times New Roman" w:cs="Calibri"/>
                <w:sz w:val="16"/>
                <w:szCs w:val="16"/>
                <w:lang w:eastAsia="pl-PL"/>
              </w:rPr>
              <w:t>6</w:t>
            </w:r>
          </w:p>
        </w:tc>
        <w:tc>
          <w:tcPr>
            <w:tcW w:w="1017" w:type="dxa"/>
            <w:vAlign w:val="bottom"/>
          </w:tcPr>
          <w:p w:rsidR="00E41DF8" w:rsidRPr="00A10F8C" w:rsidRDefault="00E41DF8" w:rsidP="00E41DF8">
            <w:pPr>
              <w:spacing w:before="0" w:after="0"/>
              <w:jc w:val="right"/>
              <w:rPr>
                <w:rFonts w:eastAsia="Times New Roman" w:cs="Calibri"/>
                <w:sz w:val="16"/>
                <w:szCs w:val="16"/>
                <w:lang w:eastAsia="pl-PL"/>
              </w:rPr>
            </w:pPr>
            <w:r w:rsidRPr="00A10F8C">
              <w:rPr>
                <w:rFonts w:eastAsia="Times New Roman" w:cs="Calibri"/>
                <w:sz w:val="16"/>
                <w:szCs w:val="16"/>
                <w:lang w:eastAsia="pl-PL"/>
              </w:rPr>
              <w:t>1</w:t>
            </w:r>
            <w:r w:rsidR="00636C5A">
              <w:rPr>
                <w:rFonts w:eastAsia="Times New Roman" w:cs="Calibri"/>
                <w:sz w:val="16"/>
                <w:szCs w:val="16"/>
                <w:lang w:eastAsia="pl-PL"/>
              </w:rPr>
              <w:t>.</w:t>
            </w:r>
            <w:r w:rsidRPr="00A10F8C">
              <w:rPr>
                <w:rFonts w:eastAsia="Times New Roman" w:cs="Calibri"/>
                <w:sz w:val="16"/>
                <w:szCs w:val="16"/>
                <w:lang w:eastAsia="pl-PL"/>
              </w:rPr>
              <w:t>4</w:t>
            </w:r>
            <w:r w:rsidR="00C42F45">
              <w:rPr>
                <w:rFonts w:eastAsia="Times New Roman" w:cs="Calibri"/>
                <w:sz w:val="16"/>
                <w:szCs w:val="16"/>
                <w:lang w:eastAsia="pl-PL"/>
              </w:rPr>
              <w:t>0</w:t>
            </w:r>
          </w:p>
        </w:tc>
      </w:tr>
      <w:tr w:rsidR="00E41DF8" w:rsidRPr="00E54076" w:rsidTr="003E3377">
        <w:trPr>
          <w:gridAfter w:val="1"/>
          <w:wAfter w:w="84" w:type="dxa"/>
          <w:cantSplit/>
          <w:trHeight w:val="283"/>
        </w:trPr>
        <w:tc>
          <w:tcPr>
            <w:tcW w:w="2546" w:type="dxa"/>
            <w:vAlign w:val="bottom"/>
          </w:tcPr>
          <w:p w:rsidR="00E41DF8" w:rsidRPr="00A10F8C" w:rsidRDefault="00496D3A" w:rsidP="003E3377">
            <w:pPr>
              <w:spacing w:before="0" w:after="0"/>
              <w:rPr>
                <w:rFonts w:eastAsia="Times New Roman" w:cs="Calibri"/>
                <w:sz w:val="16"/>
                <w:szCs w:val="16"/>
                <w:lang w:eastAsia="pl-PL"/>
              </w:rPr>
            </w:pPr>
            <w:r>
              <w:rPr>
                <w:rFonts w:eastAsia="Times New Roman" w:cs="Calibri"/>
                <w:sz w:val="16"/>
                <w:szCs w:val="16"/>
                <w:lang w:eastAsia="pl-PL"/>
              </w:rPr>
              <w:t>o</w:t>
            </w:r>
            <w:r w:rsidR="003E3377">
              <w:rPr>
                <w:rFonts w:eastAsia="Times New Roman" w:cs="Calibri"/>
                <w:sz w:val="16"/>
                <w:szCs w:val="16"/>
                <w:lang w:eastAsia="pl-PL"/>
              </w:rPr>
              <w:t>ther entities</w:t>
            </w:r>
          </w:p>
        </w:tc>
        <w:tc>
          <w:tcPr>
            <w:tcW w:w="1026" w:type="dxa"/>
            <w:vAlign w:val="bottom"/>
          </w:tcPr>
          <w:p w:rsidR="00E41DF8" w:rsidRPr="00A10F8C" w:rsidRDefault="00E41DF8" w:rsidP="00E41DF8">
            <w:pPr>
              <w:spacing w:before="0" w:after="0"/>
              <w:jc w:val="right"/>
              <w:rPr>
                <w:rFonts w:eastAsia="Times New Roman" w:cs="Calibri"/>
                <w:sz w:val="16"/>
                <w:szCs w:val="16"/>
                <w:lang w:eastAsia="pl-PL"/>
              </w:rPr>
            </w:pPr>
            <w:r w:rsidRPr="00A10F8C">
              <w:rPr>
                <w:rFonts w:eastAsia="Times New Roman" w:cs="Calibri"/>
                <w:sz w:val="16"/>
                <w:szCs w:val="16"/>
                <w:lang w:eastAsia="pl-PL"/>
              </w:rPr>
              <w:t>3</w:t>
            </w:r>
            <w:r w:rsidR="00636C5A">
              <w:rPr>
                <w:rFonts w:eastAsia="Times New Roman" w:cs="Calibri"/>
                <w:sz w:val="16"/>
                <w:szCs w:val="16"/>
                <w:lang w:eastAsia="pl-PL"/>
              </w:rPr>
              <w:t>.</w:t>
            </w:r>
            <w:r w:rsidRPr="00A10F8C">
              <w:rPr>
                <w:rFonts w:eastAsia="Times New Roman" w:cs="Calibri"/>
                <w:sz w:val="16"/>
                <w:szCs w:val="16"/>
                <w:lang w:eastAsia="pl-PL"/>
              </w:rPr>
              <w:t>8</w:t>
            </w:r>
          </w:p>
        </w:tc>
        <w:tc>
          <w:tcPr>
            <w:tcW w:w="1134" w:type="dxa"/>
            <w:vAlign w:val="bottom"/>
          </w:tcPr>
          <w:p w:rsidR="00E41DF8" w:rsidRPr="00A10F8C" w:rsidRDefault="00E41DF8" w:rsidP="00E41DF8">
            <w:pPr>
              <w:spacing w:before="0" w:after="0"/>
              <w:jc w:val="right"/>
              <w:rPr>
                <w:rFonts w:eastAsia="Times New Roman" w:cs="Calibri"/>
                <w:sz w:val="16"/>
                <w:szCs w:val="16"/>
                <w:lang w:eastAsia="pl-PL"/>
              </w:rPr>
            </w:pPr>
            <w:r w:rsidRPr="00A10F8C">
              <w:rPr>
                <w:rFonts w:eastAsia="Times New Roman" w:cs="Calibri"/>
                <w:sz w:val="16"/>
                <w:szCs w:val="16"/>
                <w:lang w:eastAsia="pl-PL"/>
              </w:rPr>
              <w:t>2</w:t>
            </w:r>
            <w:r w:rsidR="00636C5A">
              <w:rPr>
                <w:rFonts w:eastAsia="Times New Roman" w:cs="Calibri"/>
                <w:sz w:val="16"/>
                <w:szCs w:val="16"/>
                <w:lang w:eastAsia="pl-PL"/>
              </w:rPr>
              <w:t>.</w:t>
            </w:r>
            <w:r w:rsidRPr="00A10F8C">
              <w:rPr>
                <w:rFonts w:eastAsia="Times New Roman" w:cs="Calibri"/>
                <w:sz w:val="16"/>
                <w:szCs w:val="16"/>
                <w:lang w:eastAsia="pl-PL"/>
              </w:rPr>
              <w:t>2</w:t>
            </w:r>
          </w:p>
        </w:tc>
        <w:tc>
          <w:tcPr>
            <w:tcW w:w="1134" w:type="dxa"/>
            <w:vAlign w:val="bottom"/>
          </w:tcPr>
          <w:p w:rsidR="00E41DF8" w:rsidRPr="00A10F8C" w:rsidRDefault="00E41DF8" w:rsidP="00E41DF8">
            <w:pPr>
              <w:spacing w:before="0" w:after="0"/>
              <w:jc w:val="right"/>
              <w:rPr>
                <w:rFonts w:eastAsia="Times New Roman" w:cs="Calibri"/>
                <w:sz w:val="16"/>
                <w:szCs w:val="16"/>
                <w:lang w:eastAsia="pl-PL"/>
              </w:rPr>
            </w:pPr>
            <w:r w:rsidRPr="00A10F8C">
              <w:rPr>
                <w:rFonts w:eastAsia="Times New Roman" w:cs="Calibri"/>
                <w:sz w:val="16"/>
                <w:szCs w:val="16"/>
                <w:lang w:eastAsia="pl-PL"/>
              </w:rPr>
              <w:t>1</w:t>
            </w:r>
            <w:r w:rsidR="00636C5A">
              <w:rPr>
                <w:rFonts w:eastAsia="Times New Roman" w:cs="Calibri"/>
                <w:sz w:val="16"/>
                <w:szCs w:val="16"/>
                <w:lang w:eastAsia="pl-PL"/>
              </w:rPr>
              <w:t>.</w:t>
            </w:r>
            <w:r w:rsidRPr="00A10F8C">
              <w:rPr>
                <w:rFonts w:eastAsia="Times New Roman" w:cs="Calibri"/>
                <w:sz w:val="16"/>
                <w:szCs w:val="16"/>
                <w:lang w:eastAsia="pl-PL"/>
              </w:rPr>
              <w:t>2</w:t>
            </w:r>
          </w:p>
        </w:tc>
        <w:tc>
          <w:tcPr>
            <w:tcW w:w="1134" w:type="dxa"/>
            <w:vAlign w:val="bottom"/>
          </w:tcPr>
          <w:p w:rsidR="00E41DF8" w:rsidRPr="00A10F8C" w:rsidRDefault="00E41DF8" w:rsidP="00E41DF8">
            <w:pPr>
              <w:spacing w:before="0" w:after="0"/>
              <w:jc w:val="right"/>
              <w:rPr>
                <w:rFonts w:eastAsia="Times New Roman" w:cs="Calibri"/>
                <w:sz w:val="16"/>
                <w:szCs w:val="16"/>
                <w:lang w:eastAsia="pl-PL"/>
              </w:rPr>
            </w:pPr>
            <w:r w:rsidRPr="00A10F8C">
              <w:rPr>
                <w:rFonts w:eastAsia="Times New Roman" w:cs="Calibri"/>
                <w:sz w:val="16"/>
                <w:szCs w:val="16"/>
                <w:lang w:eastAsia="pl-PL"/>
              </w:rPr>
              <w:t>0</w:t>
            </w:r>
            <w:r w:rsidR="00636C5A">
              <w:rPr>
                <w:rFonts w:eastAsia="Times New Roman" w:cs="Calibri"/>
                <w:sz w:val="16"/>
                <w:szCs w:val="16"/>
                <w:lang w:eastAsia="pl-PL"/>
              </w:rPr>
              <w:t>.</w:t>
            </w:r>
            <w:r w:rsidRPr="00A10F8C">
              <w:rPr>
                <w:rFonts w:eastAsia="Times New Roman" w:cs="Calibri"/>
                <w:sz w:val="16"/>
                <w:szCs w:val="16"/>
                <w:lang w:eastAsia="pl-PL"/>
              </w:rPr>
              <w:t>5</w:t>
            </w:r>
          </w:p>
        </w:tc>
        <w:tc>
          <w:tcPr>
            <w:tcW w:w="1017" w:type="dxa"/>
            <w:vAlign w:val="bottom"/>
          </w:tcPr>
          <w:p w:rsidR="00E41DF8" w:rsidRPr="00A10F8C" w:rsidRDefault="00E41DF8" w:rsidP="00E41DF8">
            <w:pPr>
              <w:spacing w:before="0" w:after="0"/>
              <w:jc w:val="right"/>
              <w:rPr>
                <w:rFonts w:eastAsia="Times New Roman" w:cs="Calibri"/>
                <w:sz w:val="16"/>
                <w:szCs w:val="16"/>
                <w:lang w:eastAsia="pl-PL"/>
              </w:rPr>
            </w:pPr>
            <w:r w:rsidRPr="00A10F8C">
              <w:rPr>
                <w:rFonts w:eastAsia="Times New Roman" w:cs="Calibri"/>
                <w:sz w:val="16"/>
                <w:szCs w:val="16"/>
                <w:lang w:eastAsia="pl-PL"/>
              </w:rPr>
              <w:t>0</w:t>
            </w:r>
            <w:r w:rsidR="00636C5A">
              <w:rPr>
                <w:rFonts w:eastAsia="Times New Roman" w:cs="Calibri"/>
                <w:sz w:val="16"/>
                <w:szCs w:val="16"/>
                <w:lang w:eastAsia="pl-PL"/>
              </w:rPr>
              <w:t>.</w:t>
            </w:r>
            <w:r w:rsidRPr="00A10F8C">
              <w:rPr>
                <w:rFonts w:eastAsia="Times New Roman" w:cs="Calibri"/>
                <w:sz w:val="16"/>
                <w:szCs w:val="16"/>
                <w:lang w:eastAsia="pl-PL"/>
              </w:rPr>
              <w:t>03</w:t>
            </w:r>
          </w:p>
        </w:tc>
      </w:tr>
    </w:tbl>
    <w:p w:rsidR="00DE7848" w:rsidRDefault="00DE7848" w:rsidP="00E41DF8">
      <w:pPr>
        <w:spacing w:after="0"/>
        <w:rPr>
          <w:shd w:val="clear" w:color="auto" w:fill="FFFFFF"/>
        </w:rPr>
      </w:pPr>
    </w:p>
    <w:p w:rsidR="00E41DF8" w:rsidRPr="00281994" w:rsidRDefault="00FD592F" w:rsidP="00E41DF8">
      <w:pPr>
        <w:spacing w:after="0"/>
        <w:rPr>
          <w:shd w:val="clear" w:color="auto" w:fill="FFFFFF"/>
          <w:lang w:val="en-GB"/>
        </w:rPr>
      </w:pPr>
      <w:r w:rsidRPr="0097136B">
        <w:rPr>
          <w:noProof/>
          <w:color w:val="FF0000"/>
          <w:spacing w:val="-2"/>
          <w:sz w:val="32"/>
          <w:szCs w:val="32"/>
          <w:lang w:eastAsia="pl-PL"/>
        </w:rPr>
        <w:lastRenderedPageBreak/>
        <mc:AlternateContent>
          <mc:Choice Requires="wps">
            <w:drawing>
              <wp:anchor distT="45720" distB="45720" distL="114300" distR="114300" simplePos="0" relativeHeight="251669504" behindDoc="1" locked="0" layoutInCell="1" allowOverlap="1" wp14:anchorId="4104451F" wp14:editId="5BDC7F64">
                <wp:simplePos x="0" y="0"/>
                <wp:positionH relativeFrom="rightMargin">
                  <wp:posOffset>96850</wp:posOffset>
                </wp:positionH>
                <wp:positionV relativeFrom="paragraph">
                  <wp:posOffset>-139954</wp:posOffset>
                </wp:positionV>
                <wp:extent cx="1666875" cy="796925"/>
                <wp:effectExtent l="0" t="0" r="0" b="3175"/>
                <wp:wrapTight wrapText="bothSides">
                  <wp:wrapPolygon edited="0">
                    <wp:start x="741" y="0"/>
                    <wp:lineTo x="741" y="21170"/>
                    <wp:lineTo x="20736" y="21170"/>
                    <wp:lineTo x="20736" y="0"/>
                    <wp:lineTo x="741" y="0"/>
                  </wp:wrapPolygon>
                </wp:wrapTight>
                <wp:docPr id="2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796925"/>
                        </a:xfrm>
                        <a:prstGeom prst="rect">
                          <a:avLst/>
                        </a:prstGeom>
                        <a:noFill/>
                        <a:ln w="9525">
                          <a:noFill/>
                          <a:miter lim="800000"/>
                          <a:headEnd/>
                          <a:tailEnd/>
                        </a:ln>
                      </wps:spPr>
                      <wps:txbx>
                        <w:txbxContent>
                          <w:p w:rsidR="00E84AB6" w:rsidRPr="00281994" w:rsidRDefault="00E84AB6" w:rsidP="00FD592F">
                            <w:pPr>
                              <w:pStyle w:val="tekstzboku"/>
                              <w:rPr>
                                <w:lang w:val="en-GB"/>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In December 2018, there was observed an increase in the average rent amount of 5.4 %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04451F" id="_x0000_s1040" type="#_x0000_t202" style="position:absolute;margin-left:7.65pt;margin-top:-11pt;width:131.25pt;height:62.75pt;z-index:-25164697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" filled="f" stroked="f">
                <v:textbox>
                  <w:txbxContent>
                    <w:p w:rsidR="00E84AB6" w:rsidRPr="00281994" w:rsidRDefault="00E84AB6" w:rsidP="00FD592F">
                      <w:pPr>
                        <w:pStyle w:val="tekstzboku"/>
                        <w:rPr>
                          <w:lang w:val="en-GB"/>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In December 2018, there was observed an increase in the average rent amount of 5.4 %</w:t>
                      </w:r>
                    </w:p>
                  </w:txbxContent>
                </v:textbox>
                <w10:wrap type="tight" anchorx="margin"/>
              </v:shape>
            </w:pict>
          </mc:Fallback>
        </mc:AlternateContent>
      </w:r>
      <w:r w:rsidR="00E41DF8" w:rsidRPr="00281994">
        <w:rPr>
          <w:shd w:val="clear" w:color="auto" w:fill="FFFFFF"/>
          <w:lang w:val="en-GB"/>
        </w:rPr>
        <w:t xml:space="preserve">In December 2018, there was observed an increase in the average rent amount (of </w:t>
      </w:r>
      <w:r w:rsidRPr="00281994">
        <w:rPr>
          <w:shd w:val="clear" w:color="auto" w:fill="FFFFFF"/>
          <w:lang w:val="en-GB"/>
        </w:rPr>
        <w:t>5.4</w:t>
      </w:r>
      <w:r w:rsidR="00DE7848" w:rsidRPr="00281994">
        <w:rPr>
          <w:shd w:val="clear" w:color="auto" w:fill="FFFFFF"/>
          <w:lang w:val="en-GB"/>
        </w:rPr>
        <w:t> </w:t>
      </w:r>
      <w:r w:rsidR="00E128CF">
        <w:rPr>
          <w:shd w:val="clear" w:color="auto" w:fill="FFFFFF"/>
          <w:lang w:val="en-GB"/>
        </w:rPr>
        <w:t>%)</w:t>
      </w:r>
      <w:r w:rsidR="00E41DF8" w:rsidRPr="00281994">
        <w:rPr>
          <w:shd w:val="clear" w:color="auto" w:fill="FFFFFF"/>
          <w:lang w:val="en-GB"/>
        </w:rPr>
        <w:t xml:space="preserve"> per 1 m</w:t>
      </w:r>
      <w:r w:rsidR="00E41DF8" w:rsidRPr="00281994">
        <w:rPr>
          <w:shd w:val="clear" w:color="auto" w:fill="FFFFFF"/>
          <w:vertAlign w:val="superscript"/>
          <w:lang w:val="en-GB"/>
        </w:rPr>
        <w:t>2</w:t>
      </w:r>
      <w:r w:rsidR="00E41DF8" w:rsidRPr="00281994">
        <w:rPr>
          <w:shd w:val="clear" w:color="auto" w:fill="FFFFFF"/>
          <w:lang w:val="en-GB"/>
        </w:rPr>
        <w:t xml:space="preserve"> of useful floor area as compared to December 2016. </w:t>
      </w:r>
    </w:p>
    <w:p w:rsidR="00E41DF8" w:rsidRPr="00281994" w:rsidRDefault="00E41DF8" w:rsidP="00E41DF8">
      <w:pPr>
        <w:spacing w:after="0"/>
        <w:rPr>
          <w:shd w:val="clear" w:color="auto" w:fill="FFFFFF"/>
          <w:lang w:val="en-GB"/>
        </w:rPr>
      </w:pPr>
      <w:r w:rsidRPr="00281994">
        <w:rPr>
          <w:shd w:val="clear" w:color="auto" w:fill="FFFFFF"/>
          <w:lang w:val="en-GB"/>
        </w:rPr>
        <w:t>This rate increased in buildings with residential premises owned by:</w:t>
      </w:r>
    </w:p>
    <w:p w:rsidR="00E41DF8" w:rsidRPr="00DE7848" w:rsidRDefault="00E41DF8" w:rsidP="00DE7848">
      <w:pPr>
        <w:pStyle w:val="Akapitzlist"/>
        <w:numPr>
          <w:ilvl w:val="0"/>
          <w:numId w:val="5"/>
        </w:numPr>
        <w:spacing w:before="60" w:after="0"/>
        <w:ind w:left="142" w:hanging="153"/>
        <w:rPr>
          <w:shd w:val="clear" w:color="auto" w:fill="FFFFFF"/>
        </w:rPr>
      </w:pPr>
      <w:r w:rsidRPr="00DE7848">
        <w:rPr>
          <w:shd w:val="clear" w:color="auto" w:fill="FFFFFF"/>
        </w:rPr>
        <w:t xml:space="preserve">other entities </w:t>
      </w:r>
      <w:r w:rsidR="00DE7848">
        <w:rPr>
          <w:shd w:val="clear" w:color="auto" w:fill="FFFFFF"/>
        </w:rPr>
        <w:t>–</w:t>
      </w:r>
      <w:r w:rsidRPr="00DE7848">
        <w:rPr>
          <w:shd w:val="clear" w:color="auto" w:fill="FFFFFF"/>
        </w:rPr>
        <w:t xml:space="preserve"> by PLN 3.44 (72.3</w:t>
      </w:r>
      <w:r w:rsidR="00DE7848">
        <w:rPr>
          <w:shd w:val="clear" w:color="auto" w:fill="FFFFFF"/>
        </w:rPr>
        <w:t> </w:t>
      </w:r>
      <w:r w:rsidRPr="00DE7848">
        <w:rPr>
          <w:shd w:val="clear" w:color="auto" w:fill="FFFFFF"/>
        </w:rPr>
        <w:t>%),</w:t>
      </w:r>
    </w:p>
    <w:p w:rsidR="00E41DF8" w:rsidRPr="00DE7848" w:rsidRDefault="00E41DF8" w:rsidP="00DE7848">
      <w:pPr>
        <w:pStyle w:val="Akapitzlist"/>
        <w:numPr>
          <w:ilvl w:val="0"/>
          <w:numId w:val="5"/>
        </w:numPr>
        <w:spacing w:before="60" w:after="0"/>
        <w:ind w:left="142" w:hanging="153"/>
        <w:rPr>
          <w:shd w:val="clear" w:color="auto" w:fill="FFFFFF"/>
        </w:rPr>
      </w:pPr>
      <w:r w:rsidRPr="00DE7848">
        <w:rPr>
          <w:shd w:val="clear" w:color="auto" w:fill="FFFFFF"/>
        </w:rPr>
        <w:t xml:space="preserve">State Treasury </w:t>
      </w:r>
      <w:r w:rsidR="00DE7848">
        <w:rPr>
          <w:shd w:val="clear" w:color="auto" w:fill="FFFFFF"/>
        </w:rPr>
        <w:t>–</w:t>
      </w:r>
      <w:r w:rsidRPr="00DE7848">
        <w:rPr>
          <w:shd w:val="clear" w:color="auto" w:fill="FFFFFF"/>
        </w:rPr>
        <w:t xml:space="preserve"> by PLN 2.77 (59.8</w:t>
      </w:r>
      <w:r w:rsidR="00DE7848">
        <w:rPr>
          <w:shd w:val="clear" w:color="auto" w:fill="FFFFFF"/>
        </w:rPr>
        <w:t> </w:t>
      </w:r>
      <w:r w:rsidRPr="00DE7848">
        <w:rPr>
          <w:shd w:val="clear" w:color="auto" w:fill="FFFFFF"/>
        </w:rPr>
        <w:t>%),</w:t>
      </w:r>
    </w:p>
    <w:p w:rsidR="00E41DF8" w:rsidRPr="00DE7848" w:rsidRDefault="00F163AA" w:rsidP="00DE7848">
      <w:pPr>
        <w:pStyle w:val="Akapitzlist"/>
        <w:numPr>
          <w:ilvl w:val="0"/>
          <w:numId w:val="5"/>
        </w:numPr>
        <w:spacing w:before="60" w:after="0"/>
        <w:ind w:left="142" w:hanging="153"/>
        <w:rPr>
          <w:shd w:val="clear" w:color="auto" w:fill="FFFFFF"/>
        </w:rPr>
      </w:pPr>
      <w:r w:rsidRPr="00DE7848">
        <w:rPr>
          <w:shd w:val="clear" w:color="auto" w:fill="FFFFFF"/>
        </w:rPr>
        <w:t xml:space="preserve">housing </w:t>
      </w:r>
      <w:r w:rsidR="00E41DF8" w:rsidRPr="00DE7848">
        <w:rPr>
          <w:shd w:val="clear" w:color="auto" w:fill="FFFFFF"/>
        </w:rPr>
        <w:t xml:space="preserve">condominiums </w:t>
      </w:r>
      <w:r w:rsidR="00DE7848">
        <w:rPr>
          <w:shd w:val="clear" w:color="auto" w:fill="FFFFFF"/>
        </w:rPr>
        <w:t>–</w:t>
      </w:r>
      <w:r w:rsidR="00E41DF8" w:rsidRPr="00DE7848">
        <w:rPr>
          <w:shd w:val="clear" w:color="auto" w:fill="FFFFFF"/>
        </w:rPr>
        <w:t xml:space="preserve"> by PLN 0.52 (21.8</w:t>
      </w:r>
      <w:r w:rsidR="00DE7848">
        <w:rPr>
          <w:shd w:val="clear" w:color="auto" w:fill="FFFFFF"/>
        </w:rPr>
        <w:t> </w:t>
      </w:r>
      <w:r w:rsidR="00E41DF8" w:rsidRPr="00DE7848">
        <w:rPr>
          <w:shd w:val="clear" w:color="auto" w:fill="FFFFFF"/>
        </w:rPr>
        <w:t>%),</w:t>
      </w:r>
    </w:p>
    <w:p w:rsidR="00E41DF8" w:rsidRPr="00DE7848" w:rsidRDefault="00E41DF8" w:rsidP="00DE7848">
      <w:pPr>
        <w:pStyle w:val="Akapitzlist"/>
        <w:numPr>
          <w:ilvl w:val="0"/>
          <w:numId w:val="5"/>
        </w:numPr>
        <w:spacing w:before="60" w:after="0"/>
        <w:ind w:left="142" w:hanging="153"/>
        <w:rPr>
          <w:shd w:val="clear" w:color="auto" w:fill="FFFFFF"/>
        </w:rPr>
      </w:pPr>
      <w:r w:rsidRPr="00DE7848">
        <w:rPr>
          <w:shd w:val="clear" w:color="auto" w:fill="FFFFFF"/>
        </w:rPr>
        <w:t xml:space="preserve">companies </w:t>
      </w:r>
      <w:r w:rsidR="00DE7848">
        <w:rPr>
          <w:shd w:val="clear" w:color="auto" w:fill="FFFFFF"/>
        </w:rPr>
        <w:t>–</w:t>
      </w:r>
      <w:r w:rsidRPr="00DE7848">
        <w:rPr>
          <w:shd w:val="clear" w:color="auto" w:fill="FFFFFF"/>
        </w:rPr>
        <w:t xml:space="preserve"> by PLN 1.04 (21.4</w:t>
      </w:r>
      <w:r w:rsidR="00DE7848">
        <w:rPr>
          <w:shd w:val="clear" w:color="auto" w:fill="FFFFFF"/>
        </w:rPr>
        <w:t> </w:t>
      </w:r>
      <w:r w:rsidRPr="00DE7848">
        <w:rPr>
          <w:shd w:val="clear" w:color="auto" w:fill="FFFFFF"/>
        </w:rPr>
        <w:t>%),</w:t>
      </w:r>
    </w:p>
    <w:p w:rsidR="00E41DF8" w:rsidRPr="00DE7848" w:rsidRDefault="00E41DF8" w:rsidP="00DE7848">
      <w:pPr>
        <w:pStyle w:val="Akapitzlist"/>
        <w:numPr>
          <w:ilvl w:val="0"/>
          <w:numId w:val="5"/>
        </w:numPr>
        <w:spacing w:before="60" w:after="0"/>
        <w:ind w:left="142" w:hanging="153"/>
        <w:rPr>
          <w:shd w:val="clear" w:color="auto" w:fill="FFFFFF"/>
        </w:rPr>
      </w:pPr>
      <w:r w:rsidRPr="00DE7848">
        <w:rPr>
          <w:shd w:val="clear" w:color="auto" w:fill="FFFFFF"/>
        </w:rPr>
        <w:t xml:space="preserve">housing cooperatives </w:t>
      </w:r>
      <w:r w:rsidR="00DE7848">
        <w:rPr>
          <w:shd w:val="clear" w:color="auto" w:fill="FFFFFF"/>
        </w:rPr>
        <w:t>–</w:t>
      </w:r>
      <w:r w:rsidRPr="00DE7848">
        <w:rPr>
          <w:shd w:val="clear" w:color="auto" w:fill="FFFFFF"/>
        </w:rPr>
        <w:t xml:space="preserve"> by PLN 0.45 (15.3</w:t>
      </w:r>
      <w:r w:rsidR="00DE7848">
        <w:rPr>
          <w:shd w:val="clear" w:color="auto" w:fill="FFFFFF"/>
        </w:rPr>
        <w:t> </w:t>
      </w:r>
      <w:r w:rsidRPr="00DE7848">
        <w:rPr>
          <w:shd w:val="clear" w:color="auto" w:fill="FFFFFF"/>
        </w:rPr>
        <w:t>%)</w:t>
      </w:r>
      <w:r w:rsidR="00DE7848">
        <w:rPr>
          <w:shd w:val="clear" w:color="auto" w:fill="FFFFFF"/>
        </w:rPr>
        <w:t>,</w:t>
      </w:r>
    </w:p>
    <w:p w:rsidR="00E41DF8" w:rsidRPr="00281994" w:rsidRDefault="00E41DF8" w:rsidP="00DE7848">
      <w:pPr>
        <w:pStyle w:val="Akapitzlist"/>
        <w:numPr>
          <w:ilvl w:val="0"/>
          <w:numId w:val="5"/>
        </w:numPr>
        <w:spacing w:before="60" w:after="0"/>
        <w:ind w:left="142" w:hanging="153"/>
        <w:rPr>
          <w:shd w:val="clear" w:color="auto" w:fill="FFFFFF"/>
          <w:lang w:val="en-GB"/>
        </w:rPr>
      </w:pPr>
      <w:r w:rsidRPr="00281994">
        <w:rPr>
          <w:shd w:val="clear" w:color="auto" w:fill="FFFFFF"/>
          <w:lang w:val="en-GB"/>
        </w:rPr>
        <w:t xml:space="preserve">public building societies </w:t>
      </w:r>
      <w:r w:rsidR="00DE7848" w:rsidRPr="00281994">
        <w:rPr>
          <w:shd w:val="clear" w:color="auto" w:fill="FFFFFF"/>
          <w:lang w:val="en-GB"/>
        </w:rPr>
        <w:t>–</w:t>
      </w:r>
      <w:r w:rsidRPr="00281994">
        <w:rPr>
          <w:shd w:val="clear" w:color="auto" w:fill="FFFFFF"/>
          <w:lang w:val="en-GB"/>
        </w:rPr>
        <w:t xml:space="preserve"> by PLN 0.38 (3.8</w:t>
      </w:r>
      <w:r w:rsidR="00DE7848" w:rsidRPr="00281994">
        <w:rPr>
          <w:shd w:val="clear" w:color="auto" w:fill="FFFFFF"/>
          <w:lang w:val="en-GB"/>
        </w:rPr>
        <w:t> </w:t>
      </w:r>
      <w:r w:rsidRPr="00281994">
        <w:rPr>
          <w:shd w:val="clear" w:color="auto" w:fill="FFFFFF"/>
          <w:lang w:val="en-GB"/>
        </w:rPr>
        <w:t>%)</w:t>
      </w:r>
      <w:r w:rsidR="00DE7848" w:rsidRPr="00281994">
        <w:rPr>
          <w:shd w:val="clear" w:color="auto" w:fill="FFFFFF"/>
          <w:lang w:val="en-GB"/>
        </w:rPr>
        <w:t>,</w:t>
      </w:r>
    </w:p>
    <w:p w:rsidR="00E41DF8" w:rsidRPr="00281994" w:rsidRDefault="00E41DF8" w:rsidP="00DE7848">
      <w:pPr>
        <w:spacing w:before="60" w:after="0"/>
        <w:rPr>
          <w:shd w:val="clear" w:color="auto" w:fill="FFFFFF"/>
          <w:lang w:val="en-GB"/>
        </w:rPr>
      </w:pPr>
      <w:r w:rsidRPr="00281994">
        <w:rPr>
          <w:shd w:val="clear" w:color="auto" w:fill="FFFFFF"/>
          <w:lang w:val="en-GB"/>
        </w:rPr>
        <w:t>and decreased in buildings wit</w:t>
      </w:r>
      <w:r w:rsidR="00DE7848" w:rsidRPr="00281994">
        <w:rPr>
          <w:shd w:val="clear" w:color="auto" w:fill="FFFFFF"/>
          <w:lang w:val="en-GB"/>
        </w:rPr>
        <w:t xml:space="preserve">h residential premises owned by </w:t>
      </w:r>
      <w:r w:rsidRPr="00281994">
        <w:rPr>
          <w:shd w:val="clear" w:color="auto" w:fill="FFFFFF"/>
          <w:lang w:val="en-GB"/>
        </w:rPr>
        <w:t xml:space="preserve">gminas </w:t>
      </w:r>
      <w:r w:rsidR="00DE7848" w:rsidRPr="00281994">
        <w:rPr>
          <w:shd w:val="clear" w:color="auto" w:fill="FFFFFF"/>
          <w:lang w:val="en-GB"/>
        </w:rPr>
        <w:t>– by PLN 0.01 (0.2 %).</w:t>
      </w:r>
    </w:p>
    <w:p w:rsidR="00E41DF8" w:rsidRPr="00281994" w:rsidRDefault="00E41DF8" w:rsidP="00E41DF8">
      <w:pPr>
        <w:spacing w:after="0"/>
        <w:rPr>
          <w:shd w:val="clear" w:color="auto" w:fill="FFFFFF"/>
          <w:lang w:val="en-GB"/>
        </w:rPr>
      </w:pPr>
      <w:r w:rsidRPr="00281994">
        <w:rPr>
          <w:shd w:val="clear" w:color="auto" w:fill="FFFFFF"/>
          <w:lang w:val="en-GB"/>
        </w:rPr>
        <w:t xml:space="preserve">Average </w:t>
      </w:r>
      <w:r w:rsidR="00F163AA" w:rsidRPr="00281994">
        <w:rPr>
          <w:shd w:val="clear" w:color="auto" w:fill="FFFFFF"/>
          <w:lang w:val="en-GB"/>
        </w:rPr>
        <w:t>rent</w:t>
      </w:r>
      <w:r w:rsidRPr="00281994">
        <w:rPr>
          <w:shd w:val="clear" w:color="auto" w:fill="FFFFFF"/>
          <w:lang w:val="en-GB"/>
        </w:rPr>
        <w:t xml:space="preserve"> rates valid in December 2018 amounted from PLN 2.90 per 1 m</w:t>
      </w:r>
      <w:r w:rsidRPr="00281994">
        <w:rPr>
          <w:shd w:val="clear" w:color="auto" w:fill="FFFFFF"/>
          <w:vertAlign w:val="superscript"/>
          <w:lang w:val="en-GB"/>
        </w:rPr>
        <w:t>2</w:t>
      </w:r>
      <w:r w:rsidRPr="00281994">
        <w:rPr>
          <w:shd w:val="clear" w:color="auto" w:fill="FFFFFF"/>
          <w:lang w:val="en-GB"/>
        </w:rPr>
        <w:t xml:space="preserve"> of useful floor area of a dwelling (in </w:t>
      </w:r>
      <w:r w:rsidR="00F163AA" w:rsidRPr="00281994">
        <w:rPr>
          <w:shd w:val="clear" w:color="auto" w:fill="FFFFFF"/>
          <w:lang w:val="en-GB"/>
        </w:rPr>
        <w:t xml:space="preserve">housing </w:t>
      </w:r>
      <w:r w:rsidRPr="00281994">
        <w:rPr>
          <w:shd w:val="clear" w:color="auto" w:fill="FFFFFF"/>
          <w:lang w:val="en-GB"/>
        </w:rPr>
        <w:t>condominiums) to PLN 10.50 (</w:t>
      </w:r>
      <w:r w:rsidRPr="00281994">
        <w:rPr>
          <w:szCs w:val="19"/>
          <w:shd w:val="clear" w:color="auto" w:fill="FFFFFF"/>
          <w:lang w:val="en-GB"/>
        </w:rPr>
        <w:t xml:space="preserve">in </w:t>
      </w:r>
      <w:r w:rsidR="00890ED3" w:rsidRPr="00281994">
        <w:rPr>
          <w:rFonts w:eastAsia="Times New Roman" w:cs="Calibri"/>
          <w:szCs w:val="19"/>
          <w:lang w:val="en-GB" w:eastAsia="pl-PL"/>
        </w:rPr>
        <w:t>public building societies</w:t>
      </w:r>
      <w:r w:rsidRPr="00281994">
        <w:rPr>
          <w:shd w:val="clear" w:color="auto" w:fill="FFFFFF"/>
          <w:lang w:val="en-GB"/>
        </w:rPr>
        <w:t>). This means that rent for a dwelling with the useful floor area of 53 m</w:t>
      </w:r>
      <w:r w:rsidRPr="00281994">
        <w:rPr>
          <w:shd w:val="clear" w:color="auto" w:fill="FFFFFF"/>
          <w:vertAlign w:val="superscript"/>
          <w:lang w:val="en-GB"/>
        </w:rPr>
        <w:t>2</w:t>
      </w:r>
      <w:r w:rsidRPr="00281994">
        <w:rPr>
          <w:shd w:val="clear" w:color="auto" w:fill="FFFFFF"/>
          <w:lang w:val="en-GB"/>
        </w:rPr>
        <w:t xml:space="preserve"> was at the level of PLN 153.7</w:t>
      </w:r>
      <w:r w:rsidR="00BF23BF" w:rsidRPr="00281994">
        <w:rPr>
          <w:shd w:val="clear" w:color="auto" w:fill="FFFFFF"/>
          <w:lang w:val="en-GB"/>
        </w:rPr>
        <w:t>0</w:t>
      </w:r>
      <w:r w:rsidRPr="00281994">
        <w:rPr>
          <w:shd w:val="clear" w:color="auto" w:fill="FFFFFF"/>
          <w:lang w:val="en-GB"/>
        </w:rPr>
        <w:t xml:space="preserve"> (in buildings under </w:t>
      </w:r>
      <w:r w:rsidR="00F163AA" w:rsidRPr="00281994">
        <w:rPr>
          <w:shd w:val="clear" w:color="auto" w:fill="FFFFFF"/>
          <w:lang w:val="en-GB"/>
        </w:rPr>
        <w:t xml:space="preserve">housing </w:t>
      </w:r>
      <w:r w:rsidRPr="00281994">
        <w:rPr>
          <w:shd w:val="clear" w:color="auto" w:fill="FFFFFF"/>
          <w:lang w:val="en-GB"/>
        </w:rPr>
        <w:t>condominiums), while in buildings of public building societies – over PLN 556.5</w:t>
      </w:r>
      <w:r w:rsidR="00BF23BF" w:rsidRPr="00281994">
        <w:rPr>
          <w:shd w:val="clear" w:color="auto" w:fill="FFFFFF"/>
          <w:lang w:val="en-GB"/>
        </w:rPr>
        <w:t>0</w:t>
      </w:r>
      <w:r w:rsidRPr="00281994">
        <w:rPr>
          <w:shd w:val="clear" w:color="auto" w:fill="FFFFFF"/>
          <w:lang w:val="en-GB"/>
        </w:rPr>
        <w:t>.</w:t>
      </w:r>
    </w:p>
    <w:p w:rsidR="003831DD" w:rsidRPr="00281994" w:rsidRDefault="003831DD" w:rsidP="00E41DF8">
      <w:pPr>
        <w:spacing w:after="0"/>
        <w:rPr>
          <w:rFonts w:ascii="Fira Sans SemiBold" w:hAnsi="Fira Sans SemiBold"/>
          <w:color w:val="001D77"/>
          <w:shd w:val="clear" w:color="auto" w:fill="FFFFFF"/>
          <w:lang w:val="en-GB"/>
        </w:rPr>
      </w:pPr>
    </w:p>
    <w:p w:rsidR="00E41DF8" w:rsidRPr="00281994" w:rsidRDefault="0079456E" w:rsidP="00E41DF8">
      <w:pPr>
        <w:spacing w:after="0"/>
        <w:rPr>
          <w:rFonts w:ascii="Fira Sans SemiBold" w:hAnsi="Fira Sans SemiBold"/>
          <w:color w:val="001D77"/>
          <w:shd w:val="clear" w:color="auto" w:fill="FFFFFF"/>
          <w:lang w:val="en-GB"/>
        </w:rPr>
      </w:pPr>
      <w:r w:rsidRPr="00281994">
        <w:rPr>
          <w:rFonts w:ascii="Fira Sans SemiBold" w:hAnsi="Fira Sans SemiBold"/>
          <w:color w:val="001D77"/>
          <w:shd w:val="clear" w:color="auto" w:fill="FFFFFF"/>
          <w:lang w:val="en-GB"/>
        </w:rPr>
        <w:t>Social premises</w:t>
      </w:r>
    </w:p>
    <w:p w:rsidR="003831DD" w:rsidRPr="00281994" w:rsidRDefault="003831DD" w:rsidP="00E41DF8">
      <w:pPr>
        <w:spacing w:after="0"/>
        <w:rPr>
          <w:rFonts w:ascii="Fira Sans SemiBold" w:hAnsi="Fira Sans SemiBold"/>
          <w:shd w:val="clear" w:color="auto" w:fill="FFFFFF"/>
          <w:lang w:val="en-GB"/>
        </w:rPr>
      </w:pPr>
      <w:r w:rsidRPr="003831DD">
        <w:rPr>
          <w:rFonts w:ascii="Fira Sans SemiBold" w:hAnsi="Fira Sans SemiBold"/>
          <w:noProof/>
          <w:color w:val="001D77"/>
          <w:spacing w:val="-2"/>
          <w:szCs w:val="19"/>
          <w:lang w:eastAsia="pl-PL"/>
        </w:rPr>
        <mc:AlternateContent>
          <mc:Choice Requires="wps">
            <w:drawing>
              <wp:anchor distT="45720" distB="45720" distL="114300" distR="114300" simplePos="0" relativeHeight="251661312" behindDoc="1" locked="0" layoutInCell="1" allowOverlap="1" wp14:anchorId="2717518A" wp14:editId="449FD3EE">
                <wp:simplePos x="0" y="0"/>
                <wp:positionH relativeFrom="rightMargin">
                  <wp:posOffset>130175</wp:posOffset>
                </wp:positionH>
                <wp:positionV relativeFrom="paragraph">
                  <wp:posOffset>163195</wp:posOffset>
                </wp:positionV>
                <wp:extent cx="1667510" cy="1442720"/>
                <wp:effectExtent l="0" t="0" r="0" b="5080"/>
                <wp:wrapTight wrapText="bothSides">
                  <wp:wrapPolygon edited="0">
                    <wp:start x="740" y="0"/>
                    <wp:lineTo x="740" y="21391"/>
                    <wp:lineTo x="20728" y="21391"/>
                    <wp:lineTo x="20728" y="0"/>
                    <wp:lineTo x="740" y="0"/>
                  </wp:wrapPolygon>
                </wp:wrapTight>
                <wp:docPr id="19" name="Pole tekstow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1442720"/>
                        </a:xfrm>
                        <a:prstGeom prst="rect">
                          <a:avLst/>
                        </a:prstGeom>
                        <a:noFill/>
                        <a:ln w="9525">
                          <a:noFill/>
                          <a:miter lim="800000"/>
                          <a:headEnd/>
                          <a:tailEnd/>
                        </a:ln>
                      </wps:spPr>
                      <wps:txbx>
                        <w:txbxContent>
                          <w:p w:rsidR="00E128CF" w:rsidRDefault="00E84AB6" w:rsidP="00FD592F">
                            <w:pPr>
                              <w:pStyle w:val="tekstzboku"/>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As compared to the previous year, the number of social premises increased by 2.6 %. </w:t>
                            </w:r>
                          </w:p>
                          <w:p w:rsidR="00E84AB6" w:rsidRPr="00E128CF" w:rsidRDefault="00E128CF" w:rsidP="00FD592F">
                            <w:pPr>
                              <w:pStyle w:val="tekstzboku"/>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pPr>
                            <w:r>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The</w:t>
                            </w:r>
                            <w:r w:rsidR="00E84AB6" w:rsidRPr="00E128CF">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average useful floor area </w:t>
                            </w:r>
                            <w:r w:rsidRPr="00E128CF">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of social premises </w:t>
                            </w:r>
                            <w:r w:rsidR="00E84AB6" w:rsidRPr="00E128CF">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amounted to 33.2 m</w:t>
                            </w:r>
                            <w:r w:rsidR="00E84AB6" w:rsidRPr="00E128CF">
                              <w:rPr>
                                <w:vertAlign w:val="superscript"/>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2</w:t>
                            </w:r>
                          </w:p>
                          <w:p w:rsidR="00E84AB6" w:rsidRPr="00E128CF" w:rsidRDefault="00E84AB6" w:rsidP="00FD592F">
                            <w:pPr>
                              <w:pStyle w:val="tekstzboku"/>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17518A" id="Pole tekstowe 19" o:spid="_x0000_s1041" type="#_x0000_t202" style="position:absolute;margin-left:10.25pt;margin-top:12.85pt;width:131.3pt;height:113.6pt;z-index:-25165516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" filled="f" stroked="f">
                <v:textbox>
                  <w:txbxContent>
                    <w:p w:rsidR="00E128CF" w:rsidRDefault="00E84AB6" w:rsidP="00FD592F">
                      <w:pPr>
                        <w:pStyle w:val="tekstzboku"/>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As compared to the previous year, the number of social premises increased by 2.6 %. </w:t>
                      </w:r>
                    </w:p>
                    <w:p w:rsidR="00E84AB6" w:rsidRPr="00E128CF" w:rsidRDefault="00E128CF" w:rsidP="00FD592F">
                      <w:pPr>
                        <w:pStyle w:val="tekstzboku"/>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pPr>
                      <w:r>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The</w:t>
                      </w:r>
                      <w:r w:rsidR="00E84AB6" w:rsidRPr="00E128CF">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average useful floor area </w:t>
                      </w:r>
                      <w:r w:rsidRPr="00E128CF">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of social premises </w:t>
                      </w:r>
                      <w:r w:rsidR="00E84AB6" w:rsidRPr="00E128CF">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amounted to 33.2 m</w:t>
                      </w:r>
                      <w:r w:rsidR="00E84AB6" w:rsidRPr="00E128CF">
                        <w:rPr>
                          <w:vertAlign w:val="superscript"/>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2</w:t>
                      </w:r>
                    </w:p>
                    <w:p w:rsidR="00E84AB6" w:rsidRPr="00E128CF" w:rsidRDefault="00E84AB6" w:rsidP="00FD592F">
                      <w:pPr>
                        <w:pStyle w:val="tekstzboku"/>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pPr>
                    </w:p>
                  </w:txbxContent>
                </v:textbox>
                <w10:wrap type="tight" anchorx="margin"/>
              </v:shape>
            </w:pict>
          </mc:Fallback>
        </mc:AlternateContent>
      </w:r>
    </w:p>
    <w:p w:rsidR="00E41DF8" w:rsidRPr="00281994" w:rsidRDefault="00E41DF8" w:rsidP="00E41DF8">
      <w:pPr>
        <w:spacing w:after="0"/>
        <w:rPr>
          <w:shd w:val="clear" w:color="auto" w:fill="FFFFFF"/>
          <w:lang w:val="en-GB"/>
        </w:rPr>
      </w:pPr>
      <w:r w:rsidRPr="00281994">
        <w:rPr>
          <w:shd w:val="clear" w:color="auto" w:fill="FFFFFF"/>
          <w:lang w:val="en-GB"/>
        </w:rPr>
        <w:t xml:space="preserve">Social premises are a form of State aid for persons unable to independently maintain a dwelling due to poverty or for homeless persons. Gmina is responsible for providing (renting) them. In 2018, gmina stocks had 101.2 </w:t>
      </w:r>
      <w:r w:rsidR="00DA707B" w:rsidRPr="00281994">
        <w:rPr>
          <w:shd w:val="clear" w:color="auto" w:fill="FFFFFF"/>
          <w:lang w:val="en-GB"/>
        </w:rPr>
        <w:t>thousand</w:t>
      </w:r>
      <w:r w:rsidRPr="00281994">
        <w:rPr>
          <w:shd w:val="clear" w:color="auto" w:fill="FFFFFF"/>
          <w:lang w:val="en-GB"/>
        </w:rPr>
        <w:t xml:space="preserve"> social premises with the total area of 3</w:t>
      </w:r>
      <w:r w:rsidR="00BF23BF" w:rsidRPr="00281994">
        <w:rPr>
          <w:shd w:val="clear" w:color="auto" w:fill="FFFFFF"/>
          <w:lang w:val="en-GB"/>
        </w:rPr>
        <w:t> </w:t>
      </w:r>
      <w:r w:rsidRPr="00281994">
        <w:rPr>
          <w:shd w:val="clear" w:color="auto" w:fill="FFFFFF"/>
          <w:lang w:val="en-GB"/>
        </w:rPr>
        <w:t xml:space="preserve">355.9 </w:t>
      </w:r>
      <w:r w:rsidR="00DA707B" w:rsidRPr="00281994">
        <w:rPr>
          <w:shd w:val="clear" w:color="auto" w:fill="FFFFFF"/>
          <w:lang w:val="en-GB"/>
        </w:rPr>
        <w:t>thousand</w:t>
      </w:r>
      <w:r w:rsidRPr="00281994">
        <w:rPr>
          <w:shd w:val="clear" w:color="auto" w:fill="FFFFFF"/>
          <w:lang w:val="en-GB"/>
        </w:rPr>
        <w:t xml:space="preserve"> m</w:t>
      </w:r>
      <w:r w:rsidRPr="00281994">
        <w:rPr>
          <w:shd w:val="clear" w:color="auto" w:fill="FFFFFF"/>
          <w:vertAlign w:val="superscript"/>
          <w:lang w:val="en-GB"/>
        </w:rPr>
        <w:t>2</w:t>
      </w:r>
      <w:r w:rsidRPr="00281994">
        <w:rPr>
          <w:shd w:val="clear" w:color="auto" w:fill="FFFFFF"/>
          <w:lang w:val="en-GB"/>
        </w:rPr>
        <w:t>.</w:t>
      </w:r>
    </w:p>
    <w:p w:rsidR="00E41DF8" w:rsidRPr="00281994" w:rsidRDefault="00E41DF8" w:rsidP="00E41DF8">
      <w:pPr>
        <w:spacing w:after="0"/>
        <w:rPr>
          <w:shd w:val="clear" w:color="auto" w:fill="FFFFFF"/>
          <w:lang w:val="en-GB"/>
        </w:rPr>
      </w:pPr>
    </w:p>
    <w:p w:rsidR="00E41DF8" w:rsidRDefault="00E41DF8" w:rsidP="00E41DF8">
      <w:pPr>
        <w:spacing w:before="0" w:after="0"/>
        <w:rPr>
          <w:spacing w:val="-2"/>
          <w:sz w:val="18"/>
        </w:rPr>
      </w:pPr>
      <w:r w:rsidRPr="007A38B8">
        <w:rPr>
          <w:b/>
          <w:spacing w:val="-2"/>
          <w:sz w:val="18"/>
        </w:rPr>
        <w:t>Tabl</w:t>
      </w:r>
      <w:r w:rsidR="003E3377">
        <w:rPr>
          <w:b/>
          <w:spacing w:val="-2"/>
          <w:sz w:val="18"/>
        </w:rPr>
        <w:t>e</w:t>
      </w:r>
      <w:r w:rsidRPr="007A38B8">
        <w:rPr>
          <w:b/>
          <w:spacing w:val="-2"/>
          <w:sz w:val="18"/>
        </w:rPr>
        <w:t xml:space="preserve"> </w:t>
      </w:r>
      <w:r>
        <w:rPr>
          <w:b/>
          <w:spacing w:val="-2"/>
          <w:sz w:val="18"/>
        </w:rPr>
        <w:t>7</w:t>
      </w:r>
      <w:r w:rsidRPr="007A38B8">
        <w:rPr>
          <w:b/>
          <w:spacing w:val="-2"/>
          <w:sz w:val="18"/>
        </w:rPr>
        <w:t xml:space="preserve">. </w:t>
      </w:r>
      <w:r w:rsidR="003E3377">
        <w:rPr>
          <w:b/>
          <w:spacing w:val="-2"/>
          <w:sz w:val="18"/>
        </w:rPr>
        <w:t>Social premises</w:t>
      </w:r>
    </w:p>
    <w:p w:rsidR="00E41DF8" w:rsidRPr="005160F9" w:rsidRDefault="00E41DF8" w:rsidP="00E41DF8">
      <w:pPr>
        <w:spacing w:before="0" w:after="0" w:line="240" w:lineRule="auto"/>
        <w:rPr>
          <w:szCs w:val="19"/>
          <w:lang w:eastAsia="pl-PL"/>
        </w:rPr>
      </w:pPr>
    </w:p>
    <w:tbl>
      <w:tblPr>
        <w:tblW w:w="7878" w:type="dxa"/>
        <w:tblBorders>
          <w:insideH w:val="single" w:sz="4" w:space="0" w:color="001D77"/>
          <w:insideV w:val="single" w:sz="4" w:space="0" w:color="001D77"/>
        </w:tblBorders>
        <w:tblCellMar>
          <w:left w:w="70" w:type="dxa"/>
          <w:right w:w="70" w:type="dxa"/>
        </w:tblCellMar>
        <w:tblLook w:val="04A0" w:firstRow="1" w:lastRow="0" w:firstColumn="1" w:lastColumn="0" w:noHBand="0" w:noVBand="1"/>
      </w:tblPr>
      <w:tblGrid>
        <w:gridCol w:w="4253"/>
        <w:gridCol w:w="850"/>
        <w:gridCol w:w="989"/>
        <w:gridCol w:w="854"/>
        <w:gridCol w:w="932"/>
      </w:tblGrid>
      <w:tr w:rsidR="00E41DF8" w:rsidRPr="00FC248A" w:rsidTr="00E41DF8">
        <w:trPr>
          <w:trHeight w:val="315"/>
        </w:trPr>
        <w:tc>
          <w:tcPr>
            <w:tcW w:w="4253" w:type="dxa"/>
            <w:tcBorders>
              <w:top w:val="nil"/>
              <w:bottom w:val="single" w:sz="12" w:space="0" w:color="001D77"/>
            </w:tcBorders>
            <w:shd w:val="clear" w:color="auto" w:fill="auto"/>
            <w:vAlign w:val="center"/>
            <w:hideMark/>
          </w:tcPr>
          <w:p w:rsidR="00E41DF8" w:rsidRPr="00FC248A" w:rsidRDefault="003E3377" w:rsidP="00E41DF8">
            <w:pPr>
              <w:spacing w:before="0" w:after="0"/>
              <w:jc w:val="center"/>
              <w:rPr>
                <w:rFonts w:eastAsia="Times New Roman" w:cs="Calibri"/>
                <w:sz w:val="16"/>
                <w:szCs w:val="16"/>
                <w:lang w:eastAsia="pl-PL"/>
              </w:rPr>
            </w:pPr>
            <w:r>
              <w:rPr>
                <w:rFonts w:eastAsia="Times New Roman" w:cs="Calibri"/>
                <w:sz w:val="16"/>
                <w:szCs w:val="16"/>
                <w:lang w:eastAsia="pl-PL"/>
              </w:rPr>
              <w:t>Specification</w:t>
            </w:r>
          </w:p>
        </w:tc>
        <w:tc>
          <w:tcPr>
            <w:tcW w:w="850" w:type="dxa"/>
            <w:tcBorders>
              <w:top w:val="nil"/>
              <w:bottom w:val="single" w:sz="12" w:space="0" w:color="001D77"/>
            </w:tcBorders>
            <w:shd w:val="clear" w:color="auto" w:fill="auto"/>
            <w:vAlign w:val="center"/>
            <w:hideMark/>
          </w:tcPr>
          <w:p w:rsidR="00E41DF8" w:rsidRPr="00FC248A" w:rsidRDefault="00E41DF8" w:rsidP="00E41DF8">
            <w:pPr>
              <w:spacing w:before="0" w:after="0"/>
              <w:jc w:val="center"/>
              <w:rPr>
                <w:rFonts w:eastAsia="Times New Roman" w:cs="Calibri"/>
                <w:sz w:val="16"/>
                <w:szCs w:val="16"/>
                <w:lang w:eastAsia="pl-PL"/>
              </w:rPr>
            </w:pPr>
            <w:r>
              <w:rPr>
                <w:rFonts w:eastAsia="Times New Roman" w:cs="Calibri"/>
                <w:sz w:val="16"/>
                <w:szCs w:val="16"/>
                <w:lang w:eastAsia="pl-PL"/>
              </w:rPr>
              <w:t>2015</w:t>
            </w:r>
          </w:p>
        </w:tc>
        <w:tc>
          <w:tcPr>
            <w:tcW w:w="989" w:type="dxa"/>
            <w:tcBorders>
              <w:top w:val="nil"/>
              <w:bottom w:val="single" w:sz="12" w:space="0" w:color="001D77"/>
            </w:tcBorders>
            <w:shd w:val="clear" w:color="auto" w:fill="auto"/>
            <w:vAlign w:val="center"/>
            <w:hideMark/>
          </w:tcPr>
          <w:p w:rsidR="00E41DF8" w:rsidRPr="00FC248A" w:rsidRDefault="00E41DF8" w:rsidP="00E41DF8">
            <w:pPr>
              <w:spacing w:before="0" w:after="0"/>
              <w:jc w:val="center"/>
              <w:rPr>
                <w:rFonts w:eastAsia="Times New Roman" w:cs="Calibri"/>
                <w:sz w:val="16"/>
                <w:szCs w:val="16"/>
                <w:lang w:eastAsia="pl-PL"/>
              </w:rPr>
            </w:pPr>
            <w:r>
              <w:rPr>
                <w:rFonts w:eastAsia="Times New Roman" w:cs="Calibri"/>
                <w:sz w:val="16"/>
                <w:szCs w:val="16"/>
                <w:lang w:eastAsia="pl-PL"/>
              </w:rPr>
              <w:t>2016</w:t>
            </w:r>
          </w:p>
        </w:tc>
        <w:tc>
          <w:tcPr>
            <w:tcW w:w="854" w:type="dxa"/>
            <w:tcBorders>
              <w:top w:val="nil"/>
              <w:bottom w:val="single" w:sz="12" w:space="0" w:color="001D77"/>
            </w:tcBorders>
            <w:shd w:val="clear" w:color="auto" w:fill="auto"/>
            <w:vAlign w:val="center"/>
            <w:hideMark/>
          </w:tcPr>
          <w:p w:rsidR="00E41DF8" w:rsidRPr="00FC248A" w:rsidRDefault="00E41DF8" w:rsidP="00E41DF8">
            <w:pPr>
              <w:spacing w:before="0" w:after="0"/>
              <w:jc w:val="center"/>
              <w:rPr>
                <w:rFonts w:eastAsia="Times New Roman" w:cs="Calibri"/>
                <w:sz w:val="16"/>
                <w:szCs w:val="16"/>
                <w:lang w:eastAsia="pl-PL"/>
              </w:rPr>
            </w:pPr>
            <w:r>
              <w:rPr>
                <w:rFonts w:eastAsia="Times New Roman" w:cs="Calibri"/>
                <w:sz w:val="16"/>
                <w:szCs w:val="16"/>
                <w:lang w:eastAsia="pl-PL"/>
              </w:rPr>
              <w:t>2017</w:t>
            </w:r>
          </w:p>
        </w:tc>
        <w:tc>
          <w:tcPr>
            <w:tcW w:w="932" w:type="dxa"/>
            <w:tcBorders>
              <w:top w:val="nil"/>
              <w:bottom w:val="single" w:sz="12" w:space="0" w:color="001D77"/>
            </w:tcBorders>
            <w:shd w:val="clear" w:color="auto" w:fill="auto"/>
            <w:vAlign w:val="center"/>
            <w:hideMark/>
          </w:tcPr>
          <w:p w:rsidR="00E41DF8" w:rsidRPr="00FC248A" w:rsidRDefault="00E41DF8" w:rsidP="00E41DF8">
            <w:pPr>
              <w:spacing w:before="0" w:after="0"/>
              <w:jc w:val="center"/>
              <w:rPr>
                <w:rFonts w:eastAsia="Times New Roman" w:cs="Calibri"/>
                <w:sz w:val="16"/>
                <w:szCs w:val="16"/>
                <w:lang w:eastAsia="pl-PL"/>
              </w:rPr>
            </w:pPr>
            <w:r>
              <w:rPr>
                <w:rFonts w:eastAsia="Times New Roman" w:cs="Calibri"/>
                <w:sz w:val="16"/>
                <w:szCs w:val="16"/>
                <w:lang w:eastAsia="pl-PL"/>
              </w:rPr>
              <w:t>2018</w:t>
            </w:r>
          </w:p>
        </w:tc>
      </w:tr>
      <w:tr w:rsidR="00E41DF8" w:rsidRPr="00FC248A" w:rsidTr="00E41DF8">
        <w:trPr>
          <w:trHeight w:val="330"/>
        </w:trPr>
        <w:tc>
          <w:tcPr>
            <w:tcW w:w="4253" w:type="dxa"/>
            <w:tcBorders>
              <w:top w:val="single" w:sz="12" w:space="0" w:color="001D77"/>
              <w:bottom w:val="single" w:sz="4" w:space="0" w:color="2F5496" w:themeColor="accent5" w:themeShade="BF"/>
            </w:tcBorders>
            <w:shd w:val="clear" w:color="auto" w:fill="auto"/>
            <w:vAlign w:val="center"/>
            <w:hideMark/>
          </w:tcPr>
          <w:p w:rsidR="00E41DF8" w:rsidRPr="00FC248A" w:rsidRDefault="003E3377" w:rsidP="00E41DF8">
            <w:pPr>
              <w:spacing w:before="0" w:after="0"/>
              <w:rPr>
                <w:rFonts w:eastAsia="Times New Roman" w:cs="Calibri"/>
                <w:sz w:val="16"/>
                <w:szCs w:val="16"/>
                <w:lang w:eastAsia="pl-PL"/>
              </w:rPr>
            </w:pPr>
            <w:r>
              <w:rPr>
                <w:rFonts w:eastAsia="Times New Roman" w:cs="Calibri"/>
                <w:sz w:val="16"/>
                <w:szCs w:val="16"/>
                <w:lang w:eastAsia="pl-PL"/>
              </w:rPr>
              <w:t>Number of social premises</w:t>
            </w:r>
          </w:p>
        </w:tc>
        <w:tc>
          <w:tcPr>
            <w:tcW w:w="850" w:type="dxa"/>
            <w:tcBorders>
              <w:top w:val="single" w:sz="12" w:space="0" w:color="001D77"/>
              <w:bottom w:val="single" w:sz="4" w:space="0" w:color="2F5496" w:themeColor="accent5" w:themeShade="BF"/>
            </w:tcBorders>
            <w:shd w:val="clear" w:color="auto" w:fill="auto"/>
            <w:vAlign w:val="center"/>
            <w:hideMark/>
          </w:tcPr>
          <w:p w:rsidR="00E41DF8" w:rsidRPr="00FC248A" w:rsidRDefault="00E41DF8" w:rsidP="00E41DF8">
            <w:pPr>
              <w:spacing w:before="0" w:after="0"/>
              <w:jc w:val="right"/>
              <w:rPr>
                <w:rFonts w:eastAsia="Times New Roman" w:cs="Calibri"/>
                <w:sz w:val="16"/>
                <w:szCs w:val="16"/>
                <w:lang w:eastAsia="pl-PL"/>
              </w:rPr>
            </w:pPr>
            <w:r w:rsidRPr="00FC248A">
              <w:rPr>
                <w:rFonts w:eastAsia="Times New Roman" w:cs="Calibri"/>
                <w:sz w:val="16"/>
                <w:szCs w:val="16"/>
                <w:lang w:eastAsia="pl-PL"/>
              </w:rPr>
              <w:t>91 706</w:t>
            </w:r>
          </w:p>
        </w:tc>
        <w:tc>
          <w:tcPr>
            <w:tcW w:w="989" w:type="dxa"/>
            <w:tcBorders>
              <w:top w:val="single" w:sz="12" w:space="0" w:color="001D77"/>
              <w:bottom w:val="single" w:sz="4" w:space="0" w:color="2F5496" w:themeColor="accent5" w:themeShade="BF"/>
            </w:tcBorders>
            <w:shd w:val="clear" w:color="auto" w:fill="auto"/>
            <w:vAlign w:val="center"/>
            <w:hideMark/>
          </w:tcPr>
          <w:p w:rsidR="00E41DF8" w:rsidRPr="00FC248A" w:rsidRDefault="00E41DF8" w:rsidP="00E41DF8">
            <w:pPr>
              <w:spacing w:before="0" w:after="0"/>
              <w:jc w:val="right"/>
              <w:rPr>
                <w:rFonts w:eastAsia="Times New Roman" w:cs="Calibri"/>
                <w:sz w:val="16"/>
                <w:szCs w:val="16"/>
                <w:lang w:eastAsia="pl-PL"/>
              </w:rPr>
            </w:pPr>
            <w:r w:rsidRPr="00FC248A">
              <w:rPr>
                <w:rFonts w:eastAsia="Times New Roman" w:cs="Calibri"/>
                <w:sz w:val="16"/>
                <w:szCs w:val="16"/>
                <w:lang w:eastAsia="pl-PL"/>
              </w:rPr>
              <w:t> 94 651</w:t>
            </w:r>
          </w:p>
        </w:tc>
        <w:tc>
          <w:tcPr>
            <w:tcW w:w="854" w:type="dxa"/>
            <w:tcBorders>
              <w:top w:val="single" w:sz="12" w:space="0" w:color="001D77"/>
              <w:bottom w:val="single" w:sz="4" w:space="0" w:color="2F5496" w:themeColor="accent5" w:themeShade="BF"/>
            </w:tcBorders>
            <w:shd w:val="clear" w:color="auto" w:fill="auto"/>
            <w:vAlign w:val="center"/>
            <w:hideMark/>
          </w:tcPr>
          <w:p w:rsidR="00E41DF8" w:rsidRPr="00FC248A" w:rsidRDefault="00E41DF8" w:rsidP="00E41DF8">
            <w:pPr>
              <w:spacing w:before="0" w:after="0"/>
              <w:jc w:val="right"/>
              <w:rPr>
                <w:rFonts w:eastAsia="Times New Roman" w:cs="Calibri"/>
                <w:sz w:val="16"/>
                <w:szCs w:val="16"/>
                <w:lang w:eastAsia="pl-PL"/>
              </w:rPr>
            </w:pPr>
            <w:r w:rsidRPr="00FC248A">
              <w:rPr>
                <w:rFonts w:eastAsia="Times New Roman" w:cs="Calibri"/>
                <w:sz w:val="16"/>
                <w:szCs w:val="16"/>
                <w:lang w:eastAsia="pl-PL"/>
              </w:rPr>
              <w:t> 98 631</w:t>
            </w:r>
          </w:p>
        </w:tc>
        <w:tc>
          <w:tcPr>
            <w:tcW w:w="932" w:type="dxa"/>
            <w:tcBorders>
              <w:top w:val="single" w:sz="12" w:space="0" w:color="001D77"/>
              <w:bottom w:val="single" w:sz="4" w:space="0" w:color="2F5496" w:themeColor="accent5" w:themeShade="BF"/>
            </w:tcBorders>
            <w:shd w:val="clear" w:color="auto" w:fill="auto"/>
            <w:vAlign w:val="center"/>
            <w:hideMark/>
          </w:tcPr>
          <w:p w:rsidR="00E41DF8" w:rsidRPr="00154F47" w:rsidRDefault="00E41DF8" w:rsidP="00E41DF8">
            <w:pPr>
              <w:spacing w:before="0" w:after="0"/>
              <w:jc w:val="right"/>
              <w:rPr>
                <w:rFonts w:eastAsia="Times New Roman" w:cs="Calibri"/>
                <w:sz w:val="16"/>
                <w:szCs w:val="16"/>
                <w:lang w:eastAsia="pl-PL"/>
              </w:rPr>
            </w:pPr>
            <w:r w:rsidRPr="00154F47">
              <w:rPr>
                <w:rFonts w:eastAsia="Times New Roman" w:cs="Calibri"/>
                <w:sz w:val="16"/>
                <w:szCs w:val="16"/>
                <w:lang w:eastAsia="pl-PL"/>
              </w:rPr>
              <w:t>101 201</w:t>
            </w:r>
          </w:p>
        </w:tc>
      </w:tr>
      <w:tr w:rsidR="00E41DF8" w:rsidRPr="00FC248A" w:rsidTr="00E41DF8">
        <w:trPr>
          <w:trHeight w:val="315"/>
        </w:trPr>
        <w:tc>
          <w:tcPr>
            <w:tcW w:w="4253" w:type="dxa"/>
            <w:tcBorders>
              <w:top w:val="single" w:sz="4" w:space="0" w:color="2F5496" w:themeColor="accent5" w:themeShade="BF"/>
              <w:bottom w:val="single" w:sz="4" w:space="0" w:color="2F5496" w:themeColor="accent5" w:themeShade="BF"/>
            </w:tcBorders>
            <w:shd w:val="clear" w:color="auto" w:fill="auto"/>
            <w:vAlign w:val="center"/>
            <w:hideMark/>
          </w:tcPr>
          <w:p w:rsidR="00E41DF8" w:rsidRPr="00FC248A" w:rsidRDefault="003E3377" w:rsidP="00E41DF8">
            <w:pPr>
              <w:spacing w:before="0" w:after="0"/>
              <w:rPr>
                <w:rFonts w:eastAsia="Times New Roman" w:cs="Calibri"/>
                <w:sz w:val="16"/>
                <w:szCs w:val="16"/>
                <w:lang w:eastAsia="pl-PL"/>
              </w:rPr>
            </w:pPr>
            <w:r>
              <w:rPr>
                <w:rFonts w:eastAsia="Times New Roman" w:cs="Calibri"/>
                <w:sz w:val="16"/>
                <w:szCs w:val="16"/>
                <w:lang w:eastAsia="pl-PL"/>
              </w:rPr>
              <w:t>Previous year</w:t>
            </w:r>
            <w:r w:rsidR="00CA0A0F">
              <w:rPr>
                <w:rFonts w:eastAsia="Times New Roman" w:cs="Calibri"/>
                <w:sz w:val="16"/>
                <w:szCs w:val="16"/>
                <w:lang w:eastAsia="pl-PL"/>
              </w:rPr>
              <w:t xml:space="preserve"> </w:t>
            </w:r>
            <w:r w:rsidR="00E41DF8" w:rsidRPr="00FC248A">
              <w:rPr>
                <w:rFonts w:eastAsia="Times New Roman" w:cs="Calibri"/>
                <w:sz w:val="16"/>
                <w:szCs w:val="16"/>
                <w:lang w:eastAsia="pl-PL"/>
              </w:rPr>
              <w:t>= 100</w:t>
            </w:r>
          </w:p>
        </w:tc>
        <w:tc>
          <w:tcPr>
            <w:tcW w:w="850" w:type="dxa"/>
            <w:tcBorders>
              <w:top w:val="single" w:sz="4" w:space="0" w:color="2F5496" w:themeColor="accent5" w:themeShade="BF"/>
              <w:bottom w:val="single" w:sz="4" w:space="0" w:color="2F5496" w:themeColor="accent5" w:themeShade="BF"/>
            </w:tcBorders>
            <w:shd w:val="clear" w:color="auto" w:fill="auto"/>
            <w:vAlign w:val="center"/>
            <w:hideMark/>
          </w:tcPr>
          <w:p w:rsidR="00E41DF8" w:rsidRPr="00FC248A" w:rsidRDefault="00E41DF8" w:rsidP="00E41DF8">
            <w:pPr>
              <w:spacing w:before="0" w:after="0"/>
              <w:jc w:val="right"/>
              <w:rPr>
                <w:rFonts w:eastAsia="Times New Roman" w:cs="Calibri"/>
                <w:sz w:val="16"/>
                <w:szCs w:val="16"/>
                <w:lang w:eastAsia="pl-PL"/>
              </w:rPr>
            </w:pPr>
            <w:r w:rsidRPr="00FC248A">
              <w:rPr>
                <w:rFonts w:eastAsia="Times New Roman" w:cs="Calibri"/>
                <w:sz w:val="16"/>
                <w:szCs w:val="16"/>
                <w:lang w:eastAsia="pl-PL"/>
              </w:rPr>
              <w:t> 10</w:t>
            </w:r>
            <w:r>
              <w:rPr>
                <w:rFonts w:eastAsia="Times New Roman" w:cs="Calibri"/>
                <w:sz w:val="16"/>
                <w:szCs w:val="16"/>
                <w:lang w:eastAsia="pl-PL"/>
              </w:rPr>
              <w:t>6</w:t>
            </w:r>
            <w:r w:rsidR="00BF23BF">
              <w:rPr>
                <w:rFonts w:eastAsia="Times New Roman" w:cs="Calibri"/>
                <w:sz w:val="16"/>
                <w:szCs w:val="16"/>
                <w:lang w:eastAsia="pl-PL"/>
              </w:rPr>
              <w:t>.</w:t>
            </w:r>
            <w:r>
              <w:rPr>
                <w:rFonts w:eastAsia="Times New Roman" w:cs="Calibri"/>
                <w:sz w:val="16"/>
                <w:szCs w:val="16"/>
                <w:lang w:eastAsia="pl-PL"/>
              </w:rPr>
              <w:t>2</w:t>
            </w:r>
          </w:p>
        </w:tc>
        <w:tc>
          <w:tcPr>
            <w:tcW w:w="989" w:type="dxa"/>
            <w:tcBorders>
              <w:top w:val="single" w:sz="4" w:space="0" w:color="2F5496" w:themeColor="accent5" w:themeShade="BF"/>
              <w:bottom w:val="single" w:sz="4" w:space="0" w:color="2F5496" w:themeColor="accent5" w:themeShade="BF"/>
            </w:tcBorders>
            <w:shd w:val="clear" w:color="auto" w:fill="auto"/>
            <w:vAlign w:val="center"/>
            <w:hideMark/>
          </w:tcPr>
          <w:p w:rsidR="00E41DF8" w:rsidRPr="00FC248A" w:rsidRDefault="00E41DF8" w:rsidP="00E41DF8">
            <w:pPr>
              <w:spacing w:before="0" w:after="0"/>
              <w:jc w:val="right"/>
              <w:rPr>
                <w:rFonts w:eastAsia="Times New Roman" w:cs="Calibri"/>
                <w:sz w:val="16"/>
                <w:szCs w:val="16"/>
                <w:lang w:eastAsia="pl-PL"/>
              </w:rPr>
            </w:pPr>
            <w:r w:rsidRPr="00FC248A">
              <w:rPr>
                <w:rFonts w:eastAsia="Times New Roman" w:cs="Calibri"/>
                <w:sz w:val="16"/>
                <w:szCs w:val="16"/>
                <w:lang w:eastAsia="pl-PL"/>
              </w:rPr>
              <w:t> 10</w:t>
            </w:r>
            <w:r>
              <w:rPr>
                <w:rFonts w:eastAsia="Times New Roman" w:cs="Calibri"/>
                <w:sz w:val="16"/>
                <w:szCs w:val="16"/>
                <w:lang w:eastAsia="pl-PL"/>
              </w:rPr>
              <w:t>3</w:t>
            </w:r>
            <w:r w:rsidR="00BF23BF">
              <w:rPr>
                <w:rFonts w:eastAsia="Times New Roman" w:cs="Calibri"/>
                <w:sz w:val="16"/>
                <w:szCs w:val="16"/>
                <w:lang w:eastAsia="pl-PL"/>
              </w:rPr>
              <w:t>.</w:t>
            </w:r>
            <w:r>
              <w:rPr>
                <w:rFonts w:eastAsia="Times New Roman" w:cs="Calibri"/>
                <w:sz w:val="16"/>
                <w:szCs w:val="16"/>
                <w:lang w:eastAsia="pl-PL"/>
              </w:rPr>
              <w:t>2</w:t>
            </w:r>
          </w:p>
        </w:tc>
        <w:tc>
          <w:tcPr>
            <w:tcW w:w="854" w:type="dxa"/>
            <w:tcBorders>
              <w:top w:val="single" w:sz="4" w:space="0" w:color="2F5496" w:themeColor="accent5" w:themeShade="BF"/>
              <w:bottom w:val="single" w:sz="4" w:space="0" w:color="2F5496" w:themeColor="accent5" w:themeShade="BF"/>
            </w:tcBorders>
            <w:shd w:val="clear" w:color="auto" w:fill="auto"/>
            <w:vAlign w:val="center"/>
            <w:hideMark/>
          </w:tcPr>
          <w:p w:rsidR="00E41DF8" w:rsidRPr="00FC248A" w:rsidRDefault="00E41DF8" w:rsidP="00E41DF8">
            <w:pPr>
              <w:spacing w:before="0" w:after="0"/>
              <w:jc w:val="right"/>
              <w:rPr>
                <w:rFonts w:eastAsia="Times New Roman" w:cs="Calibri"/>
                <w:sz w:val="16"/>
                <w:szCs w:val="16"/>
                <w:lang w:eastAsia="pl-PL"/>
              </w:rPr>
            </w:pPr>
            <w:r w:rsidRPr="00FC248A">
              <w:rPr>
                <w:rFonts w:eastAsia="Times New Roman" w:cs="Calibri"/>
                <w:sz w:val="16"/>
                <w:szCs w:val="16"/>
                <w:lang w:eastAsia="pl-PL"/>
              </w:rPr>
              <w:t> 10</w:t>
            </w:r>
            <w:r>
              <w:rPr>
                <w:rFonts w:eastAsia="Times New Roman" w:cs="Calibri"/>
                <w:sz w:val="16"/>
                <w:szCs w:val="16"/>
                <w:lang w:eastAsia="pl-PL"/>
              </w:rPr>
              <w:t>4</w:t>
            </w:r>
            <w:r w:rsidR="00BF23BF">
              <w:rPr>
                <w:rFonts w:eastAsia="Times New Roman" w:cs="Calibri"/>
                <w:sz w:val="16"/>
                <w:szCs w:val="16"/>
                <w:lang w:eastAsia="pl-PL"/>
              </w:rPr>
              <w:t>.</w:t>
            </w:r>
            <w:r>
              <w:rPr>
                <w:rFonts w:eastAsia="Times New Roman" w:cs="Calibri"/>
                <w:sz w:val="16"/>
                <w:szCs w:val="16"/>
                <w:lang w:eastAsia="pl-PL"/>
              </w:rPr>
              <w:t>2</w:t>
            </w:r>
          </w:p>
        </w:tc>
        <w:tc>
          <w:tcPr>
            <w:tcW w:w="932" w:type="dxa"/>
            <w:tcBorders>
              <w:top w:val="single" w:sz="4" w:space="0" w:color="2F5496" w:themeColor="accent5" w:themeShade="BF"/>
              <w:bottom w:val="single" w:sz="4" w:space="0" w:color="2F5496" w:themeColor="accent5" w:themeShade="BF"/>
            </w:tcBorders>
            <w:shd w:val="clear" w:color="auto" w:fill="auto"/>
            <w:vAlign w:val="center"/>
            <w:hideMark/>
          </w:tcPr>
          <w:p w:rsidR="00E41DF8" w:rsidRPr="00154F47" w:rsidRDefault="00E41DF8" w:rsidP="00E41DF8">
            <w:pPr>
              <w:spacing w:before="0" w:after="0"/>
              <w:jc w:val="right"/>
              <w:rPr>
                <w:rFonts w:eastAsia="Times New Roman" w:cs="Calibri"/>
                <w:sz w:val="16"/>
                <w:szCs w:val="16"/>
                <w:lang w:eastAsia="pl-PL"/>
              </w:rPr>
            </w:pPr>
            <w:r w:rsidRPr="00154F47">
              <w:rPr>
                <w:rFonts w:eastAsia="Times New Roman" w:cs="Calibri"/>
                <w:sz w:val="16"/>
                <w:szCs w:val="16"/>
                <w:lang w:eastAsia="pl-PL"/>
              </w:rPr>
              <w:t>102</w:t>
            </w:r>
            <w:r w:rsidR="00BF23BF">
              <w:rPr>
                <w:rFonts w:eastAsia="Times New Roman" w:cs="Calibri"/>
                <w:sz w:val="16"/>
                <w:szCs w:val="16"/>
                <w:lang w:eastAsia="pl-PL"/>
              </w:rPr>
              <w:t>.</w:t>
            </w:r>
            <w:r w:rsidRPr="00154F47">
              <w:rPr>
                <w:rFonts w:eastAsia="Times New Roman" w:cs="Calibri"/>
                <w:sz w:val="16"/>
                <w:szCs w:val="16"/>
                <w:lang w:eastAsia="pl-PL"/>
              </w:rPr>
              <w:t>6</w:t>
            </w:r>
          </w:p>
        </w:tc>
      </w:tr>
      <w:tr w:rsidR="00E41DF8" w:rsidRPr="00FC248A" w:rsidTr="00E41DF8">
        <w:trPr>
          <w:trHeight w:val="315"/>
        </w:trPr>
        <w:tc>
          <w:tcPr>
            <w:tcW w:w="4253" w:type="dxa"/>
            <w:tcBorders>
              <w:top w:val="single" w:sz="4" w:space="0" w:color="2F5496" w:themeColor="accent5" w:themeShade="BF"/>
            </w:tcBorders>
            <w:shd w:val="clear" w:color="auto" w:fill="auto"/>
            <w:vAlign w:val="center"/>
          </w:tcPr>
          <w:p w:rsidR="00E41DF8" w:rsidRPr="00281994" w:rsidRDefault="003E3377" w:rsidP="00E41DF8">
            <w:pPr>
              <w:spacing w:before="0" w:after="0"/>
              <w:rPr>
                <w:rFonts w:eastAsia="Times New Roman" w:cs="Calibri"/>
                <w:sz w:val="16"/>
                <w:szCs w:val="16"/>
                <w:vertAlign w:val="superscript"/>
                <w:lang w:val="en-GB" w:eastAsia="pl-PL"/>
              </w:rPr>
            </w:pPr>
            <w:r w:rsidRPr="00281994">
              <w:rPr>
                <w:rFonts w:eastAsia="Times New Roman" w:cs="Calibri"/>
                <w:sz w:val="16"/>
                <w:szCs w:val="16"/>
                <w:lang w:val="en-GB" w:eastAsia="pl-PL"/>
              </w:rPr>
              <w:t>Average useful floor area of premises in</w:t>
            </w:r>
            <w:r w:rsidR="00E41DF8" w:rsidRPr="00281994">
              <w:rPr>
                <w:rFonts w:eastAsia="Times New Roman" w:cs="Calibri"/>
                <w:sz w:val="16"/>
                <w:szCs w:val="16"/>
                <w:lang w:val="en-GB" w:eastAsia="pl-PL"/>
              </w:rPr>
              <w:t xml:space="preserve"> m</w:t>
            </w:r>
            <w:r w:rsidR="00E41DF8" w:rsidRPr="00281994">
              <w:rPr>
                <w:rFonts w:eastAsia="Times New Roman" w:cs="Calibri"/>
                <w:sz w:val="16"/>
                <w:szCs w:val="16"/>
                <w:vertAlign w:val="superscript"/>
                <w:lang w:val="en-GB" w:eastAsia="pl-PL"/>
              </w:rPr>
              <w:t>2</w:t>
            </w:r>
          </w:p>
        </w:tc>
        <w:tc>
          <w:tcPr>
            <w:tcW w:w="850" w:type="dxa"/>
            <w:tcBorders>
              <w:top w:val="single" w:sz="4" w:space="0" w:color="2F5496" w:themeColor="accent5" w:themeShade="BF"/>
            </w:tcBorders>
            <w:shd w:val="clear" w:color="auto" w:fill="auto"/>
            <w:vAlign w:val="center"/>
          </w:tcPr>
          <w:p w:rsidR="00E41DF8" w:rsidRPr="00FC248A" w:rsidRDefault="00E41DF8" w:rsidP="00E41DF8">
            <w:pPr>
              <w:spacing w:before="0" w:after="0"/>
              <w:jc w:val="right"/>
              <w:rPr>
                <w:rFonts w:eastAsia="Times New Roman" w:cs="Calibri"/>
                <w:sz w:val="16"/>
                <w:szCs w:val="16"/>
                <w:lang w:eastAsia="pl-PL"/>
              </w:rPr>
            </w:pPr>
            <w:r w:rsidRPr="00FC248A">
              <w:rPr>
                <w:rFonts w:eastAsia="Times New Roman" w:cs="Calibri"/>
                <w:sz w:val="16"/>
                <w:szCs w:val="16"/>
                <w:lang w:eastAsia="pl-PL"/>
              </w:rPr>
              <w:t>32</w:t>
            </w:r>
            <w:r w:rsidR="00BF23BF">
              <w:rPr>
                <w:rFonts w:eastAsia="Times New Roman" w:cs="Calibri"/>
                <w:sz w:val="16"/>
                <w:szCs w:val="16"/>
                <w:lang w:eastAsia="pl-PL"/>
              </w:rPr>
              <w:t>.</w:t>
            </w:r>
            <w:r w:rsidRPr="00FC248A">
              <w:rPr>
                <w:rFonts w:eastAsia="Times New Roman" w:cs="Calibri"/>
                <w:sz w:val="16"/>
                <w:szCs w:val="16"/>
                <w:lang w:eastAsia="pl-PL"/>
              </w:rPr>
              <w:t>6</w:t>
            </w:r>
          </w:p>
        </w:tc>
        <w:tc>
          <w:tcPr>
            <w:tcW w:w="989" w:type="dxa"/>
            <w:tcBorders>
              <w:top w:val="single" w:sz="4" w:space="0" w:color="2F5496" w:themeColor="accent5" w:themeShade="BF"/>
            </w:tcBorders>
            <w:shd w:val="clear" w:color="auto" w:fill="auto"/>
            <w:vAlign w:val="center"/>
          </w:tcPr>
          <w:p w:rsidR="00E41DF8" w:rsidRPr="00FC248A" w:rsidRDefault="00E41DF8" w:rsidP="00E41DF8">
            <w:pPr>
              <w:spacing w:before="0" w:after="0"/>
              <w:jc w:val="right"/>
              <w:rPr>
                <w:rFonts w:eastAsia="Times New Roman" w:cs="Calibri"/>
                <w:sz w:val="16"/>
                <w:szCs w:val="16"/>
                <w:lang w:eastAsia="pl-PL"/>
              </w:rPr>
            </w:pPr>
            <w:r w:rsidRPr="00FC248A">
              <w:rPr>
                <w:rFonts w:eastAsia="Times New Roman" w:cs="Calibri"/>
                <w:sz w:val="16"/>
                <w:szCs w:val="16"/>
                <w:lang w:eastAsia="pl-PL"/>
              </w:rPr>
              <w:t>32</w:t>
            </w:r>
            <w:r w:rsidR="00BF23BF">
              <w:rPr>
                <w:rFonts w:eastAsia="Times New Roman" w:cs="Calibri"/>
                <w:sz w:val="16"/>
                <w:szCs w:val="16"/>
                <w:lang w:eastAsia="pl-PL"/>
              </w:rPr>
              <w:t>.</w:t>
            </w:r>
            <w:r>
              <w:rPr>
                <w:rFonts w:eastAsia="Times New Roman" w:cs="Calibri"/>
                <w:sz w:val="16"/>
                <w:szCs w:val="16"/>
                <w:lang w:eastAsia="pl-PL"/>
              </w:rPr>
              <w:t>8</w:t>
            </w:r>
          </w:p>
        </w:tc>
        <w:tc>
          <w:tcPr>
            <w:tcW w:w="854" w:type="dxa"/>
            <w:tcBorders>
              <w:top w:val="single" w:sz="4" w:space="0" w:color="2F5496" w:themeColor="accent5" w:themeShade="BF"/>
            </w:tcBorders>
            <w:shd w:val="clear" w:color="auto" w:fill="auto"/>
            <w:vAlign w:val="center"/>
          </w:tcPr>
          <w:p w:rsidR="00E41DF8" w:rsidRPr="00FC248A" w:rsidRDefault="00E41DF8" w:rsidP="00E41DF8">
            <w:pPr>
              <w:spacing w:before="0" w:after="0"/>
              <w:jc w:val="right"/>
              <w:rPr>
                <w:rFonts w:eastAsia="Times New Roman" w:cs="Calibri"/>
                <w:sz w:val="16"/>
                <w:szCs w:val="16"/>
                <w:lang w:eastAsia="pl-PL"/>
              </w:rPr>
            </w:pPr>
            <w:r>
              <w:rPr>
                <w:rFonts w:eastAsia="Times New Roman" w:cs="Calibri"/>
                <w:sz w:val="16"/>
                <w:szCs w:val="16"/>
                <w:lang w:eastAsia="pl-PL"/>
              </w:rPr>
              <w:t>33</w:t>
            </w:r>
            <w:r w:rsidR="00BF23BF">
              <w:rPr>
                <w:rFonts w:eastAsia="Times New Roman" w:cs="Calibri"/>
                <w:sz w:val="16"/>
                <w:szCs w:val="16"/>
                <w:lang w:eastAsia="pl-PL"/>
              </w:rPr>
              <w:t>.</w:t>
            </w:r>
            <w:r>
              <w:rPr>
                <w:rFonts w:eastAsia="Times New Roman" w:cs="Calibri"/>
                <w:sz w:val="16"/>
                <w:szCs w:val="16"/>
                <w:lang w:eastAsia="pl-PL"/>
              </w:rPr>
              <w:t>0</w:t>
            </w:r>
          </w:p>
        </w:tc>
        <w:tc>
          <w:tcPr>
            <w:tcW w:w="932" w:type="dxa"/>
            <w:tcBorders>
              <w:top w:val="single" w:sz="4" w:space="0" w:color="2F5496" w:themeColor="accent5" w:themeShade="BF"/>
            </w:tcBorders>
            <w:shd w:val="clear" w:color="auto" w:fill="auto"/>
            <w:vAlign w:val="center"/>
          </w:tcPr>
          <w:p w:rsidR="00E41DF8" w:rsidRPr="00154F47" w:rsidRDefault="00E41DF8" w:rsidP="00E41DF8">
            <w:pPr>
              <w:spacing w:before="0" w:after="0"/>
              <w:jc w:val="right"/>
              <w:rPr>
                <w:rFonts w:eastAsia="Times New Roman" w:cs="Calibri"/>
                <w:sz w:val="16"/>
                <w:szCs w:val="16"/>
                <w:lang w:eastAsia="pl-PL"/>
              </w:rPr>
            </w:pPr>
            <w:r w:rsidRPr="00154F47">
              <w:rPr>
                <w:rFonts w:eastAsia="Times New Roman" w:cs="Calibri"/>
                <w:sz w:val="16"/>
                <w:szCs w:val="16"/>
                <w:lang w:eastAsia="pl-PL"/>
              </w:rPr>
              <w:t>33</w:t>
            </w:r>
            <w:r w:rsidR="00BF23BF">
              <w:rPr>
                <w:rFonts w:eastAsia="Times New Roman" w:cs="Calibri"/>
                <w:sz w:val="16"/>
                <w:szCs w:val="16"/>
                <w:lang w:eastAsia="pl-PL"/>
              </w:rPr>
              <w:t>.</w:t>
            </w:r>
            <w:r w:rsidRPr="00154F47">
              <w:rPr>
                <w:rFonts w:eastAsia="Times New Roman" w:cs="Calibri"/>
                <w:sz w:val="16"/>
                <w:szCs w:val="16"/>
                <w:lang w:eastAsia="pl-PL"/>
              </w:rPr>
              <w:t>2</w:t>
            </w:r>
          </w:p>
        </w:tc>
      </w:tr>
    </w:tbl>
    <w:p w:rsidR="00DB30AB" w:rsidRDefault="00DB30AB" w:rsidP="00E41DF8">
      <w:pPr>
        <w:spacing w:after="0" w:line="240" w:lineRule="auto"/>
        <w:rPr>
          <w:rFonts w:eastAsia="Fira Sans Light" w:cs="Times New Roman"/>
          <w:b/>
          <w:noProof/>
          <w:spacing w:val="-2"/>
          <w:szCs w:val="19"/>
        </w:rPr>
      </w:pPr>
    </w:p>
    <w:p w:rsidR="00E41DF8" w:rsidRPr="00281994" w:rsidRDefault="003E3377" w:rsidP="00E41DF8">
      <w:pPr>
        <w:spacing w:after="0" w:line="240" w:lineRule="auto"/>
        <w:rPr>
          <w:rFonts w:ascii="Fira Sans SemiBold" w:hAnsi="Fira Sans SemiBold"/>
          <w:color w:val="001D77"/>
          <w:shd w:val="clear" w:color="auto" w:fill="FFFFFF"/>
          <w:lang w:val="en-GB"/>
        </w:rPr>
      </w:pPr>
      <w:r w:rsidRPr="00281994">
        <w:rPr>
          <w:rFonts w:ascii="Fira Sans SemiBold" w:hAnsi="Fira Sans SemiBold"/>
          <w:color w:val="001D77"/>
          <w:shd w:val="clear" w:color="auto" w:fill="FFFFFF"/>
          <w:lang w:val="en-GB"/>
        </w:rPr>
        <w:t>Demand for renting premises from gmina</w:t>
      </w:r>
    </w:p>
    <w:p w:rsidR="003831DD" w:rsidRPr="00281994" w:rsidRDefault="003831DD" w:rsidP="00E41DF8">
      <w:pPr>
        <w:spacing w:after="0" w:line="240" w:lineRule="auto"/>
        <w:rPr>
          <w:shd w:val="clear" w:color="auto" w:fill="FFFFFF"/>
          <w:lang w:val="en-GB"/>
        </w:rPr>
      </w:pPr>
      <w:r>
        <w:rPr>
          <w:b/>
          <w:noProof/>
          <w:spacing w:val="-2"/>
          <w:szCs w:val="19"/>
          <w:lang w:eastAsia="pl-PL"/>
        </w:rPr>
        <mc:AlternateContent>
          <mc:Choice Requires="wps">
            <w:drawing>
              <wp:anchor distT="45720" distB="45720" distL="114300" distR="114300" simplePos="0" relativeHeight="251662336" behindDoc="1" locked="0" layoutInCell="1" allowOverlap="1" wp14:anchorId="04AB421D" wp14:editId="391417C5">
                <wp:simplePos x="0" y="0"/>
                <wp:positionH relativeFrom="rightMargin">
                  <wp:posOffset>106070</wp:posOffset>
                </wp:positionH>
                <wp:positionV relativeFrom="paragraph">
                  <wp:posOffset>181127</wp:posOffset>
                </wp:positionV>
                <wp:extent cx="1667510" cy="1133475"/>
                <wp:effectExtent l="0" t="0" r="0" b="0"/>
                <wp:wrapTight wrapText="bothSides">
                  <wp:wrapPolygon edited="0">
                    <wp:start x="740" y="0"/>
                    <wp:lineTo x="740" y="21055"/>
                    <wp:lineTo x="20728" y="21055"/>
                    <wp:lineTo x="20728" y="0"/>
                    <wp:lineTo x="740" y="0"/>
                  </wp:wrapPolygon>
                </wp:wrapTight>
                <wp:docPr id="20" name="Pole tekstow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1133475"/>
                        </a:xfrm>
                        <a:prstGeom prst="rect">
                          <a:avLst/>
                        </a:prstGeom>
                        <a:noFill/>
                        <a:ln w="9525">
                          <a:noFill/>
                          <a:miter lim="800000"/>
                          <a:headEnd/>
                          <a:tailEnd/>
                        </a:ln>
                      </wps:spPr>
                      <wps:txbx>
                        <w:txbxContent>
                          <w:p w:rsidR="00E84AB6" w:rsidRPr="00281994" w:rsidRDefault="00E84AB6" w:rsidP="00FD592F">
                            <w:pPr>
                              <w:pStyle w:val="tekstzboku"/>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As compared to the previous year, the number of households waiting for residential premises rental from gminas decreased by 3.1 %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B421D" id="Pole tekstowe 20" o:spid="_x0000_s1042" type="#_x0000_t202" style="position:absolute;margin-left:8.35pt;margin-top:14.25pt;width:131.3pt;height:89.25pt;z-index:-25165414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" filled="f" stroked="f">
                <v:textbox>
                  <w:txbxContent>
                    <w:p w:rsidR="00E84AB6" w:rsidRPr="00281994" w:rsidRDefault="00E84AB6" w:rsidP="00FD592F">
                      <w:pPr>
                        <w:pStyle w:val="tekstzboku"/>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As compared to the previous year, the number of households waiting for residential premises rental from gminas decreased by 3.1 %</w:t>
                      </w:r>
                    </w:p>
                  </w:txbxContent>
                </v:textbox>
                <w10:wrap type="tight" anchorx="margin"/>
              </v:shape>
            </w:pict>
          </mc:Fallback>
        </mc:AlternateContent>
      </w:r>
    </w:p>
    <w:p w:rsidR="00E41DF8" w:rsidRPr="00281994" w:rsidRDefault="00E41DF8" w:rsidP="00E41DF8">
      <w:pPr>
        <w:spacing w:after="0"/>
        <w:rPr>
          <w:shd w:val="clear" w:color="auto" w:fill="FFFFFF"/>
          <w:lang w:val="en-GB"/>
        </w:rPr>
      </w:pPr>
      <w:r w:rsidRPr="00281994">
        <w:rPr>
          <w:shd w:val="clear" w:color="auto" w:fill="FFFFFF"/>
          <w:lang w:val="en-GB"/>
        </w:rPr>
        <w:t xml:space="preserve">In 2018, </w:t>
      </w:r>
      <w:r w:rsidR="00BF23BF" w:rsidRPr="00281994">
        <w:rPr>
          <w:shd w:val="clear" w:color="auto" w:fill="FFFFFF"/>
          <w:lang w:val="en-GB"/>
        </w:rPr>
        <w:t xml:space="preserve">as many as </w:t>
      </w:r>
      <w:r w:rsidRPr="00281994">
        <w:rPr>
          <w:shd w:val="clear" w:color="auto" w:fill="FFFFFF"/>
          <w:lang w:val="en-GB"/>
        </w:rPr>
        <w:t xml:space="preserve">149 329 households waited for gminas stocks rental (excluding replacement premises and temporary </w:t>
      </w:r>
      <w:r w:rsidR="00F163AA" w:rsidRPr="00281994">
        <w:rPr>
          <w:shd w:val="clear" w:color="auto" w:fill="FFFFFF"/>
          <w:lang w:val="en-GB"/>
        </w:rPr>
        <w:t>premises)</w:t>
      </w:r>
      <w:r w:rsidRPr="00281994">
        <w:rPr>
          <w:shd w:val="clear" w:color="auto" w:fill="FFFFFF"/>
          <w:lang w:val="en-GB"/>
        </w:rPr>
        <w:t>. As compared to 2</w:t>
      </w:r>
      <w:r w:rsidR="00F163AA" w:rsidRPr="00281994">
        <w:rPr>
          <w:shd w:val="clear" w:color="auto" w:fill="FFFFFF"/>
          <w:lang w:val="en-GB"/>
        </w:rPr>
        <w:t>0</w:t>
      </w:r>
      <w:r w:rsidRPr="00281994">
        <w:rPr>
          <w:shd w:val="clear" w:color="auto" w:fill="FFFFFF"/>
          <w:lang w:val="en-GB"/>
        </w:rPr>
        <w:t>17, the demand for rental of premises being part of gminas dwelling stock is still decreasing, and it amounted to 96.9</w:t>
      </w:r>
      <w:r w:rsidR="00CA0A0F">
        <w:rPr>
          <w:shd w:val="clear" w:color="auto" w:fill="FFFFFF"/>
          <w:lang w:val="en-GB"/>
        </w:rPr>
        <w:t> </w:t>
      </w:r>
      <w:r w:rsidRPr="00281994">
        <w:rPr>
          <w:shd w:val="clear" w:color="auto" w:fill="FFFFFF"/>
          <w:lang w:val="en-GB"/>
        </w:rPr>
        <w:t>%.</w:t>
      </w:r>
    </w:p>
    <w:p w:rsidR="00E41DF8" w:rsidRPr="00281994" w:rsidRDefault="00E41DF8" w:rsidP="00E41DF8">
      <w:pPr>
        <w:spacing w:after="0"/>
        <w:rPr>
          <w:shd w:val="clear" w:color="auto" w:fill="FFFFFF"/>
          <w:lang w:val="en-GB"/>
        </w:rPr>
      </w:pPr>
      <w:r w:rsidRPr="00281994">
        <w:rPr>
          <w:shd w:val="clear" w:color="auto" w:fill="FFFFFF"/>
          <w:lang w:val="en-GB"/>
        </w:rPr>
        <w:t>In the total number of households waiting for gm</w:t>
      </w:r>
      <w:r w:rsidR="00F163AA" w:rsidRPr="00281994">
        <w:rPr>
          <w:shd w:val="clear" w:color="auto" w:fill="FFFFFF"/>
          <w:lang w:val="en-GB"/>
        </w:rPr>
        <w:t xml:space="preserve">inas housing stocks rental, 63 </w:t>
      </w:r>
      <w:r w:rsidRPr="00281994">
        <w:rPr>
          <w:shd w:val="clear" w:color="auto" w:fill="FFFFFF"/>
          <w:lang w:val="en-GB"/>
        </w:rPr>
        <w:t>424 households waited for municipal dwelling rental (which is 42.5</w:t>
      </w:r>
      <w:r w:rsidR="00CA0A0F">
        <w:rPr>
          <w:shd w:val="clear" w:color="auto" w:fill="FFFFFF"/>
          <w:lang w:val="en-GB"/>
        </w:rPr>
        <w:t> </w:t>
      </w:r>
      <w:r w:rsidRPr="00281994">
        <w:rPr>
          <w:shd w:val="clear" w:color="auto" w:fill="FFFFFF"/>
          <w:lang w:val="en-GB"/>
        </w:rPr>
        <w:t>% of all households waiting for premises rental), while 85 905 for social premises, of which 52 589 households under execution of eviction sentences.</w:t>
      </w:r>
    </w:p>
    <w:p w:rsidR="003831DD" w:rsidRPr="00281994" w:rsidRDefault="003831DD">
      <w:pPr>
        <w:spacing w:before="0" w:after="160" w:line="259" w:lineRule="auto"/>
        <w:rPr>
          <w:shd w:val="clear" w:color="auto" w:fill="FFFFFF"/>
          <w:lang w:val="en-GB"/>
        </w:rPr>
      </w:pPr>
      <w:r w:rsidRPr="00281994">
        <w:rPr>
          <w:shd w:val="clear" w:color="auto" w:fill="FFFFFF"/>
          <w:lang w:val="en-GB"/>
        </w:rPr>
        <w:br w:type="page"/>
      </w:r>
    </w:p>
    <w:p w:rsidR="00E41DF8" w:rsidRPr="00281994" w:rsidRDefault="00E41DF8" w:rsidP="003E3377">
      <w:pPr>
        <w:tabs>
          <w:tab w:val="left" w:pos="851"/>
        </w:tabs>
        <w:spacing w:before="0" w:after="0"/>
        <w:rPr>
          <w:spacing w:val="-2"/>
          <w:sz w:val="18"/>
          <w:lang w:val="en-GB"/>
        </w:rPr>
      </w:pPr>
      <w:r w:rsidRPr="00281994">
        <w:rPr>
          <w:b/>
          <w:spacing w:val="-2"/>
          <w:sz w:val="18"/>
          <w:lang w:val="en-GB"/>
        </w:rPr>
        <w:lastRenderedPageBreak/>
        <w:t>Tab</w:t>
      </w:r>
      <w:r w:rsidR="003E3377" w:rsidRPr="00281994">
        <w:rPr>
          <w:b/>
          <w:spacing w:val="-2"/>
          <w:sz w:val="18"/>
          <w:lang w:val="en-GB"/>
        </w:rPr>
        <w:t>le</w:t>
      </w:r>
      <w:r w:rsidRPr="00281994">
        <w:rPr>
          <w:b/>
          <w:spacing w:val="-2"/>
          <w:sz w:val="18"/>
          <w:lang w:val="en-GB"/>
        </w:rPr>
        <w:t xml:space="preserve"> 8. </w:t>
      </w:r>
      <w:r w:rsidR="003E3377" w:rsidRPr="00281994">
        <w:rPr>
          <w:b/>
          <w:spacing w:val="-2"/>
          <w:sz w:val="18"/>
          <w:lang w:val="en-GB"/>
        </w:rPr>
        <w:t>Households waiting for residential premis</w:t>
      </w:r>
      <w:r w:rsidR="007F3137" w:rsidRPr="00281994">
        <w:rPr>
          <w:b/>
          <w:spacing w:val="-2"/>
          <w:sz w:val="18"/>
          <w:lang w:val="en-GB"/>
        </w:rPr>
        <w:t>es rental from gmina – as of 31.12</w:t>
      </w:r>
    </w:p>
    <w:p w:rsidR="00E41DF8" w:rsidRPr="00281994" w:rsidRDefault="00E41DF8" w:rsidP="00E41DF8">
      <w:pPr>
        <w:spacing w:before="0" w:after="0"/>
        <w:rPr>
          <w:rFonts w:eastAsia="Times New Roman" w:cs="Times New Roman"/>
          <w:bCs/>
          <w:color w:val="001D77"/>
          <w:szCs w:val="19"/>
          <w:lang w:val="en-GB" w:eastAsia="pl-PL"/>
        </w:rPr>
      </w:pPr>
    </w:p>
    <w:tbl>
      <w:tblPr>
        <w:tblW w:w="7878" w:type="dxa"/>
        <w:tblBorders>
          <w:insideH w:val="single" w:sz="4" w:space="0" w:color="001D77"/>
          <w:insideV w:val="single" w:sz="4" w:space="0" w:color="001D77"/>
        </w:tblBorders>
        <w:tblCellMar>
          <w:left w:w="70" w:type="dxa"/>
          <w:right w:w="70" w:type="dxa"/>
        </w:tblCellMar>
        <w:tblLook w:val="04A0" w:firstRow="1" w:lastRow="0" w:firstColumn="1" w:lastColumn="0" w:noHBand="0" w:noVBand="1"/>
      </w:tblPr>
      <w:tblGrid>
        <w:gridCol w:w="2127"/>
        <w:gridCol w:w="1417"/>
        <w:gridCol w:w="1418"/>
        <w:gridCol w:w="1417"/>
        <w:gridCol w:w="1499"/>
      </w:tblGrid>
      <w:tr w:rsidR="00E41DF8" w:rsidRPr="00FC248A" w:rsidTr="00E41DF8">
        <w:trPr>
          <w:trHeight w:val="315"/>
        </w:trPr>
        <w:tc>
          <w:tcPr>
            <w:tcW w:w="2127" w:type="dxa"/>
            <w:vMerge w:val="restart"/>
            <w:tcBorders>
              <w:top w:val="nil"/>
            </w:tcBorders>
            <w:shd w:val="clear" w:color="auto" w:fill="auto"/>
            <w:vAlign w:val="center"/>
            <w:hideMark/>
          </w:tcPr>
          <w:p w:rsidR="00E41DF8" w:rsidRPr="00FC248A" w:rsidRDefault="003E3377" w:rsidP="00E41DF8">
            <w:pPr>
              <w:spacing w:before="0" w:after="0"/>
              <w:jc w:val="center"/>
              <w:rPr>
                <w:rFonts w:eastAsia="Times New Roman" w:cs="Calibri"/>
                <w:sz w:val="16"/>
                <w:szCs w:val="16"/>
                <w:lang w:eastAsia="pl-PL"/>
              </w:rPr>
            </w:pPr>
            <w:r>
              <w:rPr>
                <w:rFonts w:eastAsia="Times New Roman" w:cs="Calibri"/>
                <w:sz w:val="16"/>
                <w:szCs w:val="16"/>
                <w:lang w:eastAsia="pl-PL"/>
              </w:rPr>
              <w:t>Specification</w:t>
            </w:r>
          </w:p>
        </w:tc>
        <w:tc>
          <w:tcPr>
            <w:tcW w:w="1417" w:type="dxa"/>
            <w:vMerge w:val="restart"/>
            <w:tcBorders>
              <w:top w:val="nil"/>
            </w:tcBorders>
            <w:shd w:val="clear" w:color="auto" w:fill="auto"/>
            <w:vAlign w:val="center"/>
            <w:hideMark/>
          </w:tcPr>
          <w:p w:rsidR="00E41DF8" w:rsidRPr="00FC248A" w:rsidRDefault="003E3377" w:rsidP="00E41DF8">
            <w:pPr>
              <w:spacing w:before="0" w:after="0"/>
              <w:jc w:val="center"/>
              <w:rPr>
                <w:rFonts w:eastAsia="Times New Roman" w:cs="Calibri"/>
                <w:sz w:val="16"/>
                <w:szCs w:val="16"/>
                <w:lang w:eastAsia="pl-PL"/>
              </w:rPr>
            </w:pPr>
            <w:r>
              <w:rPr>
                <w:rFonts w:eastAsia="Times New Roman" w:cs="Calibri"/>
                <w:sz w:val="16"/>
                <w:szCs w:val="16"/>
                <w:lang w:eastAsia="pl-PL"/>
              </w:rPr>
              <w:t>Total</w:t>
            </w:r>
          </w:p>
        </w:tc>
        <w:tc>
          <w:tcPr>
            <w:tcW w:w="1418" w:type="dxa"/>
            <w:vMerge w:val="restart"/>
            <w:tcBorders>
              <w:top w:val="nil"/>
            </w:tcBorders>
            <w:shd w:val="clear" w:color="auto" w:fill="auto"/>
            <w:vAlign w:val="center"/>
            <w:hideMark/>
          </w:tcPr>
          <w:p w:rsidR="00E41DF8" w:rsidRPr="00FC248A" w:rsidRDefault="00BF23BF" w:rsidP="00E41DF8">
            <w:pPr>
              <w:spacing w:before="0" w:after="0"/>
              <w:jc w:val="center"/>
              <w:rPr>
                <w:rFonts w:eastAsia="Times New Roman" w:cs="Calibri"/>
                <w:sz w:val="16"/>
                <w:szCs w:val="16"/>
                <w:lang w:eastAsia="pl-PL"/>
              </w:rPr>
            </w:pPr>
            <w:r>
              <w:rPr>
                <w:rFonts w:eastAsia="Times New Roman" w:cs="Calibri"/>
                <w:sz w:val="16"/>
                <w:szCs w:val="16"/>
                <w:lang w:eastAsia="pl-PL"/>
              </w:rPr>
              <w:t>f</w:t>
            </w:r>
            <w:r w:rsidR="003E3377">
              <w:rPr>
                <w:rFonts w:eastAsia="Times New Roman" w:cs="Calibri"/>
                <w:sz w:val="16"/>
                <w:szCs w:val="16"/>
                <w:lang w:eastAsia="pl-PL"/>
              </w:rPr>
              <w:t>or municipal dwellings</w:t>
            </w:r>
          </w:p>
        </w:tc>
        <w:tc>
          <w:tcPr>
            <w:tcW w:w="2916" w:type="dxa"/>
            <w:gridSpan w:val="2"/>
            <w:tcBorders>
              <w:top w:val="nil"/>
              <w:bottom w:val="single" w:sz="4" w:space="0" w:color="001D77"/>
            </w:tcBorders>
            <w:shd w:val="clear" w:color="auto" w:fill="auto"/>
            <w:vAlign w:val="center"/>
            <w:hideMark/>
          </w:tcPr>
          <w:p w:rsidR="00E41DF8" w:rsidRPr="00FC248A" w:rsidRDefault="00BF23BF" w:rsidP="00E41DF8">
            <w:pPr>
              <w:spacing w:before="0" w:after="0"/>
              <w:jc w:val="center"/>
              <w:rPr>
                <w:rFonts w:eastAsia="Times New Roman" w:cs="Calibri"/>
                <w:sz w:val="16"/>
                <w:szCs w:val="16"/>
                <w:lang w:eastAsia="pl-PL"/>
              </w:rPr>
            </w:pPr>
            <w:r>
              <w:rPr>
                <w:rFonts w:eastAsia="Times New Roman" w:cs="Calibri"/>
                <w:sz w:val="16"/>
                <w:szCs w:val="16"/>
                <w:lang w:eastAsia="pl-PL"/>
              </w:rPr>
              <w:t>f</w:t>
            </w:r>
            <w:r w:rsidR="003E3377">
              <w:rPr>
                <w:rFonts w:eastAsia="Times New Roman" w:cs="Calibri"/>
                <w:sz w:val="16"/>
                <w:szCs w:val="16"/>
                <w:lang w:eastAsia="pl-PL"/>
              </w:rPr>
              <w:t>or social premises</w:t>
            </w:r>
          </w:p>
        </w:tc>
      </w:tr>
      <w:tr w:rsidR="00E41DF8" w:rsidRPr="00CA0A0F" w:rsidTr="00E41DF8">
        <w:trPr>
          <w:trHeight w:val="315"/>
        </w:trPr>
        <w:tc>
          <w:tcPr>
            <w:tcW w:w="2127" w:type="dxa"/>
            <w:vMerge/>
            <w:tcBorders>
              <w:bottom w:val="single" w:sz="12" w:space="0" w:color="001D77"/>
            </w:tcBorders>
            <w:shd w:val="clear" w:color="auto" w:fill="auto"/>
            <w:vAlign w:val="center"/>
          </w:tcPr>
          <w:p w:rsidR="00E41DF8" w:rsidRPr="00FC248A" w:rsidRDefault="00E41DF8" w:rsidP="00E41DF8">
            <w:pPr>
              <w:spacing w:before="0" w:after="0"/>
              <w:jc w:val="center"/>
              <w:rPr>
                <w:rFonts w:eastAsia="Times New Roman" w:cs="Calibri"/>
                <w:sz w:val="16"/>
                <w:szCs w:val="16"/>
                <w:lang w:eastAsia="pl-PL"/>
              </w:rPr>
            </w:pPr>
          </w:p>
        </w:tc>
        <w:tc>
          <w:tcPr>
            <w:tcW w:w="1417" w:type="dxa"/>
            <w:vMerge/>
            <w:tcBorders>
              <w:bottom w:val="single" w:sz="12" w:space="0" w:color="001D77"/>
            </w:tcBorders>
            <w:shd w:val="clear" w:color="auto" w:fill="auto"/>
            <w:vAlign w:val="center"/>
          </w:tcPr>
          <w:p w:rsidR="00E41DF8" w:rsidRPr="00FC248A" w:rsidRDefault="00E41DF8" w:rsidP="00E41DF8">
            <w:pPr>
              <w:spacing w:before="0" w:after="0"/>
              <w:jc w:val="center"/>
              <w:rPr>
                <w:rFonts w:eastAsia="Times New Roman" w:cs="Calibri"/>
                <w:sz w:val="16"/>
                <w:szCs w:val="16"/>
                <w:lang w:eastAsia="pl-PL"/>
              </w:rPr>
            </w:pPr>
          </w:p>
        </w:tc>
        <w:tc>
          <w:tcPr>
            <w:tcW w:w="1418" w:type="dxa"/>
            <w:vMerge/>
            <w:tcBorders>
              <w:bottom w:val="single" w:sz="12" w:space="0" w:color="001D77"/>
            </w:tcBorders>
            <w:shd w:val="clear" w:color="auto" w:fill="auto"/>
            <w:vAlign w:val="center"/>
          </w:tcPr>
          <w:p w:rsidR="00E41DF8" w:rsidRPr="00FC248A" w:rsidRDefault="00E41DF8" w:rsidP="00E41DF8">
            <w:pPr>
              <w:spacing w:before="0" w:after="0"/>
              <w:jc w:val="center"/>
              <w:rPr>
                <w:rFonts w:eastAsia="Times New Roman" w:cs="Calibri"/>
                <w:sz w:val="16"/>
                <w:szCs w:val="16"/>
                <w:lang w:eastAsia="pl-PL"/>
              </w:rPr>
            </w:pPr>
          </w:p>
        </w:tc>
        <w:tc>
          <w:tcPr>
            <w:tcW w:w="1417" w:type="dxa"/>
            <w:tcBorders>
              <w:top w:val="single" w:sz="4" w:space="0" w:color="001D77"/>
              <w:bottom w:val="single" w:sz="12" w:space="0" w:color="001D77"/>
            </w:tcBorders>
            <w:shd w:val="clear" w:color="auto" w:fill="auto"/>
            <w:vAlign w:val="center"/>
          </w:tcPr>
          <w:p w:rsidR="00E41DF8" w:rsidRPr="00FC248A" w:rsidRDefault="003E3377" w:rsidP="00E41DF8">
            <w:pPr>
              <w:spacing w:before="0" w:after="0"/>
              <w:jc w:val="center"/>
              <w:rPr>
                <w:rFonts w:eastAsia="Times New Roman" w:cs="Calibri"/>
                <w:sz w:val="16"/>
                <w:szCs w:val="16"/>
                <w:lang w:eastAsia="pl-PL"/>
              </w:rPr>
            </w:pPr>
            <w:r>
              <w:rPr>
                <w:rFonts w:eastAsia="Times New Roman" w:cs="Calibri"/>
                <w:sz w:val="16"/>
                <w:szCs w:val="16"/>
                <w:lang w:eastAsia="pl-PL"/>
              </w:rPr>
              <w:t>total</w:t>
            </w:r>
          </w:p>
        </w:tc>
        <w:tc>
          <w:tcPr>
            <w:tcW w:w="1499" w:type="dxa"/>
            <w:tcBorders>
              <w:top w:val="single" w:sz="4" w:space="0" w:color="001D77"/>
              <w:bottom w:val="single" w:sz="12" w:space="0" w:color="001D77"/>
            </w:tcBorders>
            <w:shd w:val="clear" w:color="auto" w:fill="auto"/>
            <w:vAlign w:val="center"/>
          </w:tcPr>
          <w:p w:rsidR="00E41DF8" w:rsidRPr="00281994" w:rsidRDefault="00BF23BF" w:rsidP="00E41DF8">
            <w:pPr>
              <w:spacing w:before="0" w:after="0"/>
              <w:jc w:val="center"/>
              <w:rPr>
                <w:rFonts w:eastAsia="Times New Roman" w:cs="Calibri"/>
                <w:sz w:val="16"/>
                <w:szCs w:val="16"/>
                <w:lang w:val="en-GB" w:eastAsia="pl-PL"/>
              </w:rPr>
            </w:pPr>
            <w:r w:rsidRPr="00281994">
              <w:rPr>
                <w:rFonts w:eastAsia="Times New Roman" w:cs="Calibri"/>
                <w:sz w:val="16"/>
                <w:szCs w:val="16"/>
                <w:lang w:val="en-GB" w:eastAsia="pl-PL"/>
              </w:rPr>
              <w:t>o</w:t>
            </w:r>
            <w:r w:rsidR="003E3377" w:rsidRPr="00281994">
              <w:rPr>
                <w:rFonts w:eastAsia="Times New Roman" w:cs="Calibri"/>
                <w:sz w:val="16"/>
                <w:szCs w:val="16"/>
                <w:lang w:val="en-GB" w:eastAsia="pl-PL"/>
              </w:rPr>
              <w:t>f which under execution of eviction sentences</w:t>
            </w:r>
          </w:p>
        </w:tc>
      </w:tr>
      <w:tr w:rsidR="00E41DF8" w:rsidRPr="00FC248A" w:rsidTr="00342024">
        <w:trPr>
          <w:trHeight w:val="283"/>
        </w:trPr>
        <w:tc>
          <w:tcPr>
            <w:tcW w:w="7878" w:type="dxa"/>
            <w:gridSpan w:val="5"/>
            <w:tcBorders>
              <w:top w:val="single" w:sz="12" w:space="0" w:color="001D77"/>
              <w:bottom w:val="single" w:sz="4" w:space="0" w:color="001D77"/>
            </w:tcBorders>
            <w:shd w:val="clear" w:color="auto" w:fill="auto"/>
            <w:vAlign w:val="center"/>
          </w:tcPr>
          <w:p w:rsidR="00E41DF8" w:rsidRPr="00FC248A" w:rsidRDefault="003E3377" w:rsidP="00C86024">
            <w:pPr>
              <w:spacing w:before="0" w:after="0"/>
              <w:jc w:val="center"/>
              <w:rPr>
                <w:rFonts w:eastAsia="Times New Roman" w:cs="Calibri"/>
                <w:sz w:val="16"/>
                <w:szCs w:val="16"/>
                <w:lang w:eastAsia="pl-PL"/>
              </w:rPr>
            </w:pPr>
            <w:r>
              <w:rPr>
                <w:rFonts w:eastAsia="Times New Roman" w:cs="Calibri"/>
                <w:sz w:val="16"/>
                <w:szCs w:val="16"/>
                <w:lang w:eastAsia="pl-PL"/>
              </w:rPr>
              <w:t xml:space="preserve">absolute </w:t>
            </w:r>
            <w:r w:rsidR="00C86024">
              <w:rPr>
                <w:rFonts w:eastAsia="Times New Roman" w:cs="Calibri"/>
                <w:sz w:val="16"/>
                <w:szCs w:val="16"/>
                <w:lang w:eastAsia="pl-PL"/>
              </w:rPr>
              <w:t>values</w:t>
            </w:r>
          </w:p>
        </w:tc>
      </w:tr>
      <w:tr w:rsidR="00E41DF8" w:rsidRPr="00FC248A" w:rsidTr="00342024">
        <w:trPr>
          <w:trHeight w:val="283"/>
        </w:trPr>
        <w:tc>
          <w:tcPr>
            <w:tcW w:w="2127" w:type="dxa"/>
            <w:tcBorders>
              <w:top w:val="single" w:sz="4" w:space="0" w:color="2F5496" w:themeColor="accent5" w:themeShade="BF"/>
              <w:bottom w:val="single" w:sz="4" w:space="0" w:color="2F5496" w:themeColor="accent5" w:themeShade="BF"/>
            </w:tcBorders>
            <w:shd w:val="clear" w:color="auto" w:fill="auto"/>
            <w:vAlign w:val="center"/>
            <w:hideMark/>
          </w:tcPr>
          <w:p w:rsidR="00E41DF8" w:rsidRPr="00FC248A" w:rsidRDefault="00E41DF8" w:rsidP="003E3377">
            <w:pPr>
              <w:spacing w:before="0" w:after="0"/>
              <w:rPr>
                <w:rFonts w:eastAsia="Times New Roman" w:cs="Calibri"/>
                <w:sz w:val="16"/>
                <w:szCs w:val="16"/>
                <w:lang w:eastAsia="pl-PL"/>
              </w:rPr>
            </w:pPr>
            <w:r w:rsidRPr="00FC248A">
              <w:rPr>
                <w:rFonts w:eastAsia="Times New Roman" w:cs="Calibri"/>
                <w:sz w:val="16"/>
                <w:szCs w:val="16"/>
                <w:lang w:eastAsia="pl-PL"/>
              </w:rPr>
              <w:t>Po</w:t>
            </w:r>
            <w:r w:rsidR="003E3377">
              <w:rPr>
                <w:rFonts w:eastAsia="Times New Roman" w:cs="Calibri"/>
                <w:sz w:val="16"/>
                <w:szCs w:val="16"/>
                <w:lang w:eastAsia="pl-PL"/>
              </w:rPr>
              <w:t>land</w:t>
            </w:r>
          </w:p>
        </w:tc>
        <w:tc>
          <w:tcPr>
            <w:tcW w:w="1417" w:type="dxa"/>
            <w:tcBorders>
              <w:top w:val="single" w:sz="4" w:space="0" w:color="001D77"/>
              <w:bottom w:val="single" w:sz="4" w:space="0" w:color="2F5496" w:themeColor="accent5" w:themeShade="BF"/>
            </w:tcBorders>
            <w:shd w:val="clear" w:color="auto" w:fill="auto"/>
            <w:vAlign w:val="center"/>
            <w:hideMark/>
          </w:tcPr>
          <w:p w:rsidR="00E41DF8" w:rsidRPr="00154F47" w:rsidRDefault="00E41DF8" w:rsidP="00E41DF8">
            <w:pPr>
              <w:spacing w:before="0" w:after="0"/>
              <w:jc w:val="right"/>
              <w:rPr>
                <w:rFonts w:eastAsia="Times New Roman" w:cs="Calibri"/>
                <w:sz w:val="16"/>
                <w:szCs w:val="16"/>
                <w:lang w:eastAsia="pl-PL"/>
              </w:rPr>
            </w:pPr>
            <w:r w:rsidRPr="00154F47">
              <w:rPr>
                <w:rFonts w:eastAsia="Times New Roman" w:cs="Calibri"/>
                <w:sz w:val="16"/>
                <w:szCs w:val="16"/>
                <w:lang w:eastAsia="pl-PL"/>
              </w:rPr>
              <w:t> 149 329</w:t>
            </w:r>
          </w:p>
        </w:tc>
        <w:tc>
          <w:tcPr>
            <w:tcW w:w="1418" w:type="dxa"/>
            <w:tcBorders>
              <w:top w:val="single" w:sz="4" w:space="0" w:color="001D77"/>
              <w:bottom w:val="single" w:sz="4" w:space="0" w:color="2F5496" w:themeColor="accent5" w:themeShade="BF"/>
            </w:tcBorders>
            <w:shd w:val="clear" w:color="auto" w:fill="auto"/>
            <w:vAlign w:val="center"/>
            <w:hideMark/>
          </w:tcPr>
          <w:p w:rsidR="00E41DF8" w:rsidRPr="00154F47" w:rsidRDefault="00E41DF8" w:rsidP="00E41DF8">
            <w:pPr>
              <w:spacing w:before="0" w:after="0"/>
              <w:jc w:val="right"/>
              <w:rPr>
                <w:rFonts w:eastAsia="Times New Roman" w:cs="Calibri"/>
                <w:sz w:val="16"/>
                <w:szCs w:val="16"/>
                <w:lang w:eastAsia="pl-PL"/>
              </w:rPr>
            </w:pPr>
            <w:r w:rsidRPr="00154F47">
              <w:rPr>
                <w:rFonts w:eastAsia="Times New Roman" w:cs="Calibri"/>
                <w:sz w:val="16"/>
                <w:szCs w:val="16"/>
                <w:lang w:eastAsia="pl-PL"/>
              </w:rPr>
              <w:t> 63 424</w:t>
            </w:r>
          </w:p>
        </w:tc>
        <w:tc>
          <w:tcPr>
            <w:tcW w:w="1417" w:type="dxa"/>
            <w:tcBorders>
              <w:top w:val="single" w:sz="4" w:space="0" w:color="001D77"/>
              <w:bottom w:val="single" w:sz="4" w:space="0" w:color="2F5496" w:themeColor="accent5" w:themeShade="BF"/>
            </w:tcBorders>
            <w:shd w:val="clear" w:color="auto" w:fill="auto"/>
            <w:vAlign w:val="center"/>
            <w:hideMark/>
          </w:tcPr>
          <w:p w:rsidR="00E41DF8" w:rsidRPr="00154F47" w:rsidRDefault="00E41DF8" w:rsidP="00E41DF8">
            <w:pPr>
              <w:spacing w:before="0" w:after="0"/>
              <w:jc w:val="right"/>
              <w:rPr>
                <w:rFonts w:eastAsia="Times New Roman" w:cs="Calibri"/>
                <w:sz w:val="16"/>
                <w:szCs w:val="16"/>
                <w:lang w:eastAsia="pl-PL"/>
              </w:rPr>
            </w:pPr>
            <w:r w:rsidRPr="00154F47">
              <w:rPr>
                <w:rFonts w:eastAsia="Times New Roman" w:cs="Calibri"/>
                <w:sz w:val="16"/>
                <w:szCs w:val="16"/>
                <w:lang w:eastAsia="pl-PL"/>
              </w:rPr>
              <w:t> 85 905</w:t>
            </w:r>
          </w:p>
        </w:tc>
        <w:tc>
          <w:tcPr>
            <w:tcW w:w="1499" w:type="dxa"/>
            <w:tcBorders>
              <w:top w:val="single" w:sz="4" w:space="0" w:color="001D77"/>
              <w:bottom w:val="single" w:sz="4" w:space="0" w:color="2F5496" w:themeColor="accent5" w:themeShade="BF"/>
            </w:tcBorders>
            <w:shd w:val="clear" w:color="auto" w:fill="auto"/>
            <w:vAlign w:val="center"/>
          </w:tcPr>
          <w:p w:rsidR="00E41DF8" w:rsidRPr="00FC248A" w:rsidRDefault="006B1304" w:rsidP="00342024">
            <w:pPr>
              <w:spacing w:before="0" w:after="0"/>
              <w:jc w:val="right"/>
              <w:rPr>
                <w:rFonts w:eastAsia="Times New Roman" w:cs="Calibri"/>
                <w:sz w:val="16"/>
                <w:szCs w:val="16"/>
                <w:lang w:eastAsia="pl-PL"/>
              </w:rPr>
            </w:pPr>
            <w:r>
              <w:rPr>
                <w:rFonts w:eastAsia="Times New Roman" w:cs="Calibri"/>
                <w:sz w:val="16"/>
                <w:szCs w:val="16"/>
                <w:lang w:eastAsia="pl-PL"/>
              </w:rPr>
              <w:t>52 589</w:t>
            </w:r>
          </w:p>
        </w:tc>
      </w:tr>
      <w:tr w:rsidR="00E41DF8" w:rsidRPr="00FC248A" w:rsidTr="00342024">
        <w:trPr>
          <w:trHeight w:val="283"/>
        </w:trPr>
        <w:tc>
          <w:tcPr>
            <w:tcW w:w="2127" w:type="dxa"/>
            <w:tcBorders>
              <w:top w:val="single" w:sz="4" w:space="0" w:color="2F5496" w:themeColor="accent5" w:themeShade="BF"/>
              <w:bottom w:val="single" w:sz="4" w:space="0" w:color="2F5496" w:themeColor="accent5" w:themeShade="BF"/>
            </w:tcBorders>
            <w:shd w:val="clear" w:color="auto" w:fill="auto"/>
            <w:vAlign w:val="center"/>
            <w:hideMark/>
          </w:tcPr>
          <w:p w:rsidR="00E41DF8" w:rsidRPr="00FC248A" w:rsidRDefault="003E3377" w:rsidP="00E41DF8">
            <w:pPr>
              <w:spacing w:before="0" w:after="0"/>
              <w:rPr>
                <w:rFonts w:eastAsia="Times New Roman" w:cs="Calibri"/>
                <w:sz w:val="16"/>
                <w:szCs w:val="16"/>
                <w:lang w:eastAsia="pl-PL"/>
              </w:rPr>
            </w:pPr>
            <w:r>
              <w:rPr>
                <w:rFonts w:eastAsia="Times New Roman" w:cs="Calibri"/>
                <w:sz w:val="16"/>
                <w:szCs w:val="16"/>
                <w:lang w:eastAsia="pl-PL"/>
              </w:rPr>
              <w:t>Urban areas</w:t>
            </w:r>
          </w:p>
        </w:tc>
        <w:tc>
          <w:tcPr>
            <w:tcW w:w="1417" w:type="dxa"/>
            <w:tcBorders>
              <w:top w:val="single" w:sz="4" w:space="0" w:color="2F5496" w:themeColor="accent5" w:themeShade="BF"/>
            </w:tcBorders>
            <w:shd w:val="clear" w:color="auto" w:fill="auto"/>
            <w:vAlign w:val="center"/>
            <w:hideMark/>
          </w:tcPr>
          <w:p w:rsidR="00E41DF8" w:rsidRPr="00154F47" w:rsidRDefault="00E41DF8" w:rsidP="00E41DF8">
            <w:pPr>
              <w:spacing w:before="0" w:after="0"/>
              <w:jc w:val="right"/>
              <w:rPr>
                <w:rFonts w:eastAsia="Times New Roman" w:cs="Calibri"/>
                <w:sz w:val="16"/>
                <w:szCs w:val="16"/>
                <w:lang w:eastAsia="pl-PL"/>
              </w:rPr>
            </w:pPr>
            <w:r w:rsidRPr="00154F47">
              <w:rPr>
                <w:rFonts w:eastAsia="Times New Roman" w:cs="Calibri"/>
                <w:sz w:val="16"/>
                <w:szCs w:val="16"/>
                <w:lang w:eastAsia="pl-PL"/>
              </w:rPr>
              <w:t> 128 414</w:t>
            </w:r>
          </w:p>
        </w:tc>
        <w:tc>
          <w:tcPr>
            <w:tcW w:w="1418" w:type="dxa"/>
            <w:tcBorders>
              <w:top w:val="single" w:sz="4" w:space="0" w:color="2F5496" w:themeColor="accent5" w:themeShade="BF"/>
              <w:bottom w:val="single" w:sz="4" w:space="0" w:color="2F5496" w:themeColor="accent5" w:themeShade="BF"/>
            </w:tcBorders>
            <w:shd w:val="clear" w:color="auto" w:fill="auto"/>
            <w:vAlign w:val="center"/>
            <w:hideMark/>
          </w:tcPr>
          <w:p w:rsidR="00E41DF8" w:rsidRPr="00154F47" w:rsidRDefault="00E41DF8" w:rsidP="00E41DF8">
            <w:pPr>
              <w:spacing w:before="0" w:after="0"/>
              <w:jc w:val="right"/>
              <w:rPr>
                <w:rFonts w:eastAsia="Times New Roman" w:cs="Calibri"/>
                <w:sz w:val="16"/>
                <w:szCs w:val="16"/>
                <w:lang w:eastAsia="pl-PL"/>
              </w:rPr>
            </w:pPr>
            <w:r w:rsidRPr="00154F47">
              <w:rPr>
                <w:rFonts w:eastAsia="Times New Roman" w:cs="Calibri"/>
                <w:sz w:val="16"/>
                <w:szCs w:val="16"/>
                <w:lang w:eastAsia="pl-PL"/>
              </w:rPr>
              <w:t> 50 236</w:t>
            </w:r>
          </w:p>
        </w:tc>
        <w:tc>
          <w:tcPr>
            <w:tcW w:w="1417" w:type="dxa"/>
            <w:tcBorders>
              <w:top w:val="single" w:sz="4" w:space="0" w:color="2F5496" w:themeColor="accent5" w:themeShade="BF"/>
              <w:bottom w:val="single" w:sz="4" w:space="0" w:color="2F5496" w:themeColor="accent5" w:themeShade="BF"/>
            </w:tcBorders>
            <w:shd w:val="clear" w:color="auto" w:fill="auto"/>
            <w:vAlign w:val="center"/>
            <w:hideMark/>
          </w:tcPr>
          <w:p w:rsidR="00E41DF8" w:rsidRPr="00154F47" w:rsidRDefault="00E41DF8" w:rsidP="00E41DF8">
            <w:pPr>
              <w:spacing w:before="0" w:after="0"/>
              <w:jc w:val="right"/>
              <w:rPr>
                <w:rFonts w:eastAsia="Times New Roman" w:cs="Calibri"/>
                <w:sz w:val="16"/>
                <w:szCs w:val="16"/>
                <w:lang w:eastAsia="pl-PL"/>
              </w:rPr>
            </w:pPr>
            <w:r w:rsidRPr="00154F47">
              <w:rPr>
                <w:rFonts w:eastAsia="Times New Roman" w:cs="Calibri"/>
                <w:sz w:val="16"/>
                <w:szCs w:val="16"/>
                <w:lang w:eastAsia="pl-PL"/>
              </w:rPr>
              <w:t> 78 178</w:t>
            </w:r>
          </w:p>
        </w:tc>
        <w:tc>
          <w:tcPr>
            <w:tcW w:w="1499" w:type="dxa"/>
            <w:tcBorders>
              <w:top w:val="single" w:sz="4" w:space="0" w:color="2F5496" w:themeColor="accent5" w:themeShade="BF"/>
              <w:bottom w:val="single" w:sz="4" w:space="0" w:color="2F5496" w:themeColor="accent5" w:themeShade="BF"/>
            </w:tcBorders>
            <w:shd w:val="clear" w:color="auto" w:fill="auto"/>
            <w:vAlign w:val="center"/>
          </w:tcPr>
          <w:p w:rsidR="00E41DF8" w:rsidRPr="00FC248A" w:rsidRDefault="006B1304" w:rsidP="00342024">
            <w:pPr>
              <w:spacing w:before="0" w:after="0"/>
              <w:jc w:val="right"/>
              <w:rPr>
                <w:rFonts w:eastAsia="Times New Roman" w:cs="Calibri"/>
                <w:sz w:val="16"/>
                <w:szCs w:val="16"/>
                <w:lang w:eastAsia="pl-PL"/>
              </w:rPr>
            </w:pPr>
            <w:r>
              <w:rPr>
                <w:rFonts w:eastAsia="Times New Roman" w:cs="Calibri"/>
                <w:sz w:val="16"/>
                <w:szCs w:val="16"/>
                <w:lang w:eastAsia="pl-PL"/>
              </w:rPr>
              <w:t>51 449</w:t>
            </w:r>
          </w:p>
        </w:tc>
      </w:tr>
      <w:tr w:rsidR="00E41DF8" w:rsidRPr="00FC248A" w:rsidTr="00342024">
        <w:trPr>
          <w:trHeight w:val="283"/>
        </w:trPr>
        <w:tc>
          <w:tcPr>
            <w:tcW w:w="2127" w:type="dxa"/>
            <w:tcBorders>
              <w:top w:val="single" w:sz="4" w:space="0" w:color="2F5496" w:themeColor="accent5" w:themeShade="BF"/>
            </w:tcBorders>
            <w:shd w:val="clear" w:color="auto" w:fill="auto"/>
            <w:vAlign w:val="center"/>
          </w:tcPr>
          <w:p w:rsidR="00E41DF8" w:rsidRPr="00FC248A" w:rsidRDefault="00342024" w:rsidP="00E41DF8">
            <w:pPr>
              <w:spacing w:before="0" w:after="0"/>
              <w:rPr>
                <w:rFonts w:eastAsia="Times New Roman" w:cs="Calibri"/>
                <w:sz w:val="16"/>
                <w:szCs w:val="16"/>
                <w:lang w:eastAsia="pl-PL"/>
              </w:rPr>
            </w:pPr>
            <w:r>
              <w:rPr>
                <w:rFonts w:eastAsia="Times New Roman" w:cs="Calibri"/>
                <w:sz w:val="16"/>
                <w:szCs w:val="16"/>
                <w:lang w:eastAsia="pl-PL"/>
              </w:rPr>
              <w:t>Rural areas</w:t>
            </w:r>
          </w:p>
        </w:tc>
        <w:tc>
          <w:tcPr>
            <w:tcW w:w="1417" w:type="dxa"/>
            <w:shd w:val="clear" w:color="auto" w:fill="auto"/>
            <w:vAlign w:val="center"/>
          </w:tcPr>
          <w:p w:rsidR="00E41DF8" w:rsidRPr="00154F47" w:rsidRDefault="00E41DF8" w:rsidP="00E41DF8">
            <w:pPr>
              <w:spacing w:before="0" w:after="0"/>
              <w:jc w:val="right"/>
              <w:rPr>
                <w:rFonts w:eastAsia="Times New Roman" w:cs="Calibri"/>
                <w:sz w:val="16"/>
                <w:szCs w:val="16"/>
                <w:lang w:eastAsia="pl-PL"/>
              </w:rPr>
            </w:pPr>
            <w:r w:rsidRPr="00154F47">
              <w:rPr>
                <w:rFonts w:eastAsia="Times New Roman" w:cs="Calibri"/>
                <w:sz w:val="16"/>
                <w:szCs w:val="16"/>
                <w:lang w:eastAsia="pl-PL"/>
              </w:rPr>
              <w:t> 20 915</w:t>
            </w:r>
          </w:p>
        </w:tc>
        <w:tc>
          <w:tcPr>
            <w:tcW w:w="1418" w:type="dxa"/>
            <w:tcBorders>
              <w:top w:val="single" w:sz="4" w:space="0" w:color="2F5496" w:themeColor="accent5" w:themeShade="BF"/>
            </w:tcBorders>
            <w:shd w:val="clear" w:color="auto" w:fill="auto"/>
            <w:vAlign w:val="center"/>
          </w:tcPr>
          <w:p w:rsidR="00E41DF8" w:rsidRPr="00154F47" w:rsidRDefault="00E41DF8" w:rsidP="00E41DF8">
            <w:pPr>
              <w:spacing w:before="0" w:after="0"/>
              <w:jc w:val="right"/>
              <w:rPr>
                <w:rFonts w:eastAsia="Times New Roman" w:cs="Calibri"/>
                <w:sz w:val="16"/>
                <w:szCs w:val="16"/>
                <w:lang w:eastAsia="pl-PL"/>
              </w:rPr>
            </w:pPr>
            <w:r w:rsidRPr="00154F47">
              <w:rPr>
                <w:rFonts w:eastAsia="Times New Roman" w:cs="Calibri"/>
                <w:sz w:val="16"/>
                <w:szCs w:val="16"/>
                <w:lang w:eastAsia="pl-PL"/>
              </w:rPr>
              <w:t> 13 188</w:t>
            </w:r>
          </w:p>
        </w:tc>
        <w:tc>
          <w:tcPr>
            <w:tcW w:w="1417" w:type="dxa"/>
            <w:tcBorders>
              <w:top w:val="single" w:sz="4" w:space="0" w:color="2F5496" w:themeColor="accent5" w:themeShade="BF"/>
            </w:tcBorders>
            <w:shd w:val="clear" w:color="auto" w:fill="auto"/>
            <w:vAlign w:val="center"/>
          </w:tcPr>
          <w:p w:rsidR="00E41DF8" w:rsidRPr="00154F47" w:rsidRDefault="00E41DF8" w:rsidP="00E41DF8">
            <w:pPr>
              <w:spacing w:before="0" w:after="0"/>
              <w:jc w:val="right"/>
              <w:rPr>
                <w:rFonts w:eastAsia="Times New Roman" w:cs="Calibri"/>
                <w:sz w:val="16"/>
                <w:szCs w:val="16"/>
                <w:lang w:eastAsia="pl-PL"/>
              </w:rPr>
            </w:pPr>
            <w:r w:rsidRPr="00154F47">
              <w:rPr>
                <w:rFonts w:eastAsia="Times New Roman" w:cs="Calibri"/>
                <w:sz w:val="16"/>
                <w:szCs w:val="16"/>
                <w:lang w:eastAsia="pl-PL"/>
              </w:rPr>
              <w:t> 7 727</w:t>
            </w:r>
          </w:p>
        </w:tc>
        <w:tc>
          <w:tcPr>
            <w:tcW w:w="1499" w:type="dxa"/>
            <w:tcBorders>
              <w:top w:val="single" w:sz="4" w:space="0" w:color="2F5496" w:themeColor="accent5" w:themeShade="BF"/>
            </w:tcBorders>
            <w:shd w:val="clear" w:color="auto" w:fill="auto"/>
            <w:vAlign w:val="center"/>
          </w:tcPr>
          <w:p w:rsidR="00E41DF8" w:rsidRPr="00FC248A" w:rsidRDefault="006B1304" w:rsidP="00342024">
            <w:pPr>
              <w:spacing w:before="0" w:after="0"/>
              <w:jc w:val="right"/>
              <w:rPr>
                <w:rFonts w:eastAsia="Times New Roman" w:cs="Calibri"/>
                <w:sz w:val="16"/>
                <w:szCs w:val="16"/>
                <w:lang w:eastAsia="pl-PL"/>
              </w:rPr>
            </w:pPr>
            <w:r>
              <w:rPr>
                <w:rFonts w:eastAsia="Times New Roman" w:cs="Calibri"/>
                <w:sz w:val="16"/>
                <w:szCs w:val="16"/>
                <w:lang w:eastAsia="pl-PL"/>
              </w:rPr>
              <w:t>1 140</w:t>
            </w:r>
          </w:p>
        </w:tc>
      </w:tr>
      <w:tr w:rsidR="00E41DF8" w:rsidRPr="00FC248A" w:rsidTr="00342024">
        <w:trPr>
          <w:trHeight w:val="283"/>
        </w:trPr>
        <w:tc>
          <w:tcPr>
            <w:tcW w:w="7878" w:type="dxa"/>
            <w:gridSpan w:val="5"/>
            <w:tcBorders>
              <w:top w:val="single" w:sz="4" w:space="0" w:color="2F5496" w:themeColor="accent5" w:themeShade="BF"/>
              <w:bottom w:val="single" w:sz="4" w:space="0" w:color="001D77"/>
            </w:tcBorders>
            <w:shd w:val="clear" w:color="auto" w:fill="auto"/>
            <w:vAlign w:val="center"/>
          </w:tcPr>
          <w:p w:rsidR="00E41DF8" w:rsidRPr="00154F47" w:rsidRDefault="00342024" w:rsidP="00E41DF8">
            <w:pPr>
              <w:spacing w:before="0" w:after="0"/>
              <w:jc w:val="center"/>
              <w:rPr>
                <w:rFonts w:eastAsia="Times New Roman" w:cs="Calibri"/>
                <w:sz w:val="16"/>
                <w:szCs w:val="16"/>
                <w:lang w:eastAsia="pl-PL"/>
              </w:rPr>
            </w:pPr>
            <w:r>
              <w:rPr>
                <w:rFonts w:eastAsia="Times New Roman" w:cs="Calibri"/>
                <w:sz w:val="16"/>
                <w:szCs w:val="16"/>
                <w:lang w:eastAsia="pl-PL"/>
              </w:rPr>
              <w:t>Poland</w:t>
            </w:r>
            <w:r w:rsidR="00E41DF8" w:rsidRPr="00154F47">
              <w:rPr>
                <w:rFonts w:eastAsia="Times New Roman" w:cs="Calibri"/>
                <w:sz w:val="16"/>
                <w:szCs w:val="16"/>
                <w:lang w:eastAsia="pl-PL"/>
              </w:rPr>
              <w:t xml:space="preserve"> = 100</w:t>
            </w:r>
            <w:r w:rsidR="00E128CF">
              <w:rPr>
                <w:rFonts w:eastAsia="Times New Roman" w:cs="Calibri"/>
                <w:sz w:val="16"/>
                <w:szCs w:val="16"/>
                <w:lang w:eastAsia="pl-PL"/>
              </w:rPr>
              <w:t> </w:t>
            </w:r>
            <w:r w:rsidR="00E41DF8" w:rsidRPr="00154F47">
              <w:rPr>
                <w:rFonts w:eastAsia="Times New Roman" w:cs="Calibri"/>
                <w:sz w:val="16"/>
                <w:szCs w:val="16"/>
                <w:lang w:eastAsia="pl-PL"/>
              </w:rPr>
              <w:t>%</w:t>
            </w:r>
          </w:p>
        </w:tc>
      </w:tr>
      <w:tr w:rsidR="00BF23BF" w:rsidRPr="00FC248A" w:rsidTr="00342024">
        <w:trPr>
          <w:trHeight w:val="283"/>
        </w:trPr>
        <w:tc>
          <w:tcPr>
            <w:tcW w:w="2127" w:type="dxa"/>
            <w:tcBorders>
              <w:top w:val="single" w:sz="4" w:space="0" w:color="2F5496" w:themeColor="accent5" w:themeShade="BF"/>
              <w:bottom w:val="single" w:sz="4" w:space="0" w:color="2F5496" w:themeColor="accent5" w:themeShade="BF"/>
              <w:right w:val="single" w:sz="4" w:space="0" w:color="001D77"/>
            </w:tcBorders>
            <w:shd w:val="clear" w:color="auto" w:fill="auto"/>
            <w:vAlign w:val="center"/>
          </w:tcPr>
          <w:p w:rsidR="00BF23BF" w:rsidRPr="00FC248A" w:rsidRDefault="00BF23BF" w:rsidP="00BF23BF">
            <w:pPr>
              <w:spacing w:before="0" w:after="0"/>
              <w:rPr>
                <w:rFonts w:eastAsia="Times New Roman" w:cs="Calibri"/>
                <w:sz w:val="16"/>
                <w:szCs w:val="16"/>
                <w:lang w:eastAsia="pl-PL"/>
              </w:rPr>
            </w:pPr>
            <w:r>
              <w:rPr>
                <w:rFonts w:eastAsia="Times New Roman" w:cs="Calibri"/>
                <w:sz w:val="16"/>
                <w:szCs w:val="16"/>
                <w:lang w:eastAsia="pl-PL"/>
              </w:rPr>
              <w:t>Urban areas</w:t>
            </w:r>
          </w:p>
        </w:tc>
        <w:tc>
          <w:tcPr>
            <w:tcW w:w="1417" w:type="dxa"/>
            <w:tcBorders>
              <w:top w:val="single" w:sz="4" w:space="0" w:color="2F5496" w:themeColor="accent5" w:themeShade="BF"/>
              <w:left w:val="single" w:sz="4" w:space="0" w:color="001D77"/>
              <w:bottom w:val="single" w:sz="4" w:space="0" w:color="2F5496" w:themeColor="accent5" w:themeShade="BF"/>
              <w:right w:val="single" w:sz="4" w:space="0" w:color="001D77"/>
            </w:tcBorders>
            <w:shd w:val="clear" w:color="auto" w:fill="auto"/>
            <w:vAlign w:val="center"/>
          </w:tcPr>
          <w:p w:rsidR="00BF23BF" w:rsidRPr="00154F47" w:rsidRDefault="00BF23BF" w:rsidP="00BF23BF">
            <w:pPr>
              <w:spacing w:before="0" w:after="0"/>
              <w:jc w:val="right"/>
              <w:rPr>
                <w:rFonts w:eastAsia="Times New Roman" w:cs="Calibri"/>
                <w:sz w:val="16"/>
                <w:szCs w:val="16"/>
                <w:lang w:eastAsia="pl-PL"/>
              </w:rPr>
            </w:pPr>
            <w:r w:rsidRPr="00154F47">
              <w:rPr>
                <w:rFonts w:eastAsia="Times New Roman" w:cs="Calibri"/>
                <w:sz w:val="16"/>
                <w:szCs w:val="16"/>
                <w:lang w:eastAsia="pl-PL"/>
              </w:rPr>
              <w:t> 86</w:t>
            </w:r>
            <w:r>
              <w:rPr>
                <w:rFonts w:eastAsia="Times New Roman" w:cs="Calibri"/>
                <w:sz w:val="16"/>
                <w:szCs w:val="16"/>
                <w:lang w:eastAsia="pl-PL"/>
              </w:rPr>
              <w:t>.</w:t>
            </w:r>
            <w:r w:rsidRPr="00154F47">
              <w:rPr>
                <w:rFonts w:eastAsia="Times New Roman" w:cs="Calibri"/>
                <w:sz w:val="16"/>
                <w:szCs w:val="16"/>
                <w:lang w:eastAsia="pl-PL"/>
              </w:rPr>
              <w:t>0</w:t>
            </w:r>
          </w:p>
        </w:tc>
        <w:tc>
          <w:tcPr>
            <w:tcW w:w="1418" w:type="dxa"/>
            <w:tcBorders>
              <w:top w:val="single" w:sz="4" w:space="0" w:color="2F5496" w:themeColor="accent5" w:themeShade="BF"/>
              <w:left w:val="single" w:sz="4" w:space="0" w:color="001D77"/>
              <w:bottom w:val="single" w:sz="4" w:space="0" w:color="2F5496" w:themeColor="accent5" w:themeShade="BF"/>
              <w:right w:val="single" w:sz="4" w:space="0" w:color="001D77"/>
            </w:tcBorders>
            <w:shd w:val="clear" w:color="auto" w:fill="auto"/>
            <w:vAlign w:val="center"/>
          </w:tcPr>
          <w:p w:rsidR="00BF23BF" w:rsidRPr="00154F47" w:rsidRDefault="00BF23BF" w:rsidP="00BF23BF">
            <w:pPr>
              <w:spacing w:before="0" w:after="0"/>
              <w:jc w:val="right"/>
              <w:rPr>
                <w:rFonts w:eastAsia="Times New Roman" w:cs="Calibri"/>
                <w:sz w:val="16"/>
                <w:szCs w:val="16"/>
                <w:lang w:eastAsia="pl-PL"/>
              </w:rPr>
            </w:pPr>
            <w:r w:rsidRPr="00154F47">
              <w:rPr>
                <w:rFonts w:eastAsia="Times New Roman" w:cs="Calibri"/>
                <w:sz w:val="16"/>
                <w:szCs w:val="16"/>
                <w:lang w:eastAsia="pl-PL"/>
              </w:rPr>
              <w:t> 79</w:t>
            </w:r>
            <w:r>
              <w:rPr>
                <w:rFonts w:eastAsia="Times New Roman" w:cs="Calibri"/>
                <w:sz w:val="16"/>
                <w:szCs w:val="16"/>
                <w:lang w:eastAsia="pl-PL"/>
              </w:rPr>
              <w:t>.</w:t>
            </w:r>
            <w:r w:rsidRPr="00154F47">
              <w:rPr>
                <w:rFonts w:eastAsia="Times New Roman" w:cs="Calibri"/>
                <w:sz w:val="16"/>
                <w:szCs w:val="16"/>
                <w:lang w:eastAsia="pl-PL"/>
              </w:rPr>
              <w:t>2</w:t>
            </w:r>
          </w:p>
        </w:tc>
        <w:tc>
          <w:tcPr>
            <w:tcW w:w="1417" w:type="dxa"/>
            <w:tcBorders>
              <w:top w:val="single" w:sz="4" w:space="0" w:color="2F5496" w:themeColor="accent5" w:themeShade="BF"/>
              <w:left w:val="single" w:sz="4" w:space="0" w:color="001D77"/>
              <w:bottom w:val="single" w:sz="4" w:space="0" w:color="2F5496" w:themeColor="accent5" w:themeShade="BF"/>
              <w:right w:val="single" w:sz="4" w:space="0" w:color="001D77"/>
            </w:tcBorders>
            <w:shd w:val="clear" w:color="auto" w:fill="auto"/>
            <w:vAlign w:val="center"/>
          </w:tcPr>
          <w:p w:rsidR="00BF23BF" w:rsidRPr="00154F47" w:rsidRDefault="00BF23BF" w:rsidP="00BF23BF">
            <w:pPr>
              <w:spacing w:before="0" w:after="0"/>
              <w:jc w:val="right"/>
              <w:rPr>
                <w:rFonts w:eastAsia="Times New Roman" w:cs="Calibri"/>
                <w:sz w:val="16"/>
                <w:szCs w:val="16"/>
                <w:lang w:eastAsia="pl-PL"/>
              </w:rPr>
            </w:pPr>
            <w:r w:rsidRPr="00154F47">
              <w:rPr>
                <w:rFonts w:eastAsia="Times New Roman" w:cs="Calibri"/>
                <w:sz w:val="16"/>
                <w:szCs w:val="16"/>
                <w:lang w:eastAsia="pl-PL"/>
              </w:rPr>
              <w:t> 91</w:t>
            </w:r>
            <w:r>
              <w:rPr>
                <w:rFonts w:eastAsia="Times New Roman" w:cs="Calibri"/>
                <w:sz w:val="16"/>
                <w:szCs w:val="16"/>
                <w:lang w:eastAsia="pl-PL"/>
              </w:rPr>
              <w:t>.</w:t>
            </w:r>
            <w:r w:rsidRPr="00154F47">
              <w:rPr>
                <w:rFonts w:eastAsia="Times New Roman" w:cs="Calibri"/>
                <w:sz w:val="16"/>
                <w:szCs w:val="16"/>
                <w:lang w:eastAsia="pl-PL"/>
              </w:rPr>
              <w:t>0</w:t>
            </w:r>
          </w:p>
        </w:tc>
        <w:tc>
          <w:tcPr>
            <w:tcW w:w="1499" w:type="dxa"/>
            <w:tcBorders>
              <w:top w:val="single" w:sz="4" w:space="0" w:color="2F5496" w:themeColor="accent5" w:themeShade="BF"/>
              <w:left w:val="single" w:sz="4" w:space="0" w:color="001D77"/>
              <w:bottom w:val="single" w:sz="4" w:space="0" w:color="2F5496" w:themeColor="accent5" w:themeShade="BF"/>
            </w:tcBorders>
            <w:shd w:val="clear" w:color="auto" w:fill="auto"/>
            <w:vAlign w:val="center"/>
          </w:tcPr>
          <w:p w:rsidR="00BF23BF" w:rsidRPr="00FC248A" w:rsidRDefault="00BF23BF" w:rsidP="00BF23BF">
            <w:pPr>
              <w:spacing w:before="0" w:after="0"/>
              <w:jc w:val="right"/>
              <w:rPr>
                <w:rFonts w:eastAsia="Times New Roman" w:cs="Calibri"/>
                <w:sz w:val="16"/>
                <w:szCs w:val="16"/>
                <w:lang w:eastAsia="pl-PL"/>
              </w:rPr>
            </w:pPr>
            <w:r>
              <w:rPr>
                <w:rFonts w:eastAsia="Times New Roman" w:cs="Calibri"/>
                <w:sz w:val="16"/>
                <w:szCs w:val="16"/>
                <w:lang w:eastAsia="pl-PL"/>
              </w:rPr>
              <w:t>97.8</w:t>
            </w:r>
          </w:p>
        </w:tc>
      </w:tr>
      <w:tr w:rsidR="00BF23BF" w:rsidRPr="00FC248A" w:rsidTr="00342024">
        <w:trPr>
          <w:trHeight w:val="283"/>
        </w:trPr>
        <w:tc>
          <w:tcPr>
            <w:tcW w:w="2127" w:type="dxa"/>
            <w:tcBorders>
              <w:top w:val="single" w:sz="4" w:space="0" w:color="2F5496" w:themeColor="accent5" w:themeShade="BF"/>
              <w:right w:val="single" w:sz="4" w:space="0" w:color="001D77"/>
            </w:tcBorders>
            <w:shd w:val="clear" w:color="auto" w:fill="auto"/>
            <w:vAlign w:val="center"/>
          </w:tcPr>
          <w:p w:rsidR="00BF23BF" w:rsidRPr="00FC248A" w:rsidRDefault="00BF23BF" w:rsidP="00BF23BF">
            <w:pPr>
              <w:spacing w:before="0" w:after="0"/>
              <w:rPr>
                <w:rFonts w:eastAsia="Times New Roman" w:cs="Calibri"/>
                <w:sz w:val="16"/>
                <w:szCs w:val="16"/>
                <w:lang w:eastAsia="pl-PL"/>
              </w:rPr>
            </w:pPr>
            <w:r>
              <w:rPr>
                <w:rFonts w:eastAsia="Times New Roman" w:cs="Calibri"/>
                <w:sz w:val="16"/>
                <w:szCs w:val="16"/>
                <w:lang w:eastAsia="pl-PL"/>
              </w:rPr>
              <w:t>Rural areas</w:t>
            </w:r>
          </w:p>
        </w:tc>
        <w:tc>
          <w:tcPr>
            <w:tcW w:w="1417" w:type="dxa"/>
            <w:tcBorders>
              <w:top w:val="single" w:sz="4" w:space="0" w:color="2F5496" w:themeColor="accent5" w:themeShade="BF"/>
              <w:left w:val="single" w:sz="4" w:space="0" w:color="001D77"/>
              <w:right w:val="single" w:sz="4" w:space="0" w:color="001D77"/>
            </w:tcBorders>
            <w:shd w:val="clear" w:color="auto" w:fill="auto"/>
            <w:vAlign w:val="center"/>
          </w:tcPr>
          <w:p w:rsidR="00BF23BF" w:rsidRPr="00154F47" w:rsidRDefault="00BF23BF" w:rsidP="00BF23BF">
            <w:pPr>
              <w:spacing w:before="0" w:after="0"/>
              <w:jc w:val="right"/>
              <w:rPr>
                <w:rFonts w:eastAsia="Times New Roman" w:cs="Calibri"/>
                <w:sz w:val="16"/>
                <w:szCs w:val="16"/>
                <w:lang w:eastAsia="pl-PL"/>
              </w:rPr>
            </w:pPr>
            <w:r w:rsidRPr="00154F47">
              <w:rPr>
                <w:rFonts w:eastAsia="Times New Roman" w:cs="Calibri"/>
                <w:sz w:val="16"/>
                <w:szCs w:val="16"/>
                <w:lang w:eastAsia="pl-PL"/>
              </w:rPr>
              <w:t>14</w:t>
            </w:r>
            <w:r>
              <w:rPr>
                <w:rFonts w:eastAsia="Times New Roman" w:cs="Calibri"/>
                <w:sz w:val="16"/>
                <w:szCs w:val="16"/>
                <w:lang w:eastAsia="pl-PL"/>
              </w:rPr>
              <w:t>.</w:t>
            </w:r>
            <w:r w:rsidRPr="00154F47">
              <w:rPr>
                <w:rFonts w:eastAsia="Times New Roman" w:cs="Calibri"/>
                <w:sz w:val="16"/>
                <w:szCs w:val="16"/>
                <w:lang w:eastAsia="pl-PL"/>
              </w:rPr>
              <w:t>0</w:t>
            </w:r>
          </w:p>
        </w:tc>
        <w:tc>
          <w:tcPr>
            <w:tcW w:w="1418" w:type="dxa"/>
            <w:tcBorders>
              <w:top w:val="single" w:sz="4" w:space="0" w:color="2F5496" w:themeColor="accent5" w:themeShade="BF"/>
              <w:left w:val="single" w:sz="4" w:space="0" w:color="001D77"/>
              <w:right w:val="single" w:sz="4" w:space="0" w:color="001D77"/>
            </w:tcBorders>
            <w:shd w:val="clear" w:color="auto" w:fill="auto"/>
            <w:vAlign w:val="center"/>
          </w:tcPr>
          <w:p w:rsidR="00BF23BF" w:rsidRPr="00154F47" w:rsidRDefault="00BF23BF" w:rsidP="00BF23BF">
            <w:pPr>
              <w:spacing w:before="0" w:after="0"/>
              <w:jc w:val="right"/>
              <w:rPr>
                <w:rFonts w:eastAsia="Times New Roman" w:cs="Calibri"/>
                <w:sz w:val="16"/>
                <w:szCs w:val="16"/>
                <w:lang w:eastAsia="pl-PL"/>
              </w:rPr>
            </w:pPr>
            <w:r w:rsidRPr="00154F47">
              <w:rPr>
                <w:rFonts w:eastAsia="Times New Roman" w:cs="Calibri"/>
                <w:sz w:val="16"/>
                <w:szCs w:val="16"/>
                <w:lang w:eastAsia="pl-PL"/>
              </w:rPr>
              <w:t>20</w:t>
            </w:r>
            <w:r>
              <w:rPr>
                <w:rFonts w:eastAsia="Times New Roman" w:cs="Calibri"/>
                <w:sz w:val="16"/>
                <w:szCs w:val="16"/>
                <w:lang w:eastAsia="pl-PL"/>
              </w:rPr>
              <w:t>.</w:t>
            </w:r>
            <w:r w:rsidRPr="00154F47">
              <w:rPr>
                <w:rFonts w:eastAsia="Times New Roman" w:cs="Calibri"/>
                <w:sz w:val="16"/>
                <w:szCs w:val="16"/>
                <w:lang w:eastAsia="pl-PL"/>
              </w:rPr>
              <w:t>8</w:t>
            </w:r>
          </w:p>
        </w:tc>
        <w:tc>
          <w:tcPr>
            <w:tcW w:w="1417" w:type="dxa"/>
            <w:tcBorders>
              <w:top w:val="single" w:sz="4" w:space="0" w:color="2F5496" w:themeColor="accent5" w:themeShade="BF"/>
              <w:left w:val="single" w:sz="4" w:space="0" w:color="001D77"/>
              <w:right w:val="single" w:sz="4" w:space="0" w:color="001D77"/>
            </w:tcBorders>
            <w:shd w:val="clear" w:color="auto" w:fill="auto"/>
            <w:vAlign w:val="center"/>
          </w:tcPr>
          <w:p w:rsidR="00BF23BF" w:rsidRPr="00154F47" w:rsidRDefault="00BF23BF" w:rsidP="00BF23BF">
            <w:pPr>
              <w:spacing w:before="0" w:after="0"/>
              <w:jc w:val="right"/>
              <w:rPr>
                <w:rFonts w:eastAsia="Times New Roman" w:cs="Calibri"/>
                <w:sz w:val="16"/>
                <w:szCs w:val="16"/>
                <w:lang w:eastAsia="pl-PL"/>
              </w:rPr>
            </w:pPr>
            <w:r w:rsidRPr="00154F47">
              <w:rPr>
                <w:rFonts w:eastAsia="Times New Roman" w:cs="Calibri"/>
                <w:sz w:val="16"/>
                <w:szCs w:val="16"/>
                <w:lang w:eastAsia="pl-PL"/>
              </w:rPr>
              <w:t>9</w:t>
            </w:r>
            <w:r>
              <w:rPr>
                <w:rFonts w:eastAsia="Times New Roman" w:cs="Calibri"/>
                <w:sz w:val="16"/>
                <w:szCs w:val="16"/>
                <w:lang w:eastAsia="pl-PL"/>
              </w:rPr>
              <w:t>.</w:t>
            </w:r>
            <w:r w:rsidRPr="00154F47">
              <w:rPr>
                <w:rFonts w:eastAsia="Times New Roman" w:cs="Calibri"/>
                <w:sz w:val="16"/>
                <w:szCs w:val="16"/>
                <w:lang w:eastAsia="pl-PL"/>
              </w:rPr>
              <w:t>0</w:t>
            </w:r>
          </w:p>
        </w:tc>
        <w:tc>
          <w:tcPr>
            <w:tcW w:w="1499" w:type="dxa"/>
            <w:tcBorders>
              <w:top w:val="single" w:sz="4" w:space="0" w:color="2F5496" w:themeColor="accent5" w:themeShade="BF"/>
              <w:left w:val="single" w:sz="4" w:space="0" w:color="001D77"/>
            </w:tcBorders>
            <w:shd w:val="clear" w:color="auto" w:fill="auto"/>
            <w:vAlign w:val="center"/>
          </w:tcPr>
          <w:p w:rsidR="00BF23BF" w:rsidRPr="00FC248A" w:rsidRDefault="00BF23BF" w:rsidP="00BF23BF">
            <w:pPr>
              <w:spacing w:before="0" w:after="0"/>
              <w:jc w:val="right"/>
              <w:rPr>
                <w:rFonts w:eastAsia="Times New Roman" w:cs="Calibri"/>
                <w:sz w:val="16"/>
                <w:szCs w:val="16"/>
                <w:lang w:eastAsia="pl-PL"/>
              </w:rPr>
            </w:pPr>
            <w:r>
              <w:rPr>
                <w:rFonts w:eastAsia="Times New Roman" w:cs="Calibri"/>
                <w:sz w:val="16"/>
                <w:szCs w:val="16"/>
                <w:lang w:eastAsia="pl-PL"/>
              </w:rPr>
              <w:t>2.2</w:t>
            </w:r>
          </w:p>
        </w:tc>
      </w:tr>
    </w:tbl>
    <w:p w:rsidR="00E41DF8" w:rsidRDefault="00E41DF8" w:rsidP="00E41DF8">
      <w:pPr>
        <w:spacing w:after="0" w:line="240" w:lineRule="auto"/>
        <w:rPr>
          <w:shd w:val="clear" w:color="auto" w:fill="FFFFFF"/>
        </w:rPr>
      </w:pPr>
    </w:p>
    <w:p w:rsidR="00DB30AB" w:rsidRPr="003831DD" w:rsidRDefault="00342024" w:rsidP="00E41DF8">
      <w:pPr>
        <w:spacing w:after="0" w:line="240" w:lineRule="auto"/>
        <w:rPr>
          <w:rFonts w:ascii="Fira Sans SemiBold" w:hAnsi="Fira Sans SemiBold"/>
        </w:rPr>
      </w:pPr>
      <w:r w:rsidRPr="003831DD">
        <w:rPr>
          <w:rFonts w:ascii="Fira Sans SemiBold" w:hAnsi="Fira Sans SemiBold"/>
          <w:noProof/>
          <w:color w:val="001D77"/>
          <w:spacing w:val="-2"/>
          <w:szCs w:val="19"/>
          <w:lang w:eastAsia="pl-PL"/>
        </w:rPr>
        <mc:AlternateContent>
          <mc:Choice Requires="wps">
            <w:drawing>
              <wp:anchor distT="45720" distB="45720" distL="114300" distR="114300" simplePos="0" relativeHeight="251655168" behindDoc="1" locked="0" layoutInCell="1" allowOverlap="1" wp14:anchorId="4A8F2896" wp14:editId="7114D4C3">
                <wp:simplePos x="0" y="0"/>
                <wp:positionH relativeFrom="rightMargin">
                  <wp:posOffset>89535</wp:posOffset>
                </wp:positionH>
                <wp:positionV relativeFrom="paragraph">
                  <wp:posOffset>249555</wp:posOffset>
                </wp:positionV>
                <wp:extent cx="1667510" cy="877570"/>
                <wp:effectExtent l="0" t="0" r="0" b="0"/>
                <wp:wrapTight wrapText="bothSides">
                  <wp:wrapPolygon edited="0">
                    <wp:start x="740" y="0"/>
                    <wp:lineTo x="740" y="21100"/>
                    <wp:lineTo x="20728" y="21100"/>
                    <wp:lineTo x="20728" y="0"/>
                    <wp:lineTo x="740" y="0"/>
                  </wp:wrapPolygon>
                </wp:wrapTight>
                <wp:docPr id="16"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877570"/>
                        </a:xfrm>
                        <a:prstGeom prst="rect">
                          <a:avLst/>
                        </a:prstGeom>
                        <a:noFill/>
                        <a:ln w="9525">
                          <a:noFill/>
                          <a:miter lim="800000"/>
                          <a:headEnd/>
                          <a:tailEnd/>
                        </a:ln>
                      </wps:spPr>
                      <wps:txbx>
                        <w:txbxContent>
                          <w:p w:rsidR="00E84AB6" w:rsidRPr="00281994" w:rsidRDefault="00E84AB6" w:rsidP="00FD592F">
                            <w:pPr>
                              <w:pStyle w:val="tekstzboku"/>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The number of paid housing allowances decreased by 10.8 %, while their amount – by 11.0 %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8F2896" id="Pole tekstowe 16" o:spid="_x0000_s1043" type="#_x0000_t202" style="position:absolute;margin-left:7.05pt;margin-top:19.65pt;width:131.3pt;height:69.1pt;z-index:-25166131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" filled="f" stroked="f">
                <v:textbox>
                  <w:txbxContent>
                    <w:p w:rsidR="00E84AB6" w:rsidRPr="00281994" w:rsidRDefault="00E84AB6" w:rsidP="00FD592F">
                      <w:pPr>
                        <w:pStyle w:val="tekstzboku"/>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The number of paid housing allowances decreased by 10.8 %, while their amount – by 11.0 %</w:t>
                      </w:r>
                    </w:p>
                  </w:txbxContent>
                </v:textbox>
                <w10:wrap type="tight" anchorx="margin"/>
              </v:shape>
            </w:pict>
          </mc:Fallback>
        </mc:AlternateContent>
      </w:r>
      <w:r w:rsidRPr="003831DD">
        <w:rPr>
          <w:rFonts w:ascii="Fira Sans SemiBold" w:hAnsi="Fira Sans SemiBold"/>
          <w:color w:val="001D77"/>
        </w:rPr>
        <w:t>Housing allowances</w:t>
      </w:r>
    </w:p>
    <w:p w:rsidR="003831DD" w:rsidRPr="00313537" w:rsidRDefault="003831DD" w:rsidP="00E41DF8">
      <w:pPr>
        <w:spacing w:after="0" w:line="240" w:lineRule="auto"/>
        <w:rPr>
          <w:shd w:val="clear" w:color="auto" w:fill="FFFFFF"/>
        </w:rPr>
      </w:pPr>
    </w:p>
    <w:p w:rsidR="00E41DF8" w:rsidRPr="00281994" w:rsidRDefault="00E41DF8" w:rsidP="00E41DF8">
      <w:pPr>
        <w:spacing w:after="0"/>
        <w:rPr>
          <w:shd w:val="clear" w:color="auto" w:fill="FFFFFF"/>
          <w:lang w:val="en-GB"/>
        </w:rPr>
      </w:pPr>
      <w:r w:rsidRPr="00281994">
        <w:rPr>
          <w:shd w:val="clear" w:color="auto" w:fill="FFFFFF"/>
          <w:lang w:val="en-GB"/>
        </w:rPr>
        <w:t xml:space="preserve">In 2018, approx. 3.2 </w:t>
      </w:r>
      <w:r w:rsidR="00B22D3C" w:rsidRPr="00281994">
        <w:rPr>
          <w:shd w:val="clear" w:color="auto" w:fill="FFFFFF"/>
          <w:lang w:val="en-GB"/>
        </w:rPr>
        <w:t>million</w:t>
      </w:r>
      <w:r w:rsidRPr="00281994">
        <w:rPr>
          <w:shd w:val="clear" w:color="auto" w:fill="FFFFFF"/>
          <w:lang w:val="en-GB"/>
        </w:rPr>
        <w:t xml:space="preserve"> housing allowances for the total amount of PLN 664.8 </w:t>
      </w:r>
      <w:r w:rsidR="00B22D3C" w:rsidRPr="00281994">
        <w:rPr>
          <w:shd w:val="clear" w:color="auto" w:fill="FFFFFF"/>
          <w:lang w:val="en-GB"/>
        </w:rPr>
        <w:t>million</w:t>
      </w:r>
      <w:r w:rsidR="00E128CF">
        <w:rPr>
          <w:shd w:val="clear" w:color="auto" w:fill="FFFFFF"/>
          <w:lang w:val="en-GB"/>
        </w:rPr>
        <w:t xml:space="preserve"> were paid</w:t>
      </w:r>
      <w:r w:rsidRPr="00281994">
        <w:rPr>
          <w:shd w:val="clear" w:color="auto" w:fill="FFFFFF"/>
          <w:lang w:val="en-GB"/>
        </w:rPr>
        <w:t>. Analogically to the previous year, the highest number of housing allowance</w:t>
      </w:r>
      <w:r w:rsidR="00E128CF">
        <w:rPr>
          <w:shd w:val="clear" w:color="auto" w:fill="FFFFFF"/>
          <w:lang w:val="en-GB"/>
        </w:rPr>
        <w:t>s</w:t>
      </w:r>
      <w:r w:rsidRPr="00281994">
        <w:rPr>
          <w:shd w:val="clear" w:color="auto" w:fill="FFFFFF"/>
          <w:lang w:val="en-GB"/>
        </w:rPr>
        <w:t xml:space="preserve"> was paid to the users of gminas premises, i.e. 40.8</w:t>
      </w:r>
      <w:r w:rsidR="00BF23BF" w:rsidRPr="00281994">
        <w:rPr>
          <w:shd w:val="clear" w:color="auto" w:fill="FFFFFF"/>
          <w:lang w:val="en-GB"/>
        </w:rPr>
        <w:t> </w:t>
      </w:r>
      <w:r w:rsidRPr="00281994">
        <w:rPr>
          <w:shd w:val="clear" w:color="auto" w:fill="FFFFFF"/>
          <w:lang w:val="en-GB"/>
        </w:rPr>
        <w:t>%</w:t>
      </w:r>
      <w:r w:rsidR="00C90247" w:rsidRPr="00281994">
        <w:rPr>
          <w:shd w:val="clear" w:color="auto" w:fill="FFFFFF"/>
          <w:lang w:val="en-GB"/>
        </w:rPr>
        <w:t xml:space="preserve"> and </w:t>
      </w:r>
      <w:r w:rsidR="00E128CF">
        <w:rPr>
          <w:shd w:val="clear" w:color="auto" w:fill="FFFFFF"/>
          <w:lang w:val="en-GB"/>
        </w:rPr>
        <w:t xml:space="preserve">housing </w:t>
      </w:r>
      <w:r w:rsidR="00C90247" w:rsidRPr="00281994">
        <w:rPr>
          <w:shd w:val="clear" w:color="auto" w:fill="FFFFFF"/>
          <w:lang w:val="en-GB"/>
        </w:rPr>
        <w:t>cooperative</w:t>
      </w:r>
      <w:r w:rsidR="00E128CF">
        <w:rPr>
          <w:shd w:val="clear" w:color="auto" w:fill="FFFFFF"/>
          <w:lang w:val="en-GB"/>
        </w:rPr>
        <w:t>s</w:t>
      </w:r>
      <w:r w:rsidR="00C90247" w:rsidRPr="00281994">
        <w:rPr>
          <w:shd w:val="clear" w:color="auto" w:fill="FFFFFF"/>
          <w:lang w:val="en-GB"/>
        </w:rPr>
        <w:t xml:space="preserve"> dwellings – 26.</w:t>
      </w:r>
      <w:r w:rsidRPr="00281994">
        <w:rPr>
          <w:shd w:val="clear" w:color="auto" w:fill="FFFFFF"/>
          <w:lang w:val="en-GB"/>
        </w:rPr>
        <w:t>2</w:t>
      </w:r>
      <w:r w:rsidR="00BF23BF" w:rsidRPr="00281994">
        <w:rPr>
          <w:shd w:val="clear" w:color="auto" w:fill="FFFFFF"/>
          <w:lang w:val="en-GB"/>
        </w:rPr>
        <w:t> </w:t>
      </w:r>
      <w:r w:rsidRPr="00281994">
        <w:rPr>
          <w:shd w:val="clear" w:color="auto" w:fill="FFFFFF"/>
          <w:lang w:val="en-GB"/>
        </w:rPr>
        <w:t>%, while the lowest number was paid to the users of dwellings of public building societies</w:t>
      </w:r>
      <w:r w:rsidR="00C90247" w:rsidRPr="00281994">
        <w:rPr>
          <w:shd w:val="clear" w:color="auto" w:fill="FFFFFF"/>
          <w:lang w:val="en-GB"/>
        </w:rPr>
        <w:t xml:space="preserve"> – 2.0</w:t>
      </w:r>
      <w:r w:rsidR="00BF23BF" w:rsidRPr="00281994">
        <w:rPr>
          <w:shd w:val="clear" w:color="auto" w:fill="FFFFFF"/>
          <w:lang w:val="en-GB"/>
        </w:rPr>
        <w:t> </w:t>
      </w:r>
      <w:r w:rsidR="00C90247" w:rsidRPr="00281994">
        <w:rPr>
          <w:shd w:val="clear" w:color="auto" w:fill="FFFFFF"/>
          <w:lang w:val="en-GB"/>
        </w:rPr>
        <w:t>% and other entities – 5.9</w:t>
      </w:r>
      <w:r w:rsidR="00BF23BF" w:rsidRPr="00281994">
        <w:rPr>
          <w:shd w:val="clear" w:color="auto" w:fill="FFFFFF"/>
          <w:lang w:val="en-GB"/>
        </w:rPr>
        <w:t> </w:t>
      </w:r>
      <w:r w:rsidRPr="00281994">
        <w:rPr>
          <w:shd w:val="clear" w:color="auto" w:fill="FFFFFF"/>
          <w:lang w:val="en-GB"/>
        </w:rPr>
        <w:t>%.</w:t>
      </w:r>
    </w:p>
    <w:p w:rsidR="00E41DF8" w:rsidRPr="00281994" w:rsidRDefault="00E41DF8" w:rsidP="00E41DF8">
      <w:pPr>
        <w:spacing w:after="0"/>
        <w:rPr>
          <w:shd w:val="clear" w:color="auto" w:fill="FFFFFF"/>
          <w:lang w:val="en-GB"/>
        </w:rPr>
      </w:pPr>
      <w:r w:rsidRPr="00281994">
        <w:rPr>
          <w:shd w:val="clear" w:color="auto" w:fill="FFFFFF"/>
          <w:lang w:val="en-GB"/>
        </w:rPr>
        <w:t>Average amount of housing allowances was PLN 20</w:t>
      </w:r>
      <w:r w:rsidR="00C90247" w:rsidRPr="00281994">
        <w:rPr>
          <w:shd w:val="clear" w:color="auto" w:fill="FFFFFF"/>
          <w:lang w:val="en-GB"/>
        </w:rPr>
        <w:t>5.4</w:t>
      </w:r>
      <w:r w:rsidRPr="00281994">
        <w:rPr>
          <w:shd w:val="clear" w:color="auto" w:fill="FFFFFF"/>
          <w:lang w:val="en-GB"/>
        </w:rPr>
        <w:t xml:space="preserve">. The highest average amount of the allowance was paid to the users of </w:t>
      </w:r>
      <w:r w:rsidR="00C90247" w:rsidRPr="00281994">
        <w:rPr>
          <w:shd w:val="clear" w:color="auto" w:fill="FFFFFF"/>
          <w:lang w:val="en-GB"/>
        </w:rPr>
        <w:t xml:space="preserve">private </w:t>
      </w:r>
      <w:r w:rsidRPr="00281994">
        <w:rPr>
          <w:shd w:val="clear" w:color="auto" w:fill="FFFFFF"/>
          <w:lang w:val="en-GB"/>
        </w:rPr>
        <w:t>premises</w:t>
      </w:r>
      <w:r w:rsidR="00BF23BF" w:rsidRPr="00281994">
        <w:rPr>
          <w:shd w:val="clear" w:color="auto" w:fill="FFFFFF"/>
          <w:lang w:val="en-GB"/>
        </w:rPr>
        <w:t xml:space="preserve"> </w:t>
      </w:r>
      <w:r w:rsidRPr="00281994">
        <w:rPr>
          <w:shd w:val="clear" w:color="auto" w:fill="FFFFFF"/>
          <w:lang w:val="en-GB"/>
        </w:rPr>
        <w:t>– PLN 250.</w:t>
      </w:r>
      <w:r w:rsidR="00C90247" w:rsidRPr="00281994">
        <w:rPr>
          <w:shd w:val="clear" w:color="auto" w:fill="FFFFFF"/>
          <w:lang w:val="en-GB"/>
        </w:rPr>
        <w:t>9</w:t>
      </w:r>
      <w:r w:rsidRPr="00281994">
        <w:rPr>
          <w:shd w:val="clear" w:color="auto" w:fill="FFFFFF"/>
          <w:lang w:val="en-GB"/>
        </w:rPr>
        <w:t>, while the lowest – to the users of premises being part of housing cooperatives stocks – PLN 18</w:t>
      </w:r>
      <w:r w:rsidR="00C90247" w:rsidRPr="00281994">
        <w:rPr>
          <w:shd w:val="clear" w:color="auto" w:fill="FFFFFF"/>
          <w:lang w:val="en-GB"/>
        </w:rPr>
        <w:t>2.1</w:t>
      </w:r>
      <w:r w:rsidRPr="00281994">
        <w:rPr>
          <w:shd w:val="clear" w:color="auto" w:fill="FFFFFF"/>
          <w:lang w:val="en-GB"/>
        </w:rPr>
        <w:t>.</w:t>
      </w:r>
    </w:p>
    <w:p w:rsidR="00E41DF8" w:rsidRPr="00281994" w:rsidRDefault="00E41DF8" w:rsidP="00E41DF8">
      <w:pPr>
        <w:spacing w:after="0"/>
        <w:rPr>
          <w:shd w:val="clear" w:color="auto" w:fill="FFFFFF"/>
          <w:lang w:val="en-GB"/>
        </w:rPr>
      </w:pPr>
    </w:p>
    <w:p w:rsidR="00E41DF8" w:rsidRPr="00F0243D" w:rsidRDefault="00E41DF8" w:rsidP="00E41DF8">
      <w:pPr>
        <w:spacing w:before="0" w:after="0"/>
        <w:rPr>
          <w:b/>
          <w:spacing w:val="-2"/>
          <w:sz w:val="18"/>
        </w:rPr>
      </w:pPr>
      <w:r w:rsidRPr="00F0243D">
        <w:rPr>
          <w:b/>
          <w:spacing w:val="-2"/>
          <w:sz w:val="18"/>
        </w:rPr>
        <w:t>Tabl</w:t>
      </w:r>
      <w:r w:rsidR="00342024">
        <w:rPr>
          <w:b/>
          <w:spacing w:val="-2"/>
          <w:sz w:val="18"/>
        </w:rPr>
        <w:t>e</w:t>
      </w:r>
      <w:r w:rsidRPr="00F0243D">
        <w:rPr>
          <w:b/>
          <w:spacing w:val="-2"/>
          <w:sz w:val="18"/>
        </w:rPr>
        <w:t xml:space="preserve"> </w:t>
      </w:r>
      <w:r>
        <w:rPr>
          <w:b/>
          <w:spacing w:val="-2"/>
          <w:sz w:val="18"/>
        </w:rPr>
        <w:t>9</w:t>
      </w:r>
      <w:r w:rsidRPr="00F0243D">
        <w:rPr>
          <w:b/>
          <w:spacing w:val="-2"/>
          <w:sz w:val="18"/>
        </w:rPr>
        <w:t xml:space="preserve">. </w:t>
      </w:r>
      <w:r w:rsidR="00342024">
        <w:rPr>
          <w:b/>
          <w:spacing w:val="-2"/>
          <w:sz w:val="18"/>
        </w:rPr>
        <w:t>Housing allowances</w:t>
      </w:r>
    </w:p>
    <w:p w:rsidR="00E41DF8" w:rsidRPr="005160F9" w:rsidRDefault="00E41DF8" w:rsidP="00E41DF8">
      <w:pPr>
        <w:spacing w:before="0" w:after="0"/>
        <w:rPr>
          <w:szCs w:val="19"/>
          <w:shd w:val="clear" w:color="auto" w:fill="FFFFFF"/>
        </w:rPr>
      </w:pPr>
    </w:p>
    <w:tbl>
      <w:tblPr>
        <w:tblW w:w="7878" w:type="dxa"/>
        <w:tblBorders>
          <w:insideH w:val="single" w:sz="4" w:space="0" w:color="001D77"/>
          <w:insideV w:val="single" w:sz="4" w:space="0" w:color="001D77"/>
        </w:tblBorders>
        <w:tblCellMar>
          <w:left w:w="70" w:type="dxa"/>
          <w:right w:w="70" w:type="dxa"/>
        </w:tblCellMar>
        <w:tblLook w:val="04A0" w:firstRow="1" w:lastRow="0" w:firstColumn="1" w:lastColumn="0" w:noHBand="0" w:noVBand="1"/>
      </w:tblPr>
      <w:tblGrid>
        <w:gridCol w:w="4229"/>
        <w:gridCol w:w="864"/>
        <w:gridCol w:w="985"/>
        <w:gridCol w:w="872"/>
        <w:gridCol w:w="928"/>
      </w:tblGrid>
      <w:tr w:rsidR="00E41DF8" w:rsidRPr="00F0243D" w:rsidTr="00FD592F">
        <w:trPr>
          <w:trHeight w:val="315"/>
        </w:trPr>
        <w:tc>
          <w:tcPr>
            <w:tcW w:w="4229" w:type="dxa"/>
            <w:tcBorders>
              <w:top w:val="nil"/>
              <w:bottom w:val="single" w:sz="12" w:space="0" w:color="001D77"/>
            </w:tcBorders>
            <w:shd w:val="clear" w:color="auto" w:fill="auto"/>
            <w:vAlign w:val="center"/>
            <w:hideMark/>
          </w:tcPr>
          <w:p w:rsidR="00E41DF8" w:rsidRPr="00F0243D" w:rsidRDefault="00342024" w:rsidP="00BF23BF">
            <w:pPr>
              <w:spacing w:before="0" w:after="0"/>
              <w:jc w:val="center"/>
              <w:rPr>
                <w:rFonts w:eastAsia="Times New Roman" w:cs="Calibri"/>
                <w:sz w:val="16"/>
                <w:szCs w:val="16"/>
                <w:lang w:eastAsia="pl-PL"/>
              </w:rPr>
            </w:pPr>
            <w:r>
              <w:rPr>
                <w:rFonts w:eastAsia="Times New Roman" w:cs="Calibri"/>
                <w:sz w:val="16"/>
                <w:szCs w:val="16"/>
                <w:lang w:eastAsia="pl-PL"/>
              </w:rPr>
              <w:t>Specification</w:t>
            </w:r>
          </w:p>
        </w:tc>
        <w:tc>
          <w:tcPr>
            <w:tcW w:w="864" w:type="dxa"/>
            <w:tcBorders>
              <w:top w:val="nil"/>
              <w:bottom w:val="single" w:sz="12" w:space="0" w:color="001D77"/>
            </w:tcBorders>
            <w:shd w:val="clear" w:color="auto" w:fill="auto"/>
            <w:vAlign w:val="center"/>
            <w:hideMark/>
          </w:tcPr>
          <w:p w:rsidR="00E41DF8" w:rsidRPr="00154F47" w:rsidRDefault="00E41DF8" w:rsidP="00E41DF8">
            <w:pPr>
              <w:spacing w:before="0" w:after="0"/>
              <w:jc w:val="center"/>
              <w:rPr>
                <w:rFonts w:eastAsia="Times New Roman" w:cs="Calibri"/>
                <w:sz w:val="16"/>
                <w:szCs w:val="16"/>
                <w:lang w:eastAsia="pl-PL"/>
              </w:rPr>
            </w:pPr>
            <w:r w:rsidRPr="00154F47">
              <w:rPr>
                <w:rFonts w:eastAsia="Times New Roman" w:cs="Calibri"/>
                <w:sz w:val="16"/>
                <w:szCs w:val="16"/>
                <w:lang w:eastAsia="pl-PL"/>
              </w:rPr>
              <w:t>2017</w:t>
            </w:r>
          </w:p>
        </w:tc>
        <w:tc>
          <w:tcPr>
            <w:tcW w:w="985" w:type="dxa"/>
            <w:tcBorders>
              <w:top w:val="nil"/>
              <w:bottom w:val="single" w:sz="12" w:space="0" w:color="001D77"/>
            </w:tcBorders>
            <w:shd w:val="clear" w:color="auto" w:fill="auto"/>
            <w:vAlign w:val="center"/>
            <w:hideMark/>
          </w:tcPr>
          <w:p w:rsidR="00E41DF8" w:rsidRPr="00154F47" w:rsidRDefault="00E41DF8" w:rsidP="00E41DF8">
            <w:pPr>
              <w:spacing w:before="0" w:after="0"/>
              <w:jc w:val="center"/>
              <w:rPr>
                <w:rFonts w:eastAsia="Times New Roman" w:cs="Calibri"/>
                <w:sz w:val="16"/>
                <w:szCs w:val="16"/>
                <w:lang w:eastAsia="pl-PL"/>
              </w:rPr>
            </w:pPr>
            <w:r w:rsidRPr="00154F47">
              <w:rPr>
                <w:rFonts w:eastAsia="Times New Roman" w:cs="Calibri"/>
                <w:sz w:val="16"/>
                <w:szCs w:val="16"/>
                <w:lang w:eastAsia="pl-PL"/>
              </w:rPr>
              <w:t>2016 = 100</w:t>
            </w:r>
          </w:p>
        </w:tc>
        <w:tc>
          <w:tcPr>
            <w:tcW w:w="872" w:type="dxa"/>
            <w:tcBorders>
              <w:top w:val="nil"/>
              <w:bottom w:val="single" w:sz="12" w:space="0" w:color="001D77"/>
            </w:tcBorders>
            <w:shd w:val="clear" w:color="auto" w:fill="auto"/>
            <w:vAlign w:val="center"/>
            <w:hideMark/>
          </w:tcPr>
          <w:p w:rsidR="00E41DF8" w:rsidRPr="00154F47" w:rsidRDefault="00E41DF8" w:rsidP="00E41DF8">
            <w:pPr>
              <w:spacing w:before="0" w:after="0"/>
              <w:jc w:val="center"/>
              <w:rPr>
                <w:rFonts w:eastAsia="Times New Roman" w:cs="Calibri"/>
                <w:sz w:val="16"/>
                <w:szCs w:val="16"/>
                <w:lang w:eastAsia="pl-PL"/>
              </w:rPr>
            </w:pPr>
            <w:r w:rsidRPr="00154F47">
              <w:rPr>
                <w:rFonts w:eastAsia="Times New Roman" w:cs="Calibri"/>
                <w:sz w:val="16"/>
                <w:szCs w:val="16"/>
                <w:lang w:eastAsia="pl-PL"/>
              </w:rPr>
              <w:t>2018</w:t>
            </w:r>
          </w:p>
        </w:tc>
        <w:tc>
          <w:tcPr>
            <w:tcW w:w="928" w:type="dxa"/>
            <w:tcBorders>
              <w:top w:val="nil"/>
              <w:bottom w:val="single" w:sz="12" w:space="0" w:color="001D77"/>
            </w:tcBorders>
            <w:shd w:val="clear" w:color="auto" w:fill="auto"/>
            <w:vAlign w:val="center"/>
            <w:hideMark/>
          </w:tcPr>
          <w:p w:rsidR="00E41DF8" w:rsidRPr="00154F47" w:rsidRDefault="00E41DF8" w:rsidP="00E41DF8">
            <w:pPr>
              <w:spacing w:before="0" w:after="0"/>
              <w:jc w:val="center"/>
              <w:rPr>
                <w:rFonts w:eastAsia="Times New Roman" w:cs="Calibri"/>
                <w:sz w:val="16"/>
                <w:szCs w:val="16"/>
                <w:lang w:eastAsia="pl-PL"/>
              </w:rPr>
            </w:pPr>
            <w:r w:rsidRPr="00154F47">
              <w:rPr>
                <w:rFonts w:eastAsia="Times New Roman" w:cs="Calibri"/>
                <w:sz w:val="16"/>
                <w:szCs w:val="16"/>
                <w:lang w:eastAsia="pl-PL"/>
              </w:rPr>
              <w:t>2017 = 100</w:t>
            </w:r>
          </w:p>
        </w:tc>
      </w:tr>
      <w:tr w:rsidR="00E41DF8" w:rsidRPr="00F0243D" w:rsidTr="00FD592F">
        <w:trPr>
          <w:trHeight w:val="330"/>
        </w:trPr>
        <w:tc>
          <w:tcPr>
            <w:tcW w:w="4229" w:type="dxa"/>
            <w:tcBorders>
              <w:top w:val="single" w:sz="12" w:space="0" w:color="001D77"/>
            </w:tcBorders>
            <w:shd w:val="clear" w:color="auto" w:fill="auto"/>
            <w:vAlign w:val="center"/>
            <w:hideMark/>
          </w:tcPr>
          <w:p w:rsidR="00E41DF8" w:rsidRPr="00281994" w:rsidRDefault="00342024" w:rsidP="00E41DF8">
            <w:pPr>
              <w:spacing w:before="0" w:after="0"/>
              <w:rPr>
                <w:rFonts w:eastAsia="Times New Roman" w:cs="Calibri"/>
                <w:sz w:val="16"/>
                <w:szCs w:val="16"/>
                <w:lang w:val="en-GB" w:eastAsia="pl-PL"/>
              </w:rPr>
            </w:pPr>
            <w:r w:rsidRPr="00281994">
              <w:rPr>
                <w:rFonts w:eastAsia="Times New Roman" w:cs="Calibri"/>
                <w:sz w:val="16"/>
                <w:szCs w:val="16"/>
                <w:lang w:val="en-GB" w:eastAsia="pl-PL"/>
              </w:rPr>
              <w:t>Number of housing allowances paid in thousand</w:t>
            </w:r>
          </w:p>
        </w:tc>
        <w:tc>
          <w:tcPr>
            <w:tcW w:w="864" w:type="dxa"/>
            <w:tcBorders>
              <w:top w:val="single" w:sz="12" w:space="0" w:color="001D77"/>
            </w:tcBorders>
            <w:shd w:val="clear" w:color="auto" w:fill="auto"/>
            <w:vAlign w:val="center"/>
            <w:hideMark/>
          </w:tcPr>
          <w:p w:rsidR="00E41DF8" w:rsidRPr="00154F47" w:rsidRDefault="00E41DF8" w:rsidP="00E41DF8">
            <w:pPr>
              <w:spacing w:before="0" w:after="0"/>
              <w:jc w:val="right"/>
              <w:rPr>
                <w:rFonts w:eastAsia="Times New Roman" w:cs="Calibri"/>
                <w:sz w:val="16"/>
                <w:szCs w:val="16"/>
                <w:lang w:eastAsia="pl-PL"/>
              </w:rPr>
            </w:pPr>
            <w:r w:rsidRPr="00281994">
              <w:rPr>
                <w:rFonts w:eastAsia="Times New Roman" w:cs="Calibri"/>
                <w:sz w:val="16"/>
                <w:szCs w:val="16"/>
                <w:lang w:val="en-GB" w:eastAsia="pl-PL"/>
              </w:rPr>
              <w:t> </w:t>
            </w:r>
            <w:r w:rsidRPr="00154F47">
              <w:rPr>
                <w:rFonts w:eastAsia="Times New Roman" w:cs="Calibri"/>
                <w:sz w:val="16"/>
                <w:szCs w:val="16"/>
                <w:lang w:eastAsia="pl-PL"/>
              </w:rPr>
              <w:t>3 627</w:t>
            </w:r>
            <w:r w:rsidR="00293384">
              <w:rPr>
                <w:rFonts w:eastAsia="Times New Roman" w:cs="Calibri"/>
                <w:sz w:val="16"/>
                <w:szCs w:val="16"/>
                <w:lang w:eastAsia="pl-PL"/>
              </w:rPr>
              <w:t>.</w:t>
            </w:r>
            <w:r w:rsidRPr="00154F47">
              <w:rPr>
                <w:rFonts w:eastAsia="Times New Roman" w:cs="Calibri"/>
                <w:sz w:val="16"/>
                <w:szCs w:val="16"/>
                <w:lang w:eastAsia="pl-PL"/>
              </w:rPr>
              <w:t>7</w:t>
            </w:r>
          </w:p>
        </w:tc>
        <w:tc>
          <w:tcPr>
            <w:tcW w:w="985" w:type="dxa"/>
            <w:tcBorders>
              <w:top w:val="single" w:sz="12" w:space="0" w:color="001D77"/>
            </w:tcBorders>
            <w:shd w:val="clear" w:color="auto" w:fill="auto"/>
            <w:vAlign w:val="center"/>
            <w:hideMark/>
          </w:tcPr>
          <w:p w:rsidR="00E41DF8" w:rsidRPr="00154F47" w:rsidRDefault="00E41DF8" w:rsidP="00E41DF8">
            <w:pPr>
              <w:spacing w:before="0" w:after="0"/>
              <w:jc w:val="right"/>
              <w:rPr>
                <w:rFonts w:eastAsia="Times New Roman" w:cs="Calibri"/>
                <w:sz w:val="16"/>
                <w:szCs w:val="16"/>
                <w:lang w:eastAsia="pl-PL"/>
              </w:rPr>
            </w:pPr>
            <w:r w:rsidRPr="00154F47">
              <w:rPr>
                <w:rFonts w:eastAsia="Times New Roman" w:cs="Calibri"/>
                <w:sz w:val="16"/>
                <w:szCs w:val="16"/>
                <w:lang w:eastAsia="pl-PL"/>
              </w:rPr>
              <w:t>90</w:t>
            </w:r>
            <w:r w:rsidR="00293384">
              <w:rPr>
                <w:rFonts w:eastAsia="Times New Roman" w:cs="Calibri"/>
                <w:sz w:val="16"/>
                <w:szCs w:val="16"/>
                <w:lang w:eastAsia="pl-PL"/>
              </w:rPr>
              <w:t>.</w:t>
            </w:r>
            <w:r w:rsidRPr="00154F47">
              <w:rPr>
                <w:rFonts w:eastAsia="Times New Roman" w:cs="Calibri"/>
                <w:sz w:val="16"/>
                <w:szCs w:val="16"/>
                <w:lang w:eastAsia="pl-PL"/>
              </w:rPr>
              <w:t>8 </w:t>
            </w:r>
          </w:p>
        </w:tc>
        <w:tc>
          <w:tcPr>
            <w:tcW w:w="872" w:type="dxa"/>
            <w:tcBorders>
              <w:top w:val="single" w:sz="12" w:space="0" w:color="001D77"/>
            </w:tcBorders>
            <w:shd w:val="clear" w:color="auto" w:fill="auto"/>
            <w:vAlign w:val="center"/>
            <w:hideMark/>
          </w:tcPr>
          <w:p w:rsidR="00E41DF8" w:rsidRPr="00154F47" w:rsidRDefault="00E41DF8" w:rsidP="00E41DF8">
            <w:pPr>
              <w:spacing w:before="0" w:after="0"/>
              <w:jc w:val="right"/>
              <w:rPr>
                <w:rFonts w:eastAsia="Times New Roman" w:cs="Calibri"/>
                <w:sz w:val="16"/>
                <w:szCs w:val="16"/>
                <w:lang w:eastAsia="pl-PL"/>
              </w:rPr>
            </w:pPr>
            <w:r>
              <w:rPr>
                <w:rFonts w:eastAsia="Times New Roman" w:cs="Calibri"/>
                <w:sz w:val="16"/>
                <w:szCs w:val="16"/>
                <w:lang w:eastAsia="pl-PL"/>
              </w:rPr>
              <w:t>3 235</w:t>
            </w:r>
            <w:r w:rsidR="00293384">
              <w:rPr>
                <w:rFonts w:eastAsia="Times New Roman" w:cs="Calibri"/>
                <w:sz w:val="16"/>
                <w:szCs w:val="16"/>
                <w:lang w:eastAsia="pl-PL"/>
              </w:rPr>
              <w:t>.</w:t>
            </w:r>
            <w:r>
              <w:rPr>
                <w:rFonts w:eastAsia="Times New Roman" w:cs="Calibri"/>
                <w:sz w:val="16"/>
                <w:szCs w:val="16"/>
                <w:lang w:eastAsia="pl-PL"/>
              </w:rPr>
              <w:t>9</w:t>
            </w:r>
            <w:r w:rsidRPr="00154F47">
              <w:rPr>
                <w:rFonts w:eastAsia="Times New Roman" w:cs="Calibri"/>
                <w:sz w:val="16"/>
                <w:szCs w:val="16"/>
                <w:lang w:eastAsia="pl-PL"/>
              </w:rPr>
              <w:t> </w:t>
            </w:r>
          </w:p>
        </w:tc>
        <w:tc>
          <w:tcPr>
            <w:tcW w:w="928" w:type="dxa"/>
            <w:tcBorders>
              <w:top w:val="single" w:sz="12" w:space="0" w:color="001D77"/>
            </w:tcBorders>
            <w:shd w:val="clear" w:color="auto" w:fill="auto"/>
            <w:vAlign w:val="center"/>
            <w:hideMark/>
          </w:tcPr>
          <w:p w:rsidR="00E41DF8" w:rsidRPr="00154F47" w:rsidRDefault="00E41DF8" w:rsidP="00E41DF8">
            <w:pPr>
              <w:spacing w:before="0" w:after="0"/>
              <w:jc w:val="right"/>
              <w:rPr>
                <w:rFonts w:eastAsia="Times New Roman" w:cs="Calibri"/>
                <w:sz w:val="16"/>
                <w:szCs w:val="16"/>
                <w:lang w:eastAsia="pl-PL"/>
              </w:rPr>
            </w:pPr>
            <w:r>
              <w:rPr>
                <w:rFonts w:eastAsia="Times New Roman" w:cs="Calibri"/>
                <w:sz w:val="16"/>
                <w:szCs w:val="16"/>
                <w:lang w:eastAsia="pl-PL"/>
              </w:rPr>
              <w:t>89</w:t>
            </w:r>
            <w:r w:rsidR="00293384">
              <w:rPr>
                <w:rFonts w:eastAsia="Times New Roman" w:cs="Calibri"/>
                <w:sz w:val="16"/>
                <w:szCs w:val="16"/>
                <w:lang w:eastAsia="pl-PL"/>
              </w:rPr>
              <w:t>.</w:t>
            </w:r>
            <w:r>
              <w:rPr>
                <w:rFonts w:eastAsia="Times New Roman" w:cs="Calibri"/>
                <w:sz w:val="16"/>
                <w:szCs w:val="16"/>
                <w:lang w:eastAsia="pl-PL"/>
              </w:rPr>
              <w:t>2</w:t>
            </w:r>
          </w:p>
        </w:tc>
      </w:tr>
      <w:tr w:rsidR="00E41DF8" w:rsidRPr="00F0243D" w:rsidTr="00FD592F">
        <w:trPr>
          <w:trHeight w:val="315"/>
        </w:trPr>
        <w:tc>
          <w:tcPr>
            <w:tcW w:w="4229" w:type="dxa"/>
            <w:shd w:val="clear" w:color="auto" w:fill="auto"/>
            <w:vAlign w:val="center"/>
            <w:hideMark/>
          </w:tcPr>
          <w:p w:rsidR="00E41DF8" w:rsidRPr="00281994" w:rsidRDefault="00BF23BF" w:rsidP="00E41DF8">
            <w:pPr>
              <w:spacing w:before="0" w:after="0"/>
              <w:rPr>
                <w:rFonts w:eastAsia="Times New Roman" w:cs="Calibri"/>
                <w:sz w:val="16"/>
                <w:szCs w:val="16"/>
                <w:lang w:val="en-GB" w:eastAsia="pl-PL"/>
              </w:rPr>
            </w:pPr>
            <w:r w:rsidRPr="00281994">
              <w:rPr>
                <w:rFonts w:eastAsia="Times New Roman" w:cs="Calibri"/>
                <w:sz w:val="16"/>
                <w:szCs w:val="16"/>
                <w:lang w:val="en-GB" w:eastAsia="pl-PL"/>
              </w:rPr>
              <w:t>Amount of h</w:t>
            </w:r>
            <w:r w:rsidR="00342024" w:rsidRPr="00281994">
              <w:rPr>
                <w:rFonts w:eastAsia="Times New Roman" w:cs="Calibri"/>
                <w:sz w:val="16"/>
                <w:szCs w:val="16"/>
                <w:lang w:val="en-GB" w:eastAsia="pl-PL"/>
              </w:rPr>
              <w:t>ousing allowances paid in tho</w:t>
            </w:r>
            <w:r w:rsidRPr="00281994">
              <w:rPr>
                <w:rFonts w:eastAsia="Times New Roman" w:cs="Calibri"/>
                <w:sz w:val="16"/>
                <w:szCs w:val="16"/>
                <w:lang w:val="en-GB" w:eastAsia="pl-PL"/>
              </w:rPr>
              <w:t>u</w:t>
            </w:r>
            <w:r w:rsidR="00342024" w:rsidRPr="00281994">
              <w:rPr>
                <w:rFonts w:eastAsia="Times New Roman" w:cs="Calibri"/>
                <w:sz w:val="16"/>
                <w:szCs w:val="16"/>
                <w:lang w:val="en-GB" w:eastAsia="pl-PL"/>
              </w:rPr>
              <w:t>sand PLN</w:t>
            </w:r>
          </w:p>
        </w:tc>
        <w:tc>
          <w:tcPr>
            <w:tcW w:w="864" w:type="dxa"/>
            <w:shd w:val="clear" w:color="auto" w:fill="auto"/>
            <w:vAlign w:val="center"/>
            <w:hideMark/>
          </w:tcPr>
          <w:p w:rsidR="00E41DF8" w:rsidRPr="00154F47" w:rsidRDefault="00E41DF8" w:rsidP="00E41DF8">
            <w:pPr>
              <w:spacing w:before="0" w:after="0"/>
              <w:jc w:val="right"/>
              <w:rPr>
                <w:rFonts w:eastAsia="Times New Roman" w:cs="Calibri"/>
                <w:sz w:val="16"/>
                <w:szCs w:val="16"/>
                <w:lang w:eastAsia="pl-PL"/>
              </w:rPr>
            </w:pPr>
            <w:r w:rsidRPr="00281994">
              <w:rPr>
                <w:rFonts w:eastAsia="Times New Roman" w:cs="Calibri"/>
                <w:sz w:val="16"/>
                <w:szCs w:val="16"/>
                <w:lang w:val="en-GB" w:eastAsia="pl-PL"/>
              </w:rPr>
              <w:t> </w:t>
            </w:r>
            <w:r w:rsidRPr="00154F47">
              <w:rPr>
                <w:rFonts w:eastAsia="Times New Roman" w:cs="Calibri"/>
                <w:sz w:val="16"/>
                <w:szCs w:val="16"/>
                <w:lang w:eastAsia="pl-PL"/>
              </w:rPr>
              <w:t>746 760</w:t>
            </w:r>
            <w:r w:rsidR="00293384">
              <w:rPr>
                <w:rFonts w:eastAsia="Times New Roman" w:cs="Calibri"/>
                <w:sz w:val="16"/>
                <w:szCs w:val="16"/>
                <w:lang w:eastAsia="pl-PL"/>
              </w:rPr>
              <w:t>.</w:t>
            </w:r>
            <w:r w:rsidRPr="00154F47">
              <w:rPr>
                <w:rFonts w:eastAsia="Times New Roman" w:cs="Calibri"/>
                <w:sz w:val="16"/>
                <w:szCs w:val="16"/>
                <w:lang w:eastAsia="pl-PL"/>
              </w:rPr>
              <w:t>2</w:t>
            </w:r>
          </w:p>
        </w:tc>
        <w:tc>
          <w:tcPr>
            <w:tcW w:w="985" w:type="dxa"/>
            <w:shd w:val="clear" w:color="auto" w:fill="auto"/>
            <w:vAlign w:val="center"/>
            <w:hideMark/>
          </w:tcPr>
          <w:p w:rsidR="00E41DF8" w:rsidRPr="00154F47" w:rsidRDefault="00E41DF8" w:rsidP="00E41DF8">
            <w:pPr>
              <w:spacing w:before="0" w:after="0"/>
              <w:jc w:val="right"/>
              <w:rPr>
                <w:rFonts w:eastAsia="Times New Roman" w:cs="Calibri"/>
                <w:sz w:val="16"/>
                <w:szCs w:val="16"/>
                <w:lang w:eastAsia="pl-PL"/>
              </w:rPr>
            </w:pPr>
            <w:r w:rsidRPr="00154F47">
              <w:rPr>
                <w:rFonts w:eastAsia="Times New Roman" w:cs="Calibri"/>
                <w:sz w:val="16"/>
                <w:szCs w:val="16"/>
                <w:lang w:eastAsia="pl-PL"/>
              </w:rPr>
              <w:t>91</w:t>
            </w:r>
            <w:r w:rsidR="00293384">
              <w:rPr>
                <w:rFonts w:eastAsia="Times New Roman" w:cs="Calibri"/>
                <w:sz w:val="16"/>
                <w:szCs w:val="16"/>
                <w:lang w:eastAsia="pl-PL"/>
              </w:rPr>
              <w:t>.</w:t>
            </w:r>
            <w:r w:rsidRPr="00154F47">
              <w:rPr>
                <w:rFonts w:eastAsia="Times New Roman" w:cs="Calibri"/>
                <w:sz w:val="16"/>
                <w:szCs w:val="16"/>
                <w:lang w:eastAsia="pl-PL"/>
              </w:rPr>
              <w:t>4 </w:t>
            </w:r>
          </w:p>
        </w:tc>
        <w:tc>
          <w:tcPr>
            <w:tcW w:w="872" w:type="dxa"/>
            <w:shd w:val="clear" w:color="auto" w:fill="auto"/>
            <w:vAlign w:val="center"/>
            <w:hideMark/>
          </w:tcPr>
          <w:p w:rsidR="00E41DF8" w:rsidRPr="00154F47" w:rsidRDefault="00E41DF8" w:rsidP="00E41DF8">
            <w:pPr>
              <w:spacing w:before="0" w:after="0"/>
              <w:jc w:val="right"/>
              <w:rPr>
                <w:rFonts w:eastAsia="Times New Roman" w:cs="Calibri"/>
                <w:sz w:val="16"/>
                <w:szCs w:val="16"/>
                <w:lang w:eastAsia="pl-PL"/>
              </w:rPr>
            </w:pPr>
            <w:r w:rsidRPr="00154F47">
              <w:rPr>
                <w:rFonts w:eastAsia="Times New Roman" w:cs="Calibri"/>
                <w:sz w:val="16"/>
                <w:szCs w:val="16"/>
                <w:lang w:eastAsia="pl-PL"/>
              </w:rPr>
              <w:t>664</w:t>
            </w:r>
            <w:r>
              <w:rPr>
                <w:rFonts w:eastAsia="Times New Roman" w:cs="Calibri"/>
                <w:sz w:val="16"/>
                <w:szCs w:val="16"/>
                <w:lang w:eastAsia="pl-PL"/>
              </w:rPr>
              <w:t> </w:t>
            </w:r>
            <w:r w:rsidRPr="00154F47">
              <w:rPr>
                <w:rFonts w:eastAsia="Times New Roman" w:cs="Calibri"/>
                <w:sz w:val="16"/>
                <w:szCs w:val="16"/>
                <w:lang w:eastAsia="pl-PL"/>
              </w:rPr>
              <w:t>7</w:t>
            </w:r>
            <w:r>
              <w:rPr>
                <w:rFonts w:eastAsia="Times New Roman" w:cs="Calibri"/>
                <w:sz w:val="16"/>
                <w:szCs w:val="16"/>
                <w:lang w:eastAsia="pl-PL"/>
              </w:rPr>
              <w:t>96</w:t>
            </w:r>
            <w:r w:rsidR="00293384">
              <w:rPr>
                <w:rFonts w:eastAsia="Times New Roman" w:cs="Calibri"/>
                <w:sz w:val="16"/>
                <w:szCs w:val="16"/>
                <w:lang w:eastAsia="pl-PL"/>
              </w:rPr>
              <w:t>.</w:t>
            </w:r>
            <w:r>
              <w:rPr>
                <w:rFonts w:eastAsia="Times New Roman" w:cs="Calibri"/>
                <w:sz w:val="16"/>
                <w:szCs w:val="16"/>
                <w:lang w:eastAsia="pl-PL"/>
              </w:rPr>
              <w:t>2</w:t>
            </w:r>
          </w:p>
        </w:tc>
        <w:tc>
          <w:tcPr>
            <w:tcW w:w="928" w:type="dxa"/>
            <w:shd w:val="clear" w:color="auto" w:fill="auto"/>
            <w:vAlign w:val="center"/>
            <w:hideMark/>
          </w:tcPr>
          <w:p w:rsidR="00E41DF8" w:rsidRPr="00154F47" w:rsidRDefault="00E41DF8" w:rsidP="00E41DF8">
            <w:pPr>
              <w:spacing w:before="0" w:after="0"/>
              <w:jc w:val="right"/>
              <w:rPr>
                <w:rFonts w:eastAsia="Times New Roman" w:cs="Calibri"/>
                <w:sz w:val="16"/>
                <w:szCs w:val="16"/>
                <w:lang w:eastAsia="pl-PL"/>
              </w:rPr>
            </w:pPr>
            <w:r w:rsidRPr="00154F47">
              <w:rPr>
                <w:rFonts w:eastAsia="Times New Roman" w:cs="Calibri"/>
                <w:sz w:val="16"/>
                <w:szCs w:val="16"/>
                <w:lang w:eastAsia="pl-PL"/>
              </w:rPr>
              <w:t>89</w:t>
            </w:r>
            <w:r w:rsidR="00293384">
              <w:rPr>
                <w:rFonts w:eastAsia="Times New Roman" w:cs="Calibri"/>
                <w:sz w:val="16"/>
                <w:szCs w:val="16"/>
                <w:lang w:eastAsia="pl-PL"/>
              </w:rPr>
              <w:t>.</w:t>
            </w:r>
            <w:r w:rsidRPr="00154F47">
              <w:rPr>
                <w:rFonts w:eastAsia="Times New Roman" w:cs="Calibri"/>
                <w:sz w:val="16"/>
                <w:szCs w:val="16"/>
                <w:lang w:eastAsia="pl-PL"/>
              </w:rPr>
              <w:t>0</w:t>
            </w:r>
          </w:p>
        </w:tc>
      </w:tr>
      <w:tr w:rsidR="00E41DF8" w:rsidRPr="00F0243D" w:rsidTr="00FD592F">
        <w:trPr>
          <w:trHeight w:val="315"/>
        </w:trPr>
        <w:tc>
          <w:tcPr>
            <w:tcW w:w="4229" w:type="dxa"/>
            <w:shd w:val="clear" w:color="auto" w:fill="auto"/>
            <w:vAlign w:val="center"/>
          </w:tcPr>
          <w:p w:rsidR="00E41DF8" w:rsidRPr="00281994" w:rsidRDefault="00342024" w:rsidP="00E41DF8">
            <w:pPr>
              <w:spacing w:before="0" w:after="0"/>
              <w:rPr>
                <w:rFonts w:eastAsia="Times New Roman" w:cs="Calibri"/>
                <w:sz w:val="16"/>
                <w:szCs w:val="16"/>
                <w:lang w:val="en-GB" w:eastAsia="pl-PL"/>
              </w:rPr>
            </w:pPr>
            <w:r w:rsidRPr="00281994">
              <w:rPr>
                <w:rFonts w:eastAsia="Times New Roman" w:cs="Calibri"/>
                <w:sz w:val="16"/>
                <w:szCs w:val="16"/>
                <w:lang w:val="en-GB" w:eastAsia="pl-PL"/>
              </w:rPr>
              <w:t>Average amount of housing allowance in PLN</w:t>
            </w:r>
          </w:p>
        </w:tc>
        <w:tc>
          <w:tcPr>
            <w:tcW w:w="864" w:type="dxa"/>
            <w:shd w:val="clear" w:color="auto" w:fill="auto"/>
            <w:vAlign w:val="center"/>
          </w:tcPr>
          <w:p w:rsidR="00E41DF8" w:rsidRPr="00154F47" w:rsidRDefault="00E41DF8" w:rsidP="00E41DF8">
            <w:pPr>
              <w:spacing w:before="0" w:after="0"/>
              <w:jc w:val="right"/>
              <w:rPr>
                <w:rFonts w:eastAsia="Times New Roman" w:cs="Calibri"/>
                <w:sz w:val="16"/>
                <w:szCs w:val="16"/>
                <w:lang w:eastAsia="pl-PL"/>
              </w:rPr>
            </w:pPr>
            <w:r w:rsidRPr="00154F47">
              <w:rPr>
                <w:rFonts w:eastAsia="Times New Roman" w:cs="Calibri"/>
                <w:sz w:val="16"/>
                <w:szCs w:val="16"/>
                <w:lang w:eastAsia="pl-PL"/>
              </w:rPr>
              <w:t>205</w:t>
            </w:r>
            <w:r w:rsidR="00293384">
              <w:rPr>
                <w:rFonts w:eastAsia="Times New Roman" w:cs="Calibri"/>
                <w:sz w:val="16"/>
                <w:szCs w:val="16"/>
                <w:lang w:eastAsia="pl-PL"/>
              </w:rPr>
              <w:t>.</w:t>
            </w:r>
            <w:r w:rsidRPr="00154F47">
              <w:rPr>
                <w:rFonts w:eastAsia="Times New Roman" w:cs="Calibri"/>
                <w:sz w:val="16"/>
                <w:szCs w:val="16"/>
                <w:lang w:eastAsia="pl-PL"/>
              </w:rPr>
              <w:t>9</w:t>
            </w:r>
          </w:p>
        </w:tc>
        <w:tc>
          <w:tcPr>
            <w:tcW w:w="985" w:type="dxa"/>
            <w:shd w:val="clear" w:color="auto" w:fill="auto"/>
            <w:vAlign w:val="center"/>
          </w:tcPr>
          <w:p w:rsidR="00E41DF8" w:rsidRPr="00154F47" w:rsidRDefault="00E41DF8" w:rsidP="00E41DF8">
            <w:pPr>
              <w:spacing w:before="0" w:after="0"/>
              <w:jc w:val="right"/>
              <w:rPr>
                <w:rFonts w:eastAsia="Times New Roman" w:cs="Calibri"/>
                <w:sz w:val="16"/>
                <w:szCs w:val="16"/>
                <w:lang w:eastAsia="pl-PL"/>
              </w:rPr>
            </w:pPr>
            <w:r w:rsidRPr="00154F47">
              <w:rPr>
                <w:rFonts w:eastAsia="Times New Roman" w:cs="Calibri"/>
                <w:sz w:val="16"/>
                <w:szCs w:val="16"/>
                <w:lang w:eastAsia="pl-PL"/>
              </w:rPr>
              <w:t>100</w:t>
            </w:r>
            <w:r w:rsidR="00293384">
              <w:rPr>
                <w:rFonts w:eastAsia="Times New Roman" w:cs="Calibri"/>
                <w:sz w:val="16"/>
                <w:szCs w:val="16"/>
                <w:lang w:eastAsia="pl-PL"/>
              </w:rPr>
              <w:t>.</w:t>
            </w:r>
            <w:r w:rsidRPr="00154F47">
              <w:rPr>
                <w:rFonts w:eastAsia="Times New Roman" w:cs="Calibri"/>
                <w:sz w:val="16"/>
                <w:szCs w:val="16"/>
                <w:lang w:eastAsia="pl-PL"/>
              </w:rPr>
              <w:t>6</w:t>
            </w:r>
          </w:p>
        </w:tc>
        <w:tc>
          <w:tcPr>
            <w:tcW w:w="872" w:type="dxa"/>
            <w:shd w:val="clear" w:color="auto" w:fill="auto"/>
            <w:vAlign w:val="center"/>
          </w:tcPr>
          <w:p w:rsidR="00E41DF8" w:rsidRPr="00154F47" w:rsidRDefault="00E41DF8" w:rsidP="00E41DF8">
            <w:pPr>
              <w:spacing w:before="0" w:after="0"/>
              <w:jc w:val="right"/>
              <w:rPr>
                <w:rFonts w:eastAsia="Times New Roman" w:cs="Calibri"/>
                <w:sz w:val="16"/>
                <w:szCs w:val="16"/>
                <w:lang w:eastAsia="pl-PL"/>
              </w:rPr>
            </w:pPr>
            <w:r>
              <w:rPr>
                <w:rFonts w:eastAsia="Times New Roman" w:cs="Calibri"/>
                <w:sz w:val="16"/>
                <w:szCs w:val="16"/>
                <w:lang w:eastAsia="pl-PL"/>
              </w:rPr>
              <w:t>205</w:t>
            </w:r>
            <w:r w:rsidR="00293384">
              <w:rPr>
                <w:rFonts w:eastAsia="Times New Roman" w:cs="Calibri"/>
                <w:sz w:val="16"/>
                <w:szCs w:val="16"/>
                <w:lang w:eastAsia="pl-PL"/>
              </w:rPr>
              <w:t>.</w:t>
            </w:r>
            <w:r>
              <w:rPr>
                <w:rFonts w:eastAsia="Times New Roman" w:cs="Calibri"/>
                <w:sz w:val="16"/>
                <w:szCs w:val="16"/>
                <w:lang w:eastAsia="pl-PL"/>
              </w:rPr>
              <w:t>4</w:t>
            </w:r>
          </w:p>
        </w:tc>
        <w:tc>
          <w:tcPr>
            <w:tcW w:w="928" w:type="dxa"/>
            <w:shd w:val="clear" w:color="auto" w:fill="auto"/>
            <w:vAlign w:val="center"/>
          </w:tcPr>
          <w:p w:rsidR="00E41DF8" w:rsidRPr="00154F47" w:rsidRDefault="00E41DF8" w:rsidP="00E41DF8">
            <w:pPr>
              <w:spacing w:before="0" w:after="0"/>
              <w:jc w:val="right"/>
              <w:rPr>
                <w:rFonts w:eastAsia="Times New Roman" w:cs="Calibri"/>
                <w:sz w:val="16"/>
                <w:szCs w:val="16"/>
                <w:lang w:eastAsia="pl-PL"/>
              </w:rPr>
            </w:pPr>
            <w:r>
              <w:rPr>
                <w:rFonts w:eastAsia="Times New Roman" w:cs="Calibri"/>
                <w:sz w:val="16"/>
                <w:szCs w:val="16"/>
                <w:lang w:eastAsia="pl-PL"/>
              </w:rPr>
              <w:t>99</w:t>
            </w:r>
            <w:r w:rsidR="00293384">
              <w:rPr>
                <w:rFonts w:eastAsia="Times New Roman" w:cs="Calibri"/>
                <w:sz w:val="16"/>
                <w:szCs w:val="16"/>
                <w:lang w:eastAsia="pl-PL"/>
              </w:rPr>
              <w:t>.</w:t>
            </w:r>
            <w:r>
              <w:rPr>
                <w:rFonts w:eastAsia="Times New Roman" w:cs="Calibri"/>
                <w:sz w:val="16"/>
                <w:szCs w:val="16"/>
                <w:lang w:eastAsia="pl-PL"/>
              </w:rPr>
              <w:t>8</w:t>
            </w:r>
          </w:p>
        </w:tc>
      </w:tr>
    </w:tbl>
    <w:p w:rsidR="00FD592F" w:rsidRDefault="00FD592F" w:rsidP="00FD592F">
      <w:pPr>
        <w:spacing w:after="0"/>
        <w:rPr>
          <w:shd w:val="clear" w:color="auto" w:fill="FFFFFF"/>
        </w:rPr>
      </w:pPr>
    </w:p>
    <w:p w:rsidR="00FD592F" w:rsidRPr="00281994" w:rsidRDefault="00342024" w:rsidP="00FD592F">
      <w:pPr>
        <w:spacing w:after="0"/>
        <w:rPr>
          <w:rFonts w:ascii="Fira Sans SemiBold" w:hAnsi="Fira Sans SemiBold"/>
          <w:szCs w:val="19"/>
          <w:lang w:val="en-GB"/>
        </w:rPr>
      </w:pPr>
      <w:r w:rsidRPr="003831DD">
        <w:rPr>
          <w:rFonts w:ascii="Fira Sans SemiBold" w:hAnsi="Fira Sans SemiBold"/>
          <w:noProof/>
          <w:color w:val="001D77"/>
          <w:szCs w:val="19"/>
          <w:lang w:eastAsia="pl-PL"/>
        </w:rPr>
        <mc:AlternateContent>
          <mc:Choice Requires="wps">
            <w:drawing>
              <wp:anchor distT="45720" distB="45720" distL="114300" distR="114300" simplePos="0" relativeHeight="251650048" behindDoc="1" locked="0" layoutInCell="1" allowOverlap="1" wp14:anchorId="37DFB1D2" wp14:editId="1BB594A4">
                <wp:simplePos x="0" y="0"/>
                <wp:positionH relativeFrom="rightMargin">
                  <wp:posOffset>89535</wp:posOffset>
                </wp:positionH>
                <wp:positionV relativeFrom="paragraph">
                  <wp:posOffset>235585</wp:posOffset>
                </wp:positionV>
                <wp:extent cx="1743710" cy="994410"/>
                <wp:effectExtent l="0" t="0" r="0" b="0"/>
                <wp:wrapTight wrapText="bothSides">
                  <wp:wrapPolygon edited="0">
                    <wp:start x="708" y="0"/>
                    <wp:lineTo x="708" y="21103"/>
                    <wp:lineTo x="20766" y="21103"/>
                    <wp:lineTo x="20766" y="0"/>
                    <wp:lineTo x="708" y="0"/>
                  </wp:wrapPolygon>
                </wp:wrapTight>
                <wp:docPr id="25" name="Pole tekstow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994410"/>
                        </a:xfrm>
                        <a:prstGeom prst="rect">
                          <a:avLst/>
                        </a:prstGeom>
                        <a:noFill/>
                        <a:ln w="9525">
                          <a:noFill/>
                          <a:miter lim="800000"/>
                          <a:headEnd/>
                          <a:tailEnd/>
                        </a:ln>
                      </wps:spPr>
                      <wps:txbx>
                        <w:txbxContent>
                          <w:p w:rsidR="00E84AB6" w:rsidRPr="00281994" w:rsidRDefault="00E84AB6" w:rsidP="00FD592F">
                            <w:pPr>
                              <w:pStyle w:val="tekstzboku"/>
                              <w:rPr>
                                <w:lang w:val="en-GB"/>
                              </w:rPr>
                            </w:pPr>
                            <w:r w:rsidRPr="00281994">
                              <w:rPr>
                                <w:lang w:val="en-GB"/>
                              </w:rPr>
                              <w:t>Gminas owned 28</w:t>
                            </w:r>
                            <w:r w:rsidR="00E00C8E">
                              <w:rPr>
                                <w:lang w:val="en-GB"/>
                              </w:rPr>
                              <w:t> </w:t>
                            </w:r>
                            <w:r w:rsidRPr="00281994">
                              <w:rPr>
                                <w:lang w:val="en-GB"/>
                              </w:rPr>
                              <w:t>308</w:t>
                            </w:r>
                            <w:r w:rsidR="00E00C8E">
                              <w:rPr>
                                <w:lang w:val="en-GB"/>
                              </w:rPr>
                              <w:t>.</w:t>
                            </w:r>
                            <w:r w:rsidRPr="00281994">
                              <w:rPr>
                                <w:lang w:val="en-GB"/>
                              </w:rPr>
                              <w:t>6 ha of lands destined for housing construction, of which 78</w:t>
                            </w:r>
                            <w:r w:rsidR="00E00C8E">
                              <w:rPr>
                                <w:lang w:val="en-GB"/>
                              </w:rPr>
                              <w:t>.</w:t>
                            </w:r>
                            <w:r w:rsidRPr="00281994">
                              <w:rPr>
                                <w:lang w:val="en-GB"/>
                              </w:rPr>
                              <w:t>7 % of their total area for single</w:t>
                            </w:r>
                            <w:r w:rsidRPr="00281994">
                              <w:rPr>
                                <w:lang w:val="en-GB"/>
                              </w:rPr>
                              <w:noBreakHyphen/>
                              <w:t xml:space="preserve">family housing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FB1D2" id="Pole tekstowe 25" o:spid="_x0000_s1044" type="#_x0000_t202" style="position:absolute;margin-left:7.05pt;margin-top:18.55pt;width:137.3pt;height:78.3pt;z-index:-25166643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" filled="f" stroked="f">
                <v:textbox>
                  <w:txbxContent>
                    <w:p w:rsidR="00E84AB6" w:rsidRPr="00281994" w:rsidRDefault="00E84AB6" w:rsidP="00FD592F">
                      <w:pPr>
                        <w:pStyle w:val="tekstzboku"/>
                        <w:rPr>
                          <w:lang w:val="en-GB"/>
                        </w:rPr>
                      </w:pPr>
                      <w:r w:rsidRPr="00281994">
                        <w:rPr>
                          <w:lang w:val="en-GB"/>
                        </w:rPr>
                        <w:t>Gminas owned 28</w:t>
                      </w:r>
                      <w:r w:rsidR="00E00C8E">
                        <w:rPr>
                          <w:lang w:val="en-GB"/>
                        </w:rPr>
                        <w:t> </w:t>
                      </w:r>
                      <w:r w:rsidRPr="00281994">
                        <w:rPr>
                          <w:lang w:val="en-GB"/>
                        </w:rPr>
                        <w:t>308</w:t>
                      </w:r>
                      <w:r w:rsidR="00E00C8E">
                        <w:rPr>
                          <w:lang w:val="en-GB"/>
                        </w:rPr>
                        <w:t>.</w:t>
                      </w:r>
                      <w:r w:rsidRPr="00281994">
                        <w:rPr>
                          <w:lang w:val="en-GB"/>
                        </w:rPr>
                        <w:t>6 ha of lands destined for housing construction, of which 78</w:t>
                      </w:r>
                      <w:r w:rsidR="00E00C8E">
                        <w:rPr>
                          <w:lang w:val="en-GB"/>
                        </w:rPr>
                        <w:t>.</w:t>
                      </w:r>
                      <w:r w:rsidRPr="00281994">
                        <w:rPr>
                          <w:lang w:val="en-GB"/>
                        </w:rPr>
                        <w:t>7 % of their total area for single</w:t>
                      </w:r>
                      <w:r w:rsidRPr="00281994">
                        <w:rPr>
                          <w:lang w:val="en-GB"/>
                        </w:rPr>
                        <w:noBreakHyphen/>
                        <w:t xml:space="preserve">family housing </w:t>
                      </w:r>
                    </w:p>
                  </w:txbxContent>
                </v:textbox>
                <w10:wrap type="tight" anchorx="margin"/>
              </v:shape>
            </w:pict>
          </mc:Fallback>
        </mc:AlternateContent>
      </w:r>
      <w:r w:rsidR="00496D3A" w:rsidRPr="00281994">
        <w:rPr>
          <w:rFonts w:ascii="Fira Sans SemiBold" w:hAnsi="Fira Sans SemiBold"/>
          <w:noProof/>
          <w:color w:val="001D77"/>
          <w:szCs w:val="19"/>
          <w:lang w:val="en-GB" w:eastAsia="pl-PL"/>
        </w:rPr>
        <w:t>Management of land for housing construction</w:t>
      </w:r>
    </w:p>
    <w:p w:rsidR="003831DD" w:rsidRPr="00281994" w:rsidRDefault="003831DD" w:rsidP="00FD592F">
      <w:pPr>
        <w:spacing w:after="0"/>
        <w:rPr>
          <w:shd w:val="clear" w:color="auto" w:fill="FFFFFF"/>
          <w:lang w:val="en-GB"/>
        </w:rPr>
      </w:pPr>
    </w:p>
    <w:p w:rsidR="00FD592F" w:rsidRPr="00281994" w:rsidRDefault="00FD592F" w:rsidP="00FD592F">
      <w:pPr>
        <w:spacing w:after="0"/>
        <w:rPr>
          <w:shd w:val="clear" w:color="auto" w:fill="FFFFFF"/>
          <w:lang w:val="en-GB"/>
        </w:rPr>
      </w:pPr>
      <w:r w:rsidRPr="00281994">
        <w:rPr>
          <w:shd w:val="clear" w:color="auto" w:fill="FFFFFF"/>
          <w:lang w:val="en-GB"/>
        </w:rPr>
        <w:t xml:space="preserve">As </w:t>
      </w:r>
      <w:r w:rsidR="00293384" w:rsidRPr="00281994">
        <w:rPr>
          <w:shd w:val="clear" w:color="auto" w:fill="FFFFFF"/>
          <w:lang w:val="en-GB"/>
        </w:rPr>
        <w:t>for</w:t>
      </w:r>
      <w:r w:rsidRPr="00281994">
        <w:rPr>
          <w:shd w:val="clear" w:color="auto" w:fill="FFFFFF"/>
          <w:lang w:val="en-GB"/>
        </w:rPr>
        <w:t xml:space="preserve"> the land being part of gminas stocks meant for housing construction </w:t>
      </w:r>
      <w:r w:rsidR="00293384" w:rsidRPr="00281994">
        <w:rPr>
          <w:shd w:val="clear" w:color="auto" w:fill="FFFFFF"/>
          <w:lang w:val="en-GB"/>
        </w:rPr>
        <w:t>at</w:t>
      </w:r>
      <w:r w:rsidRPr="00281994">
        <w:rPr>
          <w:shd w:val="clear" w:color="auto" w:fill="FFFFFF"/>
          <w:lang w:val="en-GB"/>
        </w:rPr>
        <w:t xml:space="preserve"> the end of 2018, </w:t>
      </w:r>
      <w:r w:rsidR="00E00C8E">
        <w:rPr>
          <w:shd w:val="clear" w:color="auto" w:fill="FFFFFF"/>
          <w:lang w:val="en-GB"/>
        </w:rPr>
        <w:t xml:space="preserve">about </w:t>
      </w:r>
      <w:r w:rsidRPr="00281994">
        <w:rPr>
          <w:shd w:val="clear" w:color="auto" w:fill="FFFFFF"/>
          <w:lang w:val="en-GB"/>
        </w:rPr>
        <w:t>56.8</w:t>
      </w:r>
      <w:r w:rsidR="00293384" w:rsidRPr="00281994">
        <w:rPr>
          <w:shd w:val="clear" w:color="auto" w:fill="FFFFFF"/>
          <w:lang w:val="en-GB"/>
        </w:rPr>
        <w:t> </w:t>
      </w:r>
      <w:r w:rsidRPr="00281994">
        <w:rPr>
          <w:shd w:val="clear" w:color="auto" w:fill="FFFFFF"/>
          <w:lang w:val="en-GB"/>
        </w:rPr>
        <w:t xml:space="preserve">% was located in urban areas, </w:t>
      </w:r>
      <w:r w:rsidR="00293384" w:rsidRPr="00281994">
        <w:rPr>
          <w:shd w:val="clear" w:color="auto" w:fill="FFFFFF"/>
          <w:lang w:val="en-GB"/>
        </w:rPr>
        <w:t>and</w:t>
      </w:r>
      <w:r w:rsidRPr="00281994">
        <w:rPr>
          <w:shd w:val="clear" w:color="auto" w:fill="FFFFFF"/>
          <w:lang w:val="en-GB"/>
        </w:rPr>
        <w:t xml:space="preserve"> 64.9</w:t>
      </w:r>
      <w:r w:rsidR="00293384" w:rsidRPr="00281994">
        <w:rPr>
          <w:shd w:val="clear" w:color="auto" w:fill="FFFFFF"/>
          <w:lang w:val="en-GB"/>
        </w:rPr>
        <w:t> </w:t>
      </w:r>
      <w:r w:rsidRPr="00281994">
        <w:rPr>
          <w:shd w:val="clear" w:color="auto" w:fill="FFFFFF"/>
          <w:lang w:val="en-GB"/>
        </w:rPr>
        <w:t>% of land was meant for single</w:t>
      </w:r>
      <w:r w:rsidR="00E00C8E">
        <w:rPr>
          <w:shd w:val="clear" w:color="auto" w:fill="FFFFFF"/>
          <w:lang w:val="en-GB"/>
        </w:rPr>
        <w:noBreakHyphen/>
      </w:r>
      <w:r w:rsidRPr="00281994">
        <w:rPr>
          <w:shd w:val="clear" w:color="auto" w:fill="FFFFFF"/>
          <w:lang w:val="en-GB"/>
        </w:rPr>
        <w:t>family housing.</w:t>
      </w:r>
    </w:p>
    <w:p w:rsidR="00FD592F" w:rsidRPr="00281994" w:rsidRDefault="00FD592F" w:rsidP="00FD592F">
      <w:pPr>
        <w:spacing w:after="0"/>
        <w:rPr>
          <w:shd w:val="clear" w:color="auto" w:fill="FFFFFF"/>
          <w:lang w:val="en-GB"/>
        </w:rPr>
      </w:pPr>
      <w:r w:rsidRPr="00281994">
        <w:rPr>
          <w:shd w:val="clear" w:color="auto" w:fill="FFFFFF"/>
          <w:lang w:val="en-GB"/>
        </w:rPr>
        <w:t>Out of the total area of land meant for housing construction, 45.2</w:t>
      </w:r>
      <w:r w:rsidR="00293384" w:rsidRPr="00281994">
        <w:rPr>
          <w:shd w:val="clear" w:color="auto" w:fill="FFFFFF"/>
          <w:lang w:val="en-GB"/>
        </w:rPr>
        <w:t> </w:t>
      </w:r>
      <w:r w:rsidRPr="00281994">
        <w:rPr>
          <w:shd w:val="clear" w:color="auto" w:fill="FFFFFF"/>
          <w:lang w:val="en-GB"/>
        </w:rPr>
        <w:t>% accounted for non</w:t>
      </w:r>
      <w:r w:rsidR="00293384" w:rsidRPr="00281994">
        <w:rPr>
          <w:shd w:val="clear" w:color="auto" w:fill="FFFFFF"/>
          <w:lang w:val="en-GB"/>
        </w:rPr>
        <w:noBreakHyphen/>
      </w:r>
      <w:r w:rsidRPr="00281994">
        <w:rPr>
          <w:shd w:val="clear" w:color="auto" w:fill="FFFFFF"/>
          <w:lang w:val="en-GB"/>
        </w:rPr>
        <w:t xml:space="preserve">developed land (of which </w:t>
      </w:r>
      <w:r w:rsidR="00FD4F90" w:rsidRPr="00281994">
        <w:rPr>
          <w:shd w:val="clear" w:color="auto" w:fill="FFFFFF"/>
          <w:lang w:val="en-GB"/>
        </w:rPr>
        <w:t>61</w:t>
      </w:r>
      <w:r w:rsidR="00E00C8E">
        <w:rPr>
          <w:shd w:val="clear" w:color="auto" w:fill="FFFFFF"/>
          <w:lang w:val="en-GB"/>
        </w:rPr>
        <w:t>.</w:t>
      </w:r>
      <w:r w:rsidR="00FD4F90" w:rsidRPr="00281994">
        <w:rPr>
          <w:shd w:val="clear" w:color="auto" w:fill="FFFFFF"/>
          <w:lang w:val="en-GB"/>
        </w:rPr>
        <w:t>6</w:t>
      </w:r>
      <w:r w:rsidR="00293384" w:rsidRPr="00281994">
        <w:rPr>
          <w:shd w:val="clear" w:color="auto" w:fill="FFFFFF"/>
          <w:lang w:val="en-GB"/>
        </w:rPr>
        <w:t> </w:t>
      </w:r>
      <w:r w:rsidRPr="00281994">
        <w:rPr>
          <w:shd w:val="clear" w:color="auto" w:fill="FFFFFF"/>
          <w:lang w:val="en-GB"/>
        </w:rPr>
        <w:t xml:space="preserve">% was in </w:t>
      </w:r>
      <w:r w:rsidR="00FD4F90" w:rsidRPr="00281994">
        <w:rPr>
          <w:shd w:val="clear" w:color="auto" w:fill="FFFFFF"/>
          <w:lang w:val="en-GB"/>
        </w:rPr>
        <w:t>urban</w:t>
      </w:r>
      <w:r w:rsidRPr="00281994">
        <w:rPr>
          <w:shd w:val="clear" w:color="auto" w:fill="FFFFFF"/>
          <w:lang w:val="en-GB"/>
        </w:rPr>
        <w:t xml:space="preserve"> areas).</w:t>
      </w:r>
    </w:p>
    <w:p w:rsidR="00E41DF8" w:rsidRPr="00281994" w:rsidRDefault="00FD592F" w:rsidP="00FD592F">
      <w:pPr>
        <w:spacing w:after="0" w:line="240" w:lineRule="auto"/>
        <w:rPr>
          <w:shd w:val="clear" w:color="auto" w:fill="FFFFFF"/>
          <w:lang w:val="en-GB"/>
        </w:rPr>
      </w:pPr>
      <w:r w:rsidRPr="00281994">
        <w:rPr>
          <w:shd w:val="clear" w:color="auto" w:fill="FFFFFF"/>
          <w:lang w:val="en-GB"/>
        </w:rPr>
        <w:t>In 2018 gminas handed over to investors 874.</w:t>
      </w:r>
      <w:r w:rsidR="00FD4F90" w:rsidRPr="00281994">
        <w:rPr>
          <w:shd w:val="clear" w:color="auto" w:fill="FFFFFF"/>
          <w:lang w:val="en-GB"/>
        </w:rPr>
        <w:t>6</w:t>
      </w:r>
      <w:r w:rsidRPr="00281994">
        <w:rPr>
          <w:shd w:val="clear" w:color="auto" w:fill="FFFFFF"/>
          <w:lang w:val="en-GB"/>
        </w:rPr>
        <w:t xml:space="preserve"> ha of land</w:t>
      </w:r>
      <w:r w:rsidR="00293384" w:rsidRPr="00281994">
        <w:rPr>
          <w:shd w:val="clear" w:color="auto" w:fill="FFFFFF"/>
          <w:lang w:val="en-GB"/>
        </w:rPr>
        <w:t xml:space="preserve"> for housing construction</w:t>
      </w:r>
      <w:r w:rsidRPr="00281994">
        <w:rPr>
          <w:shd w:val="clear" w:color="auto" w:fill="FFFFFF"/>
          <w:lang w:val="en-GB"/>
        </w:rPr>
        <w:t>, of which 81.7</w:t>
      </w:r>
      <w:r w:rsidR="00293384" w:rsidRPr="00281994">
        <w:rPr>
          <w:shd w:val="clear" w:color="auto" w:fill="FFFFFF"/>
          <w:lang w:val="en-GB"/>
        </w:rPr>
        <w:t> </w:t>
      </w:r>
      <w:r w:rsidRPr="00281994">
        <w:rPr>
          <w:shd w:val="clear" w:color="auto" w:fill="FFFFFF"/>
          <w:lang w:val="en-GB"/>
        </w:rPr>
        <w:t>% were meant for single-family housing. Of the total area of land meant for housing construction 58.6</w:t>
      </w:r>
      <w:r w:rsidR="00CA0A0F">
        <w:rPr>
          <w:shd w:val="clear" w:color="auto" w:fill="FFFFFF"/>
          <w:lang w:val="en-GB"/>
        </w:rPr>
        <w:t> </w:t>
      </w:r>
      <w:r w:rsidRPr="00281994">
        <w:rPr>
          <w:shd w:val="clear" w:color="auto" w:fill="FFFFFF"/>
          <w:lang w:val="en-GB"/>
        </w:rPr>
        <w:t>% accounted for land in urban areas.</w:t>
      </w:r>
    </w:p>
    <w:p w:rsidR="00694AF0" w:rsidRPr="00281994" w:rsidRDefault="00694AF0" w:rsidP="00E76D26">
      <w:pPr>
        <w:rPr>
          <w:sz w:val="18"/>
          <w:lang w:val="en-GB"/>
        </w:rPr>
      </w:pPr>
    </w:p>
    <w:p w:rsidR="00694AF0" w:rsidRPr="00281994" w:rsidRDefault="00694AF0" w:rsidP="00E76D26">
      <w:pPr>
        <w:rPr>
          <w:sz w:val="18"/>
          <w:lang w:val="en-GB"/>
        </w:rPr>
        <w:sectPr w:rsidR="00694AF0" w:rsidRPr="00281994" w:rsidSect="003B18B6">
          <w:headerReference w:type="default" r:id="rId13"/>
          <w:footerReference w:type="default" r:id="rId14"/>
          <w:headerReference w:type="first" r:id="rId15"/>
          <w:footerReference w:type="first" r:id="rId16"/>
          <w:pgSz w:w="11906" w:h="16838"/>
          <w:pgMar w:top="720" w:right="3119" w:bottom="720" w:left="720" w:header="284" w:footer="283" w:gutter="0"/>
          <w:cols w:space="708"/>
          <w:titlePg/>
          <w:docGrid w:linePitch="360"/>
        </w:sectPr>
      </w:pPr>
    </w:p>
    <w:p w:rsidR="000470AA" w:rsidRPr="00281994" w:rsidRDefault="000470AA" w:rsidP="000470AA">
      <w:pPr>
        <w:rPr>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195"/>
        <w:gridCol w:w="3728"/>
      </w:tblGrid>
      <w:tr w:rsidR="000470AA" w:rsidRPr="00CA0A0F" w:rsidTr="009A5961">
        <w:trPr>
          <w:trHeight w:val="1506"/>
        </w:trPr>
        <w:tc>
          <w:tcPr>
            <w:tcW w:w="4195" w:type="dxa"/>
          </w:tcPr>
          <w:p w:rsidR="000470AA" w:rsidRPr="00281994" w:rsidRDefault="001D2736" w:rsidP="009A5961">
            <w:pPr>
              <w:spacing w:before="0" w:after="0" w:line="276" w:lineRule="auto"/>
              <w:ind w:left="-108"/>
              <w:rPr>
                <w:rFonts w:cs="Arial"/>
                <w:color w:val="000000" w:themeColor="text1"/>
                <w:sz w:val="20"/>
                <w:lang w:val="en-GB"/>
              </w:rPr>
            </w:pPr>
            <w:r w:rsidRPr="00281994">
              <w:rPr>
                <w:rFonts w:cs="Arial"/>
                <w:color w:val="000000" w:themeColor="text1"/>
                <w:sz w:val="20"/>
                <w:lang w:val="en-GB"/>
              </w:rPr>
              <w:t>Prepared by</w:t>
            </w:r>
            <w:r w:rsidR="000470AA" w:rsidRPr="00281994">
              <w:rPr>
                <w:rFonts w:cs="Arial"/>
                <w:color w:val="000000" w:themeColor="text1"/>
                <w:sz w:val="20"/>
                <w:lang w:val="en-GB"/>
              </w:rPr>
              <w:t>:</w:t>
            </w:r>
          </w:p>
          <w:p w:rsidR="000470AA" w:rsidRPr="00281994" w:rsidRDefault="00342024" w:rsidP="009A5961">
            <w:pPr>
              <w:spacing w:before="0" w:after="0" w:line="240" w:lineRule="auto"/>
              <w:ind w:left="-108"/>
              <w:rPr>
                <w:rFonts w:cs="Arial"/>
                <w:b/>
                <w:color w:val="000000" w:themeColor="text1"/>
                <w:sz w:val="20"/>
                <w:lang w:val="en-GB"/>
              </w:rPr>
            </w:pPr>
            <w:r w:rsidRPr="00281994">
              <w:rPr>
                <w:rFonts w:cs="Arial"/>
                <w:b/>
                <w:color w:val="000000" w:themeColor="text1"/>
                <w:sz w:val="20"/>
                <w:lang w:val="en-GB"/>
              </w:rPr>
              <w:t>Trade and Services Department</w:t>
            </w:r>
          </w:p>
          <w:p w:rsidR="000470AA" w:rsidRPr="00BB4F09" w:rsidRDefault="00342024" w:rsidP="009A5961">
            <w:pPr>
              <w:pStyle w:val="Nagwek3"/>
              <w:spacing w:before="0" w:line="240" w:lineRule="auto"/>
              <w:ind w:left="-108"/>
              <w:rPr>
                <w:rFonts w:ascii="Fira Sans" w:hAnsi="Fira Sans" w:cs="Arial"/>
                <w:b/>
                <w:color w:val="000000" w:themeColor="text1"/>
                <w:sz w:val="20"/>
                <w:szCs w:val="28"/>
              </w:rPr>
            </w:pPr>
            <w:r>
              <w:rPr>
                <w:rFonts w:ascii="Fira Sans" w:hAnsi="Fira Sans" w:cs="Arial"/>
                <w:b/>
                <w:color w:val="000000" w:themeColor="text1"/>
                <w:sz w:val="20"/>
                <w:szCs w:val="28"/>
              </w:rPr>
              <w:t>Izabella Adamczyk</w:t>
            </w:r>
          </w:p>
          <w:p w:rsidR="000470AA" w:rsidRPr="008F3638" w:rsidRDefault="000470AA" w:rsidP="009A5961">
            <w:pPr>
              <w:pStyle w:val="Nagwek3"/>
              <w:spacing w:before="0" w:line="240" w:lineRule="auto"/>
              <w:ind w:left="-108"/>
              <w:rPr>
                <w:rFonts w:ascii="Fira Sans" w:hAnsi="Fira Sans" w:cs="Arial"/>
                <w:color w:val="000000" w:themeColor="text1"/>
                <w:sz w:val="20"/>
                <w:lang w:val="fi-FI"/>
              </w:rPr>
            </w:pPr>
            <w:r w:rsidRPr="008F3638">
              <w:rPr>
                <w:rFonts w:ascii="Fira Sans" w:hAnsi="Fira Sans" w:cs="Arial"/>
                <w:color w:val="000000" w:themeColor="text1"/>
                <w:sz w:val="20"/>
                <w:lang w:val="fi-FI"/>
              </w:rPr>
              <w:t xml:space="preserve">Tel: </w:t>
            </w:r>
            <w:r w:rsidR="00D64203">
              <w:rPr>
                <w:rFonts w:ascii="Fira Sans" w:hAnsi="Fira Sans" w:cs="Arial"/>
                <w:color w:val="000000" w:themeColor="text1"/>
                <w:sz w:val="20"/>
                <w:lang w:val="fi-FI"/>
              </w:rPr>
              <w:t xml:space="preserve">+48 </w:t>
            </w:r>
            <w:r w:rsidR="00342024">
              <w:rPr>
                <w:rFonts w:ascii="Fira Sans" w:hAnsi="Fira Sans" w:cs="Arial"/>
                <w:color w:val="000000" w:themeColor="text1"/>
                <w:sz w:val="20"/>
                <w:lang w:val="fi-FI"/>
              </w:rPr>
              <w:t>22 608 34 73</w:t>
            </w:r>
          </w:p>
          <w:p w:rsidR="000470AA" w:rsidRPr="00A24587" w:rsidRDefault="000470AA" w:rsidP="00342024">
            <w:pPr>
              <w:pStyle w:val="Nagwek3"/>
              <w:spacing w:before="0" w:line="240" w:lineRule="auto"/>
              <w:ind w:left="-108"/>
              <w:rPr>
                <w:rFonts w:ascii="Fira Sans" w:hAnsi="Fira Sans"/>
                <w:b/>
                <w:color w:val="000000" w:themeColor="text1"/>
                <w:sz w:val="20"/>
                <w:szCs w:val="20"/>
                <w:lang w:val="fi-FI"/>
              </w:rPr>
            </w:pPr>
            <w:r w:rsidRPr="00A24587">
              <w:rPr>
                <w:rStyle w:val="Hipercze"/>
                <w:rFonts w:ascii="Fira Sans" w:hAnsi="Fira Sans" w:cs="Arial"/>
                <w:b/>
                <w:color w:val="auto"/>
                <w:sz w:val="20"/>
                <w:szCs w:val="20"/>
                <w:u w:val="none"/>
              </w:rPr>
              <w:t>e</w:t>
            </w:r>
            <w:r w:rsidRPr="00A24587">
              <w:rPr>
                <w:rFonts w:ascii="Fira Sans" w:hAnsi="Fira Sans"/>
                <w:b/>
                <w:color w:val="auto"/>
                <w:sz w:val="20"/>
                <w:szCs w:val="20"/>
                <w:lang w:val="en-US"/>
              </w:rPr>
              <w:t xml:space="preserve">-mail: </w:t>
            </w:r>
            <w:hyperlink r:id="rId17" w:history="1">
              <w:r w:rsidR="00342024" w:rsidRPr="00342024">
                <w:rPr>
                  <w:rStyle w:val="Hipercze"/>
                  <w:rFonts w:ascii="Fira Sans" w:hAnsi="Fira Sans" w:cstheme="majorBidi"/>
                  <w:b/>
                  <w:color w:val="auto"/>
                  <w:sz w:val="20"/>
                  <w:szCs w:val="20"/>
                </w:rPr>
                <w:t>i.adamczyk@stat.gov.pl</w:t>
              </w:r>
            </w:hyperlink>
          </w:p>
        </w:tc>
        <w:tc>
          <w:tcPr>
            <w:tcW w:w="3728" w:type="dxa"/>
          </w:tcPr>
          <w:p w:rsidR="00AC3FCE" w:rsidRPr="00281994" w:rsidRDefault="001D2736" w:rsidP="00E23337">
            <w:pPr>
              <w:spacing w:before="0" w:after="0" w:line="276" w:lineRule="auto"/>
              <w:rPr>
                <w:rFonts w:cs="Arial"/>
                <w:b/>
                <w:sz w:val="20"/>
                <w:lang w:val="en-GB"/>
              </w:rPr>
            </w:pPr>
            <w:r w:rsidRPr="00281994">
              <w:rPr>
                <w:rFonts w:cs="Arial"/>
                <w:sz w:val="20"/>
                <w:lang w:val="en-GB"/>
              </w:rPr>
              <w:t>Issued by</w:t>
            </w:r>
            <w:r w:rsidR="000470AA" w:rsidRPr="00281994">
              <w:rPr>
                <w:rFonts w:cs="Arial"/>
                <w:sz w:val="20"/>
                <w:lang w:val="en-GB"/>
              </w:rPr>
              <w:t>:</w:t>
            </w:r>
            <w:r w:rsidR="000470AA" w:rsidRPr="00281994">
              <w:rPr>
                <w:rFonts w:cs="Arial"/>
                <w:sz w:val="20"/>
                <w:lang w:val="en-GB"/>
              </w:rPr>
              <w:br/>
            </w:r>
            <w:r w:rsidR="00AC3FCE" w:rsidRPr="00281994">
              <w:rPr>
                <w:rFonts w:cs="Arial"/>
                <w:b/>
                <w:sz w:val="20"/>
                <w:lang w:val="en-GB"/>
              </w:rPr>
              <w:t>The Spokeperson</w:t>
            </w:r>
            <w:r w:rsidRPr="00281994">
              <w:rPr>
                <w:rFonts w:cs="Arial"/>
                <w:b/>
                <w:sz w:val="20"/>
                <w:lang w:val="en-GB"/>
              </w:rPr>
              <w:t xml:space="preserve"> </w:t>
            </w:r>
            <w:r w:rsidR="00AC3FCE" w:rsidRPr="00281994">
              <w:rPr>
                <w:rFonts w:cs="Arial"/>
                <w:b/>
                <w:sz w:val="20"/>
                <w:lang w:val="en-GB"/>
              </w:rPr>
              <w:t>for</w:t>
            </w:r>
            <w:r w:rsidRPr="00281994">
              <w:rPr>
                <w:rFonts w:cs="Arial"/>
                <w:b/>
                <w:sz w:val="20"/>
                <w:lang w:val="en-GB"/>
              </w:rPr>
              <w:t xml:space="preserve"> the President</w:t>
            </w:r>
            <w:r w:rsidR="00AC3FCE" w:rsidRPr="00281994">
              <w:rPr>
                <w:rFonts w:cs="Arial"/>
                <w:b/>
                <w:sz w:val="20"/>
                <w:lang w:val="en-GB"/>
              </w:rPr>
              <w:t xml:space="preserve"> </w:t>
            </w:r>
          </w:p>
          <w:p w:rsidR="000470AA" w:rsidRPr="00281994" w:rsidRDefault="002D5D08" w:rsidP="00E23337">
            <w:pPr>
              <w:spacing w:before="0" w:after="0" w:line="276" w:lineRule="auto"/>
              <w:rPr>
                <w:rFonts w:cs="Arial"/>
                <w:b/>
                <w:sz w:val="20"/>
                <w:lang w:val="en-GB"/>
              </w:rPr>
            </w:pPr>
            <w:r w:rsidRPr="00281994">
              <w:rPr>
                <w:rFonts w:cs="Arial"/>
                <w:b/>
                <w:sz w:val="20"/>
                <w:lang w:val="en-GB"/>
              </w:rPr>
              <w:t>o</w:t>
            </w:r>
            <w:r w:rsidR="00AC3FCE" w:rsidRPr="00281994">
              <w:rPr>
                <w:rFonts w:cs="Arial"/>
                <w:b/>
                <w:sz w:val="20"/>
                <w:lang w:val="en-GB"/>
              </w:rPr>
              <w:t>f</w:t>
            </w:r>
            <w:r w:rsidRPr="00281994">
              <w:rPr>
                <w:rFonts w:cs="Arial"/>
                <w:b/>
                <w:sz w:val="20"/>
                <w:lang w:val="en-GB"/>
              </w:rPr>
              <w:t xml:space="preserve"> </w:t>
            </w:r>
            <w:r w:rsidR="00AC3FCE" w:rsidRPr="00281994">
              <w:rPr>
                <w:rFonts w:cs="Arial"/>
                <w:b/>
                <w:sz w:val="20"/>
                <w:lang w:val="en-GB"/>
              </w:rPr>
              <w:t xml:space="preserve"> Statistic</w:t>
            </w:r>
            <w:r w:rsidRPr="00281994">
              <w:rPr>
                <w:rFonts w:cs="Arial"/>
                <w:b/>
                <w:sz w:val="20"/>
                <w:lang w:val="en-GB"/>
              </w:rPr>
              <w:t>s</w:t>
            </w:r>
            <w:r w:rsidR="00AC3FCE" w:rsidRPr="00281994">
              <w:rPr>
                <w:rFonts w:cs="Arial"/>
                <w:b/>
                <w:sz w:val="20"/>
                <w:lang w:val="en-GB"/>
              </w:rPr>
              <w:t xml:space="preserve"> Poland</w:t>
            </w:r>
          </w:p>
          <w:p w:rsidR="000470AA" w:rsidRPr="00281994" w:rsidRDefault="000470AA" w:rsidP="00D00796">
            <w:pPr>
              <w:pStyle w:val="Nagwek3"/>
              <w:spacing w:before="0" w:line="240" w:lineRule="auto"/>
              <w:rPr>
                <w:rFonts w:ascii="Fira Sans" w:hAnsi="Fira Sans" w:cs="Arial"/>
                <w:b/>
                <w:color w:val="auto"/>
                <w:sz w:val="20"/>
                <w:szCs w:val="28"/>
                <w:lang w:val="en-GB"/>
              </w:rPr>
            </w:pPr>
            <w:r w:rsidRPr="00281994">
              <w:rPr>
                <w:rFonts w:ascii="Fira Sans" w:hAnsi="Fira Sans" w:cs="Arial"/>
                <w:b/>
                <w:color w:val="auto"/>
                <w:sz w:val="20"/>
                <w:szCs w:val="28"/>
                <w:lang w:val="en-GB"/>
              </w:rPr>
              <w:t xml:space="preserve">Karolina </w:t>
            </w:r>
            <w:r w:rsidR="00FD670D" w:rsidRPr="00281994">
              <w:rPr>
                <w:rFonts w:ascii="Fira Sans" w:hAnsi="Fira Sans" w:cs="Arial"/>
                <w:b/>
                <w:color w:val="auto"/>
                <w:sz w:val="20"/>
                <w:szCs w:val="28"/>
                <w:lang w:val="en-GB"/>
              </w:rPr>
              <w:t>Banaszek</w:t>
            </w:r>
          </w:p>
          <w:p w:rsidR="000470AA" w:rsidRPr="00342024" w:rsidRDefault="000470AA" w:rsidP="00D00796">
            <w:pPr>
              <w:pStyle w:val="Nagwek3"/>
              <w:spacing w:before="0" w:line="240" w:lineRule="auto"/>
              <w:rPr>
                <w:rFonts w:ascii="Fira Sans" w:hAnsi="Fira Sans" w:cs="Arial"/>
                <w:color w:val="auto"/>
                <w:sz w:val="20"/>
                <w:lang w:val="fi-FI"/>
              </w:rPr>
            </w:pPr>
            <w:r w:rsidRPr="00342024">
              <w:rPr>
                <w:rFonts w:ascii="Fira Sans" w:hAnsi="Fira Sans" w:cs="Arial"/>
                <w:color w:val="auto"/>
                <w:sz w:val="20"/>
                <w:lang w:val="fi-FI"/>
              </w:rPr>
              <w:t xml:space="preserve">Tel: </w:t>
            </w:r>
            <w:r w:rsidR="00D64203" w:rsidRPr="00342024">
              <w:rPr>
                <w:rFonts w:ascii="Fira Sans" w:hAnsi="Fira Sans" w:cs="Arial"/>
                <w:color w:val="auto"/>
                <w:sz w:val="20"/>
                <w:lang w:val="fi-FI"/>
              </w:rPr>
              <w:t xml:space="preserve">+48 </w:t>
            </w:r>
            <w:r w:rsidRPr="00342024">
              <w:rPr>
                <w:rFonts w:ascii="Fira Sans" w:hAnsi="Fira Sans" w:cs="Arial"/>
                <w:color w:val="auto"/>
                <w:sz w:val="20"/>
                <w:lang w:val="fi-FI"/>
              </w:rPr>
              <w:t>22 608 34</w:t>
            </w:r>
            <w:r w:rsidR="009A5961" w:rsidRPr="00342024">
              <w:rPr>
                <w:rFonts w:ascii="Fira Sans" w:hAnsi="Fira Sans" w:cs="Arial"/>
                <w:color w:val="auto"/>
                <w:sz w:val="20"/>
                <w:lang w:val="fi-FI"/>
              </w:rPr>
              <w:t xml:space="preserve"> </w:t>
            </w:r>
            <w:r w:rsidRPr="00342024">
              <w:rPr>
                <w:rFonts w:ascii="Fira Sans" w:hAnsi="Fira Sans" w:cs="Arial"/>
                <w:color w:val="auto"/>
                <w:sz w:val="20"/>
                <w:lang w:val="fi-FI"/>
              </w:rPr>
              <w:t xml:space="preserve">75, </w:t>
            </w:r>
            <w:r w:rsidR="00D64203" w:rsidRPr="00342024">
              <w:rPr>
                <w:rFonts w:ascii="Fira Sans" w:hAnsi="Fira Sans" w:cs="Arial"/>
                <w:color w:val="auto"/>
                <w:sz w:val="20"/>
                <w:lang w:val="fi-FI"/>
              </w:rPr>
              <w:t xml:space="preserve">+48 </w:t>
            </w:r>
            <w:r w:rsidRPr="00342024">
              <w:rPr>
                <w:rFonts w:ascii="Fira Sans" w:hAnsi="Fira Sans" w:cs="Arial"/>
                <w:color w:val="auto"/>
                <w:sz w:val="20"/>
                <w:lang w:val="fi-FI"/>
              </w:rPr>
              <w:t>22 608 30</w:t>
            </w:r>
            <w:r w:rsidR="009A5961" w:rsidRPr="00342024">
              <w:rPr>
                <w:rFonts w:ascii="Fira Sans" w:hAnsi="Fira Sans" w:cs="Arial"/>
                <w:color w:val="auto"/>
                <w:sz w:val="20"/>
                <w:lang w:val="fi-FI"/>
              </w:rPr>
              <w:t xml:space="preserve"> </w:t>
            </w:r>
            <w:r w:rsidRPr="00342024">
              <w:rPr>
                <w:rFonts w:ascii="Fira Sans" w:hAnsi="Fira Sans" w:cs="Arial"/>
                <w:color w:val="auto"/>
                <w:sz w:val="20"/>
                <w:lang w:val="fi-FI"/>
              </w:rPr>
              <w:t>09</w:t>
            </w:r>
          </w:p>
          <w:p w:rsidR="000470AA" w:rsidRPr="00342024" w:rsidRDefault="000470AA" w:rsidP="00D00796">
            <w:pPr>
              <w:pStyle w:val="Nagwek3"/>
              <w:spacing w:before="0" w:line="240" w:lineRule="auto"/>
              <w:rPr>
                <w:rFonts w:ascii="Fira Sans" w:hAnsi="Fira Sans" w:cs="Arial"/>
                <w:color w:val="auto"/>
                <w:sz w:val="20"/>
                <w:szCs w:val="20"/>
                <w:lang w:val="en-US"/>
              </w:rPr>
            </w:pPr>
            <w:r w:rsidRPr="00342024">
              <w:rPr>
                <w:rFonts w:ascii="Fira Sans" w:hAnsi="Fira Sans" w:cs="Arial"/>
                <w:b/>
                <w:color w:val="auto"/>
                <w:sz w:val="20"/>
                <w:szCs w:val="20"/>
                <w:lang w:val="en-US"/>
              </w:rPr>
              <w:t xml:space="preserve">e-mail: </w:t>
            </w:r>
            <w:hyperlink r:id="rId18" w:history="1">
              <w:r w:rsidRPr="00342024">
                <w:rPr>
                  <w:rStyle w:val="Hipercze"/>
                  <w:rFonts w:ascii="Fira Sans" w:hAnsi="Fira Sans" w:cs="Arial"/>
                  <w:b/>
                  <w:color w:val="auto"/>
                  <w:sz w:val="20"/>
                  <w:szCs w:val="20"/>
                  <w:lang w:val="en-US"/>
                </w:rPr>
                <w:t>rzecznik@stat.gov.pl</w:t>
              </w:r>
            </w:hyperlink>
          </w:p>
        </w:tc>
      </w:tr>
    </w:tbl>
    <w:p w:rsidR="000470AA" w:rsidRPr="00281994" w:rsidRDefault="000470AA" w:rsidP="000470AA">
      <w:pPr>
        <w:rPr>
          <w:sz w:val="20"/>
          <w:lang w:val="en-GB"/>
        </w:rPr>
      </w:pPr>
    </w:p>
    <w:p w:rsidR="000470AA" w:rsidRPr="00281994" w:rsidRDefault="000470AA" w:rsidP="000470AA">
      <w:pPr>
        <w:rPr>
          <w:sz w:val="18"/>
          <w:lang w:val="en-GB"/>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452"/>
        <w:gridCol w:w="604"/>
        <w:gridCol w:w="3125"/>
      </w:tblGrid>
      <w:tr w:rsidR="000470AA" w:rsidRPr="00CA0A0F" w:rsidTr="00A24587">
        <w:trPr>
          <w:trHeight w:val="610"/>
        </w:trPr>
        <w:tc>
          <w:tcPr>
            <w:tcW w:w="2721" w:type="pct"/>
            <w:vMerge w:val="restart"/>
          </w:tcPr>
          <w:p w:rsidR="000470AA" w:rsidRPr="00281994" w:rsidRDefault="001D2736" w:rsidP="00A24587">
            <w:pPr>
              <w:rPr>
                <w:b/>
                <w:sz w:val="20"/>
                <w:lang w:val="en-GB"/>
              </w:rPr>
            </w:pPr>
            <w:r w:rsidRPr="00281994">
              <w:rPr>
                <w:b/>
                <w:sz w:val="20"/>
                <w:lang w:val="en-GB"/>
              </w:rPr>
              <w:t>Press Office</w:t>
            </w:r>
          </w:p>
          <w:p w:rsidR="000470AA" w:rsidRPr="00281994" w:rsidRDefault="003A2056" w:rsidP="00A24587">
            <w:pPr>
              <w:rPr>
                <w:sz w:val="20"/>
                <w:lang w:val="en-GB"/>
              </w:rPr>
            </w:pPr>
            <w:r w:rsidRPr="00281994">
              <w:rPr>
                <w:sz w:val="20"/>
                <w:lang w:val="en-GB"/>
              </w:rPr>
              <w:t>T</w:t>
            </w:r>
            <w:r w:rsidR="00FF59E7" w:rsidRPr="00281994">
              <w:rPr>
                <w:sz w:val="20"/>
                <w:lang w:val="en-GB"/>
              </w:rPr>
              <w:t>el</w:t>
            </w:r>
            <w:r w:rsidR="000470AA" w:rsidRPr="00281994">
              <w:rPr>
                <w:sz w:val="20"/>
                <w:lang w:val="en-GB"/>
              </w:rPr>
              <w:t>:</w:t>
            </w:r>
            <w:r w:rsidR="000470AA" w:rsidRPr="00281994">
              <w:rPr>
                <w:b/>
                <w:sz w:val="20"/>
                <w:lang w:val="en-GB"/>
              </w:rPr>
              <w:t xml:space="preserve"> </w:t>
            </w:r>
            <w:r w:rsidR="00D64203" w:rsidRPr="00281994">
              <w:rPr>
                <w:sz w:val="20"/>
                <w:lang w:val="en-GB"/>
              </w:rPr>
              <w:t>+48 22 608 34 91, +48 22</w:t>
            </w:r>
            <w:r w:rsidR="000470AA" w:rsidRPr="00281994">
              <w:rPr>
                <w:sz w:val="20"/>
                <w:lang w:val="en-GB"/>
              </w:rPr>
              <w:t xml:space="preserve"> 608 38 04 </w:t>
            </w:r>
          </w:p>
          <w:p w:rsidR="000470AA" w:rsidRPr="00281994" w:rsidRDefault="000470AA" w:rsidP="00A24587">
            <w:pPr>
              <w:rPr>
                <w:sz w:val="18"/>
                <w:lang w:val="en-GB"/>
              </w:rPr>
            </w:pPr>
            <w:r w:rsidRPr="00281994">
              <w:rPr>
                <w:b/>
                <w:sz w:val="20"/>
                <w:lang w:val="en-GB"/>
              </w:rPr>
              <w:t>e-mail:</w:t>
            </w:r>
            <w:r w:rsidRPr="00281994">
              <w:rPr>
                <w:sz w:val="20"/>
                <w:lang w:val="en-GB"/>
              </w:rPr>
              <w:t xml:space="preserve"> </w:t>
            </w:r>
            <w:hyperlink r:id="rId19" w:history="1">
              <w:r w:rsidRPr="00281994">
                <w:rPr>
                  <w:rStyle w:val="Hipercze"/>
                  <w:rFonts w:cstheme="minorBidi"/>
                  <w:b/>
                  <w:color w:val="auto"/>
                  <w:sz w:val="20"/>
                  <w:lang w:val="en-GB"/>
                </w:rPr>
                <w:t>obslugaprasowa@stat.gov.pl</w:t>
              </w:r>
            </w:hyperlink>
          </w:p>
        </w:tc>
        <w:tc>
          <w:tcPr>
            <w:tcW w:w="369" w:type="pct"/>
            <w:vAlign w:val="center"/>
          </w:tcPr>
          <w:p w:rsidR="000470AA" w:rsidRPr="00281994" w:rsidRDefault="000470AA" w:rsidP="000470AA">
            <w:pPr>
              <w:rPr>
                <w:sz w:val="18"/>
                <w:lang w:val="en-GB"/>
              </w:rPr>
            </w:pPr>
            <w:r>
              <w:rPr>
                <w:noProof/>
                <w:sz w:val="20"/>
                <w:lang w:eastAsia="pl-PL"/>
              </w:rPr>
              <w:drawing>
                <wp:anchor distT="0" distB="0" distL="114300" distR="114300" simplePos="0" relativeHeight="251653120" behindDoc="0" locked="0" layoutInCell="1" allowOverlap="1" wp14:anchorId="561875C0" wp14:editId="561875C1">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vAlign w:val="center"/>
          </w:tcPr>
          <w:p w:rsidR="000470AA" w:rsidRPr="00281994" w:rsidRDefault="000470AA" w:rsidP="000470AA">
            <w:pPr>
              <w:rPr>
                <w:sz w:val="18"/>
                <w:lang w:val="en-GB"/>
              </w:rPr>
            </w:pPr>
            <w:r w:rsidRPr="00281994">
              <w:rPr>
                <w:sz w:val="20"/>
                <w:lang w:val="en-GB"/>
              </w:rPr>
              <w:t>www.stat.gov.pl</w:t>
            </w:r>
            <w:r w:rsidR="001D2736" w:rsidRPr="00281994">
              <w:rPr>
                <w:sz w:val="20"/>
                <w:lang w:val="en-GB"/>
              </w:rPr>
              <w:t>/en/</w:t>
            </w:r>
          </w:p>
        </w:tc>
      </w:tr>
      <w:tr w:rsidR="000470AA" w:rsidTr="00A24587">
        <w:trPr>
          <w:trHeight w:val="436"/>
        </w:trPr>
        <w:tc>
          <w:tcPr>
            <w:tcW w:w="2721" w:type="pct"/>
            <w:vMerge/>
          </w:tcPr>
          <w:p w:rsidR="000470AA" w:rsidRPr="00281994" w:rsidRDefault="000470AA" w:rsidP="00A24587">
            <w:pPr>
              <w:rPr>
                <w:sz w:val="18"/>
                <w:lang w:val="en-GB"/>
              </w:rPr>
            </w:pPr>
          </w:p>
        </w:tc>
        <w:tc>
          <w:tcPr>
            <w:tcW w:w="369" w:type="pct"/>
            <w:vAlign w:val="center"/>
          </w:tcPr>
          <w:p w:rsidR="000470AA" w:rsidRPr="00281994" w:rsidRDefault="000470AA" w:rsidP="000470AA">
            <w:pPr>
              <w:rPr>
                <w:sz w:val="18"/>
                <w:lang w:val="en-GB"/>
              </w:rPr>
            </w:pPr>
            <w:r>
              <w:rPr>
                <w:noProof/>
                <w:sz w:val="20"/>
                <w:lang w:eastAsia="pl-PL"/>
              </w:rPr>
              <w:drawing>
                <wp:anchor distT="0" distB="0" distL="114300" distR="114300" simplePos="0" relativeHeight="251659264" behindDoc="0" locked="0" layoutInCell="1" allowOverlap="1" wp14:anchorId="561875C2" wp14:editId="561875C3">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rsidR="000470AA" w:rsidRDefault="001D2736" w:rsidP="000470AA">
            <w:pPr>
              <w:rPr>
                <w:sz w:val="18"/>
              </w:rPr>
            </w:pPr>
            <w:r>
              <w:rPr>
                <w:sz w:val="20"/>
              </w:rPr>
              <w:t>@StatPoland</w:t>
            </w:r>
          </w:p>
        </w:tc>
      </w:tr>
      <w:tr w:rsidR="000470AA" w:rsidTr="00A24587">
        <w:trPr>
          <w:trHeight w:val="436"/>
        </w:trPr>
        <w:tc>
          <w:tcPr>
            <w:tcW w:w="2721" w:type="pct"/>
            <w:vMerge/>
          </w:tcPr>
          <w:p w:rsidR="000470AA" w:rsidRDefault="000470AA" w:rsidP="00A24587">
            <w:pPr>
              <w:rPr>
                <w:sz w:val="18"/>
              </w:rPr>
            </w:pPr>
          </w:p>
        </w:tc>
        <w:tc>
          <w:tcPr>
            <w:tcW w:w="369" w:type="pct"/>
            <w:vAlign w:val="center"/>
          </w:tcPr>
          <w:p w:rsidR="000470AA" w:rsidRDefault="000470AA" w:rsidP="000470AA">
            <w:pPr>
              <w:rPr>
                <w:sz w:val="18"/>
              </w:rPr>
            </w:pPr>
            <w:r>
              <w:rPr>
                <w:noProof/>
                <w:sz w:val="20"/>
                <w:lang w:eastAsia="pl-PL"/>
              </w:rPr>
              <w:drawing>
                <wp:anchor distT="0" distB="0" distL="114300" distR="114300" simplePos="0" relativeHeight="251656192" behindDoc="0" locked="0" layoutInCell="1" allowOverlap="1" wp14:anchorId="561875C4" wp14:editId="561875C5">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rsidR="000470AA" w:rsidRDefault="000470AA" w:rsidP="000470AA">
            <w:pPr>
              <w:rPr>
                <w:sz w:val="20"/>
              </w:rPr>
            </w:pPr>
            <w:r w:rsidRPr="003D5F42">
              <w:rPr>
                <w:sz w:val="20"/>
              </w:rPr>
              <w:t>@GlownyUrzadStatystyczny</w:t>
            </w:r>
          </w:p>
        </w:tc>
      </w:tr>
    </w:tbl>
    <w:p w:rsidR="00D261A2" w:rsidRPr="00001C5B" w:rsidRDefault="001448A7" w:rsidP="00E76D26">
      <w:pPr>
        <w:rPr>
          <w:sz w:val="18"/>
        </w:rPr>
      </w:pPr>
      <w:r w:rsidRPr="00001C5B">
        <w:rPr>
          <w:noProof/>
          <w:sz w:val="18"/>
          <w:lang w:eastAsia="pl-PL"/>
        </w:rPr>
        <mc:AlternateContent>
          <mc:Choice Requires="wps">
            <w:drawing>
              <wp:anchor distT="45720" distB="45720" distL="114300" distR="114300" simplePos="0" relativeHeight="251652096" behindDoc="0" locked="0" layoutInCell="1" allowOverlap="1" wp14:anchorId="561875C6" wp14:editId="561875C7">
                <wp:simplePos x="0" y="0"/>
                <wp:positionH relativeFrom="margin">
                  <wp:posOffset>19229</wp:posOffset>
                </wp:positionH>
                <wp:positionV relativeFrom="paragraph">
                  <wp:posOffset>425682</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rsidR="00E84AB6" w:rsidRDefault="00E84AB6" w:rsidP="00AB6D25">
                            <w:pPr>
                              <w:rPr>
                                <w:b/>
                              </w:rPr>
                            </w:pPr>
                          </w:p>
                          <w:p w:rsidR="00E84AB6" w:rsidRPr="00281994" w:rsidRDefault="00E84AB6" w:rsidP="00AB6D25">
                            <w:pPr>
                              <w:rPr>
                                <w:b/>
                                <w:lang w:val="en-GB"/>
                              </w:rPr>
                            </w:pPr>
                            <w:r w:rsidRPr="00281994">
                              <w:rPr>
                                <w:b/>
                                <w:lang w:val="en-GB"/>
                              </w:rPr>
                              <w:t>Related information</w:t>
                            </w:r>
                          </w:p>
                          <w:p w:rsidR="00E84AB6" w:rsidRPr="00281994" w:rsidRDefault="00FD150D" w:rsidP="00AB6D25">
                            <w:pPr>
                              <w:rPr>
                                <w:rStyle w:val="Hipercze"/>
                                <w:rFonts w:cs="Arial"/>
                                <w:color w:val="001D77"/>
                                <w:sz w:val="18"/>
                                <w:szCs w:val="30"/>
                                <w:shd w:val="clear" w:color="auto" w:fill="F0F0F0"/>
                                <w:lang w:val="en-GB"/>
                              </w:rPr>
                            </w:pPr>
                            <w:hyperlink r:id="rId23" w:history="1">
                              <w:r w:rsidR="00E84AB6" w:rsidRPr="00281994">
                                <w:rPr>
                                  <w:rStyle w:val="Hipercze"/>
                                  <w:rFonts w:cs="Arial"/>
                                  <w:color w:val="001D77"/>
                                  <w:sz w:val="18"/>
                                  <w:szCs w:val="30"/>
                                  <w:shd w:val="clear" w:color="auto" w:fill="F0F0F0"/>
                                  <w:lang w:val="en-GB"/>
                                </w:rPr>
                                <w:t>Housing Economy in Poland in 2016</w:t>
                              </w:r>
                            </w:hyperlink>
                          </w:p>
                          <w:p w:rsidR="00E84AB6" w:rsidRPr="00281994" w:rsidRDefault="00FD150D" w:rsidP="00AB6D25">
                            <w:pPr>
                              <w:rPr>
                                <w:rStyle w:val="Hipercze"/>
                                <w:rFonts w:cs="Arial"/>
                                <w:color w:val="001D77"/>
                                <w:sz w:val="18"/>
                                <w:szCs w:val="30"/>
                                <w:shd w:val="clear" w:color="auto" w:fill="F0F0F0"/>
                                <w:lang w:val="en-GB"/>
                              </w:rPr>
                            </w:pPr>
                            <w:hyperlink r:id="rId24" w:history="1">
                              <w:r w:rsidR="00E84AB6" w:rsidRPr="00281994">
                                <w:rPr>
                                  <w:rStyle w:val="Hipercze"/>
                                  <w:rFonts w:cs="Arial"/>
                                  <w:color w:val="001D77"/>
                                  <w:sz w:val="18"/>
                                  <w:szCs w:val="30"/>
                                  <w:shd w:val="clear" w:color="auto" w:fill="F0F0F0"/>
                                  <w:lang w:val="en-GB"/>
                                </w:rPr>
                                <w:t>Housing Economy in Poland in 2017</w:t>
                              </w:r>
                            </w:hyperlink>
                          </w:p>
                          <w:p w:rsidR="00E84AB6" w:rsidRPr="00281994" w:rsidRDefault="00E84AB6" w:rsidP="00AB6D25">
                            <w:pPr>
                              <w:rPr>
                                <w:b/>
                                <w:color w:val="000000" w:themeColor="text1"/>
                                <w:szCs w:val="24"/>
                                <w:lang w:val="en-GB"/>
                              </w:rPr>
                            </w:pPr>
                          </w:p>
                          <w:p w:rsidR="00E84AB6" w:rsidRPr="00281994" w:rsidRDefault="00E84AB6" w:rsidP="00AB6D25">
                            <w:pPr>
                              <w:rPr>
                                <w:b/>
                                <w:color w:val="000000" w:themeColor="text1"/>
                                <w:szCs w:val="24"/>
                                <w:lang w:val="en-GB"/>
                              </w:rPr>
                            </w:pPr>
                            <w:r w:rsidRPr="00281994">
                              <w:rPr>
                                <w:b/>
                                <w:color w:val="000000" w:themeColor="text1"/>
                                <w:szCs w:val="24"/>
                                <w:lang w:val="en-GB"/>
                              </w:rPr>
                              <w:t>Data available in databases</w:t>
                            </w:r>
                          </w:p>
                          <w:p w:rsidR="00E84AB6" w:rsidRPr="00281994" w:rsidRDefault="00FD150D" w:rsidP="00673C26">
                            <w:pPr>
                              <w:rPr>
                                <w:rStyle w:val="Hipercze"/>
                                <w:rFonts w:cs="Arial"/>
                                <w:color w:val="001D77"/>
                                <w:sz w:val="18"/>
                                <w:szCs w:val="30"/>
                                <w:shd w:val="clear" w:color="auto" w:fill="F0F0F0"/>
                                <w:lang w:val="en-GB"/>
                              </w:rPr>
                            </w:pPr>
                            <w:hyperlink r:id="rId25" w:history="1">
                              <w:r w:rsidR="00E84AB6" w:rsidRPr="00281994">
                                <w:rPr>
                                  <w:rStyle w:val="Hipercze"/>
                                  <w:rFonts w:cs="Arial"/>
                                  <w:color w:val="001D77"/>
                                  <w:sz w:val="18"/>
                                  <w:szCs w:val="30"/>
                                  <w:shd w:val="clear" w:color="auto" w:fill="F0F0F0"/>
                                  <w:lang w:val="en-GB"/>
                                </w:rPr>
                                <w:t>Local Data Bank</w:t>
                              </w:r>
                            </w:hyperlink>
                          </w:p>
                          <w:p w:rsidR="00E84AB6" w:rsidRPr="00281994" w:rsidRDefault="00FD150D" w:rsidP="00673C26">
                            <w:pPr>
                              <w:rPr>
                                <w:rStyle w:val="Hipercze"/>
                                <w:rFonts w:cs="Arial"/>
                                <w:color w:val="001D77"/>
                                <w:sz w:val="18"/>
                                <w:szCs w:val="30"/>
                                <w:shd w:val="clear" w:color="auto" w:fill="F0F0F0"/>
                                <w:lang w:val="en-GB"/>
                              </w:rPr>
                            </w:pPr>
                            <w:hyperlink r:id="rId26" w:history="1">
                              <w:r w:rsidR="00E84AB6" w:rsidRPr="00281994">
                                <w:rPr>
                                  <w:rStyle w:val="Hipercze"/>
                                  <w:rFonts w:cs="Arial"/>
                                  <w:color w:val="001D77"/>
                                  <w:sz w:val="18"/>
                                  <w:szCs w:val="30"/>
                                  <w:shd w:val="clear" w:color="auto" w:fill="F0F0F0"/>
                                  <w:lang w:val="en-GB"/>
                                </w:rPr>
                                <w:t>Knowledge Databases</w:t>
                              </w:r>
                            </w:hyperlink>
                          </w:p>
                          <w:p w:rsidR="00E84AB6" w:rsidRPr="00281994" w:rsidRDefault="00E84AB6" w:rsidP="00AB6D25">
                            <w:pPr>
                              <w:rPr>
                                <w:b/>
                                <w:color w:val="000000" w:themeColor="text1"/>
                                <w:szCs w:val="24"/>
                                <w:lang w:val="en-GB"/>
                              </w:rPr>
                            </w:pPr>
                          </w:p>
                          <w:p w:rsidR="00E84AB6" w:rsidRPr="00281994" w:rsidRDefault="00E84AB6" w:rsidP="00AB6D25">
                            <w:pPr>
                              <w:rPr>
                                <w:b/>
                                <w:color w:val="000000" w:themeColor="text1"/>
                                <w:szCs w:val="24"/>
                                <w:lang w:val="en-GB"/>
                              </w:rPr>
                            </w:pPr>
                            <w:r w:rsidRPr="00281994">
                              <w:rPr>
                                <w:b/>
                                <w:color w:val="000000" w:themeColor="text1"/>
                                <w:szCs w:val="24"/>
                                <w:lang w:val="en-GB"/>
                              </w:rPr>
                              <w:t>Terms used in official statistics</w:t>
                            </w:r>
                          </w:p>
                          <w:p w:rsidR="00E84AB6" w:rsidRPr="00281994" w:rsidRDefault="00FD150D" w:rsidP="00673C26">
                            <w:pPr>
                              <w:rPr>
                                <w:rStyle w:val="Hipercze"/>
                                <w:rFonts w:cs="Arial"/>
                                <w:color w:val="001D77"/>
                                <w:sz w:val="18"/>
                                <w:szCs w:val="30"/>
                                <w:shd w:val="clear" w:color="auto" w:fill="F0F0F0"/>
                                <w:lang w:val="en-GB"/>
                              </w:rPr>
                            </w:pPr>
                            <w:hyperlink r:id="rId27" w:history="1">
                              <w:r w:rsidR="00E84AB6" w:rsidRPr="00281994">
                                <w:rPr>
                                  <w:rStyle w:val="Hipercze"/>
                                  <w:rFonts w:cs="Arial"/>
                                  <w:color w:val="001D77"/>
                                  <w:sz w:val="18"/>
                                  <w:szCs w:val="30"/>
                                  <w:shd w:val="clear" w:color="auto" w:fill="F0F0F0"/>
                                  <w:lang w:val="en-GB"/>
                                </w:rPr>
                                <w:t>Dwelling</w:t>
                              </w:r>
                            </w:hyperlink>
                          </w:p>
                          <w:p w:rsidR="00E84AB6" w:rsidRPr="00281994" w:rsidRDefault="00FD150D" w:rsidP="00673C26">
                            <w:pPr>
                              <w:rPr>
                                <w:rStyle w:val="Hipercze"/>
                                <w:rFonts w:cs="Arial"/>
                                <w:color w:val="001D77"/>
                                <w:sz w:val="18"/>
                                <w:szCs w:val="30"/>
                                <w:shd w:val="clear" w:color="auto" w:fill="F0F0F0"/>
                                <w:lang w:val="en-GB"/>
                              </w:rPr>
                            </w:pPr>
                            <w:hyperlink r:id="rId28" w:history="1">
                              <w:r w:rsidR="00E84AB6" w:rsidRPr="00281994">
                                <w:rPr>
                                  <w:rStyle w:val="Hipercze"/>
                                  <w:rFonts w:cs="Arial"/>
                                  <w:color w:val="001D77"/>
                                  <w:sz w:val="18"/>
                                  <w:szCs w:val="30"/>
                                  <w:shd w:val="clear" w:color="auto" w:fill="F0F0F0"/>
                                  <w:lang w:val="en-GB"/>
                                </w:rPr>
                                <w:t>Useful floor area of a dwelling</w:t>
                              </w:r>
                            </w:hyperlink>
                          </w:p>
                          <w:p w:rsidR="00E84AB6" w:rsidRPr="00281994" w:rsidRDefault="00FD150D" w:rsidP="00673C26">
                            <w:pPr>
                              <w:rPr>
                                <w:rStyle w:val="Hipercze"/>
                                <w:rFonts w:cs="Arial"/>
                                <w:color w:val="001D77"/>
                                <w:sz w:val="18"/>
                                <w:szCs w:val="30"/>
                                <w:shd w:val="clear" w:color="auto" w:fill="F0F0F0"/>
                                <w:lang w:val="en-GB"/>
                              </w:rPr>
                            </w:pPr>
                            <w:hyperlink r:id="rId29" w:history="1">
                              <w:r w:rsidR="00E84AB6" w:rsidRPr="00281994">
                                <w:rPr>
                                  <w:rStyle w:val="Hipercze"/>
                                  <w:rFonts w:cs="Arial"/>
                                  <w:color w:val="001D77"/>
                                  <w:sz w:val="18"/>
                                  <w:szCs w:val="30"/>
                                  <w:shd w:val="clear" w:color="auto" w:fill="F0F0F0"/>
                                  <w:lang w:val="en-GB"/>
                                </w:rPr>
                                <w:t>Room</w:t>
                              </w:r>
                            </w:hyperlink>
                          </w:p>
                          <w:p w:rsidR="00E84AB6" w:rsidRPr="00281994" w:rsidRDefault="00FD150D" w:rsidP="00673C26">
                            <w:pPr>
                              <w:rPr>
                                <w:rStyle w:val="Hipercze"/>
                                <w:rFonts w:cs="Arial"/>
                                <w:color w:val="001D77"/>
                                <w:sz w:val="18"/>
                                <w:szCs w:val="30"/>
                                <w:shd w:val="clear" w:color="auto" w:fill="F0F0F0"/>
                                <w:lang w:val="en-GB"/>
                              </w:rPr>
                            </w:pPr>
                            <w:hyperlink r:id="rId30" w:history="1">
                              <w:r w:rsidR="00E84AB6" w:rsidRPr="00281994">
                                <w:rPr>
                                  <w:rStyle w:val="Hipercze"/>
                                  <w:rFonts w:cs="Arial"/>
                                  <w:color w:val="001D77"/>
                                  <w:sz w:val="18"/>
                                  <w:szCs w:val="30"/>
                                  <w:shd w:val="clear" w:color="auto" w:fill="F0F0F0"/>
                                  <w:lang w:val="en-GB"/>
                                </w:rPr>
                                <w:t>Arrears in payments for dwellings</w:t>
                              </w:r>
                            </w:hyperlink>
                          </w:p>
                          <w:p w:rsidR="00E84AB6" w:rsidRPr="00281994" w:rsidRDefault="00FD150D" w:rsidP="00673C26">
                            <w:pPr>
                              <w:rPr>
                                <w:rStyle w:val="Hipercze"/>
                                <w:rFonts w:cs="Arial"/>
                                <w:color w:val="001D77"/>
                                <w:sz w:val="18"/>
                                <w:szCs w:val="30"/>
                                <w:shd w:val="clear" w:color="auto" w:fill="F0F0F0"/>
                                <w:lang w:val="en-GB"/>
                              </w:rPr>
                            </w:pPr>
                            <w:hyperlink r:id="rId31" w:history="1">
                              <w:r w:rsidR="00E84AB6" w:rsidRPr="00281994">
                                <w:rPr>
                                  <w:rStyle w:val="Hipercze"/>
                                  <w:rFonts w:cs="Arial"/>
                                  <w:color w:val="001D77"/>
                                  <w:sz w:val="18"/>
                                  <w:szCs w:val="30"/>
                                  <w:shd w:val="clear" w:color="auto" w:fill="F0F0F0"/>
                                  <w:lang w:val="en-GB"/>
                                </w:rPr>
                                <w:t>Eviction</w:t>
                              </w:r>
                            </w:hyperlink>
                          </w:p>
                          <w:p w:rsidR="00E84AB6" w:rsidRPr="00281994" w:rsidRDefault="00FD150D" w:rsidP="00673C26">
                            <w:pPr>
                              <w:rPr>
                                <w:rStyle w:val="Hipercze"/>
                                <w:rFonts w:cs="Arial"/>
                                <w:color w:val="001D77"/>
                                <w:sz w:val="18"/>
                                <w:szCs w:val="30"/>
                                <w:shd w:val="clear" w:color="auto" w:fill="F0F0F0"/>
                                <w:lang w:val="en-GB"/>
                              </w:rPr>
                            </w:pPr>
                            <w:hyperlink r:id="rId32" w:history="1">
                              <w:r w:rsidR="00E84AB6" w:rsidRPr="00281994">
                                <w:rPr>
                                  <w:rStyle w:val="Hipercze"/>
                                  <w:rFonts w:cs="Arial"/>
                                  <w:color w:val="001D77"/>
                                  <w:sz w:val="18"/>
                                  <w:szCs w:val="30"/>
                                  <w:shd w:val="clear" w:color="auto" w:fill="F0F0F0"/>
                                  <w:lang w:val="en-GB"/>
                                </w:rPr>
                                <w:t>Costs of dwelling stock maintenance</w:t>
                              </w:r>
                            </w:hyperlink>
                          </w:p>
                          <w:p w:rsidR="00E84AB6" w:rsidRPr="0079456E" w:rsidRDefault="00FD150D" w:rsidP="00673C26">
                            <w:pPr>
                              <w:rPr>
                                <w:rStyle w:val="Hipercze"/>
                                <w:rFonts w:cs="Arial"/>
                                <w:color w:val="001D77"/>
                                <w:sz w:val="18"/>
                                <w:szCs w:val="30"/>
                                <w:shd w:val="clear" w:color="auto" w:fill="F0F0F0"/>
                              </w:rPr>
                            </w:pPr>
                            <w:hyperlink r:id="rId33" w:history="1">
                              <w:r w:rsidR="00E84AB6" w:rsidRPr="0079456E">
                                <w:rPr>
                                  <w:rStyle w:val="Hipercze"/>
                                  <w:rFonts w:cs="Arial"/>
                                  <w:color w:val="001D77"/>
                                  <w:sz w:val="18"/>
                                  <w:szCs w:val="30"/>
                                  <w:shd w:val="clear" w:color="auto" w:fill="F0F0F0"/>
                                </w:rPr>
                                <w:t>Housing allowance</w:t>
                              </w:r>
                            </w:hyperlink>
                          </w:p>
                          <w:p w:rsidR="00E84AB6" w:rsidRPr="00673C26" w:rsidRDefault="00FD150D" w:rsidP="00673C26">
                            <w:pPr>
                              <w:rPr>
                                <w:rStyle w:val="Hipercze"/>
                                <w:rFonts w:cs="Arial"/>
                                <w:color w:val="001D77"/>
                                <w:sz w:val="18"/>
                                <w:szCs w:val="30"/>
                                <w:shd w:val="clear" w:color="auto" w:fill="F0F0F0"/>
                              </w:rPr>
                            </w:pPr>
                            <w:hyperlink r:id="rId34" w:history="1">
                              <w:r w:rsidR="00E84AB6" w:rsidRPr="0079456E">
                                <w:rPr>
                                  <w:rStyle w:val="Hipercze"/>
                                  <w:rFonts w:cs="Arial"/>
                                  <w:color w:val="001D77"/>
                                  <w:sz w:val="18"/>
                                  <w:szCs w:val="30"/>
                                  <w:shd w:val="clear" w:color="auto" w:fill="F0F0F0"/>
                                </w:rPr>
                                <w:t>Common land</w:t>
                              </w:r>
                            </w:hyperlink>
                          </w:p>
                          <w:p w:rsidR="00E84AB6" w:rsidRPr="00505A92" w:rsidRDefault="00E84AB6" w:rsidP="00AB6D25">
                            <w:pPr>
                              <w:rPr>
                                <w:b/>
                                <w:color w:val="000000" w:themeColor="text1"/>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1875C6" id="_x0000_s1045" type="#_x0000_t202" style="position:absolute;margin-left:1.5pt;margin-top:33.5pt;width:516.5pt;height:349.85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" fillcolor="#f2f2f2 [3052]" strokecolor="white [3212]">
                <v:textbox>
                  <w:txbxContent>
                    <w:p w:rsidR="00E84AB6" w:rsidRDefault="00E84AB6" w:rsidP="00AB6D25">
                      <w:pPr>
                        <w:rPr>
                          <w:b/>
                        </w:rPr>
                      </w:pPr>
                    </w:p>
                    <w:p w:rsidR="00E84AB6" w:rsidRPr="00281994" w:rsidRDefault="00E84AB6" w:rsidP="00AB6D25">
                      <w:pPr>
                        <w:rPr>
                          <w:b/>
                          <w:lang w:val="en-GB"/>
                        </w:rPr>
                      </w:pPr>
                      <w:r w:rsidRPr="00281994">
                        <w:rPr>
                          <w:b/>
                          <w:lang w:val="en-GB"/>
                        </w:rPr>
                        <w:t>Related information</w:t>
                      </w:r>
                    </w:p>
                    <w:p w:rsidR="00E84AB6" w:rsidRPr="00281994" w:rsidRDefault="00FD150D" w:rsidP="00AB6D25">
                      <w:pPr>
                        <w:rPr>
                          <w:rStyle w:val="Hipercze"/>
                          <w:rFonts w:cs="Arial"/>
                          <w:color w:val="001D77"/>
                          <w:sz w:val="18"/>
                          <w:szCs w:val="30"/>
                          <w:shd w:val="clear" w:color="auto" w:fill="F0F0F0"/>
                          <w:lang w:val="en-GB"/>
                        </w:rPr>
                      </w:pPr>
                      <w:hyperlink r:id="rId35" w:history="1">
                        <w:r w:rsidR="00E84AB6" w:rsidRPr="00281994">
                          <w:rPr>
                            <w:rStyle w:val="Hipercze"/>
                            <w:rFonts w:cs="Arial"/>
                            <w:color w:val="001D77"/>
                            <w:sz w:val="18"/>
                            <w:szCs w:val="30"/>
                            <w:shd w:val="clear" w:color="auto" w:fill="F0F0F0"/>
                            <w:lang w:val="en-GB"/>
                          </w:rPr>
                          <w:t>Housing Economy in Poland in 2016</w:t>
                        </w:r>
                      </w:hyperlink>
                    </w:p>
                    <w:p w:rsidR="00E84AB6" w:rsidRPr="00281994" w:rsidRDefault="00FD150D" w:rsidP="00AB6D25">
                      <w:pPr>
                        <w:rPr>
                          <w:rStyle w:val="Hipercze"/>
                          <w:rFonts w:cs="Arial"/>
                          <w:color w:val="001D77"/>
                          <w:sz w:val="18"/>
                          <w:szCs w:val="30"/>
                          <w:shd w:val="clear" w:color="auto" w:fill="F0F0F0"/>
                          <w:lang w:val="en-GB"/>
                        </w:rPr>
                      </w:pPr>
                      <w:hyperlink r:id="rId36" w:history="1">
                        <w:r w:rsidR="00E84AB6" w:rsidRPr="00281994">
                          <w:rPr>
                            <w:rStyle w:val="Hipercze"/>
                            <w:rFonts w:cs="Arial"/>
                            <w:color w:val="001D77"/>
                            <w:sz w:val="18"/>
                            <w:szCs w:val="30"/>
                            <w:shd w:val="clear" w:color="auto" w:fill="F0F0F0"/>
                            <w:lang w:val="en-GB"/>
                          </w:rPr>
                          <w:t>Housing Economy in Poland in 2017</w:t>
                        </w:r>
                      </w:hyperlink>
                    </w:p>
                    <w:p w:rsidR="00E84AB6" w:rsidRPr="00281994" w:rsidRDefault="00E84AB6" w:rsidP="00AB6D25">
                      <w:pPr>
                        <w:rPr>
                          <w:b/>
                          <w:color w:val="000000" w:themeColor="text1"/>
                          <w:szCs w:val="24"/>
                          <w:lang w:val="en-GB"/>
                        </w:rPr>
                      </w:pPr>
                    </w:p>
                    <w:p w:rsidR="00E84AB6" w:rsidRPr="00281994" w:rsidRDefault="00E84AB6" w:rsidP="00AB6D25">
                      <w:pPr>
                        <w:rPr>
                          <w:b/>
                          <w:color w:val="000000" w:themeColor="text1"/>
                          <w:szCs w:val="24"/>
                          <w:lang w:val="en-GB"/>
                        </w:rPr>
                      </w:pPr>
                      <w:r w:rsidRPr="00281994">
                        <w:rPr>
                          <w:b/>
                          <w:color w:val="000000" w:themeColor="text1"/>
                          <w:szCs w:val="24"/>
                          <w:lang w:val="en-GB"/>
                        </w:rPr>
                        <w:t>Data available in databases</w:t>
                      </w:r>
                    </w:p>
                    <w:p w:rsidR="00E84AB6" w:rsidRPr="00281994" w:rsidRDefault="00FD150D" w:rsidP="00673C26">
                      <w:pPr>
                        <w:rPr>
                          <w:rStyle w:val="Hipercze"/>
                          <w:rFonts w:cs="Arial"/>
                          <w:color w:val="001D77"/>
                          <w:sz w:val="18"/>
                          <w:szCs w:val="30"/>
                          <w:shd w:val="clear" w:color="auto" w:fill="F0F0F0"/>
                          <w:lang w:val="en-GB"/>
                        </w:rPr>
                      </w:pPr>
                      <w:hyperlink r:id="rId37" w:history="1">
                        <w:r w:rsidR="00E84AB6" w:rsidRPr="00281994">
                          <w:rPr>
                            <w:rStyle w:val="Hipercze"/>
                            <w:rFonts w:cs="Arial"/>
                            <w:color w:val="001D77"/>
                            <w:sz w:val="18"/>
                            <w:szCs w:val="30"/>
                            <w:shd w:val="clear" w:color="auto" w:fill="F0F0F0"/>
                            <w:lang w:val="en-GB"/>
                          </w:rPr>
                          <w:t>Local Data Bank</w:t>
                        </w:r>
                      </w:hyperlink>
                    </w:p>
                    <w:p w:rsidR="00E84AB6" w:rsidRPr="00281994" w:rsidRDefault="00FD150D" w:rsidP="00673C26">
                      <w:pPr>
                        <w:rPr>
                          <w:rStyle w:val="Hipercze"/>
                          <w:rFonts w:cs="Arial"/>
                          <w:color w:val="001D77"/>
                          <w:sz w:val="18"/>
                          <w:szCs w:val="30"/>
                          <w:shd w:val="clear" w:color="auto" w:fill="F0F0F0"/>
                          <w:lang w:val="en-GB"/>
                        </w:rPr>
                      </w:pPr>
                      <w:hyperlink r:id="rId38" w:history="1">
                        <w:r w:rsidR="00E84AB6" w:rsidRPr="00281994">
                          <w:rPr>
                            <w:rStyle w:val="Hipercze"/>
                            <w:rFonts w:cs="Arial"/>
                            <w:color w:val="001D77"/>
                            <w:sz w:val="18"/>
                            <w:szCs w:val="30"/>
                            <w:shd w:val="clear" w:color="auto" w:fill="F0F0F0"/>
                            <w:lang w:val="en-GB"/>
                          </w:rPr>
                          <w:t>Knowledge Databases</w:t>
                        </w:r>
                      </w:hyperlink>
                    </w:p>
                    <w:p w:rsidR="00E84AB6" w:rsidRPr="00281994" w:rsidRDefault="00E84AB6" w:rsidP="00AB6D25">
                      <w:pPr>
                        <w:rPr>
                          <w:b/>
                          <w:color w:val="000000" w:themeColor="text1"/>
                          <w:szCs w:val="24"/>
                          <w:lang w:val="en-GB"/>
                        </w:rPr>
                      </w:pPr>
                    </w:p>
                    <w:p w:rsidR="00E84AB6" w:rsidRPr="00281994" w:rsidRDefault="00E84AB6" w:rsidP="00AB6D25">
                      <w:pPr>
                        <w:rPr>
                          <w:b/>
                          <w:color w:val="000000" w:themeColor="text1"/>
                          <w:szCs w:val="24"/>
                          <w:lang w:val="en-GB"/>
                        </w:rPr>
                      </w:pPr>
                      <w:r w:rsidRPr="00281994">
                        <w:rPr>
                          <w:b/>
                          <w:color w:val="000000" w:themeColor="text1"/>
                          <w:szCs w:val="24"/>
                          <w:lang w:val="en-GB"/>
                        </w:rPr>
                        <w:t>Terms used in official statistics</w:t>
                      </w:r>
                    </w:p>
                    <w:p w:rsidR="00E84AB6" w:rsidRPr="00281994" w:rsidRDefault="00FD150D" w:rsidP="00673C26">
                      <w:pPr>
                        <w:rPr>
                          <w:rStyle w:val="Hipercze"/>
                          <w:rFonts w:cs="Arial"/>
                          <w:color w:val="001D77"/>
                          <w:sz w:val="18"/>
                          <w:szCs w:val="30"/>
                          <w:shd w:val="clear" w:color="auto" w:fill="F0F0F0"/>
                          <w:lang w:val="en-GB"/>
                        </w:rPr>
                      </w:pPr>
                      <w:hyperlink r:id="rId39" w:history="1">
                        <w:r w:rsidR="00E84AB6" w:rsidRPr="00281994">
                          <w:rPr>
                            <w:rStyle w:val="Hipercze"/>
                            <w:rFonts w:cs="Arial"/>
                            <w:color w:val="001D77"/>
                            <w:sz w:val="18"/>
                            <w:szCs w:val="30"/>
                            <w:shd w:val="clear" w:color="auto" w:fill="F0F0F0"/>
                            <w:lang w:val="en-GB"/>
                          </w:rPr>
                          <w:t>Dwelling</w:t>
                        </w:r>
                      </w:hyperlink>
                    </w:p>
                    <w:p w:rsidR="00E84AB6" w:rsidRPr="00281994" w:rsidRDefault="00FD150D" w:rsidP="00673C26">
                      <w:pPr>
                        <w:rPr>
                          <w:rStyle w:val="Hipercze"/>
                          <w:rFonts w:cs="Arial"/>
                          <w:color w:val="001D77"/>
                          <w:sz w:val="18"/>
                          <w:szCs w:val="30"/>
                          <w:shd w:val="clear" w:color="auto" w:fill="F0F0F0"/>
                          <w:lang w:val="en-GB"/>
                        </w:rPr>
                      </w:pPr>
                      <w:hyperlink r:id="rId40" w:history="1">
                        <w:r w:rsidR="00E84AB6" w:rsidRPr="00281994">
                          <w:rPr>
                            <w:rStyle w:val="Hipercze"/>
                            <w:rFonts w:cs="Arial"/>
                            <w:color w:val="001D77"/>
                            <w:sz w:val="18"/>
                            <w:szCs w:val="30"/>
                            <w:shd w:val="clear" w:color="auto" w:fill="F0F0F0"/>
                            <w:lang w:val="en-GB"/>
                          </w:rPr>
                          <w:t>Useful floor area of a dwelling</w:t>
                        </w:r>
                      </w:hyperlink>
                    </w:p>
                    <w:p w:rsidR="00E84AB6" w:rsidRPr="00281994" w:rsidRDefault="00FD150D" w:rsidP="00673C26">
                      <w:pPr>
                        <w:rPr>
                          <w:rStyle w:val="Hipercze"/>
                          <w:rFonts w:cs="Arial"/>
                          <w:color w:val="001D77"/>
                          <w:sz w:val="18"/>
                          <w:szCs w:val="30"/>
                          <w:shd w:val="clear" w:color="auto" w:fill="F0F0F0"/>
                          <w:lang w:val="en-GB"/>
                        </w:rPr>
                      </w:pPr>
                      <w:hyperlink r:id="rId41" w:history="1">
                        <w:r w:rsidR="00E84AB6" w:rsidRPr="00281994">
                          <w:rPr>
                            <w:rStyle w:val="Hipercze"/>
                            <w:rFonts w:cs="Arial"/>
                            <w:color w:val="001D77"/>
                            <w:sz w:val="18"/>
                            <w:szCs w:val="30"/>
                            <w:shd w:val="clear" w:color="auto" w:fill="F0F0F0"/>
                            <w:lang w:val="en-GB"/>
                          </w:rPr>
                          <w:t>Room</w:t>
                        </w:r>
                      </w:hyperlink>
                    </w:p>
                    <w:p w:rsidR="00E84AB6" w:rsidRPr="00281994" w:rsidRDefault="00FD150D" w:rsidP="00673C26">
                      <w:pPr>
                        <w:rPr>
                          <w:rStyle w:val="Hipercze"/>
                          <w:rFonts w:cs="Arial"/>
                          <w:color w:val="001D77"/>
                          <w:sz w:val="18"/>
                          <w:szCs w:val="30"/>
                          <w:shd w:val="clear" w:color="auto" w:fill="F0F0F0"/>
                          <w:lang w:val="en-GB"/>
                        </w:rPr>
                      </w:pPr>
                      <w:hyperlink r:id="rId42" w:history="1">
                        <w:r w:rsidR="00E84AB6" w:rsidRPr="00281994">
                          <w:rPr>
                            <w:rStyle w:val="Hipercze"/>
                            <w:rFonts w:cs="Arial"/>
                            <w:color w:val="001D77"/>
                            <w:sz w:val="18"/>
                            <w:szCs w:val="30"/>
                            <w:shd w:val="clear" w:color="auto" w:fill="F0F0F0"/>
                            <w:lang w:val="en-GB"/>
                          </w:rPr>
                          <w:t>Arrears in payments for dwellings</w:t>
                        </w:r>
                      </w:hyperlink>
                    </w:p>
                    <w:p w:rsidR="00E84AB6" w:rsidRPr="00281994" w:rsidRDefault="00FD150D" w:rsidP="00673C26">
                      <w:pPr>
                        <w:rPr>
                          <w:rStyle w:val="Hipercze"/>
                          <w:rFonts w:cs="Arial"/>
                          <w:color w:val="001D77"/>
                          <w:sz w:val="18"/>
                          <w:szCs w:val="30"/>
                          <w:shd w:val="clear" w:color="auto" w:fill="F0F0F0"/>
                          <w:lang w:val="en-GB"/>
                        </w:rPr>
                      </w:pPr>
                      <w:hyperlink r:id="rId43" w:history="1">
                        <w:r w:rsidR="00E84AB6" w:rsidRPr="00281994">
                          <w:rPr>
                            <w:rStyle w:val="Hipercze"/>
                            <w:rFonts w:cs="Arial"/>
                            <w:color w:val="001D77"/>
                            <w:sz w:val="18"/>
                            <w:szCs w:val="30"/>
                            <w:shd w:val="clear" w:color="auto" w:fill="F0F0F0"/>
                            <w:lang w:val="en-GB"/>
                          </w:rPr>
                          <w:t>Eviction</w:t>
                        </w:r>
                      </w:hyperlink>
                    </w:p>
                    <w:p w:rsidR="00E84AB6" w:rsidRPr="00281994" w:rsidRDefault="00FD150D" w:rsidP="00673C26">
                      <w:pPr>
                        <w:rPr>
                          <w:rStyle w:val="Hipercze"/>
                          <w:rFonts w:cs="Arial"/>
                          <w:color w:val="001D77"/>
                          <w:sz w:val="18"/>
                          <w:szCs w:val="30"/>
                          <w:shd w:val="clear" w:color="auto" w:fill="F0F0F0"/>
                          <w:lang w:val="en-GB"/>
                        </w:rPr>
                      </w:pPr>
                      <w:hyperlink r:id="rId44" w:history="1">
                        <w:r w:rsidR="00E84AB6" w:rsidRPr="00281994">
                          <w:rPr>
                            <w:rStyle w:val="Hipercze"/>
                            <w:rFonts w:cs="Arial"/>
                            <w:color w:val="001D77"/>
                            <w:sz w:val="18"/>
                            <w:szCs w:val="30"/>
                            <w:shd w:val="clear" w:color="auto" w:fill="F0F0F0"/>
                            <w:lang w:val="en-GB"/>
                          </w:rPr>
                          <w:t>Costs of dwelling stock maintenance</w:t>
                        </w:r>
                      </w:hyperlink>
                    </w:p>
                    <w:p w:rsidR="00E84AB6" w:rsidRPr="0079456E" w:rsidRDefault="00FD150D" w:rsidP="00673C26">
                      <w:pPr>
                        <w:rPr>
                          <w:rStyle w:val="Hipercze"/>
                          <w:rFonts w:cs="Arial"/>
                          <w:color w:val="001D77"/>
                          <w:sz w:val="18"/>
                          <w:szCs w:val="30"/>
                          <w:shd w:val="clear" w:color="auto" w:fill="F0F0F0"/>
                        </w:rPr>
                      </w:pPr>
                      <w:hyperlink r:id="rId45" w:history="1">
                        <w:r w:rsidR="00E84AB6" w:rsidRPr="0079456E">
                          <w:rPr>
                            <w:rStyle w:val="Hipercze"/>
                            <w:rFonts w:cs="Arial"/>
                            <w:color w:val="001D77"/>
                            <w:sz w:val="18"/>
                            <w:szCs w:val="30"/>
                            <w:shd w:val="clear" w:color="auto" w:fill="F0F0F0"/>
                          </w:rPr>
                          <w:t>Housing allowance</w:t>
                        </w:r>
                      </w:hyperlink>
                    </w:p>
                    <w:p w:rsidR="00E84AB6" w:rsidRPr="00673C26" w:rsidRDefault="00FD150D" w:rsidP="00673C26">
                      <w:pPr>
                        <w:rPr>
                          <w:rStyle w:val="Hipercze"/>
                          <w:rFonts w:cs="Arial"/>
                          <w:color w:val="001D77"/>
                          <w:sz w:val="18"/>
                          <w:szCs w:val="30"/>
                          <w:shd w:val="clear" w:color="auto" w:fill="F0F0F0"/>
                        </w:rPr>
                      </w:pPr>
                      <w:hyperlink r:id="rId46" w:history="1">
                        <w:r w:rsidR="00E84AB6" w:rsidRPr="0079456E">
                          <w:rPr>
                            <w:rStyle w:val="Hipercze"/>
                            <w:rFonts w:cs="Arial"/>
                            <w:color w:val="001D77"/>
                            <w:sz w:val="18"/>
                            <w:szCs w:val="30"/>
                            <w:shd w:val="clear" w:color="auto" w:fill="F0F0F0"/>
                          </w:rPr>
                          <w:t>Common land</w:t>
                        </w:r>
                      </w:hyperlink>
                    </w:p>
                    <w:p w:rsidR="00E84AB6" w:rsidRPr="00505A92" w:rsidRDefault="00E84AB6" w:rsidP="00AB6D25">
                      <w:pPr>
                        <w:rPr>
                          <w:b/>
                          <w:color w:val="000000" w:themeColor="text1"/>
                          <w:szCs w:val="24"/>
                        </w:rPr>
                      </w:pPr>
                    </w:p>
                  </w:txbxContent>
                </v:textbox>
                <w10:wrap type="square" anchorx="margin"/>
              </v:shape>
            </w:pict>
          </mc:Fallback>
        </mc:AlternateContent>
      </w:r>
    </w:p>
    <w:sectPr w:rsidR="00D261A2" w:rsidRPr="00001C5B" w:rsidSect="003B18B6">
      <w:headerReference w:type="default" r:id="rId47"/>
      <w:footerReference w:type="default" r:id="rId48"/>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50D" w:rsidRDefault="00FD150D" w:rsidP="000662E2">
      <w:pPr>
        <w:spacing w:after="0" w:line="240" w:lineRule="auto"/>
      </w:pPr>
      <w:r>
        <w:separator/>
      </w:r>
    </w:p>
  </w:endnote>
  <w:endnote w:type="continuationSeparator" w:id="0">
    <w:p w:rsidR="00FD150D" w:rsidRDefault="00FD150D"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Fira Sans Condensed SemiBold">
    <w:panose1 w:val="00000000000000000000"/>
    <w:charset w:val="00"/>
    <w:family w:val="swiss"/>
    <w:notTrueType/>
    <w:pitch w:val="variable"/>
    <w:sig w:usb0="00000007" w:usb1="00000001" w:usb2="00000000" w:usb3="00000000" w:csb0="00000093"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410854"/>
      <w:docPartObj>
        <w:docPartGallery w:val="Page Numbers (Bottom of Page)"/>
        <w:docPartUnique/>
      </w:docPartObj>
    </w:sdtPr>
    <w:sdtEndPr/>
    <w:sdtContent>
      <w:p w:rsidR="00E84AB6" w:rsidRDefault="00E84AB6" w:rsidP="003B18B6">
        <w:pPr>
          <w:pStyle w:val="Stopka"/>
          <w:jc w:val="center"/>
        </w:pPr>
        <w:r>
          <w:fldChar w:fldCharType="begin"/>
        </w:r>
        <w:r>
          <w:instrText>PAGE   \* MERGEFORMAT</w:instrText>
        </w:r>
        <w:r>
          <w:fldChar w:fldCharType="separate"/>
        </w:r>
        <w:r w:rsidR="00F97C31">
          <w:rPr>
            <w:noProof/>
          </w:rPr>
          <w:t>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3321397"/>
      <w:docPartObj>
        <w:docPartGallery w:val="Page Numbers (Bottom of Page)"/>
        <w:docPartUnique/>
      </w:docPartObj>
    </w:sdtPr>
    <w:sdtEndPr/>
    <w:sdtContent>
      <w:p w:rsidR="00E84AB6" w:rsidRDefault="00E84AB6" w:rsidP="003B18B6">
        <w:pPr>
          <w:pStyle w:val="Stopka"/>
          <w:jc w:val="center"/>
        </w:pPr>
        <w:r>
          <w:fldChar w:fldCharType="begin"/>
        </w:r>
        <w:r>
          <w:instrText>PAGE   \* MERGEFORMAT</w:instrText>
        </w:r>
        <w:r>
          <w:fldChar w:fldCharType="separate"/>
        </w:r>
        <w:r w:rsidR="00F97C31">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rsidR="00E84AB6" w:rsidRDefault="00E84AB6" w:rsidP="003B18B6">
        <w:pPr>
          <w:pStyle w:val="Stopka"/>
          <w:jc w:val="center"/>
        </w:pPr>
        <w:r>
          <w:fldChar w:fldCharType="begin"/>
        </w:r>
        <w:r>
          <w:instrText>PAGE   \* MERGEFORMAT</w:instrText>
        </w:r>
        <w:r>
          <w:fldChar w:fldCharType="separate"/>
        </w:r>
        <w:r w:rsidR="00F97C31">
          <w:rPr>
            <w:noProof/>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50D" w:rsidRDefault="00FD150D" w:rsidP="000662E2">
      <w:pPr>
        <w:spacing w:after="0" w:line="240" w:lineRule="auto"/>
      </w:pPr>
      <w:r>
        <w:separator/>
      </w:r>
    </w:p>
  </w:footnote>
  <w:footnote w:type="continuationSeparator" w:id="0">
    <w:p w:rsidR="00FD150D" w:rsidRDefault="00FD150D" w:rsidP="000662E2">
      <w:pPr>
        <w:spacing w:after="0" w:line="240" w:lineRule="auto"/>
      </w:pPr>
      <w:r>
        <w:continuationSeparator/>
      </w:r>
    </w:p>
  </w:footnote>
  <w:footnote w:id="1">
    <w:p w:rsidR="00E84AB6" w:rsidRPr="00281994" w:rsidRDefault="00E84AB6">
      <w:pPr>
        <w:pStyle w:val="Tekstprzypisudolnego"/>
        <w:rPr>
          <w:lang w:val="en-GB"/>
        </w:rPr>
      </w:pPr>
      <w:r>
        <w:rPr>
          <w:rStyle w:val="Odwoanieprzypisudolnego"/>
        </w:rPr>
        <w:footnoteRef/>
      </w:r>
      <w:r w:rsidRPr="00281994">
        <w:rPr>
          <w:lang w:val="en-GB"/>
        </w:rPr>
        <w:t xml:space="preserve"> </w:t>
      </w:r>
      <w:r w:rsidRPr="00281994">
        <w:rPr>
          <w:sz w:val="16"/>
          <w:szCs w:val="16"/>
          <w:lang w:val="en-GB"/>
        </w:rPr>
        <w:t>Without dwellings constituting a separate ownership</w:t>
      </w:r>
      <w:r>
        <w:rPr>
          <w:sz w:val="16"/>
          <w:szCs w:val="16"/>
          <w:lang w:val="en-GB"/>
        </w:rPr>
        <w:t>,</w:t>
      </w:r>
      <w:r w:rsidRPr="00281994">
        <w:rPr>
          <w:sz w:val="16"/>
          <w:szCs w:val="16"/>
          <w:lang w:val="en-GB"/>
        </w:rPr>
        <w:t xml:space="preserve"> located in buildings owned by housing cooperatives.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AB6" w:rsidRDefault="00E84AB6">
    <w:pPr>
      <w:pStyle w:val="Nagwek"/>
    </w:pPr>
    <w:r>
      <w:rPr>
        <w:noProof/>
        <w:lang w:eastAsia="pl-PL"/>
      </w:rPr>
      <mc:AlternateContent>
        <mc:Choice Requires="wps">
          <w:drawing>
            <wp:anchor distT="0" distB="0" distL="114300" distR="114300" simplePos="0" relativeHeight="251662336" behindDoc="1" locked="0" layoutInCell="1" allowOverlap="1" wp14:anchorId="561875D7" wp14:editId="561875D8">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44A14"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E84AB6" w:rsidRDefault="00E84AB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AB6" w:rsidRDefault="00E84AB6">
    <w:pPr>
      <w:pStyle w:val="Nagwek"/>
      <w:rPr>
        <w:noProof/>
        <w:lang w:eastAsia="pl-PL"/>
      </w:rPr>
    </w:pPr>
    <w:r>
      <w:rPr>
        <w:noProof/>
        <w:lang w:eastAsia="pl-PL"/>
      </w:rPr>
      <w:drawing>
        <wp:anchor distT="0" distB="0" distL="114300" distR="114300" simplePos="0" relativeHeight="251661312" behindDoc="0" locked="0" layoutInCell="1" allowOverlap="1" wp14:anchorId="561875D9" wp14:editId="561875DA">
          <wp:simplePos x="0" y="0"/>
          <wp:positionH relativeFrom="column">
            <wp:posOffset>0</wp:posOffset>
          </wp:positionH>
          <wp:positionV relativeFrom="paragraph">
            <wp:posOffset>-635</wp:posOffset>
          </wp:positionV>
          <wp:extent cx="1955800" cy="744855"/>
          <wp:effectExtent l="0" t="0" r="0" b="0"/>
          <wp:wrapSquare wrapText="bothSides"/>
          <wp:docPr id="4" name="Obraz 4" descr="C:\Users\zawistowskaB\AppData\Local\Microsoft\Windows\INetCache\Content.Word\logog-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wistowskaB\AppData\Local\Microsoft\Windows\INetCache\Content.Word\logog-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744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172">
      <w:rPr>
        <w:noProof/>
        <w:lang w:eastAsia="pl-PL"/>
      </w:rPr>
      <mc:AlternateContent>
        <mc:Choice Requires="wps">
          <w:drawing>
            <wp:anchor distT="0" distB="0" distL="114300" distR="114300" simplePos="0" relativeHeight="251657216" behindDoc="0" locked="0" layoutInCell="1" allowOverlap="1" wp14:anchorId="561875DB" wp14:editId="561875DC">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4AB6" w:rsidRPr="003C6C8D" w:rsidRDefault="00E84AB6" w:rsidP="00074DD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875DB" id="Schemat blokowy: opóźnienie 6" o:spid="_x0000_s1046" style="position:absolute;margin-left:396.6pt;margin-top:15.65pt;width:162.25pt;height:28.1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E84AB6" w:rsidRPr="003C6C8D" w:rsidRDefault="00E84AB6" w:rsidP="00074DD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p>
  <w:p w:rsidR="00E84AB6" w:rsidRDefault="00F97C31">
    <w:pPr>
      <w:pStyle w:val="Nagwek"/>
      <w:rPr>
        <w:noProof/>
        <w:lang w:eastAsia="pl-PL"/>
      </w:rPr>
    </w:pPr>
    <w:r>
      <w:rPr>
        <w:noProof/>
        <w:lang w:eastAsia="pl-PL"/>
      </w:rPr>
      <mc:AlternateContent>
        <mc:Choice Requires="wps">
          <w:drawing>
            <wp:anchor distT="0" distB="0" distL="114300" distR="114300" simplePos="0" relativeHeight="251655168" behindDoc="1" locked="0" layoutInCell="1" allowOverlap="1" wp14:anchorId="561875DD" wp14:editId="561875DE">
              <wp:simplePos x="0" y="0"/>
              <wp:positionH relativeFrom="column">
                <wp:posOffset>5216769</wp:posOffset>
              </wp:positionH>
              <wp:positionV relativeFrom="paragraph">
                <wp:posOffset>153572</wp:posOffset>
              </wp:positionV>
              <wp:extent cx="1871980" cy="19561908"/>
              <wp:effectExtent l="0" t="0" r="0" b="2540"/>
              <wp:wrapNone/>
              <wp:docPr id="10" name="Prostokąt 10"/>
              <wp:cNvGraphicFramePr/>
              <a:graphic xmlns:a="http://schemas.openxmlformats.org/drawingml/2006/main">
                <a:graphicData uri="http://schemas.microsoft.com/office/word/2010/wordprocessingShape">
                  <wps:wsp>
                    <wps:cNvSpPr/>
                    <wps:spPr>
                      <a:xfrm>
                        <a:off x="0" y="0"/>
                        <a:ext cx="1871980" cy="19561908"/>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7FDB1" id="Prostokąt 10" o:spid="_x0000_s1026" style="position:absolute;margin-left:410.75pt;margin-top:12.1pt;width:147.4pt;height:154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" fillcolor="#f2f2f2" stroked="f" strokeweight="1pt"/>
          </w:pict>
        </mc:Fallback>
      </mc:AlternateContent>
    </w:r>
  </w:p>
  <w:p w:rsidR="00E84AB6" w:rsidRDefault="00E84AB6">
    <w:pPr>
      <w:pStyle w:val="Nagwek"/>
      <w:rPr>
        <w:noProof/>
        <w:lang w:eastAsia="pl-PL"/>
      </w:rPr>
    </w:pPr>
  </w:p>
  <w:p w:rsidR="00E84AB6" w:rsidRDefault="00E84AB6">
    <w:pPr>
      <w:pStyle w:val="Nagwek"/>
      <w:rPr>
        <w:noProof/>
        <w:lang w:eastAsia="pl-PL"/>
      </w:rPr>
    </w:pPr>
    <w:r w:rsidRPr="00F37172">
      <w:rPr>
        <w:noProof/>
        <w:lang w:eastAsia="pl-PL"/>
      </w:rPr>
      <mc:AlternateContent>
        <mc:Choice Requires="wps">
          <w:drawing>
            <wp:anchor distT="45720" distB="45720" distL="114300" distR="114300" simplePos="0" relativeHeight="251659264" behindDoc="0" locked="0" layoutInCell="1" allowOverlap="1" wp14:anchorId="561875DF" wp14:editId="561875E0">
              <wp:simplePos x="0" y="0"/>
              <wp:positionH relativeFrom="column">
                <wp:posOffset>5219700</wp:posOffset>
              </wp:positionH>
              <wp:positionV relativeFrom="paragraph">
                <wp:posOffset>266065</wp:posOffset>
              </wp:positionV>
              <wp:extent cx="1432293"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rsidR="00E84AB6" w:rsidRPr="00C97596" w:rsidRDefault="00E84AB6" w:rsidP="00F37172">
                          <w:pPr>
                            <w:jc w:val="both"/>
                            <w:rPr>
                              <w:rFonts w:ascii="Fira Sans SemiBold" w:hAnsi="Fira Sans SemiBold"/>
                              <w:color w:val="001D77"/>
                            </w:rPr>
                          </w:pPr>
                          <w:r>
                            <w:rPr>
                              <w:rFonts w:ascii="Fira Sans SemiBold" w:hAnsi="Fira Sans SemiBold"/>
                              <w:color w:val="001D77"/>
                            </w:rPr>
                            <w:t>16.09.2019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875DF" id="_x0000_t202" coordsize="21600,21600" o:spt="202" path="m,l,21600r21600,l21600,xe">
              <v:stroke joinstyle="miter"/>
              <v:path gradientshapeok="t" o:connecttype="rect"/>
            </v:shapetype>
            <v:shape id="_x0000_s1047" type="#_x0000_t202" style="position:absolute;margin-left:411pt;margin-top:20.95pt;width:112.8pt;height:2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BBGbvN&#10;EAIAAP4DAAAOAAAAAAAAAAAAAAAAAC4CAABkcnMvZTJvRG9jLnhtbFBLAQItABQABgAIAAAAIQBr&#10;Z3Ed3gAAAAoBAAAPAAAAAAAAAAAAAAAAAGoEAABkcnMvZG93bnJldi54bWxQSwUGAAAAAAQABADz&#10;AAAAdQUAAAAA&#10;" filled="f" stroked="f">
              <v:textbox>
                <w:txbxContent>
                  <w:p w:rsidR="00E84AB6" w:rsidRPr="00C97596" w:rsidRDefault="00E84AB6" w:rsidP="00F37172">
                    <w:pPr>
                      <w:jc w:val="both"/>
                      <w:rPr>
                        <w:rFonts w:ascii="Fira Sans SemiBold" w:hAnsi="Fira Sans SemiBold"/>
                        <w:color w:val="001D77"/>
                      </w:rPr>
                    </w:pPr>
                    <w:r>
                      <w:rPr>
                        <w:rFonts w:ascii="Fira Sans SemiBold" w:hAnsi="Fira Sans SemiBold"/>
                        <w:color w:val="001D77"/>
                      </w:rPr>
                      <w:t>16.09.2019</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AB6" w:rsidRDefault="00E84AB6">
    <w:pPr>
      <w:pStyle w:val="Nagwek"/>
    </w:pPr>
  </w:p>
  <w:p w:rsidR="00E84AB6" w:rsidRDefault="00E84AB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23.1pt;height:124.9pt;visibility:visible;mso-wrap-style:square" o:bullet="t">
        <v:imagedata r:id="rId1" o:title=""/>
      </v:shape>
    </w:pict>
  </w:numPicBullet>
  <w:numPicBullet w:numPicBulletId="1">
    <w:pict>
      <v:shape id="_x0000_i1041" type="#_x0000_t75" style="width:123.7pt;height:124.9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F354A0D"/>
    <w:multiLevelType w:val="hybridMultilevel"/>
    <w:tmpl w:val="43BA83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A5A3F41"/>
    <w:multiLevelType w:val="hybridMultilevel"/>
    <w:tmpl w:val="D8943DA4"/>
    <w:lvl w:ilvl="0" w:tplc="C1602318">
      <w:start w:val="1"/>
      <w:numFmt w:val="decimal"/>
      <w:lvlText w:val="%1)"/>
      <w:lvlJc w:val="left"/>
      <w:pPr>
        <w:ind w:left="720" w:hanging="360"/>
      </w:pPr>
      <w:rPr>
        <w:rFonts w:cs="Calibri" w:hint="default"/>
        <w:sz w:val="1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F1726E1"/>
    <w:multiLevelType w:val="hybridMultilevel"/>
    <w:tmpl w:val="8B4EBC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23358A8"/>
    <w:multiLevelType w:val="hybridMultilevel"/>
    <w:tmpl w:val="C55C02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D87"/>
    <w:rsid w:val="00001C5B"/>
    <w:rsid w:val="00003437"/>
    <w:rsid w:val="0000709F"/>
    <w:rsid w:val="000108B8"/>
    <w:rsid w:val="000152F5"/>
    <w:rsid w:val="0003779C"/>
    <w:rsid w:val="0004582E"/>
    <w:rsid w:val="000470AA"/>
    <w:rsid w:val="00054077"/>
    <w:rsid w:val="00057CA1"/>
    <w:rsid w:val="000662E2"/>
    <w:rsid w:val="00066883"/>
    <w:rsid w:val="00074DD8"/>
    <w:rsid w:val="000806F7"/>
    <w:rsid w:val="00093C43"/>
    <w:rsid w:val="00093C74"/>
    <w:rsid w:val="000B0727"/>
    <w:rsid w:val="000C0DD6"/>
    <w:rsid w:val="000C135D"/>
    <w:rsid w:val="000D1D43"/>
    <w:rsid w:val="000D1EAB"/>
    <w:rsid w:val="000D225C"/>
    <w:rsid w:val="000D2A5C"/>
    <w:rsid w:val="000E0918"/>
    <w:rsid w:val="001011C3"/>
    <w:rsid w:val="00110D87"/>
    <w:rsid w:val="00114DB9"/>
    <w:rsid w:val="00116087"/>
    <w:rsid w:val="00130296"/>
    <w:rsid w:val="001423B6"/>
    <w:rsid w:val="001448A7"/>
    <w:rsid w:val="00146621"/>
    <w:rsid w:val="00146BB0"/>
    <w:rsid w:val="00162325"/>
    <w:rsid w:val="0019197D"/>
    <w:rsid w:val="001951DA"/>
    <w:rsid w:val="001C3269"/>
    <w:rsid w:val="001C7430"/>
    <w:rsid w:val="001D1DB4"/>
    <w:rsid w:val="001D2736"/>
    <w:rsid w:val="00223CE0"/>
    <w:rsid w:val="00225AB9"/>
    <w:rsid w:val="002574F9"/>
    <w:rsid w:val="00262B61"/>
    <w:rsid w:val="00276811"/>
    <w:rsid w:val="00281994"/>
    <w:rsid w:val="00282699"/>
    <w:rsid w:val="00284DCD"/>
    <w:rsid w:val="002926DF"/>
    <w:rsid w:val="00293384"/>
    <w:rsid w:val="00296697"/>
    <w:rsid w:val="002A6113"/>
    <w:rsid w:val="002B0472"/>
    <w:rsid w:val="002B6B12"/>
    <w:rsid w:val="002D5D08"/>
    <w:rsid w:val="002E6140"/>
    <w:rsid w:val="002E6985"/>
    <w:rsid w:val="002E71B6"/>
    <w:rsid w:val="002F77C8"/>
    <w:rsid w:val="00304F22"/>
    <w:rsid w:val="00306589"/>
    <w:rsid w:val="00306C7C"/>
    <w:rsid w:val="00322EDD"/>
    <w:rsid w:val="00331527"/>
    <w:rsid w:val="00332320"/>
    <w:rsid w:val="00342024"/>
    <w:rsid w:val="00345D51"/>
    <w:rsid w:val="00347D72"/>
    <w:rsid w:val="00357611"/>
    <w:rsid w:val="00367237"/>
    <w:rsid w:val="0037077F"/>
    <w:rsid w:val="00372411"/>
    <w:rsid w:val="00373882"/>
    <w:rsid w:val="003831DD"/>
    <w:rsid w:val="003843DB"/>
    <w:rsid w:val="00391300"/>
    <w:rsid w:val="00393761"/>
    <w:rsid w:val="00397D18"/>
    <w:rsid w:val="003A119C"/>
    <w:rsid w:val="003A1B36"/>
    <w:rsid w:val="003A2056"/>
    <w:rsid w:val="003B1454"/>
    <w:rsid w:val="003B18B6"/>
    <w:rsid w:val="003C59E0"/>
    <w:rsid w:val="003C6C8D"/>
    <w:rsid w:val="003D4F95"/>
    <w:rsid w:val="003D5F42"/>
    <w:rsid w:val="003D60A9"/>
    <w:rsid w:val="003E2B77"/>
    <w:rsid w:val="003E3377"/>
    <w:rsid w:val="003F4C97"/>
    <w:rsid w:val="003F7A34"/>
    <w:rsid w:val="003F7FE6"/>
    <w:rsid w:val="00400193"/>
    <w:rsid w:val="004212E7"/>
    <w:rsid w:val="0042446D"/>
    <w:rsid w:val="00427BF8"/>
    <w:rsid w:val="00431C02"/>
    <w:rsid w:val="00437395"/>
    <w:rsid w:val="00445047"/>
    <w:rsid w:val="00463E39"/>
    <w:rsid w:val="004657FC"/>
    <w:rsid w:val="004733F6"/>
    <w:rsid w:val="00473C96"/>
    <w:rsid w:val="00474E69"/>
    <w:rsid w:val="0049621B"/>
    <w:rsid w:val="00496D3A"/>
    <w:rsid w:val="004C1895"/>
    <w:rsid w:val="004C6D40"/>
    <w:rsid w:val="004D7A97"/>
    <w:rsid w:val="004F0C3C"/>
    <w:rsid w:val="004F63FC"/>
    <w:rsid w:val="00505A92"/>
    <w:rsid w:val="005203F1"/>
    <w:rsid w:val="00521BC3"/>
    <w:rsid w:val="00533632"/>
    <w:rsid w:val="00541E6E"/>
    <w:rsid w:val="0054251F"/>
    <w:rsid w:val="005520D8"/>
    <w:rsid w:val="00556CF1"/>
    <w:rsid w:val="005762A7"/>
    <w:rsid w:val="005916D7"/>
    <w:rsid w:val="005A698C"/>
    <w:rsid w:val="005E0799"/>
    <w:rsid w:val="005F5A80"/>
    <w:rsid w:val="006044FF"/>
    <w:rsid w:val="00607CC5"/>
    <w:rsid w:val="00633014"/>
    <w:rsid w:val="0063437B"/>
    <w:rsid w:val="00634CA0"/>
    <w:rsid w:val="00636C5A"/>
    <w:rsid w:val="006573DE"/>
    <w:rsid w:val="006673CA"/>
    <w:rsid w:val="00673C26"/>
    <w:rsid w:val="006812AF"/>
    <w:rsid w:val="0068327D"/>
    <w:rsid w:val="00686E57"/>
    <w:rsid w:val="00694AF0"/>
    <w:rsid w:val="00694E98"/>
    <w:rsid w:val="006963C1"/>
    <w:rsid w:val="006A4686"/>
    <w:rsid w:val="006B0E9E"/>
    <w:rsid w:val="006B1304"/>
    <w:rsid w:val="006B1C05"/>
    <w:rsid w:val="006B5AE4"/>
    <w:rsid w:val="006D1507"/>
    <w:rsid w:val="006D4054"/>
    <w:rsid w:val="006E02EC"/>
    <w:rsid w:val="006F79A9"/>
    <w:rsid w:val="007211B1"/>
    <w:rsid w:val="0073223E"/>
    <w:rsid w:val="00746187"/>
    <w:rsid w:val="0076254F"/>
    <w:rsid w:val="00770EF8"/>
    <w:rsid w:val="007801F5"/>
    <w:rsid w:val="00783CA4"/>
    <w:rsid w:val="007842FB"/>
    <w:rsid w:val="00786124"/>
    <w:rsid w:val="0079456E"/>
    <w:rsid w:val="0079514B"/>
    <w:rsid w:val="007A2DC1"/>
    <w:rsid w:val="007D3319"/>
    <w:rsid w:val="007D335D"/>
    <w:rsid w:val="007E3314"/>
    <w:rsid w:val="007E4B03"/>
    <w:rsid w:val="007F3137"/>
    <w:rsid w:val="007F324B"/>
    <w:rsid w:val="0080553C"/>
    <w:rsid w:val="00805B46"/>
    <w:rsid w:val="00825DC2"/>
    <w:rsid w:val="00834AD3"/>
    <w:rsid w:val="00843795"/>
    <w:rsid w:val="00847F0F"/>
    <w:rsid w:val="00850E7A"/>
    <w:rsid w:val="00852448"/>
    <w:rsid w:val="0088258A"/>
    <w:rsid w:val="00886332"/>
    <w:rsid w:val="00890023"/>
    <w:rsid w:val="00890ED3"/>
    <w:rsid w:val="008A26D9"/>
    <w:rsid w:val="008C0C29"/>
    <w:rsid w:val="008C407E"/>
    <w:rsid w:val="008E07D5"/>
    <w:rsid w:val="008E531F"/>
    <w:rsid w:val="008F3638"/>
    <w:rsid w:val="008F3C6D"/>
    <w:rsid w:val="008F4441"/>
    <w:rsid w:val="008F6F31"/>
    <w:rsid w:val="008F74DF"/>
    <w:rsid w:val="009029F5"/>
    <w:rsid w:val="009127BA"/>
    <w:rsid w:val="00915AA6"/>
    <w:rsid w:val="009227A6"/>
    <w:rsid w:val="00933EC1"/>
    <w:rsid w:val="009530DB"/>
    <w:rsid w:val="00953676"/>
    <w:rsid w:val="0095512A"/>
    <w:rsid w:val="009705EE"/>
    <w:rsid w:val="00977927"/>
    <w:rsid w:val="0098135C"/>
    <w:rsid w:val="0098156A"/>
    <w:rsid w:val="00991BAC"/>
    <w:rsid w:val="009A5961"/>
    <w:rsid w:val="009A6EA0"/>
    <w:rsid w:val="009C1335"/>
    <w:rsid w:val="009C1AB2"/>
    <w:rsid w:val="009C3C14"/>
    <w:rsid w:val="009C7251"/>
    <w:rsid w:val="009D1927"/>
    <w:rsid w:val="009E2E91"/>
    <w:rsid w:val="00A139F5"/>
    <w:rsid w:val="00A24587"/>
    <w:rsid w:val="00A365F4"/>
    <w:rsid w:val="00A47D80"/>
    <w:rsid w:val="00A508B4"/>
    <w:rsid w:val="00A53132"/>
    <w:rsid w:val="00A563F2"/>
    <w:rsid w:val="00A566E8"/>
    <w:rsid w:val="00A604FA"/>
    <w:rsid w:val="00A76955"/>
    <w:rsid w:val="00A810F9"/>
    <w:rsid w:val="00A86ECC"/>
    <w:rsid w:val="00A86FCC"/>
    <w:rsid w:val="00AA710D"/>
    <w:rsid w:val="00AB5DFF"/>
    <w:rsid w:val="00AB6D25"/>
    <w:rsid w:val="00AC3FCE"/>
    <w:rsid w:val="00AD3A70"/>
    <w:rsid w:val="00AE2D4B"/>
    <w:rsid w:val="00AE4F99"/>
    <w:rsid w:val="00AE79E0"/>
    <w:rsid w:val="00AF22E7"/>
    <w:rsid w:val="00B12859"/>
    <w:rsid w:val="00B1321E"/>
    <w:rsid w:val="00B14952"/>
    <w:rsid w:val="00B22D3C"/>
    <w:rsid w:val="00B31E5A"/>
    <w:rsid w:val="00B653AB"/>
    <w:rsid w:val="00B65F9E"/>
    <w:rsid w:val="00B66B19"/>
    <w:rsid w:val="00B914E9"/>
    <w:rsid w:val="00B956EE"/>
    <w:rsid w:val="00BA2BA1"/>
    <w:rsid w:val="00BB4F09"/>
    <w:rsid w:val="00BC39B4"/>
    <w:rsid w:val="00BD4E33"/>
    <w:rsid w:val="00BF23BF"/>
    <w:rsid w:val="00C030DE"/>
    <w:rsid w:val="00C22105"/>
    <w:rsid w:val="00C244B6"/>
    <w:rsid w:val="00C3702F"/>
    <w:rsid w:val="00C42F45"/>
    <w:rsid w:val="00C64A37"/>
    <w:rsid w:val="00C7158E"/>
    <w:rsid w:val="00C7250B"/>
    <w:rsid w:val="00C7346B"/>
    <w:rsid w:val="00C77C0E"/>
    <w:rsid w:val="00C86024"/>
    <w:rsid w:val="00C90247"/>
    <w:rsid w:val="00C91687"/>
    <w:rsid w:val="00C924A8"/>
    <w:rsid w:val="00C945FE"/>
    <w:rsid w:val="00C96FAA"/>
    <w:rsid w:val="00C97A04"/>
    <w:rsid w:val="00CA0A0F"/>
    <w:rsid w:val="00CA107B"/>
    <w:rsid w:val="00CA484D"/>
    <w:rsid w:val="00CA4FB6"/>
    <w:rsid w:val="00CB41A7"/>
    <w:rsid w:val="00CC739E"/>
    <w:rsid w:val="00CD58B7"/>
    <w:rsid w:val="00CF4099"/>
    <w:rsid w:val="00D00796"/>
    <w:rsid w:val="00D00C71"/>
    <w:rsid w:val="00D13A67"/>
    <w:rsid w:val="00D261A2"/>
    <w:rsid w:val="00D30555"/>
    <w:rsid w:val="00D33796"/>
    <w:rsid w:val="00D4671C"/>
    <w:rsid w:val="00D56D59"/>
    <w:rsid w:val="00D616D2"/>
    <w:rsid w:val="00D63B5F"/>
    <w:rsid w:val="00D64203"/>
    <w:rsid w:val="00D70EF7"/>
    <w:rsid w:val="00D8397C"/>
    <w:rsid w:val="00D94EED"/>
    <w:rsid w:val="00D96026"/>
    <w:rsid w:val="00DA707B"/>
    <w:rsid w:val="00DA7C1C"/>
    <w:rsid w:val="00DB147A"/>
    <w:rsid w:val="00DB1B7A"/>
    <w:rsid w:val="00DB30AB"/>
    <w:rsid w:val="00DC418F"/>
    <w:rsid w:val="00DC6708"/>
    <w:rsid w:val="00DD60ED"/>
    <w:rsid w:val="00DE7848"/>
    <w:rsid w:val="00E00C8E"/>
    <w:rsid w:val="00E01436"/>
    <w:rsid w:val="00E045BD"/>
    <w:rsid w:val="00E128CF"/>
    <w:rsid w:val="00E17B77"/>
    <w:rsid w:val="00E23337"/>
    <w:rsid w:val="00E259EA"/>
    <w:rsid w:val="00E32061"/>
    <w:rsid w:val="00E41DF8"/>
    <w:rsid w:val="00E42FF9"/>
    <w:rsid w:val="00E4714C"/>
    <w:rsid w:val="00E51AEB"/>
    <w:rsid w:val="00E522A7"/>
    <w:rsid w:val="00E54452"/>
    <w:rsid w:val="00E549D5"/>
    <w:rsid w:val="00E664C5"/>
    <w:rsid w:val="00E671A2"/>
    <w:rsid w:val="00E76D26"/>
    <w:rsid w:val="00E84408"/>
    <w:rsid w:val="00E84AB6"/>
    <w:rsid w:val="00EB1390"/>
    <w:rsid w:val="00EB2C71"/>
    <w:rsid w:val="00EB4340"/>
    <w:rsid w:val="00EB556D"/>
    <w:rsid w:val="00EB5A7D"/>
    <w:rsid w:val="00ED55C0"/>
    <w:rsid w:val="00ED682B"/>
    <w:rsid w:val="00EE41D5"/>
    <w:rsid w:val="00F037A4"/>
    <w:rsid w:val="00F06B26"/>
    <w:rsid w:val="00F163AA"/>
    <w:rsid w:val="00F27C8F"/>
    <w:rsid w:val="00F32749"/>
    <w:rsid w:val="00F37172"/>
    <w:rsid w:val="00F4477E"/>
    <w:rsid w:val="00F467CA"/>
    <w:rsid w:val="00F60C2F"/>
    <w:rsid w:val="00F670E8"/>
    <w:rsid w:val="00F67D8F"/>
    <w:rsid w:val="00F802BE"/>
    <w:rsid w:val="00F86024"/>
    <w:rsid w:val="00F8611A"/>
    <w:rsid w:val="00F97C31"/>
    <w:rsid w:val="00FA5128"/>
    <w:rsid w:val="00FB42D4"/>
    <w:rsid w:val="00FB5906"/>
    <w:rsid w:val="00FB762F"/>
    <w:rsid w:val="00FC2AED"/>
    <w:rsid w:val="00FD150D"/>
    <w:rsid w:val="00FD4F90"/>
    <w:rsid w:val="00FD592F"/>
    <w:rsid w:val="00FD5EA7"/>
    <w:rsid w:val="00FD670D"/>
    <w:rsid w:val="00FF59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654032-C91E-4B51-8EDF-BCAB959F7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paragraph" w:styleId="Tekstpodstawowy">
    <w:name w:val="Body Text"/>
    <w:basedOn w:val="Normalny"/>
    <w:link w:val="TekstpodstawowyZnak"/>
    <w:uiPriority w:val="1"/>
    <w:qFormat/>
    <w:rsid w:val="00E41DF8"/>
    <w:pPr>
      <w:widowControl w:val="0"/>
      <w:autoSpaceDE w:val="0"/>
      <w:autoSpaceDN w:val="0"/>
      <w:adjustRightInd w:val="0"/>
      <w:spacing w:before="0" w:after="0" w:line="240" w:lineRule="auto"/>
      <w:ind w:left="100"/>
    </w:pPr>
    <w:rPr>
      <w:rFonts w:eastAsia="Times New Roman" w:cs="Fira Sans"/>
      <w:szCs w:val="19"/>
      <w:lang w:eastAsia="pl-PL"/>
    </w:rPr>
  </w:style>
  <w:style w:type="character" w:customStyle="1" w:styleId="TekstpodstawowyZnak">
    <w:name w:val="Tekst podstawowy Znak"/>
    <w:basedOn w:val="Domylnaczcionkaakapitu"/>
    <w:link w:val="Tekstpodstawowy"/>
    <w:uiPriority w:val="1"/>
    <w:rsid w:val="00E41DF8"/>
    <w:rPr>
      <w:rFonts w:ascii="Fira Sans" w:eastAsia="Times New Roman" w:hAnsi="Fira Sans" w:cs="Fira Sans"/>
      <w:sz w:val="19"/>
      <w:szCs w:val="19"/>
      <w:lang w:eastAsia="pl-PL"/>
    </w:rPr>
  </w:style>
  <w:style w:type="paragraph" w:styleId="Legenda">
    <w:name w:val="caption"/>
    <w:basedOn w:val="Normalny"/>
    <w:next w:val="Normalny"/>
    <w:qFormat/>
    <w:rsid w:val="00E41DF8"/>
    <w:pPr>
      <w:spacing w:before="360" w:after="0" w:line="360" w:lineRule="exact"/>
      <w:jc w:val="both"/>
    </w:pPr>
    <w:rPr>
      <w:rFonts w:ascii="Times New Roman" w:eastAsia="Times New Roman" w:hAnsi="Times New Roman" w:cs="Times New Roman"/>
      <w:b/>
      <w:i/>
      <w:sz w:val="24"/>
      <w:szCs w:val="20"/>
      <w:lang w:val="en-US"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rzecznik@stat.gov.pl" TargetMode="External"/><Relationship Id="rId26" Type="http://schemas.openxmlformats.org/officeDocument/2006/relationships/hyperlink" Target="http://swaid.stat.gov.pl/en/SitePagesDBW/InfrastrukturaKomMieszk.aspx" TargetMode="External"/><Relationship Id="rId39" Type="http://schemas.openxmlformats.org/officeDocument/2006/relationships/hyperlink" Target="https://stat.gov.pl/en/metainformations/glossary/terms-used-in-official-statistics/202,term.html" TargetMode="External"/><Relationship Id="rId21" Type="http://schemas.openxmlformats.org/officeDocument/2006/relationships/image" Target="media/image5.png"/><Relationship Id="rId34" Type="http://schemas.openxmlformats.org/officeDocument/2006/relationships/hyperlink" Target="https://stat.gov.pl/en/metainformations/glossary/terms-used-in-official-statistics/1375,term.html" TargetMode="External"/><Relationship Id="rId42" Type="http://schemas.openxmlformats.org/officeDocument/2006/relationships/hyperlink" Target="https://stat.gov.pl/en/metainformations/glossary/terms-used-in-official-statistics/638,term.html"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stat.gov.pl/en/metainformations/glossary/terms-used-in-official-statistics/133,term.html" TargetMode="External"/><Relationship Id="rId11" Type="http://schemas.openxmlformats.org/officeDocument/2006/relationships/image" Target="media/image2.emf"/><Relationship Id="rId24" Type="http://schemas.openxmlformats.org/officeDocument/2006/relationships/hyperlink" Target="https://stat.gov.pl/en/topics/municipal-infrastructure/municipal-infrastructure/housing-economy-in-2017,5,14.html" TargetMode="External"/><Relationship Id="rId32" Type="http://schemas.openxmlformats.org/officeDocument/2006/relationships/hyperlink" Target="https://stat.gov.pl/en/metainformations/glossary/terms-used-in-official-statistics/157,term.html" TargetMode="External"/><Relationship Id="rId37" Type="http://schemas.openxmlformats.org/officeDocument/2006/relationships/hyperlink" Target="https://bdl.stat.gov.pl/BDL/dane/podgrup/temat" TargetMode="External"/><Relationship Id="rId40" Type="http://schemas.openxmlformats.org/officeDocument/2006/relationships/hyperlink" Target="https://stat.gov.pl/en/metainformations/glossary/terms-used-in-official-statistics/324,term.html" TargetMode="External"/><Relationship Id="rId45" Type="http://schemas.openxmlformats.org/officeDocument/2006/relationships/hyperlink" Target="https://stat.gov.pl/en/metainformations/glossary/terms-used-in-official-statistics/1481,term.html"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stat.gov.pl/en/topics/municipal-infrastructure/municipal-infrastructure/housing-economy-in-2016,5,13.html" TargetMode="External"/><Relationship Id="rId28" Type="http://schemas.openxmlformats.org/officeDocument/2006/relationships/hyperlink" Target="https://stat.gov.pl/en/metainformations/glossary/terms-used-in-official-statistics/324,term.html" TargetMode="External"/><Relationship Id="rId36" Type="http://schemas.openxmlformats.org/officeDocument/2006/relationships/hyperlink" Target="https://stat.gov.pl/en/topics/municipal-infrastructure/municipal-infrastructure/housing-economy-in-2017,5,14.html"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obslugaprasowa@stat.gov.pl" TargetMode="External"/><Relationship Id="rId31" Type="http://schemas.openxmlformats.org/officeDocument/2006/relationships/hyperlink" Target="https://stat.gov.pl/en/metainformations/glossary/terms-used-in-official-statistics/1730,term.html" TargetMode="External"/><Relationship Id="rId44" Type="http://schemas.openxmlformats.org/officeDocument/2006/relationships/hyperlink" Target="https://stat.gov.pl/en/metainformations/glossary/terms-used-in-official-statistics/157,term.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hyperlink" Target="https://stat.gov.pl/en/metainformations/glossary/terms-used-in-official-statistics/202,term.html" TargetMode="External"/><Relationship Id="rId30" Type="http://schemas.openxmlformats.org/officeDocument/2006/relationships/hyperlink" Target="https://stat.gov.pl/en/metainformations/glossary/terms-used-in-official-statistics/638,term.html" TargetMode="External"/><Relationship Id="rId35" Type="http://schemas.openxmlformats.org/officeDocument/2006/relationships/hyperlink" Target="https://stat.gov.pl/en/topics/municipal-infrastructure/municipal-infrastructure/housing-economy-in-2016,5,13.html" TargetMode="External"/><Relationship Id="rId43" Type="http://schemas.openxmlformats.org/officeDocument/2006/relationships/hyperlink" Target="https://stat.gov.pl/en/metainformations/glossary/terms-used-in-official-statistics/1730,term.html" TargetMode="External"/><Relationship Id="rId48"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chart" Target="charts/chart1.xml"/><Relationship Id="rId17" Type="http://schemas.openxmlformats.org/officeDocument/2006/relationships/hyperlink" Target="mailto:i.adamczyk@stat.gov.pl" TargetMode="External"/><Relationship Id="rId25" Type="http://schemas.openxmlformats.org/officeDocument/2006/relationships/hyperlink" Target="https://bdl.stat.gov.pl/BDL/dane/podgrup/temat" TargetMode="External"/><Relationship Id="rId33" Type="http://schemas.openxmlformats.org/officeDocument/2006/relationships/hyperlink" Target="https://stat.gov.pl/en/metainformations/glossary/terms-used-in-official-statistics/1481,term.html" TargetMode="External"/><Relationship Id="rId38" Type="http://schemas.openxmlformats.org/officeDocument/2006/relationships/hyperlink" Target="http://swaid.stat.gov.pl/en/SitePagesDBW/InfrastrukturaKomMieszk.aspx" TargetMode="External"/><Relationship Id="rId46" Type="http://schemas.openxmlformats.org/officeDocument/2006/relationships/hyperlink" Target="https://stat.gov.pl/en/metainformations/glossary/terms-used-in-official-statistics/1375,term.html" TargetMode="External"/><Relationship Id="rId20" Type="http://schemas.openxmlformats.org/officeDocument/2006/relationships/image" Target="media/image4.png"/><Relationship Id="rId41" Type="http://schemas.openxmlformats.org/officeDocument/2006/relationships/hyperlink" Target="https://stat.gov.pl/en/metainformations/glossary/terms-used-in-official-statistics/133,term.html"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Arkusz_programu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476373074183572"/>
          <c:y val="4.5900271228875446E-2"/>
          <c:w val="0.73828469396715735"/>
          <c:h val="0.7322000095283312"/>
        </c:manualLayout>
      </c:layout>
      <c:barChart>
        <c:barDir val="bar"/>
        <c:grouping val="clustered"/>
        <c:varyColors val="0"/>
        <c:ser>
          <c:idx val="0"/>
          <c:order val="0"/>
          <c:tx>
            <c:strRef>
              <c:f>Arkusz2!$E$2</c:f>
              <c:strCache>
                <c:ptCount val="1"/>
                <c:pt idx="0">
                  <c:v>Urban areas</c:v>
                </c:pt>
              </c:strCache>
            </c:strRef>
          </c:tx>
          <c:spPr>
            <a:solidFill>
              <a:srgbClr val="CCD2E4"/>
            </a:solidFill>
            <a:ln>
              <a:noFill/>
            </a:ln>
            <a:effectLst/>
          </c:spPr>
          <c:invertIfNegative val="0"/>
          <c:cat>
            <c:strRef>
              <c:f>Arkusz2!$D$3:$D$7</c:f>
              <c:strCache>
                <c:ptCount val="5"/>
                <c:pt idx="0">
                  <c:v>central heating</c:v>
                </c:pt>
                <c:pt idx="1">
                  <c:v>gas supply system</c:v>
                </c:pt>
                <c:pt idx="2">
                  <c:v>bathroom</c:v>
                </c:pt>
                <c:pt idx="3">
                  <c:v>lavatory</c:v>
                </c:pt>
                <c:pt idx="4">
                  <c:v>water supply system</c:v>
                </c:pt>
              </c:strCache>
            </c:strRef>
          </c:cat>
          <c:val>
            <c:numRef>
              <c:f>Arkusz2!$E$3:$E$7</c:f>
              <c:numCache>
                <c:formatCode>0.0</c:formatCode>
                <c:ptCount val="5"/>
                <c:pt idx="0">
                  <c:v>87.7</c:v>
                </c:pt>
                <c:pt idx="1">
                  <c:v>71.400000000000006</c:v>
                </c:pt>
                <c:pt idx="2">
                  <c:v>95.6</c:v>
                </c:pt>
                <c:pt idx="3">
                  <c:v>97.3</c:v>
                </c:pt>
                <c:pt idx="4">
                  <c:v>99.1</c:v>
                </c:pt>
              </c:numCache>
            </c:numRef>
          </c:val>
        </c:ser>
        <c:ser>
          <c:idx val="1"/>
          <c:order val="1"/>
          <c:tx>
            <c:strRef>
              <c:f>Arkusz2!$F$2</c:f>
              <c:strCache>
                <c:ptCount val="1"/>
                <c:pt idx="0">
                  <c:v>Rural areas</c:v>
                </c:pt>
              </c:strCache>
            </c:strRef>
          </c:tx>
          <c:spPr>
            <a:solidFill>
              <a:srgbClr val="6677AD"/>
            </a:solidFill>
            <a:ln>
              <a:noFill/>
            </a:ln>
            <a:effectLst/>
          </c:spPr>
          <c:invertIfNegative val="0"/>
          <c:cat>
            <c:strRef>
              <c:f>Arkusz2!$D$3:$D$7</c:f>
              <c:strCache>
                <c:ptCount val="5"/>
                <c:pt idx="0">
                  <c:v>central heating</c:v>
                </c:pt>
                <c:pt idx="1">
                  <c:v>gas supply system</c:v>
                </c:pt>
                <c:pt idx="2">
                  <c:v>bathroom</c:v>
                </c:pt>
                <c:pt idx="3">
                  <c:v>lavatory</c:v>
                </c:pt>
                <c:pt idx="4">
                  <c:v>water supply system</c:v>
                </c:pt>
              </c:strCache>
            </c:strRef>
          </c:cat>
          <c:val>
            <c:numRef>
              <c:f>Arkusz2!$F$3:$F$7</c:f>
              <c:numCache>
                <c:formatCode>0.0</c:formatCode>
                <c:ptCount val="5"/>
                <c:pt idx="0">
                  <c:v>72</c:v>
                </c:pt>
                <c:pt idx="1">
                  <c:v>22.5</c:v>
                </c:pt>
                <c:pt idx="2">
                  <c:v>83.1</c:v>
                </c:pt>
                <c:pt idx="3">
                  <c:v>86.6</c:v>
                </c:pt>
                <c:pt idx="4">
                  <c:v>92.3</c:v>
                </c:pt>
              </c:numCache>
            </c:numRef>
          </c:val>
        </c:ser>
        <c:ser>
          <c:idx val="2"/>
          <c:order val="2"/>
          <c:tx>
            <c:strRef>
              <c:f>Arkusz2!$G$2</c:f>
              <c:strCache>
                <c:ptCount val="1"/>
                <c:pt idx="0">
                  <c:v>Total</c:v>
                </c:pt>
              </c:strCache>
            </c:strRef>
          </c:tx>
          <c:spPr>
            <a:solidFill>
              <a:srgbClr val="001D77"/>
            </a:solidFill>
            <a:ln>
              <a:noFill/>
            </a:ln>
            <a:effectLst/>
          </c:spPr>
          <c:invertIfNegative val="0"/>
          <c:cat>
            <c:strRef>
              <c:f>Arkusz2!$D$3:$D$7</c:f>
              <c:strCache>
                <c:ptCount val="5"/>
                <c:pt idx="0">
                  <c:v>central heating</c:v>
                </c:pt>
                <c:pt idx="1">
                  <c:v>gas supply system</c:v>
                </c:pt>
                <c:pt idx="2">
                  <c:v>bathroom</c:v>
                </c:pt>
                <c:pt idx="3">
                  <c:v>lavatory</c:v>
                </c:pt>
                <c:pt idx="4">
                  <c:v>water supply system</c:v>
                </c:pt>
              </c:strCache>
            </c:strRef>
          </c:cat>
          <c:val>
            <c:numRef>
              <c:f>Arkusz2!$G$3:$G$7</c:f>
              <c:numCache>
                <c:formatCode>General</c:formatCode>
                <c:ptCount val="5"/>
                <c:pt idx="0">
                  <c:v>82.6</c:v>
                </c:pt>
                <c:pt idx="1">
                  <c:v>55.5</c:v>
                </c:pt>
                <c:pt idx="2">
                  <c:v>91.5</c:v>
                </c:pt>
                <c:pt idx="3">
                  <c:v>93.8</c:v>
                </c:pt>
                <c:pt idx="4">
                  <c:v>96.9</c:v>
                </c:pt>
              </c:numCache>
            </c:numRef>
          </c:val>
        </c:ser>
        <c:dLbls>
          <c:showLegendKey val="0"/>
          <c:showVal val="0"/>
          <c:showCatName val="0"/>
          <c:showSerName val="0"/>
          <c:showPercent val="0"/>
          <c:showBubbleSize val="0"/>
        </c:dLbls>
        <c:gapWidth val="182"/>
        <c:axId val="1119186848"/>
        <c:axId val="1119176512"/>
      </c:barChart>
      <c:catAx>
        <c:axId val="11191868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Fira Sans" panose="020B0503050000020004" pitchFamily="34" charset="0"/>
                <a:ea typeface="+mn-ea"/>
                <a:cs typeface="+mn-cs"/>
              </a:defRPr>
            </a:pPr>
            <a:endParaRPr lang="pl-PL"/>
          </a:p>
        </c:txPr>
        <c:crossAx val="1119176512"/>
        <c:crossesAt val="0"/>
        <c:auto val="1"/>
        <c:lblAlgn val="ctr"/>
        <c:lblOffset val="100"/>
        <c:noMultiLvlLbl val="0"/>
      </c:catAx>
      <c:valAx>
        <c:axId val="1119176512"/>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Fira Sans" panose="020B0503050000020004" pitchFamily="34" charset="0"/>
                <a:ea typeface="+mn-ea"/>
                <a:cs typeface="+mn-cs"/>
              </a:defRPr>
            </a:pPr>
            <a:endParaRPr lang="pl-PL"/>
          </a:p>
        </c:txPr>
        <c:crossAx val="1119186848"/>
        <c:crosses val="autoZero"/>
        <c:crossBetween val="between"/>
        <c:majorUnit val="10"/>
      </c:valAx>
      <c:spPr>
        <a:noFill/>
        <a:ln>
          <a:noFill/>
        </a:ln>
        <a:effectLst/>
      </c:spPr>
    </c:plotArea>
    <c:legend>
      <c:legendPos val="b"/>
      <c:layout>
        <c:manualLayout>
          <c:xMode val="edge"/>
          <c:yMode val="edge"/>
          <c:x val="0.25211017767760441"/>
          <c:y val="0.89296234173524058"/>
          <c:w val="0.49082301515284565"/>
          <c:h val="4.0273528308961387E-2"/>
        </c:manualLayout>
      </c:layout>
      <c:overlay val="0"/>
      <c:spPr>
        <a:noFill/>
        <a:ln>
          <a:noFill/>
        </a:ln>
        <a:effectLst/>
      </c:spPr>
      <c:txPr>
        <a:bodyPr rot="0" spcFirstLastPara="1" vertOverflow="ellipsis" vert="horz" wrap="square" anchor="ctr" anchorCtr="1"/>
        <a:lstStyle/>
        <a:p>
          <a:pPr>
            <a:defRPr sz="750" b="0" i="0" u="none" strike="noStrike" kern="1200" baseline="0">
              <a:solidFill>
                <a:schemeClr val="tx1">
                  <a:lumMod val="65000"/>
                  <a:lumOff val="35000"/>
                </a:schemeClr>
              </a:solidFill>
              <a:latin typeface="Fira Sans" panose="020B0503050000020004"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0.82156</cdr:x>
      <cdr:y>0.82857</cdr:y>
    </cdr:from>
    <cdr:to>
      <cdr:x>1</cdr:x>
      <cdr:y>1</cdr:y>
    </cdr:to>
    <cdr:sp macro="" textlink="">
      <cdr:nvSpPr>
        <cdr:cNvPr id="2" name="Pole tekstowe 1"/>
        <cdr:cNvSpPr txBox="1"/>
      </cdr:nvSpPr>
      <cdr:spPr>
        <a:xfrm xmlns:a="http://schemas.openxmlformats.org/drawingml/2006/main">
          <a:off x="5057775" y="5057775"/>
          <a:ext cx="914400" cy="9144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l-PL" sz="1100"/>
        </a:p>
      </cdr:txBody>
    </cdr:sp>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lejno_x015b__x0107_ xmlns="30d47203-49ec-4c8c-a442-62231931aabb">2</Kolejno_x015b__x0107_>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1" ma:contentTypeDescription="Utwórz nowy dokument." ma:contentTypeScope="" ma:versionID="b20bbc3dded4abcf92e167189ff234f7">
  <xsd:schema xmlns:xsd="http://www.w3.org/2001/XMLSchema" xmlns:xs="http://www.w3.org/2001/XMLSchema" xmlns:p="http://schemas.microsoft.com/office/2006/metadata/properties" xmlns:ns2="30d47203-49ec-4c8c-a442-62231931aabb" targetNamespace="http://schemas.microsoft.com/office/2006/metadata/properties" ma:root="true" ma:fieldsID="c1fa5ad568066013d8ffcd1c33bb2164" ns2:_="">
    <xsd:import namespace="30d47203-49ec-4c8c-a442-62231931aabb"/>
    <xsd:element name="properties">
      <xsd:complexType>
        <xsd:sequence>
          <xsd:element name="documentManagement">
            <xsd:complexType>
              <xsd:all>
                <xsd:element ref="ns2:Kolejno_x015b__x0107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47203-49ec-4c8c-a442-62231931aabb" elementFormDefault="qualified">
    <xsd:import namespace="http://schemas.microsoft.com/office/2006/documentManagement/types"/>
    <xsd:import namespace="http://schemas.microsoft.com/office/infopath/2007/PartnerControls"/>
    <xsd:element name="Kolejno_x015b__x0107_" ma:index="8" nillable="true" ma:displayName="Kolejność" ma:decimals="0" ma:description="sortowanie plików" ma:internalName="Kolejno_x015b__x0107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88BC6-0E0B-417E-B425-E102322624AB}">
  <ds:schemaRefs>
    <ds:schemaRef ds:uri="http://schemas.microsoft.com/sharepoint/v3/contenttype/forms"/>
  </ds:schemaRefs>
</ds:datastoreItem>
</file>

<file path=customXml/itemProps2.xml><?xml version="1.0" encoding="utf-8"?>
<ds:datastoreItem xmlns:ds="http://schemas.openxmlformats.org/officeDocument/2006/customXml" ds:itemID="{8E81ACD1-AD48-4CD7-B5AC-13B344D4B2D0}">
  <ds:schemaRefs>
    <ds:schemaRef ds:uri="http://schemas.microsoft.com/office/2006/metadata/properties"/>
    <ds:schemaRef ds:uri="http://schemas.microsoft.com/office/infopath/2007/PartnerControls"/>
    <ds:schemaRef ds:uri="30d47203-49ec-4c8c-a442-62231931aabb"/>
  </ds:schemaRefs>
</ds:datastoreItem>
</file>

<file path=customXml/itemProps3.xml><?xml version="1.0" encoding="utf-8"?>
<ds:datastoreItem xmlns:ds="http://schemas.openxmlformats.org/officeDocument/2006/customXml" ds:itemID="{440D60D1-AB1F-4D61-80AD-E890AF528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47203-49ec-4c8c-a442-62231931a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428ED-F1D1-4F3D-8FD0-A3731A26B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8</Pages>
  <Words>2513</Words>
  <Characters>15082</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economy in Poland in 2018</dc:title>
  <dc:subject/>
  <cp:keywords/>
  <dc:description/>
  <cp:lastPrinted>2017-11-07T13:05:00Z</cp:lastPrinted>
  <dcterms:created xsi:type="dcterms:W3CDTF">2019-09-11T12:37:00Z</dcterms:created>
  <dcterms:modified xsi:type="dcterms:W3CDTF">2019-09-16T06:11:00Z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