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–</w:t>
      </w:r>
      <w:r w:rsidR="00BC51FC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656A9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September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7F" w:rsidRPr="005C1756" w:rsidRDefault="0007317F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07317F" w:rsidRPr="005C1756" w:rsidRDefault="0007317F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7F" w:rsidRPr="00EF6555" w:rsidRDefault="0007317F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+33.4 bn</w:t>
                            </w:r>
                          </w:p>
                          <w:p w:rsidR="0007317F" w:rsidRPr="00422CBD" w:rsidRDefault="0007317F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07317F" w:rsidRPr="00EF6555" w:rsidRDefault="0007317F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07317F" w:rsidRPr="00EF6555" w:rsidRDefault="0007317F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+33.4 bn</w:t>
                      </w:r>
                    </w:p>
                    <w:p w:rsidR="0007317F" w:rsidRPr="00422CBD" w:rsidRDefault="0007317F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07317F" w:rsidRPr="00EF6555" w:rsidRDefault="0007317F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the January – </w:t>
      </w:r>
      <w:r w:rsidR="00354655">
        <w:rPr>
          <w:lang w:val="en-US"/>
        </w:rPr>
        <w:t>September</w:t>
      </w:r>
      <w:r w:rsidR="00670E27">
        <w:rPr>
          <w:lang w:val="en-US"/>
        </w:rPr>
        <w:t xml:space="preserve"> </w:t>
      </w:r>
      <w:r w:rsidR="00341FC0">
        <w:rPr>
          <w:lang w:val="en-US"/>
        </w:rPr>
        <w:t>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354655">
        <w:rPr>
          <w:rFonts w:cs="Arial"/>
          <w:lang w:val="en-US"/>
        </w:rPr>
        <w:t>746</w:t>
      </w:r>
      <w:r w:rsidR="00C76401">
        <w:rPr>
          <w:rFonts w:cs="Arial"/>
          <w:lang w:val="en-US"/>
        </w:rPr>
        <w:t>.</w:t>
      </w:r>
      <w:r w:rsidR="00354655">
        <w:rPr>
          <w:rFonts w:cs="Arial"/>
          <w:lang w:val="en-US"/>
        </w:rPr>
        <w:t>3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354655">
        <w:rPr>
          <w:rFonts w:cs="Arial"/>
          <w:lang w:val="en-US"/>
        </w:rPr>
        <w:t>712</w:t>
      </w:r>
      <w:r w:rsidR="00670E27">
        <w:rPr>
          <w:rFonts w:cs="Arial"/>
          <w:lang w:val="en-US"/>
        </w:rPr>
        <w:t>.</w:t>
      </w:r>
      <w:r w:rsidR="00354655">
        <w:rPr>
          <w:rFonts w:cs="Arial"/>
          <w:lang w:val="en-US"/>
        </w:rPr>
        <w:t>9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54655">
        <w:rPr>
          <w:rFonts w:cs="Arial"/>
          <w:spacing w:val="-3"/>
          <w:lang w:val="en-US"/>
        </w:rPr>
        <w:t>33</w:t>
      </w:r>
      <w:r w:rsidR="00670E27">
        <w:rPr>
          <w:rFonts w:cs="Arial"/>
          <w:spacing w:val="-3"/>
          <w:lang w:val="en-US"/>
        </w:rPr>
        <w:t>.</w:t>
      </w:r>
      <w:r w:rsidR="00354655">
        <w:rPr>
          <w:rFonts w:cs="Arial"/>
          <w:spacing w:val="-3"/>
          <w:lang w:val="en-US"/>
        </w:rPr>
        <w:t>4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354655">
        <w:rPr>
          <w:rFonts w:cs="Arial"/>
          <w:spacing w:val="-3"/>
          <w:lang w:val="en-US"/>
        </w:rPr>
        <w:t>2</w:t>
      </w:r>
      <w:r w:rsidR="00341FC0">
        <w:rPr>
          <w:rFonts w:cs="Arial"/>
          <w:spacing w:val="-3"/>
          <w:lang w:val="en-US"/>
        </w:rPr>
        <w:t>.</w:t>
      </w:r>
      <w:r w:rsidR="00354655">
        <w:rPr>
          <w:rFonts w:cs="Arial"/>
          <w:spacing w:val="-3"/>
          <w:lang w:val="en-US"/>
        </w:rPr>
        <w:t>3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="00E046FE" w:rsidRPr="00070820">
        <w:rPr>
          <w:rFonts w:cs="Arial"/>
          <w:lang w:val="en-US"/>
        </w:rPr>
        <w:t xml:space="preserve">, </w:t>
      </w:r>
      <w:r w:rsidR="005313E7">
        <w:rPr>
          <w:rFonts w:cs="Arial"/>
          <w:lang w:val="en-US"/>
        </w:rPr>
        <w:t xml:space="preserve"> both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and 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354655">
        <w:rPr>
          <w:rFonts w:cs="Arial"/>
          <w:lang w:val="en-US"/>
        </w:rPr>
        <w:t>1</w:t>
      </w:r>
      <w:r w:rsidR="00371FAC">
        <w:rPr>
          <w:rFonts w:cs="Arial"/>
          <w:lang w:val="en-US"/>
        </w:rPr>
        <w:t>.</w:t>
      </w:r>
      <w:r w:rsidR="00354655">
        <w:rPr>
          <w:rFonts w:cs="Arial"/>
          <w:lang w:val="en-US"/>
        </w:rPr>
        <w:t>8</w:t>
      </w:r>
      <w:r w:rsidR="004B64A7" w:rsidRPr="00070820">
        <w:rPr>
          <w:rFonts w:cs="Arial"/>
          <w:lang w:val="en-US"/>
        </w:rPr>
        <w:t>%</w:t>
      </w:r>
      <w:r w:rsidR="00BC51FC">
        <w:rPr>
          <w:rFonts w:cs="Arial"/>
          <w:lang w:val="en-US"/>
        </w:rPr>
        <w:t xml:space="preserve"> and </w:t>
      </w:r>
      <w:r w:rsidR="00354655">
        <w:rPr>
          <w:rFonts w:cs="Arial"/>
          <w:lang w:val="en-US"/>
        </w:rPr>
        <w:t>5</w:t>
      </w:r>
      <w:r w:rsidR="005313E7">
        <w:rPr>
          <w:rFonts w:cs="Arial"/>
          <w:lang w:val="en-US"/>
        </w:rPr>
        <w:t>.</w:t>
      </w:r>
      <w:r w:rsidR="00354655">
        <w:rPr>
          <w:rFonts w:cs="Arial"/>
          <w:lang w:val="en-US"/>
        </w:rPr>
        <w:t>9</w:t>
      </w:r>
      <w:r w:rsidR="005313E7">
        <w:rPr>
          <w:rFonts w:cs="Arial"/>
          <w:lang w:val="en-US"/>
        </w:rPr>
        <w:t>%</w:t>
      </w:r>
      <w:r>
        <w:rPr>
          <w:rFonts w:cs="Arial"/>
          <w:lang w:val="en-US"/>
        </w:rPr>
        <w:t xml:space="preserve"> </w:t>
      </w:r>
      <w:r w:rsidR="005313E7" w:rsidRPr="005313E7">
        <w:rPr>
          <w:rFonts w:cs="Arial"/>
          <w:lang w:val="en-US"/>
        </w:rPr>
        <w:t>respectively.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3D0FFC" w:rsidRDefault="003D0FF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7F" w:rsidRPr="00070820" w:rsidRDefault="0007317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07317F" w:rsidRPr="00070820" w:rsidRDefault="0007317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CC5570">
        <w:rPr>
          <w:rFonts w:cs="Arial"/>
          <w:spacing w:val="-3"/>
          <w:szCs w:val="19"/>
          <w:lang w:val="en-US"/>
        </w:rPr>
        <w:t>1</w:t>
      </w:r>
      <w:r w:rsidR="00E1002B">
        <w:rPr>
          <w:rFonts w:cs="Arial"/>
          <w:spacing w:val="-3"/>
          <w:szCs w:val="19"/>
          <w:lang w:val="en-US"/>
        </w:rPr>
        <w:t>90</w:t>
      </w:r>
      <w:r w:rsidR="00AD1CDE">
        <w:rPr>
          <w:rFonts w:cs="Arial"/>
          <w:spacing w:val="-3"/>
          <w:szCs w:val="19"/>
          <w:lang w:val="en-US"/>
        </w:rPr>
        <w:t>.</w:t>
      </w:r>
      <w:r w:rsidR="00E1002B">
        <w:rPr>
          <w:rFonts w:cs="Arial"/>
          <w:spacing w:val="-3"/>
          <w:szCs w:val="19"/>
          <w:lang w:val="en-US"/>
        </w:rPr>
        <w:t>0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CC5570">
        <w:rPr>
          <w:rFonts w:cs="Arial"/>
          <w:spacing w:val="-3"/>
          <w:szCs w:val="19"/>
          <w:lang w:val="en-US"/>
        </w:rPr>
        <w:t>1</w:t>
      </w:r>
      <w:r w:rsidR="00E1002B">
        <w:rPr>
          <w:rFonts w:cs="Arial"/>
          <w:spacing w:val="-3"/>
          <w:szCs w:val="19"/>
          <w:lang w:val="en-US"/>
        </w:rPr>
        <w:t>81</w:t>
      </w:r>
      <w:r w:rsidR="00AD1CDE">
        <w:rPr>
          <w:rFonts w:cs="Arial"/>
          <w:spacing w:val="-3"/>
          <w:szCs w:val="19"/>
          <w:lang w:val="en-US"/>
        </w:rPr>
        <w:t>.</w:t>
      </w:r>
      <w:r w:rsidR="00E1002B">
        <w:rPr>
          <w:rFonts w:cs="Arial"/>
          <w:spacing w:val="-3"/>
          <w:szCs w:val="19"/>
          <w:lang w:val="en-US"/>
        </w:rPr>
        <w:t>6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E1002B">
        <w:rPr>
          <w:rFonts w:cs="Arial"/>
          <w:spacing w:val="-3"/>
          <w:szCs w:val="19"/>
          <w:lang w:val="en-US"/>
        </w:rPr>
        <w:t>4</w:t>
      </w:r>
      <w:r w:rsidR="00670AAF">
        <w:rPr>
          <w:rFonts w:cs="Arial"/>
          <w:spacing w:val="-3"/>
          <w:szCs w:val="19"/>
          <w:lang w:val="en-US"/>
        </w:rPr>
        <w:t>.</w:t>
      </w:r>
      <w:r w:rsidR="00E1002B">
        <w:rPr>
          <w:rFonts w:cs="Arial"/>
          <w:spacing w:val="-3"/>
          <w:szCs w:val="19"/>
          <w:lang w:val="en-US"/>
        </w:rPr>
        <w:t>6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E1002B">
        <w:rPr>
          <w:rFonts w:cs="Arial"/>
          <w:spacing w:val="-3"/>
          <w:szCs w:val="19"/>
          <w:lang w:val="en-US"/>
        </w:rPr>
        <w:t>8</w:t>
      </w:r>
      <w:r w:rsidR="001E3F4A">
        <w:rPr>
          <w:rFonts w:cs="Arial"/>
          <w:spacing w:val="-3"/>
          <w:szCs w:val="19"/>
          <w:lang w:val="en-US"/>
        </w:rPr>
        <w:t>.</w:t>
      </w:r>
      <w:r w:rsidR="00E1002B">
        <w:rPr>
          <w:rFonts w:cs="Arial"/>
          <w:spacing w:val="-3"/>
          <w:szCs w:val="19"/>
          <w:lang w:val="en-US"/>
        </w:rPr>
        <w:t>6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E1002B">
        <w:rPr>
          <w:rFonts w:cs="Arial"/>
          <w:spacing w:val="-3"/>
          <w:szCs w:val="19"/>
          <w:lang w:val="en-US"/>
        </w:rPr>
        <w:t>8</w:t>
      </w:r>
      <w:r w:rsidR="00AD1CDE">
        <w:rPr>
          <w:rFonts w:cs="Arial"/>
          <w:spacing w:val="-3"/>
          <w:szCs w:val="19"/>
          <w:lang w:val="en-US"/>
        </w:rPr>
        <w:t>.</w:t>
      </w:r>
      <w:r w:rsidR="00E1002B">
        <w:rPr>
          <w:rFonts w:cs="Arial"/>
          <w:spacing w:val="-3"/>
          <w:szCs w:val="19"/>
          <w:lang w:val="en-US"/>
        </w:rPr>
        <w:t>4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E1002B">
        <w:rPr>
          <w:rFonts w:cs="Arial"/>
          <w:szCs w:val="19"/>
          <w:lang w:val="en-US"/>
        </w:rPr>
        <w:t>6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CC5570">
        <w:rPr>
          <w:rFonts w:cs="Arial"/>
          <w:spacing w:val="-3"/>
          <w:szCs w:val="19"/>
          <w:lang w:val="en-US"/>
        </w:rPr>
        <w:t>1</w:t>
      </w:r>
      <w:r w:rsidR="00E1002B">
        <w:rPr>
          <w:rFonts w:cs="Arial"/>
          <w:spacing w:val="-3"/>
          <w:szCs w:val="19"/>
          <w:lang w:val="en-US"/>
        </w:rPr>
        <w:t>69</w:t>
      </w:r>
      <w:r w:rsidR="00A735AD">
        <w:rPr>
          <w:rFonts w:cs="Arial"/>
          <w:szCs w:val="19"/>
          <w:lang w:val="en-US"/>
        </w:rPr>
        <w:t>.</w:t>
      </w:r>
      <w:r w:rsidR="00E1002B">
        <w:rPr>
          <w:rFonts w:cs="Arial"/>
          <w:szCs w:val="19"/>
          <w:lang w:val="en-US"/>
        </w:rPr>
        <w:t>9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EE269C">
        <w:rPr>
          <w:rFonts w:cs="Arial"/>
          <w:szCs w:val="19"/>
          <w:lang w:val="en-US"/>
        </w:rPr>
        <w:t>1</w:t>
      </w:r>
      <w:r w:rsidR="00E1002B">
        <w:rPr>
          <w:rFonts w:cs="Arial"/>
          <w:szCs w:val="19"/>
          <w:lang w:val="en-US"/>
        </w:rPr>
        <w:t>62</w:t>
      </w:r>
      <w:r w:rsidR="00CF46BB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4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E1002B">
        <w:rPr>
          <w:rFonts w:cs="Arial"/>
          <w:szCs w:val="19"/>
          <w:lang w:val="en-US"/>
        </w:rPr>
        <w:t>4</w:t>
      </w:r>
      <w:r w:rsidR="00A735AD">
        <w:rPr>
          <w:rFonts w:cs="Arial"/>
          <w:szCs w:val="19"/>
          <w:lang w:val="en-US"/>
        </w:rPr>
        <w:t>.</w:t>
      </w:r>
      <w:r w:rsidR="00E1002B">
        <w:rPr>
          <w:rFonts w:cs="Arial"/>
          <w:szCs w:val="19"/>
          <w:lang w:val="en-US"/>
        </w:rPr>
        <w:t>0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E1002B">
        <w:rPr>
          <w:rFonts w:cs="Arial"/>
          <w:szCs w:val="19"/>
          <w:lang w:val="en-US"/>
        </w:rPr>
        <w:t>8</w:t>
      </w:r>
      <w:r w:rsidR="001423BE">
        <w:rPr>
          <w:rFonts w:cs="Arial"/>
          <w:szCs w:val="19"/>
          <w:lang w:val="en-US"/>
        </w:rPr>
        <w:t>.</w:t>
      </w:r>
      <w:r w:rsidR="00E1002B">
        <w:rPr>
          <w:rFonts w:cs="Arial"/>
          <w:szCs w:val="19"/>
          <w:lang w:val="en-US"/>
        </w:rPr>
        <w:t>0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E1002B">
        <w:rPr>
          <w:rFonts w:cs="Arial"/>
          <w:szCs w:val="19"/>
          <w:lang w:val="en-US"/>
        </w:rPr>
        <w:t>7</w:t>
      </w:r>
      <w:r w:rsidR="005700CF">
        <w:rPr>
          <w:rFonts w:cs="Arial"/>
          <w:szCs w:val="19"/>
          <w:lang w:val="en-US"/>
        </w:rPr>
        <w:t>.</w:t>
      </w:r>
      <w:r w:rsidR="00E1002B">
        <w:rPr>
          <w:rFonts w:cs="Arial"/>
          <w:szCs w:val="19"/>
          <w:lang w:val="en-US"/>
        </w:rPr>
        <w:t>5</w:t>
      </w:r>
      <w:r w:rsidR="005700C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and</w:t>
      </w:r>
      <w:r w:rsidR="00E84F3B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E1002B">
        <w:rPr>
          <w:rFonts w:cs="Arial"/>
          <w:szCs w:val="19"/>
          <w:lang w:val="en-US"/>
        </w:rPr>
        <w:t>5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F63B71" w:rsidRDefault="0007317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F63B71" w:rsidRDefault="0007317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FB5129" w:rsidRPr="001E704E">
        <w:rPr>
          <w:rFonts w:cs="Arial"/>
          <w:szCs w:val="19"/>
          <w:lang w:val="en"/>
        </w:rPr>
        <w:t>8</w:t>
      </w:r>
      <w:r w:rsidR="007D7204" w:rsidRPr="001E704E">
        <w:rPr>
          <w:rFonts w:cs="Arial"/>
          <w:szCs w:val="19"/>
          <w:lang w:val="en"/>
        </w:rPr>
        <w:t>6</w:t>
      </w:r>
      <w:r w:rsidR="00FB5129" w:rsidRPr="001E704E">
        <w:rPr>
          <w:rFonts w:cs="Arial"/>
          <w:szCs w:val="19"/>
          <w:lang w:val="en"/>
        </w:rPr>
        <w:t>.</w:t>
      </w:r>
      <w:r w:rsidR="00E1002B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3</w:t>
      </w:r>
      <w:r w:rsidR="000B4CC0" w:rsidRPr="001E704E">
        <w:rPr>
          <w:rFonts w:cs="Arial"/>
          <w:szCs w:val="19"/>
          <w:lang w:val="en"/>
        </w:rPr>
        <w:t>.</w:t>
      </w:r>
      <w:r w:rsidR="00E1002B">
        <w:rPr>
          <w:rFonts w:cs="Arial"/>
          <w:szCs w:val="19"/>
          <w:lang w:val="en"/>
        </w:rPr>
        <w:t>6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 xml:space="preserve">), and 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14778F" w:rsidRPr="001E704E">
        <w:rPr>
          <w:rFonts w:cs="Arial"/>
          <w:szCs w:val="19"/>
          <w:lang w:val="en"/>
        </w:rPr>
        <w:t>6</w:t>
      </w:r>
      <w:r w:rsidR="00A24DAE" w:rsidRPr="001E704E">
        <w:rPr>
          <w:rFonts w:cs="Arial"/>
          <w:szCs w:val="19"/>
          <w:lang w:val="en"/>
        </w:rPr>
        <w:t>4.</w:t>
      </w:r>
      <w:r w:rsidR="00E1002B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CC5570" w:rsidRPr="001E704E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AC2C0D" w:rsidRPr="001E704E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>%), as against 8</w:t>
      </w:r>
      <w:r w:rsidR="00CF46BB" w:rsidRPr="001E704E">
        <w:rPr>
          <w:rFonts w:cs="Arial"/>
          <w:szCs w:val="19"/>
          <w:lang w:val="en"/>
        </w:rPr>
        <w:t>7</w:t>
      </w:r>
      <w:r w:rsidR="00341FC0" w:rsidRPr="001E704E">
        <w:rPr>
          <w:rFonts w:cs="Arial"/>
          <w:szCs w:val="19"/>
          <w:lang w:val="en"/>
        </w:rPr>
        <w:t>.</w:t>
      </w:r>
      <w:r w:rsidR="00E1002B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 xml:space="preserve">% (of which EU </w:t>
      </w:r>
      <w:r w:rsidR="00A0617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4</w:t>
      </w:r>
      <w:r w:rsidR="00B43A4C" w:rsidRPr="001E704E">
        <w:rPr>
          <w:rFonts w:cs="Arial"/>
          <w:szCs w:val="19"/>
          <w:lang w:val="en"/>
        </w:rPr>
        <w:t>.</w:t>
      </w:r>
      <w:r w:rsidR="00AC2C0D" w:rsidRPr="001E704E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>%) and 6</w:t>
      </w:r>
      <w:r w:rsidR="001B2B9A" w:rsidRPr="001E704E">
        <w:rPr>
          <w:rFonts w:cs="Arial"/>
          <w:szCs w:val="19"/>
          <w:lang w:val="en"/>
        </w:rPr>
        <w:t>6.</w:t>
      </w:r>
      <w:r w:rsidR="00AC2C0D" w:rsidRPr="001E704E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43128E" w:rsidRPr="001E704E">
        <w:rPr>
          <w:rFonts w:cs="Arial"/>
          <w:szCs w:val="19"/>
          <w:lang w:val="en"/>
        </w:rPr>
        <w:t>6.</w:t>
      </w:r>
      <w:r w:rsidR="00E1002B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1E704E">
        <w:rPr>
          <w:rFonts w:cs="Arial"/>
          <w:szCs w:val="19"/>
          <w:lang w:val="en"/>
        </w:rPr>
        <w:t>in 201</w:t>
      </w:r>
      <w:r w:rsidR="00A06170" w:rsidRPr="001E704E">
        <w:rPr>
          <w:rFonts w:cs="Arial"/>
          <w:szCs w:val="19"/>
          <w:lang w:val="en"/>
        </w:rPr>
        <w:t>9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A76F14" w:rsidRPr="001E704E">
        <w:rPr>
          <w:shd w:val="clear" w:color="auto" w:fill="FFFFFF"/>
          <w:lang w:val="en-US"/>
        </w:rPr>
        <w:t xml:space="preserve">However, the smallest share </w:t>
      </w:r>
      <w:r w:rsidR="00C86E6F" w:rsidRPr="001E704E">
        <w:rPr>
          <w:shd w:val="clear" w:color="auto" w:fill="FFFFFF"/>
          <w:lang w:val="en-US"/>
        </w:rPr>
        <w:t>was observed with</w:t>
      </w:r>
      <w:r w:rsidR="00A76F14" w:rsidRPr="001E704E">
        <w:rPr>
          <w:shd w:val="clear" w:color="auto" w:fill="FFFFFF"/>
          <w:lang w:val="en-US"/>
        </w:rPr>
        <w:t xml:space="preserve"> the countries of Central and Eastern Europe</w:t>
      </w:r>
      <w:r w:rsidR="006A1323" w:rsidRPr="001E704E">
        <w:rPr>
          <w:shd w:val="clear" w:color="auto" w:fill="FFFFFF"/>
          <w:lang w:val="en-US"/>
        </w:rPr>
        <w:t>, which</w:t>
      </w:r>
      <w:r w:rsidR="00A76F14" w:rsidRPr="001E704E">
        <w:rPr>
          <w:shd w:val="clear" w:color="auto" w:fill="FFFFFF"/>
          <w:lang w:val="en-US"/>
        </w:rPr>
        <w:t xml:space="preserve"> in total </w:t>
      </w:r>
      <w:r w:rsidR="006A1323" w:rsidRPr="001E704E">
        <w:rPr>
          <w:shd w:val="clear" w:color="auto" w:fill="FFFFFF"/>
          <w:lang w:val="en-US"/>
        </w:rPr>
        <w:t>e</w:t>
      </w:r>
      <w:r w:rsidR="00A76F14" w:rsidRPr="001E704E">
        <w:rPr>
          <w:shd w:val="clear" w:color="auto" w:fill="FFFFFF"/>
          <w:lang w:val="en-US"/>
        </w:rPr>
        <w:t xml:space="preserve">xports amounted to </w:t>
      </w:r>
      <w:r w:rsidR="00367987" w:rsidRPr="001E704E">
        <w:rPr>
          <w:shd w:val="clear" w:color="auto" w:fill="FFFFFF"/>
          <w:lang w:val="en-US"/>
        </w:rPr>
        <w:t>6.</w:t>
      </w:r>
      <w:r w:rsidR="00AC2C0D" w:rsidRPr="001E704E">
        <w:rPr>
          <w:shd w:val="clear" w:color="auto" w:fill="FFFFFF"/>
          <w:lang w:val="en-US"/>
        </w:rPr>
        <w:t>1</w:t>
      </w:r>
      <w:r w:rsidR="00A76F14" w:rsidRPr="001E704E">
        <w:rPr>
          <w:shd w:val="clear" w:color="auto" w:fill="FFFFFF"/>
          <w:lang w:val="en-US"/>
        </w:rPr>
        <w:t xml:space="preserve">%, and in imports – </w:t>
      </w:r>
      <w:r w:rsidR="00367987" w:rsidRPr="001E704E">
        <w:rPr>
          <w:shd w:val="clear" w:color="auto" w:fill="FFFFFF"/>
          <w:lang w:val="en-US"/>
        </w:rPr>
        <w:t>6.</w:t>
      </w:r>
      <w:r w:rsidR="00E1002B">
        <w:rPr>
          <w:shd w:val="clear" w:color="auto" w:fill="FFFFFF"/>
          <w:lang w:val="en-US"/>
        </w:rPr>
        <w:t>4</w:t>
      </w:r>
      <w:r w:rsidR="00A76F14" w:rsidRPr="001E704E">
        <w:rPr>
          <w:shd w:val="clear" w:color="auto" w:fill="FFFFFF"/>
          <w:lang w:val="en-US"/>
        </w:rPr>
        <w:t xml:space="preserve">%, as against </w:t>
      </w:r>
      <w:r w:rsidR="005249BC" w:rsidRPr="001E704E">
        <w:rPr>
          <w:shd w:val="clear" w:color="auto" w:fill="FFFFFF"/>
          <w:lang w:val="en-US"/>
        </w:rPr>
        <w:t>5.</w:t>
      </w:r>
      <w:r w:rsidR="00E1002B">
        <w:rPr>
          <w:shd w:val="clear" w:color="auto" w:fill="FFFFFF"/>
          <w:lang w:val="en-US"/>
        </w:rPr>
        <w:t>9</w:t>
      </w:r>
      <w:r w:rsidR="00A76F14" w:rsidRPr="001E704E">
        <w:rPr>
          <w:shd w:val="clear" w:color="auto" w:fill="FFFFFF"/>
          <w:lang w:val="en-US"/>
        </w:rPr>
        <w:t xml:space="preserve">% and </w:t>
      </w:r>
      <w:r w:rsidR="00367987" w:rsidRPr="001E704E">
        <w:rPr>
          <w:shd w:val="clear" w:color="auto" w:fill="FFFFFF"/>
          <w:lang w:val="en-US"/>
        </w:rPr>
        <w:t>7.</w:t>
      </w:r>
      <w:r w:rsidR="00E1002B">
        <w:rPr>
          <w:shd w:val="clear" w:color="auto" w:fill="FFFFFF"/>
          <w:lang w:val="en-US"/>
        </w:rPr>
        <w:t>7</w:t>
      </w:r>
      <w:r w:rsidR="00A76F14" w:rsidRPr="001E704E">
        <w:rPr>
          <w:shd w:val="clear" w:color="auto" w:fill="FFFFFF"/>
          <w:lang w:val="en-US"/>
        </w:rPr>
        <w:t xml:space="preserve">% </w:t>
      </w:r>
      <w:r w:rsidR="0014778F" w:rsidRPr="001E704E">
        <w:rPr>
          <w:shd w:val="clear" w:color="auto" w:fill="FFFFFF"/>
          <w:lang w:val="en-US"/>
        </w:rPr>
        <w:t>in January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5249BC" w:rsidRPr="001E704E">
        <w:rPr>
          <w:shd w:val="clear" w:color="auto" w:fill="FFFFFF"/>
          <w:lang w:val="en-US"/>
        </w:rPr>
        <w:t>–</w:t>
      </w:r>
      <w:r w:rsidR="00367987" w:rsidRPr="001E704E">
        <w:rPr>
          <w:shd w:val="clear" w:color="auto" w:fill="FFFFFF"/>
          <w:lang w:val="en-US"/>
        </w:rPr>
        <w:t xml:space="preserve"> </w:t>
      </w:r>
      <w:r w:rsidR="00E1002B">
        <w:rPr>
          <w:shd w:val="clear" w:color="auto" w:fill="FFFFFF"/>
          <w:lang w:val="en-US"/>
        </w:rPr>
        <w:t>September</w:t>
      </w:r>
      <w:r w:rsidR="00B04C2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201</w:t>
      </w:r>
      <w:r w:rsidR="00A06170" w:rsidRPr="001E704E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367987">
        <w:rPr>
          <w:rFonts w:cs="Arial"/>
          <w:spacing w:val="-3"/>
          <w:lang w:val="en-US"/>
        </w:rPr>
        <w:t>1</w:t>
      </w:r>
      <w:r w:rsidR="00E1002B">
        <w:rPr>
          <w:rFonts w:cs="Arial"/>
          <w:spacing w:val="-3"/>
          <w:lang w:val="en-US"/>
        </w:rPr>
        <w:t>4</w:t>
      </w:r>
      <w:r w:rsidR="00EE269C">
        <w:rPr>
          <w:rFonts w:cs="Arial"/>
          <w:spacing w:val="-3"/>
          <w:lang w:val="en-US"/>
        </w:rPr>
        <w:t>7</w:t>
      </w:r>
      <w:r w:rsidR="00CF46BB">
        <w:rPr>
          <w:rFonts w:cs="Arial"/>
          <w:spacing w:val="-3"/>
          <w:lang w:val="en-US"/>
        </w:rPr>
        <w:t>.</w:t>
      </w:r>
      <w:r w:rsidR="00E1002B">
        <w:rPr>
          <w:rFonts w:cs="Arial"/>
          <w:spacing w:val="-3"/>
          <w:lang w:val="en-US"/>
        </w:rPr>
        <w:t>6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EE269C">
        <w:rPr>
          <w:rFonts w:cs="Arial"/>
          <w:spacing w:val="-3"/>
          <w:lang w:val="en-US"/>
        </w:rPr>
        <w:t>3</w:t>
      </w:r>
      <w:r w:rsidR="00E1002B">
        <w:rPr>
          <w:rFonts w:cs="Arial"/>
          <w:spacing w:val="-3"/>
          <w:lang w:val="en-US"/>
        </w:rPr>
        <w:t>7</w:t>
      </w:r>
      <w:r w:rsidR="00CF46BB">
        <w:rPr>
          <w:rFonts w:cs="Arial"/>
          <w:spacing w:val="-3"/>
          <w:lang w:val="en-US"/>
        </w:rPr>
        <w:t>.</w:t>
      </w:r>
      <w:r w:rsidR="00E1002B">
        <w:rPr>
          <w:rFonts w:cs="Arial"/>
          <w:spacing w:val="-3"/>
          <w:lang w:val="en-US"/>
        </w:rPr>
        <w:t>6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E1002B">
        <w:rPr>
          <w:rFonts w:cs="Arial"/>
          <w:spacing w:val="-3"/>
          <w:lang w:val="en-US"/>
        </w:rPr>
        <w:t>33</w:t>
      </w:r>
      <w:r w:rsidR="00CF46BB">
        <w:rPr>
          <w:rFonts w:cs="Arial"/>
          <w:spacing w:val="-3"/>
          <w:lang w:val="en-US"/>
        </w:rPr>
        <w:t>.</w:t>
      </w:r>
      <w:r w:rsidR="00E1002B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bn)</w:t>
      </w:r>
      <w:r w:rsidR="00E1002B">
        <w:rPr>
          <w:rFonts w:cs="Arial"/>
          <w:spacing w:val="-3"/>
          <w:lang w:val="en-US"/>
        </w:rPr>
        <w:t>,</w:t>
      </w:r>
      <w:r w:rsidR="00C667D5">
        <w:rPr>
          <w:rFonts w:cs="Arial"/>
          <w:spacing w:val="-3"/>
          <w:lang w:val="en-US"/>
        </w:rPr>
        <w:t xml:space="preserve"> </w:t>
      </w:r>
      <w:r w:rsidR="00E1002B" w:rsidRPr="00E1002B">
        <w:rPr>
          <w:rFonts w:cs="Arial"/>
          <w:spacing w:val="-3"/>
          <w:lang w:val="en-US"/>
        </w:rPr>
        <w:t>the balance with the countries of Central and Eastern Europe was balanced</w:t>
      </w:r>
      <w:r w:rsidR="00C667D5">
        <w:rPr>
          <w:rFonts w:cs="Arial"/>
          <w:spacing w:val="-3"/>
          <w:lang w:val="en-US"/>
        </w:rPr>
        <w:t xml:space="preserve">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367987">
        <w:rPr>
          <w:rFonts w:cs="Arial"/>
          <w:spacing w:val="-3"/>
          <w:lang w:val="en-US"/>
        </w:rPr>
        <w:t>1</w:t>
      </w:r>
      <w:r w:rsidR="00E1002B">
        <w:rPr>
          <w:rFonts w:cs="Arial"/>
          <w:spacing w:val="-3"/>
          <w:lang w:val="en-US"/>
        </w:rPr>
        <w:t>81</w:t>
      </w:r>
      <w:r w:rsidR="00A735AD">
        <w:rPr>
          <w:rFonts w:cs="Arial"/>
          <w:spacing w:val="-3"/>
          <w:lang w:val="en-US"/>
        </w:rPr>
        <w:t>.</w:t>
      </w:r>
      <w:r w:rsidR="00E1002B">
        <w:rPr>
          <w:rFonts w:cs="Arial"/>
          <w:spacing w:val="-3"/>
          <w:lang w:val="en-US"/>
        </w:rPr>
        <w:t>0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E1002B">
        <w:rPr>
          <w:rFonts w:cs="Arial"/>
          <w:spacing w:val="-3"/>
          <w:lang w:val="en-US"/>
        </w:rPr>
        <w:t>46</w:t>
      </w:r>
      <w:r w:rsidR="00926D8F">
        <w:rPr>
          <w:rFonts w:cs="Arial"/>
          <w:color w:val="000000"/>
          <w:lang w:val="en-US"/>
        </w:rPr>
        <w:t>.</w:t>
      </w:r>
      <w:r w:rsidR="00F01D52">
        <w:rPr>
          <w:rFonts w:cs="Arial"/>
          <w:color w:val="000000"/>
          <w:lang w:val="en-US"/>
        </w:rPr>
        <w:t>1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E1002B">
        <w:rPr>
          <w:rFonts w:cs="Arial"/>
          <w:spacing w:val="-3"/>
          <w:lang w:val="en-US"/>
        </w:rPr>
        <w:t>41</w:t>
      </w:r>
      <w:r w:rsidR="00EE269C">
        <w:rPr>
          <w:rFonts w:cs="Arial"/>
          <w:spacing w:val="-3"/>
          <w:lang w:val="en-US"/>
        </w:rPr>
        <w:t>.</w:t>
      </w:r>
      <w:r w:rsidR="00E1002B">
        <w:rPr>
          <w:rFonts w:cs="Arial"/>
          <w:spacing w:val="-3"/>
          <w:lang w:val="en-US"/>
        </w:rPr>
        <w:t>1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367987">
        <w:rPr>
          <w:rFonts w:cs="Arial"/>
          <w:spacing w:val="-3"/>
          <w:lang w:val="en-US"/>
        </w:rPr>
        <w:t>1</w:t>
      </w:r>
      <w:r w:rsidR="00E1002B">
        <w:rPr>
          <w:rFonts w:cs="Arial"/>
          <w:spacing w:val="-3"/>
          <w:lang w:val="en-US"/>
        </w:rPr>
        <w:t>56</w:t>
      </w:r>
      <w:r w:rsidR="00A735AD">
        <w:rPr>
          <w:rFonts w:cs="Arial"/>
          <w:color w:val="000000"/>
          <w:lang w:val="en-US"/>
        </w:rPr>
        <w:t>.</w:t>
      </w:r>
      <w:r w:rsidR="00EE269C">
        <w:rPr>
          <w:rFonts w:cs="Arial"/>
          <w:color w:val="000000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EE269C">
        <w:rPr>
          <w:rFonts w:cs="Arial"/>
          <w:spacing w:val="-3"/>
          <w:lang w:val="en-US"/>
        </w:rPr>
        <w:t>3</w:t>
      </w:r>
      <w:r w:rsidR="00E1002B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>.</w:t>
      </w:r>
      <w:r w:rsidR="00EE269C">
        <w:rPr>
          <w:rFonts w:cs="Arial"/>
          <w:spacing w:val="-3"/>
          <w:lang w:val="en-US"/>
        </w:rPr>
        <w:t>8</w:t>
      </w:r>
      <w:r w:rsidR="00A06170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EE269C">
        <w:rPr>
          <w:rFonts w:cs="Arial"/>
          <w:spacing w:val="-3"/>
          <w:lang w:val="en-US"/>
        </w:rPr>
        <w:t>3</w:t>
      </w:r>
      <w:r w:rsidR="00E1002B">
        <w:rPr>
          <w:rFonts w:cs="Arial"/>
          <w:spacing w:val="-3"/>
          <w:lang w:val="en-US"/>
        </w:rPr>
        <w:t>5</w:t>
      </w:r>
      <w:r w:rsidR="00572459">
        <w:rPr>
          <w:rFonts w:cs="Arial"/>
          <w:spacing w:val="-3"/>
          <w:lang w:val="en-US"/>
        </w:rPr>
        <w:t>.</w:t>
      </w:r>
      <w:r w:rsidR="00E1002B">
        <w:rPr>
          <w:rFonts w:cs="Arial"/>
          <w:spacing w:val="-3"/>
          <w:lang w:val="en-US"/>
        </w:rPr>
        <w:t>5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33626F" w:rsidP="005700C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EE269C">
              <w:rPr>
                <w:rFonts w:cs="Arial"/>
                <w:sz w:val="16"/>
                <w:szCs w:val="16"/>
              </w:rPr>
              <w:t xml:space="preserve"> 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33626F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8B0722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33626F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3626F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746.3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190.0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169.9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3626F" w:rsidRPr="00E33A76" w:rsidTr="0086768A">
        <w:trPr>
          <w:trHeight w:val="35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643.4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163.8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86.2</w:t>
            </w:r>
          </w:p>
        </w:tc>
      </w:tr>
      <w:tr w:rsidR="0033626F" w:rsidRPr="00E33A76" w:rsidTr="0086768A">
        <w:trPr>
          <w:trHeight w:val="34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549.3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139.9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73.6</w:t>
            </w:r>
          </w:p>
        </w:tc>
      </w:tr>
      <w:tr w:rsidR="0033626F" w:rsidRPr="00E33A76" w:rsidTr="0086768A">
        <w:trPr>
          <w:trHeight w:val="35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428.8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57.5</w:t>
            </w:r>
          </w:p>
        </w:tc>
      </w:tr>
      <w:tr w:rsidR="0033626F" w:rsidRPr="00E33A76" w:rsidTr="0086768A">
        <w:trPr>
          <w:trHeight w:val="34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</w:tr>
      <w:tr w:rsidR="0033626F" w:rsidRPr="00E33A76" w:rsidTr="0086768A">
        <w:trPr>
          <w:trHeight w:val="308"/>
        </w:trPr>
        <w:tc>
          <w:tcPr>
            <w:tcW w:w="2552" w:type="dxa"/>
            <w:vAlign w:val="center"/>
          </w:tcPr>
          <w:p w:rsidR="0033626F" w:rsidRPr="00890348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</w:tr>
      <w:tr w:rsidR="0033626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3626F" w:rsidRPr="00A00ADB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712.9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162.4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65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3626F" w:rsidRPr="00E33A76" w:rsidTr="009A6A82">
        <w:trPr>
          <w:trHeight w:val="35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462.4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64.8</w:t>
            </w:r>
          </w:p>
        </w:tc>
      </w:tr>
      <w:tr w:rsidR="0033626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393.1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55.1</w:t>
            </w:r>
          </w:p>
        </w:tc>
      </w:tr>
      <w:tr w:rsidR="0033626F" w:rsidRPr="00E33A76" w:rsidTr="009A6A82">
        <w:trPr>
          <w:trHeight w:val="35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325.2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45.6</w:t>
            </w:r>
          </w:p>
        </w:tc>
      </w:tr>
      <w:tr w:rsidR="0033626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28.8</w:t>
            </w:r>
          </w:p>
        </w:tc>
      </w:tr>
      <w:tr w:rsidR="0033626F" w:rsidRPr="00E33A76" w:rsidTr="009A6A82">
        <w:trPr>
          <w:trHeight w:val="355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75.6</w:t>
            </w:r>
          </w:p>
        </w:tc>
        <w:tc>
          <w:tcPr>
            <w:tcW w:w="66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656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4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6.4</w:t>
            </w:r>
          </w:p>
        </w:tc>
      </w:tr>
      <w:tr w:rsidR="0033626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3626F" w:rsidRPr="00E33A76" w:rsidTr="009A6A82">
        <w:trPr>
          <w:trHeight w:val="35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181.0</w:t>
            </w:r>
          </w:p>
        </w:tc>
        <w:tc>
          <w:tcPr>
            <w:tcW w:w="717" w:type="dxa"/>
            <w:vAlign w:val="bottom"/>
          </w:tcPr>
          <w:p w:rsidR="0033626F" w:rsidRDefault="00F01D52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3626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156.2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3626F" w:rsidRPr="00E33A76" w:rsidTr="009A6A82">
        <w:trPr>
          <w:trHeight w:val="35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3626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-147.6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-37.6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-33.6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3626F" w:rsidRPr="00E33A76" w:rsidTr="009A6A82">
        <w:trPr>
          <w:trHeight w:val="258"/>
        </w:trPr>
        <w:tc>
          <w:tcPr>
            <w:tcW w:w="2552" w:type="dxa"/>
            <w:vAlign w:val="center"/>
          </w:tcPr>
          <w:p w:rsidR="0033626F" w:rsidRPr="00E33A76" w:rsidRDefault="0033626F" w:rsidP="0033626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17" w:type="dxa"/>
            <w:vAlign w:val="bottom"/>
          </w:tcPr>
          <w:p w:rsidR="0033626F" w:rsidRDefault="0033626F" w:rsidP="0033626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3626F" w:rsidRPr="001651EA" w:rsidRDefault="0033626F" w:rsidP="0033626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3F7B61" w:rsidRDefault="0007317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3F7B61" w:rsidRDefault="0007317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33626F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33626F">
        <w:rPr>
          <w:rFonts w:cs="Arial"/>
          <w:lang w:val="en-US"/>
        </w:rPr>
        <w:t xml:space="preserve">After three quarters </w:t>
      </w:r>
      <w:r w:rsidR="00B60288">
        <w:rPr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8A7C7B">
        <w:rPr>
          <w:rFonts w:cs="Arial"/>
          <w:szCs w:val="19"/>
          <w:lang w:val="en-US"/>
        </w:rPr>
        <w:t xml:space="preserve">, </w:t>
      </w:r>
      <w:r w:rsidR="003A7703">
        <w:rPr>
          <w:rFonts w:cs="Arial"/>
          <w:szCs w:val="19"/>
          <w:lang w:val="en-US"/>
        </w:rPr>
        <w:t>except the United States</w:t>
      </w:r>
      <w:r>
        <w:rPr>
          <w:rFonts w:cs="Arial"/>
          <w:szCs w:val="19"/>
          <w:lang w:val="en-US"/>
        </w:rPr>
        <w:t>, Sweden</w:t>
      </w:r>
      <w:r w:rsidR="0051626B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>
        <w:rPr>
          <w:rFonts w:cs="Arial"/>
          <w:lang w:val="en-US"/>
        </w:rPr>
        <w:t>Germany</w:t>
      </w:r>
      <w:r w:rsidR="004947F9">
        <w:rPr>
          <w:rFonts w:cs="Arial"/>
          <w:lang w:val="en-US"/>
        </w:rPr>
        <w:t>, and</w:t>
      </w:r>
      <w:r>
        <w:rPr>
          <w:rFonts w:cs="Arial"/>
          <w:lang w:val="en-US"/>
        </w:rPr>
        <w:t xml:space="preserve"> </w:t>
      </w:r>
      <w:r w:rsidR="008A7C7B"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>
        <w:rPr>
          <w:rFonts w:cs="Arial"/>
          <w:lang w:val="en-US"/>
        </w:rPr>
        <w:t xml:space="preserve">China and </w:t>
      </w:r>
      <w:r w:rsidR="008A7C7B">
        <w:rPr>
          <w:rFonts w:cs="Arial"/>
          <w:lang w:val="en-US"/>
        </w:rPr>
        <w:t>South Korea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EF50A2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8B0722">
        <w:rPr>
          <w:rFonts w:cs="Arial"/>
          <w:color w:val="222222"/>
          <w:szCs w:val="19"/>
          <w:lang w:val="en"/>
        </w:rPr>
        <w:t>4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>, while 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EF50A2">
        <w:rPr>
          <w:rFonts w:cs="Arial"/>
          <w:lang w:val="en-US"/>
        </w:rPr>
        <w:t>0</w:t>
      </w:r>
      <w:r>
        <w:rPr>
          <w:rFonts w:cs="Arial"/>
          <w:lang w:val="en-US"/>
        </w:rPr>
        <w:t>% (against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F01D52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EF50A2">
        <w:rPr>
          <w:rFonts w:cs="Arial"/>
          <w:lang w:val="en-US"/>
        </w:rPr>
        <w:t>September</w:t>
      </w:r>
      <w:r>
        <w:rPr>
          <w:rFonts w:cs="Arial"/>
          <w:lang w:val="en-US"/>
        </w:rPr>
        <w:t xml:space="preserve">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last year by </w:t>
      </w:r>
      <w:r w:rsidR="00843537">
        <w:rPr>
          <w:rFonts w:cs="Arial"/>
          <w:lang w:val="en-US"/>
        </w:rPr>
        <w:t>0</w:t>
      </w:r>
      <w:r w:rsidR="00141776"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EF50A2">
        <w:rPr>
          <w:rFonts w:cs="Arial"/>
          <w:lang w:val="en-US"/>
        </w:rPr>
        <w:t>5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EF50A2">
        <w:rPr>
          <w:rFonts w:cs="Arial"/>
          <w:lang w:val="en-US"/>
        </w:rPr>
        <w:t>0.5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EF50A2">
        <w:rPr>
          <w:rFonts w:cs="Arial"/>
          <w:lang w:val="en-US"/>
        </w:rPr>
        <w:t>7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EF50A2">
        <w:rPr>
          <w:rFonts w:cs="Arial"/>
          <w:lang w:val="en-US"/>
        </w:rPr>
        <w:t>57</w:t>
      </w:r>
      <w:r w:rsidR="00141776">
        <w:rPr>
          <w:rFonts w:cs="Arial"/>
          <w:lang w:val="en-US"/>
        </w:rPr>
        <w:t>.</w:t>
      </w:r>
      <w:r w:rsidR="00EF50A2">
        <w:rPr>
          <w:rFonts w:cs="Arial"/>
          <w:lang w:val="en-US"/>
        </w:rPr>
        <w:t>6</w:t>
      </w:r>
      <w:r w:rsidR="00141776">
        <w:rPr>
          <w:rFonts w:cs="Arial"/>
          <w:lang w:val="en-US"/>
        </w:rPr>
        <w:t xml:space="preserve">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3A7703">
        <w:rPr>
          <w:rFonts w:cs="Arial"/>
          <w:lang w:val="en-US"/>
        </w:rPr>
        <w:t>1</w:t>
      </w:r>
      <w:r w:rsidR="00EF50A2">
        <w:rPr>
          <w:rFonts w:cs="Arial"/>
          <w:lang w:val="en-US"/>
        </w:rPr>
        <w:t>4</w:t>
      </w:r>
      <w:r w:rsidR="00843537">
        <w:rPr>
          <w:rFonts w:cs="Arial"/>
          <w:lang w:val="en-US"/>
        </w:rPr>
        <w:t>.</w:t>
      </w:r>
      <w:r w:rsidR="00EF50A2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 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8B0722">
        <w:rPr>
          <w:rFonts w:cs="Arial"/>
          <w:lang w:val="en-US"/>
        </w:rPr>
        <w:t>1</w:t>
      </w:r>
      <w:r w:rsidR="00EF50A2">
        <w:rPr>
          <w:rFonts w:cs="Arial"/>
          <w:lang w:val="en-US"/>
        </w:rPr>
        <w:t>3</w:t>
      </w:r>
      <w:r w:rsidR="00843537">
        <w:rPr>
          <w:rFonts w:cs="Arial"/>
          <w:lang w:val="en-US"/>
        </w:rPr>
        <w:t>.</w:t>
      </w:r>
      <w:r w:rsidR="00EF50A2">
        <w:rPr>
          <w:rFonts w:cs="Arial"/>
          <w:lang w:val="en-US"/>
        </w:rPr>
        <w:t>1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BC5D29">
        <w:rPr>
          <w:rFonts w:cs="Arial"/>
          <w:lang w:val="en-US"/>
        </w:rPr>
        <w:t>42</w:t>
      </w:r>
      <w:r w:rsidR="00843537">
        <w:rPr>
          <w:rFonts w:cs="Arial"/>
          <w:lang w:val="en-US"/>
        </w:rPr>
        <w:t>.</w:t>
      </w:r>
      <w:r w:rsidR="00BC5D29">
        <w:rPr>
          <w:rFonts w:cs="Arial"/>
          <w:lang w:val="en-US"/>
        </w:rPr>
        <w:t>6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BC5D29">
        <w:rPr>
          <w:rFonts w:cs="Arial"/>
          <w:szCs w:val="19"/>
          <w:lang w:val="en-US"/>
        </w:rPr>
        <w:t>11</w:t>
      </w:r>
      <w:r w:rsidR="00141776">
        <w:rPr>
          <w:rFonts w:cs="Arial"/>
          <w:szCs w:val="19"/>
          <w:lang w:val="en-US"/>
        </w:rPr>
        <w:t>.</w:t>
      </w:r>
      <w:r w:rsidR="00BC5D29">
        <w:rPr>
          <w:rFonts w:cs="Arial"/>
          <w:szCs w:val="19"/>
          <w:lang w:val="en-US"/>
        </w:rPr>
        <w:t>2</w:t>
      </w:r>
      <w:r w:rsidRPr="0019402A">
        <w:rPr>
          <w:rFonts w:cs="Arial"/>
          <w:szCs w:val="19"/>
          <w:lang w:val="en-US"/>
        </w:rPr>
        <w:t xml:space="preserve"> 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BC5D29">
        <w:rPr>
          <w:rFonts w:cs="Arial"/>
          <w:szCs w:val="19"/>
          <w:lang w:val="en-US"/>
        </w:rPr>
        <w:t>9</w:t>
      </w:r>
      <w:r w:rsidR="00141776">
        <w:rPr>
          <w:rFonts w:cs="Arial"/>
          <w:szCs w:val="19"/>
          <w:lang w:val="en-US"/>
        </w:rPr>
        <w:t>.</w:t>
      </w:r>
      <w:r w:rsidR="00BC5D29">
        <w:rPr>
          <w:rFonts w:cs="Arial"/>
          <w:szCs w:val="19"/>
          <w:lang w:val="en-US"/>
        </w:rPr>
        <w:t>9</w:t>
      </w:r>
      <w:r w:rsidRPr="0019402A">
        <w:rPr>
          <w:rFonts w:cs="Arial"/>
          <w:szCs w:val="19"/>
          <w:lang w:val="en-US"/>
        </w:rPr>
        <w:t xml:space="preserve"> bn) </w:t>
      </w:r>
      <w:r w:rsidRPr="0019402A">
        <w:rPr>
          <w:rFonts w:cs="Arial"/>
          <w:spacing w:val="-3"/>
          <w:szCs w:val="19"/>
          <w:lang w:val="en-US"/>
        </w:rPr>
        <w:t>in the same period of 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nine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this 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15.0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8 bn and EUR 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DB5C76" w:rsidRDefault="0007317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nine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this 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15.0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8 bn and EUR 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DB5C76" w:rsidRDefault="0007317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C5D29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C5D29" w:rsidP="00C448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D9465D">
              <w:rPr>
                <w:rFonts w:cs="Arial"/>
                <w:sz w:val="16"/>
                <w:szCs w:val="16"/>
              </w:rPr>
              <w:t xml:space="preserve"> 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C5D29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212.5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48.4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28.5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44.2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94.2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91.6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42.5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42.0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91.5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32.1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93.0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31.5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88.6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07317F" w:rsidRPr="00366025" w:rsidTr="00110077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19.1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71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88.0</w:t>
            </w:r>
          </w:p>
        </w:tc>
        <w:tc>
          <w:tcPr>
            <w:tcW w:w="670" w:type="dxa"/>
            <w:vAlign w:val="center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7317F" w:rsidRPr="00366025" w:rsidTr="00402E8E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155.0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22.2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21.7</w:t>
            </w:r>
          </w:p>
        </w:tc>
      </w:tr>
      <w:tr w:rsidR="0007317F" w:rsidRPr="00366025" w:rsidTr="00402E8E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108.0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108.5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14.3</w:t>
            </w:r>
          </w:p>
        </w:tc>
      </w:tr>
      <w:tr w:rsidR="0007317F" w:rsidRPr="00366025" w:rsidTr="00402E8E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07317F" w:rsidRPr="00366025" w:rsidTr="00402E8E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07317F" w:rsidRPr="00366025" w:rsidTr="00402E8E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94.2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07317F" w:rsidRPr="00366025" w:rsidTr="00402E8E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87.5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85.0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85.7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07317F" w:rsidRPr="00366025" w:rsidTr="00402E8E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Czechia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07317F" w:rsidRPr="00366025" w:rsidTr="00402E8E">
        <w:tc>
          <w:tcPr>
            <w:tcW w:w="2268" w:type="dxa"/>
            <w:vAlign w:val="bottom"/>
          </w:tcPr>
          <w:p w:rsidR="0007317F" w:rsidRPr="00366025" w:rsidRDefault="0007317F" w:rsidP="0007317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07317F" w:rsidRPr="00C448F9" w:rsidTr="00402E8E">
        <w:tc>
          <w:tcPr>
            <w:tcW w:w="2268" w:type="dxa"/>
            <w:vAlign w:val="bottom"/>
          </w:tcPr>
          <w:p w:rsidR="0007317F" w:rsidRPr="00C448F9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644" w:type="dxa"/>
            <w:vAlign w:val="bottom"/>
          </w:tcPr>
          <w:p w:rsidR="0007317F" w:rsidRDefault="00F01D52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07317F" w:rsidRPr="00E10701" w:rsidTr="00402E8E">
        <w:tc>
          <w:tcPr>
            <w:tcW w:w="2268" w:type="dxa"/>
            <w:vAlign w:val="bottom"/>
          </w:tcPr>
          <w:p w:rsidR="0007317F" w:rsidRPr="00782B51" w:rsidRDefault="0007317F" w:rsidP="0007317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671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90.3</w:t>
            </w:r>
          </w:p>
        </w:tc>
        <w:tc>
          <w:tcPr>
            <w:tcW w:w="670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:rsidR="0007317F" w:rsidRDefault="0007317F" w:rsidP="0007317F">
            <w:pPr>
              <w:spacing w:before="6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AE69C6">
        <w:rPr>
          <w:rFonts w:cs="Arial"/>
          <w:spacing w:val="-3"/>
          <w:lang w:val="en-US"/>
        </w:rPr>
        <w:t>527</w:t>
      </w:r>
      <w:r w:rsidR="00110077">
        <w:rPr>
          <w:rFonts w:cs="Arial"/>
          <w:spacing w:val="-3"/>
          <w:lang w:val="en-US"/>
        </w:rPr>
        <w:t>.</w:t>
      </w:r>
      <w:r w:rsidR="00AE69C6">
        <w:rPr>
          <w:rFonts w:cs="Arial"/>
          <w:spacing w:val="-3"/>
          <w:lang w:val="en-US"/>
        </w:rPr>
        <w:t>8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41028A">
        <w:rPr>
          <w:rFonts w:cs="Arial"/>
          <w:spacing w:val="-3"/>
          <w:lang w:val="en-US"/>
        </w:rPr>
        <w:t>4</w:t>
      </w:r>
      <w:r w:rsidR="00AE69C6">
        <w:rPr>
          <w:rFonts w:cs="Arial"/>
          <w:spacing w:val="-3"/>
          <w:lang w:val="en-US"/>
        </w:rPr>
        <w:t>78</w:t>
      </w:r>
      <w:r w:rsidR="004F69EE">
        <w:rPr>
          <w:rFonts w:cs="Arial"/>
          <w:spacing w:val="-3"/>
          <w:lang w:val="en-US"/>
        </w:rPr>
        <w:t>.</w:t>
      </w:r>
      <w:r w:rsidR="00AE69C6">
        <w:rPr>
          <w:rFonts w:cs="Arial"/>
          <w:spacing w:val="-3"/>
          <w:lang w:val="en-US"/>
        </w:rPr>
        <w:t>5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AE69C6">
        <w:rPr>
          <w:rFonts w:cs="Arial"/>
          <w:spacing w:val="-3"/>
          <w:lang w:val="en-US"/>
        </w:rPr>
        <w:t>560</w:t>
      </w:r>
      <w:r w:rsidR="00110077">
        <w:rPr>
          <w:rFonts w:cs="Arial"/>
          <w:spacing w:val="-3"/>
          <w:lang w:val="en-US"/>
        </w:rPr>
        <w:t>.</w:t>
      </w:r>
      <w:r w:rsidR="00AE69C6">
        <w:rPr>
          <w:rFonts w:cs="Arial"/>
          <w:spacing w:val="-3"/>
          <w:lang w:val="en-US"/>
        </w:rPr>
        <w:t>8</w:t>
      </w:r>
      <w:r>
        <w:rPr>
          <w:rFonts w:cs="Arial"/>
          <w:spacing w:val="-3"/>
          <w:lang w:val="en-US"/>
        </w:rPr>
        <w:t xml:space="preserve"> 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the EU  - PLN </w:t>
      </w:r>
      <w:r w:rsidR="00AE69C6">
        <w:rPr>
          <w:rFonts w:cs="Arial"/>
          <w:spacing w:val="-3"/>
          <w:lang w:val="en-US"/>
        </w:rPr>
        <w:t>5</w:t>
      </w:r>
      <w:r w:rsidR="00F01D52">
        <w:rPr>
          <w:rFonts w:cs="Arial"/>
          <w:spacing w:val="-3"/>
          <w:lang w:val="en-US"/>
        </w:rPr>
        <w:t>06</w:t>
      </w:r>
      <w:r w:rsidR="003F19FC">
        <w:rPr>
          <w:rFonts w:cs="Arial"/>
          <w:spacing w:val="-3"/>
          <w:lang w:val="en-US"/>
        </w:rPr>
        <w:t>.</w:t>
      </w:r>
      <w:r w:rsidR="00F01D52">
        <w:rPr>
          <w:rFonts w:cs="Arial"/>
          <w:spacing w:val="-3"/>
          <w:lang w:val="en-US"/>
        </w:rPr>
        <w:t>6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93033E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014C18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93033E" w:rsidP="0011007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014C18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93033E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93033E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93033E" w:rsidRPr="00A00ADB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712.9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162.4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Pr="004E1325" w:rsidRDefault="0093033E" w:rsidP="0093033E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3033E" w:rsidRPr="004E1325" w:rsidRDefault="0093033E" w:rsidP="0093033E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93033E" w:rsidRPr="0051165C" w:rsidTr="0086768A">
        <w:trPr>
          <w:trHeight w:val="35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527.8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</w:t>
            </w:r>
          </w:p>
        </w:tc>
      </w:tr>
      <w:tr w:rsidR="0093033E" w:rsidRPr="0051165C" w:rsidTr="0086768A">
        <w:trPr>
          <w:trHeight w:val="34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478.5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67.1</w:t>
            </w:r>
          </w:p>
        </w:tc>
      </w:tr>
      <w:tr w:rsidR="0093033E" w:rsidRPr="0051165C" w:rsidTr="0086768A">
        <w:trPr>
          <w:trHeight w:val="35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404.1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56.7</w:t>
            </w:r>
          </w:p>
        </w:tc>
      </w:tr>
      <w:tr w:rsidR="0093033E" w:rsidRPr="0051165C" w:rsidTr="0086768A">
        <w:trPr>
          <w:trHeight w:val="34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19.2</w:t>
            </w:r>
          </w:p>
        </w:tc>
      </w:tr>
      <w:tr w:rsidR="0093033E" w:rsidRPr="0051165C" w:rsidTr="0086768A">
        <w:trPr>
          <w:trHeight w:val="355"/>
        </w:trPr>
        <w:tc>
          <w:tcPr>
            <w:tcW w:w="2237" w:type="dxa"/>
            <w:vAlign w:val="center"/>
          </w:tcPr>
          <w:p w:rsidR="0093033E" w:rsidRPr="00BA58B2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6.8</w:t>
            </w:r>
          </w:p>
        </w:tc>
      </w:tr>
      <w:tr w:rsidR="0093033E" w:rsidRPr="0051165C" w:rsidTr="006214D2">
        <w:trPr>
          <w:trHeight w:val="34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93033E" w:rsidRPr="0051165C" w:rsidTr="006214D2">
        <w:trPr>
          <w:trHeight w:val="35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F01D52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F01D52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93033E" w:rsidRPr="0051165C" w:rsidTr="006214D2">
        <w:trPr>
          <w:trHeight w:val="34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93033E" w:rsidRPr="0051165C" w:rsidTr="006214D2">
        <w:trPr>
          <w:trHeight w:val="35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93033E" w:rsidRPr="0051165C" w:rsidTr="006214D2">
        <w:trPr>
          <w:trHeight w:val="342"/>
        </w:trPr>
        <w:tc>
          <w:tcPr>
            <w:tcW w:w="2237" w:type="dxa"/>
            <w:vAlign w:val="center"/>
          </w:tcPr>
          <w:p w:rsidR="0093033E" w:rsidRPr="0051165C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-79.5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F01D52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93033E" w:rsidRPr="0051165C" w:rsidTr="00C85D28">
        <w:trPr>
          <w:trHeight w:val="258"/>
        </w:trPr>
        <w:tc>
          <w:tcPr>
            <w:tcW w:w="2237" w:type="dxa"/>
            <w:vAlign w:val="center"/>
          </w:tcPr>
          <w:p w:rsidR="0093033E" w:rsidRPr="00BA58B2" w:rsidRDefault="0093033E" w:rsidP="0093033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3033E" w:rsidRDefault="0093033E" w:rsidP="0093033E">
            <w:pPr>
              <w:spacing w:before="6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3033E" w:rsidRPr="004E1325" w:rsidRDefault="0093033E" w:rsidP="00C85D28">
            <w:pPr>
              <w:spacing w:before="6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033E" w:rsidRPr="004E1325" w:rsidRDefault="0093033E" w:rsidP="0093033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93033E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93033E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5309DA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93033E" w:rsidP="0093033E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27.3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6D1610" w:rsidRPr="00366025" w:rsidTr="003F19FC">
        <w:tc>
          <w:tcPr>
            <w:tcW w:w="2268" w:type="dxa"/>
            <w:vAlign w:val="center"/>
          </w:tcPr>
          <w:p w:rsidR="006D1610" w:rsidRPr="0038490F" w:rsidRDefault="006D1610" w:rsidP="006D16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610" w:rsidRDefault="006D1610" w:rsidP="006D161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3F19FC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1526540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D1610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6D1610"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07317F" w:rsidRPr="00193D62" w:rsidRDefault="0007317F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20.2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UHWcP4AAAAAwBAAAPAAAAAAAAAAAAAAAAAG4EAABkcnMvZG93bnJldi54bWxQSwUGAAAA&#10;AAQABADzAAAAewUAAAAA&#10;" filled="f" stroked="f">
                <v:textbox>
                  <w:txbxContent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 w:rsidR="006D1610">
                        <w:rPr>
                          <w:lang w:val="en-US"/>
                        </w:rPr>
                        <w:t>5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6D1610">
                        <w:rPr>
                          <w:rFonts w:cs="Arial"/>
                          <w:lang w:val="en-US"/>
                        </w:rPr>
                        <w:t>0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7317F" w:rsidRPr="00193D62" w:rsidRDefault="0007317F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>The share of Germany in imports by country of consignment to 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5.</w:t>
      </w:r>
      <w:r w:rsidR="0093033E">
        <w:rPr>
          <w:rFonts w:cs="Arial"/>
          <w:lang w:val="en-US"/>
        </w:rPr>
        <w:t>6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accordingly the share of the 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5309DA">
        <w:rPr>
          <w:rFonts w:cs="Arial"/>
          <w:lang w:val="en-US"/>
        </w:rPr>
        <w:t>2</w:t>
      </w:r>
      <w:r w:rsidR="00BE494C" w:rsidRPr="00CB2E8F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Pr="003459D7">
        <w:rPr>
          <w:rFonts w:cs="Arial"/>
          <w:lang w:val="en-US"/>
        </w:rPr>
        <w:t>.</w:t>
      </w:r>
      <w:r w:rsidR="005309DA" w:rsidRPr="003459D7">
        <w:rPr>
          <w:rFonts w:cs="Arial"/>
          <w:lang w:val="en-US"/>
        </w:rPr>
        <w:t>4</w:t>
      </w:r>
      <w:r w:rsidR="00BE494C"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Czechia by 0.</w:t>
      </w:r>
      <w:r w:rsidR="0093033E">
        <w:rPr>
          <w:rFonts w:cs="Arial"/>
          <w:lang w:val="en-US"/>
        </w:rPr>
        <w:t>7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93033E">
        <w:rPr>
          <w:rFonts w:cs="Arial"/>
          <w:lang w:val="en-US"/>
        </w:rPr>
        <w:t>4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AD195B" w:rsidRPr="000D3E9E" w:rsidRDefault="007B4A79" w:rsidP="00AD195B">
      <w:pPr>
        <w:rPr>
          <w:color w:val="FF0000"/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 xml:space="preserve">After </w:t>
      </w:r>
      <w:r w:rsidR="006D1610">
        <w:rPr>
          <w:rFonts w:cs="Arial"/>
          <w:lang w:val="en-US"/>
        </w:rPr>
        <w:t>nine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>omenclature</w:t>
      </w:r>
      <w:r w:rsidR="00E10701">
        <w:rPr>
          <w:spacing w:val="-3"/>
          <w:szCs w:val="19"/>
          <w:lang w:val="en-US"/>
        </w:rPr>
        <w:t>.</w:t>
      </w:r>
      <w:r w:rsidR="004B1C41" w:rsidRPr="00433EA8">
        <w:rPr>
          <w:spacing w:val="-3"/>
          <w:szCs w:val="19"/>
          <w:lang w:val="en-US"/>
        </w:rPr>
        <w:t xml:space="preserve"> as compared to </w:t>
      </w:r>
      <w:r w:rsidR="006F6E32">
        <w:rPr>
          <w:spacing w:val="-3"/>
          <w:szCs w:val="19"/>
          <w:lang w:val="en-US"/>
        </w:rPr>
        <w:t xml:space="preserve">first </w:t>
      </w:r>
      <w:r w:rsidR="006D1610">
        <w:rPr>
          <w:spacing w:val="-3"/>
          <w:szCs w:val="19"/>
          <w:lang w:val="en-US"/>
        </w:rPr>
        <w:t>nine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</w:t>
      </w:r>
      <w:r w:rsidR="00ED3D1A">
        <w:rPr>
          <w:spacing w:val="-3"/>
          <w:szCs w:val="19"/>
          <w:lang w:val="en-US"/>
        </w:rPr>
        <w:t>,</w:t>
      </w:r>
      <w:r w:rsidR="00AD195B" w:rsidRPr="00433EA8">
        <w:rPr>
          <w:spacing w:val="-3"/>
          <w:szCs w:val="19"/>
          <w:lang w:val="en-US"/>
        </w:rPr>
        <w:t xml:space="preserve"> there </w:t>
      </w:r>
      <w:r w:rsidR="006F6E32">
        <w:rPr>
          <w:spacing w:val="-3"/>
          <w:szCs w:val="19"/>
          <w:lang w:val="en-US"/>
        </w:rPr>
        <w:t>was a de</w:t>
      </w:r>
      <w:r w:rsidR="00AD195B" w:rsidRPr="00433EA8">
        <w:rPr>
          <w:spacing w:val="-3"/>
          <w:szCs w:val="19"/>
          <w:lang w:val="en-US"/>
        </w:rPr>
        <w:t>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 w:rsidR="006D1610">
        <w:rPr>
          <w:spacing w:val="-3"/>
          <w:szCs w:val="19"/>
          <w:lang w:val="en-US"/>
        </w:rPr>
        <w:t xml:space="preserve">half of the </w:t>
      </w:r>
      <w:r w:rsidR="008E62CC">
        <w:rPr>
          <w:spacing w:val="-3"/>
          <w:szCs w:val="19"/>
          <w:lang w:val="en-US"/>
        </w:rPr>
        <w:t>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19402A">
        <w:rPr>
          <w:spacing w:val="-3"/>
          <w:szCs w:val="19"/>
          <w:lang w:val="en-US"/>
        </w:rPr>
        <w:t>animal and vegetable oils</w:t>
      </w:r>
      <w:r w:rsidR="00ED3D1A">
        <w:rPr>
          <w:spacing w:val="-3"/>
          <w:szCs w:val="19"/>
          <w:lang w:val="en-US"/>
        </w:rPr>
        <w:t>,</w:t>
      </w:r>
      <w:r w:rsidR="0019402A">
        <w:rPr>
          <w:spacing w:val="-3"/>
          <w:szCs w:val="19"/>
          <w:lang w:val="en-US"/>
        </w:rPr>
        <w:t xml:space="preserve"> fats and waxes (by </w:t>
      </w:r>
      <w:r w:rsidR="005309DA">
        <w:rPr>
          <w:spacing w:val="-3"/>
          <w:szCs w:val="19"/>
          <w:lang w:val="en-US"/>
        </w:rPr>
        <w:t>2</w:t>
      </w:r>
      <w:r w:rsidR="00A62DBA">
        <w:rPr>
          <w:spacing w:val="-3"/>
          <w:szCs w:val="19"/>
          <w:lang w:val="en-US"/>
        </w:rPr>
        <w:t>8</w:t>
      </w:r>
      <w:r w:rsidR="00A9303B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0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5309DA">
        <w:rPr>
          <w:spacing w:val="-3"/>
          <w:szCs w:val="19"/>
          <w:lang w:val="en-US"/>
        </w:rPr>
        <w:t xml:space="preserve"> (by 18</w:t>
      </w:r>
      <w:r w:rsidR="00A9303B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1</w:t>
      </w:r>
      <w:r w:rsidR="00A9303B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food and live animals (by </w:t>
      </w:r>
      <w:r w:rsidR="00A62DBA">
        <w:rPr>
          <w:spacing w:val="-3"/>
          <w:szCs w:val="19"/>
          <w:lang w:val="en-US"/>
        </w:rPr>
        <w:t>7</w:t>
      </w:r>
      <w:r w:rsidR="00A9303B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4</w:t>
      </w:r>
      <w:r w:rsidR="00A9303B">
        <w:rPr>
          <w:spacing w:val="-3"/>
          <w:szCs w:val="19"/>
          <w:lang w:val="en-US"/>
        </w:rPr>
        <w:t xml:space="preserve">%)  and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A62DBA">
        <w:rPr>
          <w:spacing w:val="-3"/>
          <w:szCs w:val="19"/>
          <w:lang w:val="en-US"/>
        </w:rPr>
        <w:t>6</w:t>
      </w:r>
      <w:r w:rsidR="00DF0177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3</w:t>
      </w:r>
      <w:r w:rsidR="00DF0177">
        <w:rPr>
          <w:spacing w:val="-3"/>
          <w:szCs w:val="19"/>
          <w:lang w:val="en-US"/>
        </w:rPr>
        <w:t>%)</w:t>
      </w:r>
      <w:r w:rsidR="00E10701">
        <w:rPr>
          <w:spacing w:val="-3"/>
          <w:szCs w:val="19"/>
          <w:lang w:val="en-US"/>
        </w:rPr>
        <w:t>.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the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>in mineral fuels</w:t>
      </w:r>
      <w:r w:rsidR="00130DA4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110077">
        <w:rPr>
          <w:spacing w:val="-3"/>
          <w:szCs w:val="19"/>
          <w:lang w:val="en-US"/>
        </w:rPr>
        <w:t>3</w:t>
      </w:r>
      <w:r w:rsidR="00A62DBA">
        <w:rPr>
          <w:spacing w:val="-3"/>
          <w:szCs w:val="19"/>
          <w:lang w:val="en-US"/>
        </w:rPr>
        <w:t>2</w:t>
      </w:r>
      <w:r w:rsidR="007D41B2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2</w:t>
      </w:r>
      <w:r w:rsidR="00ED6607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7D41B2">
        <w:rPr>
          <w:spacing w:val="-3"/>
          <w:szCs w:val="19"/>
          <w:lang w:val="en-US"/>
        </w:rPr>
        <w:t xml:space="preserve"> </w:t>
      </w:r>
      <w:r w:rsidR="00F01D52">
        <w:rPr>
          <w:spacing w:val="-3"/>
          <w:szCs w:val="19"/>
          <w:lang w:val="en-US"/>
        </w:rPr>
        <w:t>c</w:t>
      </w:r>
      <w:r w:rsidR="00F01D52" w:rsidRPr="00F01D52">
        <w:rPr>
          <w:spacing w:val="-3"/>
          <w:szCs w:val="19"/>
          <w:lang w:val="en-US"/>
        </w:rPr>
        <w:t>ommodities and transaction not classified elsewhere in the SITC</w:t>
      </w:r>
      <w:r w:rsidR="00F01D52">
        <w:rPr>
          <w:spacing w:val="-3"/>
          <w:szCs w:val="19"/>
          <w:lang w:val="en-US"/>
        </w:rPr>
        <w:t xml:space="preserve"> (by 31.0%), </w:t>
      </w:r>
      <w:r w:rsidR="00A62DBA">
        <w:rPr>
          <w:spacing w:val="-3"/>
          <w:szCs w:val="19"/>
          <w:lang w:val="en-US"/>
        </w:rPr>
        <w:t xml:space="preserve">crude minerals inedible, except fuels (by 5.8%), </w:t>
      </w:r>
      <w:r w:rsidR="007D41B2">
        <w:rPr>
          <w:spacing w:val="-3"/>
          <w:szCs w:val="19"/>
          <w:lang w:val="en-US"/>
        </w:rPr>
        <w:t>machine</w:t>
      </w:r>
      <w:r w:rsidR="005309DA">
        <w:rPr>
          <w:spacing w:val="-3"/>
          <w:szCs w:val="19"/>
          <w:lang w:val="en-US"/>
        </w:rPr>
        <w:t xml:space="preserve">ry and transport equipment (by </w:t>
      </w:r>
      <w:r w:rsidR="00A62DBA">
        <w:rPr>
          <w:spacing w:val="-3"/>
          <w:szCs w:val="19"/>
          <w:lang w:val="en-US"/>
        </w:rPr>
        <w:t>5</w:t>
      </w:r>
      <w:r w:rsidR="007D41B2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3</w:t>
      </w:r>
      <w:r w:rsidR="007D41B2">
        <w:rPr>
          <w:spacing w:val="-3"/>
          <w:szCs w:val="19"/>
          <w:lang w:val="en-US"/>
        </w:rPr>
        <w:t>%) and manufactured goods clas</w:t>
      </w:r>
      <w:r w:rsidR="007B4A79">
        <w:rPr>
          <w:spacing w:val="-3"/>
          <w:szCs w:val="19"/>
          <w:lang w:val="en-US"/>
        </w:rPr>
        <w:t xml:space="preserve">sified chiefly by material (by </w:t>
      </w:r>
      <w:r w:rsidR="00A62DBA">
        <w:rPr>
          <w:spacing w:val="-3"/>
          <w:szCs w:val="19"/>
          <w:lang w:val="en-US"/>
        </w:rPr>
        <w:t>4</w:t>
      </w:r>
      <w:r w:rsidR="007D41B2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8</w:t>
      </w:r>
      <w:r w:rsidR="007D41B2">
        <w:rPr>
          <w:spacing w:val="-3"/>
          <w:szCs w:val="19"/>
          <w:lang w:val="en-US"/>
        </w:rPr>
        <w:t>%).</w:t>
      </w:r>
    </w:p>
    <w:p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fats and waxes</w:t>
      </w:r>
      <w:r w:rsidR="005C2260">
        <w:rPr>
          <w:spacing w:val="-3"/>
          <w:szCs w:val="19"/>
          <w:lang w:val="en-US"/>
        </w:rPr>
        <w:t xml:space="preserve"> (by </w:t>
      </w:r>
      <w:r w:rsidR="00A92509">
        <w:rPr>
          <w:spacing w:val="-3"/>
          <w:szCs w:val="19"/>
          <w:lang w:val="en-US"/>
        </w:rPr>
        <w:t>2</w:t>
      </w:r>
      <w:r w:rsidR="00A62DBA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</w:t>
      </w:r>
      <w:r w:rsidR="005309DA">
        <w:rPr>
          <w:spacing w:val="-3"/>
          <w:szCs w:val="19"/>
          <w:lang w:val="en-US"/>
        </w:rPr>
        <w:t>1</w:t>
      </w:r>
      <w:r w:rsidR="00A62DBA">
        <w:rPr>
          <w:spacing w:val="-3"/>
          <w:szCs w:val="19"/>
          <w:lang w:val="en-US"/>
        </w:rPr>
        <w:t>8</w:t>
      </w:r>
      <w:r w:rsidR="00346180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9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</w:t>
      </w:r>
      <w:r w:rsidR="00346180">
        <w:rPr>
          <w:spacing w:val="-3"/>
          <w:szCs w:val="19"/>
          <w:lang w:val="en-US"/>
        </w:rPr>
        <w:t xml:space="preserve">e animals (by </w:t>
      </w:r>
      <w:r w:rsidR="00110077">
        <w:rPr>
          <w:spacing w:val="-3"/>
          <w:szCs w:val="19"/>
          <w:lang w:val="en-US"/>
        </w:rPr>
        <w:t>5</w:t>
      </w:r>
      <w:r w:rsidR="00346180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5</w:t>
      </w:r>
      <w:r w:rsidR="00346180">
        <w:rPr>
          <w:spacing w:val="-3"/>
          <w:szCs w:val="19"/>
          <w:lang w:val="en-US"/>
        </w:rPr>
        <w:t>%)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 xml:space="preserve">icals and related products (by </w:t>
      </w:r>
      <w:r w:rsidR="00A62DBA">
        <w:rPr>
          <w:spacing w:val="-3"/>
          <w:szCs w:val="19"/>
          <w:lang w:val="en-US"/>
        </w:rPr>
        <w:t>3</w:t>
      </w:r>
      <w:r w:rsidR="00A92509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4</w:t>
      </w:r>
      <w:r w:rsidR="00A92509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A92509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while 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7B4A79">
        <w:rPr>
          <w:spacing w:val="-3"/>
          <w:szCs w:val="19"/>
          <w:lang w:val="en-US"/>
        </w:rPr>
        <w:t>4</w:t>
      </w:r>
      <w:r w:rsidR="00A62DBA">
        <w:rPr>
          <w:spacing w:val="-3"/>
          <w:szCs w:val="19"/>
          <w:lang w:val="en-US"/>
        </w:rPr>
        <w:t>1</w:t>
      </w:r>
      <w:r w:rsidR="000E4EEB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</w:t>
      </w:r>
      <w:r w:rsidR="00E10701">
        <w:rPr>
          <w:spacing w:val="-3"/>
          <w:szCs w:val="19"/>
          <w:lang w:val="en-US"/>
        </w:rPr>
        <w:t>.</w:t>
      </w:r>
      <w:r w:rsidR="00346180">
        <w:rPr>
          <w:spacing w:val="-3"/>
          <w:szCs w:val="19"/>
          <w:lang w:val="en-US"/>
        </w:rPr>
        <w:t xml:space="preserve"> lubricants and related materials (by </w:t>
      </w:r>
      <w:r w:rsidR="007B4A79">
        <w:rPr>
          <w:spacing w:val="-3"/>
          <w:szCs w:val="19"/>
          <w:lang w:val="en-US"/>
        </w:rPr>
        <w:t>3</w:t>
      </w:r>
      <w:r w:rsidR="00A62DBA">
        <w:rPr>
          <w:spacing w:val="-3"/>
          <w:szCs w:val="19"/>
          <w:lang w:val="en-US"/>
        </w:rPr>
        <w:t>0</w:t>
      </w:r>
      <w:r w:rsidR="00346180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5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A62DBA">
        <w:rPr>
          <w:spacing w:val="-3"/>
          <w:szCs w:val="19"/>
          <w:lang w:val="en-US"/>
        </w:rPr>
        <w:t>9</w:t>
      </w:r>
      <w:r w:rsidR="000E4EEB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7</w:t>
      </w:r>
      <w:r w:rsidR="0057042D">
        <w:rPr>
          <w:spacing w:val="-3"/>
          <w:szCs w:val="19"/>
          <w:lang w:val="en-US"/>
        </w:rPr>
        <w:t>%)</w:t>
      </w:r>
      <w:r w:rsidR="0013095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</w:t>
      </w:r>
      <w:r w:rsidR="00130954">
        <w:rPr>
          <w:spacing w:val="-3"/>
          <w:szCs w:val="19"/>
          <w:lang w:val="en-US"/>
        </w:rPr>
        <w:t xml:space="preserve">machinery and transport equipment (by </w:t>
      </w:r>
      <w:r w:rsidR="00A62DBA">
        <w:rPr>
          <w:spacing w:val="-3"/>
          <w:szCs w:val="19"/>
          <w:lang w:val="en-US"/>
        </w:rPr>
        <w:t>8</w:t>
      </w:r>
      <w:r w:rsidR="00130954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4</w:t>
      </w:r>
      <w:r w:rsidR="00130954">
        <w:rPr>
          <w:spacing w:val="-3"/>
          <w:szCs w:val="19"/>
          <w:lang w:val="en-US"/>
        </w:rPr>
        <w:t xml:space="preserve">%) </w:t>
      </w:r>
      <w:r w:rsidR="00F915A7">
        <w:rPr>
          <w:spacing w:val="-3"/>
          <w:szCs w:val="19"/>
          <w:lang w:val="en-US"/>
        </w:rPr>
        <w:t xml:space="preserve">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A62DBA">
        <w:rPr>
          <w:spacing w:val="-3"/>
          <w:szCs w:val="19"/>
          <w:lang w:val="en-US"/>
        </w:rPr>
        <w:t>6</w:t>
      </w:r>
      <w:r w:rsidR="000E4EEB">
        <w:rPr>
          <w:spacing w:val="-3"/>
          <w:szCs w:val="19"/>
          <w:lang w:val="en-US"/>
        </w:rPr>
        <w:t>.</w:t>
      </w:r>
      <w:r w:rsidR="00A62DBA">
        <w:rPr>
          <w:spacing w:val="-3"/>
          <w:szCs w:val="19"/>
          <w:lang w:val="en-US"/>
        </w:rPr>
        <w:t>9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0</wp:posOffset>
            </wp:positionH>
            <wp:positionV relativeFrom="paragraph">
              <wp:posOffset>206374</wp:posOffset>
            </wp:positionV>
            <wp:extent cx="5147945" cy="2809875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0F397C">
        <w:rPr>
          <w:shd w:val="clear" w:color="auto" w:fill="FFFFFF"/>
          <w:lang w:val="en-US"/>
        </w:rPr>
        <w:t>I - I</w:t>
      </w:r>
      <w:r w:rsidR="00A62DBA">
        <w:rPr>
          <w:shd w:val="clear" w:color="auto" w:fill="FFFFFF"/>
          <w:lang w:val="en-US"/>
        </w:rPr>
        <w:t>X</w:t>
      </w:r>
      <w:r w:rsidR="00D846A7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A62DBA">
        <w:rPr>
          <w:b/>
          <w:shd w:val="clear" w:color="auto" w:fill="FFFFFF"/>
          <w:lang w:val="en-US"/>
        </w:rPr>
        <w:t xml:space="preserve">I - </w:t>
      </w:r>
      <w:r w:rsidR="000F397C">
        <w:rPr>
          <w:b/>
          <w:shd w:val="clear" w:color="auto" w:fill="FFFFFF"/>
          <w:lang w:val="en-US"/>
        </w:rPr>
        <w:t>I</w:t>
      </w:r>
      <w:r w:rsidR="00A62DBA">
        <w:rPr>
          <w:b/>
          <w:shd w:val="clear" w:color="auto" w:fill="FFFFFF"/>
          <w:lang w:val="en-US"/>
        </w:rPr>
        <w:t>X</w:t>
      </w:r>
      <w:r w:rsidR="002248BB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C77949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77949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Director Ewa </w:t>
            </w:r>
            <w:proofErr w:type="spellStart"/>
            <w:r w:rsidRPr="00C77949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Adach</w:t>
            </w:r>
            <w:proofErr w:type="spellEnd"/>
            <w:r w:rsidRPr="00C77949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C7794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el.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C77949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C77949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Office: t</w:t>
            </w:r>
            <w:r w:rsidR="00AD195B" w:rsidRPr="00235F0F">
              <w:rPr>
                <w:sz w:val="20"/>
                <w:lang w:val="en-US"/>
              </w:rPr>
              <w:t>el</w:t>
            </w:r>
            <w:r w:rsidR="00C77949">
              <w:rPr>
                <w:sz w:val="20"/>
                <w:lang w:val="en-US"/>
              </w:rPr>
              <w:t>.</w:t>
            </w:r>
            <w:bookmarkStart w:id="0" w:name="_GoBack"/>
            <w:bookmarkEnd w:id="0"/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RPr="00C77949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77949" w:rsidRDefault="00B31F08" w:rsidP="000470AA">
            <w:pPr>
              <w:rPr>
                <w:sz w:val="18"/>
                <w:lang w:val="en-US"/>
              </w:rPr>
            </w:pPr>
            <w:r w:rsidRPr="00C77949">
              <w:rPr>
                <w:sz w:val="20"/>
                <w:lang w:val="en-US"/>
              </w:rPr>
              <w:t>@</w:t>
            </w:r>
            <w:proofErr w:type="spellStart"/>
            <w:r w:rsidRPr="00C77949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0470AA" w:rsidRPr="00C77949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77949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7794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77949" w:rsidRDefault="000470AA" w:rsidP="000470AA">
            <w:pPr>
              <w:rPr>
                <w:sz w:val="20"/>
                <w:lang w:val="en-US"/>
              </w:rPr>
            </w:pPr>
            <w:r w:rsidRPr="00C77949">
              <w:rPr>
                <w:sz w:val="20"/>
                <w:lang w:val="en-US"/>
              </w:rPr>
              <w:t>@</w:t>
            </w:r>
            <w:proofErr w:type="spellStart"/>
            <w:r w:rsidRPr="00C77949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C77949" w:rsidRDefault="001448A7" w:rsidP="007D3F3F">
      <w:pPr>
        <w:ind w:right="-155"/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17F" w:rsidRDefault="0007317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7317F" w:rsidRPr="00856331" w:rsidRDefault="0007317F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07317F" w:rsidRPr="00836206" w:rsidRDefault="00836206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="00C85D28"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07317F" w:rsidRPr="00235F0F" w:rsidRDefault="00836206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="0007317F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07317F" w:rsidRPr="00235F0F" w:rsidRDefault="000E1CF1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07317F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07317F" w:rsidRPr="00235F0F" w:rsidRDefault="000E1CF1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07317F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07317F" w:rsidRPr="00466489" w:rsidRDefault="0007317F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07317F" w:rsidRPr="00A00ADB" w:rsidRDefault="0007317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07317F" w:rsidRPr="00AD195B" w:rsidRDefault="0007317F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5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07317F" w:rsidRPr="00AD195B" w:rsidRDefault="0007317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7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07317F" w:rsidRPr="000C2149" w:rsidRDefault="0007317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07317F" w:rsidRPr="000C2149" w:rsidRDefault="0007317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07317F" w:rsidRPr="00AD195B" w:rsidRDefault="000E1CF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07317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07317F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07317F" w:rsidRPr="00AD195B" w:rsidRDefault="000E1CF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07317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07317F" w:rsidRPr="00AD195B" w:rsidRDefault="000E1CF1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07317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07317F" w:rsidRPr="00AD195B" w:rsidRDefault="0007317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07317F" w:rsidRPr="00B86308" w:rsidRDefault="0007317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07317F" w:rsidRDefault="0007317F" w:rsidP="00AB6D25">
                      <w:pPr>
                        <w:rPr>
                          <w:b/>
                        </w:rPr>
                      </w:pPr>
                    </w:p>
                    <w:p w:rsidR="0007317F" w:rsidRPr="00856331" w:rsidRDefault="0007317F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  <w:bookmarkStart w:id="1" w:name="_GoBack"/>
                      <w:bookmarkEnd w:id="1"/>
                    </w:p>
                    <w:p w:rsidR="0007317F" w:rsidRPr="00836206" w:rsidRDefault="00836206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="00C85D28"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</w:t>
                      </w:r>
                      <w:r w:rsidR="00C85D28"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C85D28"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stics of Poland 2020</w:t>
                      </w:r>
                    </w:p>
                    <w:p w:rsidR="0007317F" w:rsidRPr="00235F0F" w:rsidRDefault="00836206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1" w:history="1">
                        <w:r w:rsidR="0007317F"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07317F" w:rsidRPr="00235F0F" w:rsidRDefault="0007317F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07317F" w:rsidRPr="00235F0F" w:rsidRDefault="0007317F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07317F" w:rsidRPr="00466489" w:rsidRDefault="0007317F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07317F" w:rsidRPr="00A00ADB" w:rsidRDefault="0007317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07317F" w:rsidRPr="00AD195B" w:rsidRDefault="0007317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4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07317F" w:rsidRPr="00AD195B" w:rsidRDefault="0007317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07317F" w:rsidRPr="000C2149" w:rsidRDefault="0007317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07317F" w:rsidRPr="000C2149" w:rsidRDefault="0007317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07317F" w:rsidRPr="00AD195B" w:rsidRDefault="0007317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07317F" w:rsidRPr="00AD195B" w:rsidRDefault="0007317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07317F" w:rsidRPr="00AD195B" w:rsidRDefault="0007317F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07317F" w:rsidRPr="00AD195B" w:rsidRDefault="0007317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07317F" w:rsidRPr="00B86308" w:rsidRDefault="0007317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77949" w:rsidSect="00FC2698">
      <w:headerReference w:type="default" r:id="rId40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CF1" w:rsidRDefault="000E1CF1" w:rsidP="000662E2">
      <w:pPr>
        <w:spacing w:after="0" w:line="240" w:lineRule="auto"/>
      </w:pPr>
      <w:r>
        <w:separator/>
      </w:r>
    </w:p>
  </w:endnote>
  <w:endnote w:type="continuationSeparator" w:id="0">
    <w:p w:rsidR="000E1CF1" w:rsidRDefault="000E1C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07317F" w:rsidRDefault="000731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949">
          <w:rPr>
            <w:noProof/>
          </w:rPr>
          <w:t>2</w:t>
        </w:r>
        <w:r>
          <w:fldChar w:fldCharType="end"/>
        </w:r>
      </w:p>
    </w:sdtContent>
  </w:sdt>
  <w:p w:rsidR="0007317F" w:rsidRDefault="000731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07317F" w:rsidRDefault="000731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949">
          <w:rPr>
            <w:noProof/>
          </w:rPr>
          <w:t>1</w:t>
        </w:r>
        <w:r>
          <w:fldChar w:fldCharType="end"/>
        </w:r>
      </w:p>
    </w:sdtContent>
  </w:sdt>
  <w:p w:rsidR="0007317F" w:rsidRDefault="000731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CF1" w:rsidRDefault="000E1CF1" w:rsidP="000662E2">
      <w:pPr>
        <w:spacing w:after="0" w:line="240" w:lineRule="auto"/>
      </w:pPr>
      <w:r>
        <w:separator/>
      </w:r>
    </w:p>
  </w:footnote>
  <w:footnote w:type="continuationSeparator" w:id="0">
    <w:p w:rsidR="000E1CF1" w:rsidRDefault="000E1CF1" w:rsidP="000662E2">
      <w:pPr>
        <w:spacing w:after="0" w:line="240" w:lineRule="auto"/>
      </w:pPr>
      <w:r>
        <w:continuationSeparator/>
      </w:r>
    </w:p>
  </w:footnote>
  <w:footnote w:id="1">
    <w:p w:rsidR="0007317F" w:rsidRPr="00AD195B" w:rsidRDefault="0007317F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07317F" w:rsidRPr="00AD195B" w:rsidRDefault="0007317F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07317F" w:rsidRPr="00231F40" w:rsidRDefault="0007317F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September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07317F" w:rsidRPr="00AD195B" w:rsidRDefault="0007317F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93033E" w:rsidRPr="00AD195B" w:rsidRDefault="0093033E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7F" w:rsidRDefault="0007317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7317F" w:rsidRDefault="000731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7F" w:rsidRDefault="0007317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7317F" w:rsidRPr="003C6C8D" w:rsidRDefault="0007317F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7317F" w:rsidRPr="003C6C8D" w:rsidRDefault="0007317F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DE000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7F" w:rsidRDefault="0007317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317F" w:rsidRPr="00C97596" w:rsidRDefault="0007317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17.11.2020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7317F" w:rsidRPr="00C97596" w:rsidRDefault="0007317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17.11.2020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7F" w:rsidRDefault="0007317F">
    <w:pPr>
      <w:pStyle w:val="Nagwek"/>
    </w:pPr>
  </w:p>
  <w:p w:rsidR="0007317F" w:rsidRDefault="000731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pt;height:125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55pt;height:125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3437"/>
    <w:rsid w:val="0000709F"/>
    <w:rsid w:val="000108B8"/>
    <w:rsid w:val="00014C1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17F"/>
    <w:rsid w:val="00073DEA"/>
    <w:rsid w:val="00074DD8"/>
    <w:rsid w:val="00076A47"/>
    <w:rsid w:val="000806F7"/>
    <w:rsid w:val="000819CC"/>
    <w:rsid w:val="00081BF6"/>
    <w:rsid w:val="00083C6E"/>
    <w:rsid w:val="00092078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32C"/>
    <w:rsid w:val="000C36D4"/>
    <w:rsid w:val="000D1D43"/>
    <w:rsid w:val="000D225C"/>
    <w:rsid w:val="000D2A5C"/>
    <w:rsid w:val="000D3E9E"/>
    <w:rsid w:val="000E0918"/>
    <w:rsid w:val="000E1CF1"/>
    <w:rsid w:val="000E4EEB"/>
    <w:rsid w:val="000F397C"/>
    <w:rsid w:val="000F7129"/>
    <w:rsid w:val="001011C3"/>
    <w:rsid w:val="001013C9"/>
    <w:rsid w:val="00102D3E"/>
    <w:rsid w:val="00110077"/>
    <w:rsid w:val="00110D87"/>
    <w:rsid w:val="001146CE"/>
    <w:rsid w:val="00114DB9"/>
    <w:rsid w:val="00116087"/>
    <w:rsid w:val="00130296"/>
    <w:rsid w:val="00130954"/>
    <w:rsid w:val="00130DA4"/>
    <w:rsid w:val="00140495"/>
    <w:rsid w:val="00141776"/>
    <w:rsid w:val="001423B6"/>
    <w:rsid w:val="001423BE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4967"/>
    <w:rsid w:val="00180527"/>
    <w:rsid w:val="001824D4"/>
    <w:rsid w:val="001848DA"/>
    <w:rsid w:val="00185BAA"/>
    <w:rsid w:val="00193D62"/>
    <w:rsid w:val="0019402A"/>
    <w:rsid w:val="001951DA"/>
    <w:rsid w:val="001A33F3"/>
    <w:rsid w:val="001A5F85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E704E"/>
    <w:rsid w:val="001F6FFE"/>
    <w:rsid w:val="00217509"/>
    <w:rsid w:val="002248BB"/>
    <w:rsid w:val="00226715"/>
    <w:rsid w:val="00226F10"/>
    <w:rsid w:val="00231F40"/>
    <w:rsid w:val="00234E12"/>
    <w:rsid w:val="00235F0F"/>
    <w:rsid w:val="00242525"/>
    <w:rsid w:val="00246534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3867"/>
    <w:rsid w:val="003140DD"/>
    <w:rsid w:val="00316FD3"/>
    <w:rsid w:val="003216C9"/>
    <w:rsid w:val="00322EDD"/>
    <w:rsid w:val="00332320"/>
    <w:rsid w:val="0033626F"/>
    <w:rsid w:val="00336E93"/>
    <w:rsid w:val="00340F34"/>
    <w:rsid w:val="00341FC0"/>
    <w:rsid w:val="003459D7"/>
    <w:rsid w:val="00345F7C"/>
    <w:rsid w:val="00346180"/>
    <w:rsid w:val="00347D72"/>
    <w:rsid w:val="00354655"/>
    <w:rsid w:val="00357611"/>
    <w:rsid w:val="00366025"/>
    <w:rsid w:val="00367237"/>
    <w:rsid w:val="0036798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A7703"/>
    <w:rsid w:val="003B1454"/>
    <w:rsid w:val="003C1C8A"/>
    <w:rsid w:val="003C59E0"/>
    <w:rsid w:val="003C6B82"/>
    <w:rsid w:val="003C6C8D"/>
    <w:rsid w:val="003D0FFC"/>
    <w:rsid w:val="003D23E6"/>
    <w:rsid w:val="003D4F95"/>
    <w:rsid w:val="003D5F42"/>
    <w:rsid w:val="003D60A9"/>
    <w:rsid w:val="003F0845"/>
    <w:rsid w:val="003F16AB"/>
    <w:rsid w:val="003F19FC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028A"/>
    <w:rsid w:val="004175FA"/>
    <w:rsid w:val="00421112"/>
    <w:rsid w:val="004212E7"/>
    <w:rsid w:val="00422CBD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47F9"/>
    <w:rsid w:val="0049621B"/>
    <w:rsid w:val="004A0681"/>
    <w:rsid w:val="004A1B20"/>
    <w:rsid w:val="004A29AD"/>
    <w:rsid w:val="004B03EA"/>
    <w:rsid w:val="004B1C41"/>
    <w:rsid w:val="004B2FBB"/>
    <w:rsid w:val="004B64A7"/>
    <w:rsid w:val="004C1895"/>
    <w:rsid w:val="004C22FB"/>
    <w:rsid w:val="004C4BDC"/>
    <w:rsid w:val="004C6D40"/>
    <w:rsid w:val="004D100F"/>
    <w:rsid w:val="004D3044"/>
    <w:rsid w:val="004F0C3C"/>
    <w:rsid w:val="004F63FC"/>
    <w:rsid w:val="004F69EE"/>
    <w:rsid w:val="00505A92"/>
    <w:rsid w:val="0051165C"/>
    <w:rsid w:val="0051626B"/>
    <w:rsid w:val="005203F1"/>
    <w:rsid w:val="00521BC3"/>
    <w:rsid w:val="005249BC"/>
    <w:rsid w:val="00524B1B"/>
    <w:rsid w:val="0052532E"/>
    <w:rsid w:val="005309DA"/>
    <w:rsid w:val="005313E7"/>
    <w:rsid w:val="00533632"/>
    <w:rsid w:val="0054251F"/>
    <w:rsid w:val="00545553"/>
    <w:rsid w:val="00546F85"/>
    <w:rsid w:val="00550618"/>
    <w:rsid w:val="005520D8"/>
    <w:rsid w:val="005540B1"/>
    <w:rsid w:val="00556CF1"/>
    <w:rsid w:val="005700CF"/>
    <w:rsid w:val="0057042D"/>
    <w:rsid w:val="00572459"/>
    <w:rsid w:val="00575E53"/>
    <w:rsid w:val="005762A7"/>
    <w:rsid w:val="00585385"/>
    <w:rsid w:val="00586936"/>
    <w:rsid w:val="005916D7"/>
    <w:rsid w:val="00594C60"/>
    <w:rsid w:val="005A698C"/>
    <w:rsid w:val="005A729A"/>
    <w:rsid w:val="005B53FF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14D2"/>
    <w:rsid w:val="0062435C"/>
    <w:rsid w:val="00633014"/>
    <w:rsid w:val="006332BB"/>
    <w:rsid w:val="0063437B"/>
    <w:rsid w:val="006401A1"/>
    <w:rsid w:val="00641F00"/>
    <w:rsid w:val="00646684"/>
    <w:rsid w:val="0065146E"/>
    <w:rsid w:val="0065337E"/>
    <w:rsid w:val="006537F5"/>
    <w:rsid w:val="00656A96"/>
    <w:rsid w:val="00665A78"/>
    <w:rsid w:val="006673CA"/>
    <w:rsid w:val="00670AAF"/>
    <w:rsid w:val="00670E27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1610"/>
    <w:rsid w:val="006D31C0"/>
    <w:rsid w:val="006D4054"/>
    <w:rsid w:val="006D5EAD"/>
    <w:rsid w:val="006D6AD4"/>
    <w:rsid w:val="006E02EC"/>
    <w:rsid w:val="006E1A22"/>
    <w:rsid w:val="006F3B26"/>
    <w:rsid w:val="006F5D87"/>
    <w:rsid w:val="006F6E32"/>
    <w:rsid w:val="007000BD"/>
    <w:rsid w:val="00701D51"/>
    <w:rsid w:val="007041B0"/>
    <w:rsid w:val="00704E4D"/>
    <w:rsid w:val="007051C3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B4A79"/>
    <w:rsid w:val="007C0DEB"/>
    <w:rsid w:val="007C3D28"/>
    <w:rsid w:val="007D3319"/>
    <w:rsid w:val="007D335D"/>
    <w:rsid w:val="007D3F3F"/>
    <w:rsid w:val="007D41B2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8FC"/>
    <w:rsid w:val="00834AD3"/>
    <w:rsid w:val="0083545E"/>
    <w:rsid w:val="00836206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6768A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A7C7B"/>
    <w:rsid w:val="008B0722"/>
    <w:rsid w:val="008B1B0C"/>
    <w:rsid w:val="008C0C29"/>
    <w:rsid w:val="008D1FAF"/>
    <w:rsid w:val="008D786D"/>
    <w:rsid w:val="008E62CC"/>
    <w:rsid w:val="008F3638"/>
    <w:rsid w:val="008F6BDD"/>
    <w:rsid w:val="008F6F31"/>
    <w:rsid w:val="008F74DF"/>
    <w:rsid w:val="009016C2"/>
    <w:rsid w:val="00904789"/>
    <w:rsid w:val="009127BA"/>
    <w:rsid w:val="00921F50"/>
    <w:rsid w:val="009227A6"/>
    <w:rsid w:val="009266E8"/>
    <w:rsid w:val="00926D8F"/>
    <w:rsid w:val="0093033E"/>
    <w:rsid w:val="00932408"/>
    <w:rsid w:val="00933D6C"/>
    <w:rsid w:val="00933EC1"/>
    <w:rsid w:val="009345D6"/>
    <w:rsid w:val="009369CF"/>
    <w:rsid w:val="009451EB"/>
    <w:rsid w:val="009465B2"/>
    <w:rsid w:val="00947E5D"/>
    <w:rsid w:val="00951099"/>
    <w:rsid w:val="009530DB"/>
    <w:rsid w:val="00953676"/>
    <w:rsid w:val="0095539B"/>
    <w:rsid w:val="00955FF5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06767"/>
    <w:rsid w:val="00A12167"/>
    <w:rsid w:val="00A13626"/>
    <w:rsid w:val="00A139F5"/>
    <w:rsid w:val="00A173FF"/>
    <w:rsid w:val="00A24DAE"/>
    <w:rsid w:val="00A365F4"/>
    <w:rsid w:val="00A416B1"/>
    <w:rsid w:val="00A43659"/>
    <w:rsid w:val="00A44ACB"/>
    <w:rsid w:val="00A46503"/>
    <w:rsid w:val="00A47D80"/>
    <w:rsid w:val="00A53132"/>
    <w:rsid w:val="00A563F2"/>
    <w:rsid w:val="00A566E8"/>
    <w:rsid w:val="00A60BEF"/>
    <w:rsid w:val="00A62DBA"/>
    <w:rsid w:val="00A70036"/>
    <w:rsid w:val="00A735AD"/>
    <w:rsid w:val="00A7609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92509"/>
    <w:rsid w:val="00A9303B"/>
    <w:rsid w:val="00AA6D1C"/>
    <w:rsid w:val="00AA710D"/>
    <w:rsid w:val="00AB29F1"/>
    <w:rsid w:val="00AB3053"/>
    <w:rsid w:val="00AB38AA"/>
    <w:rsid w:val="00AB6D25"/>
    <w:rsid w:val="00AC2C0D"/>
    <w:rsid w:val="00AD195B"/>
    <w:rsid w:val="00AD1CDE"/>
    <w:rsid w:val="00AD34B4"/>
    <w:rsid w:val="00AD728E"/>
    <w:rsid w:val="00AE2D4B"/>
    <w:rsid w:val="00AE4F99"/>
    <w:rsid w:val="00AE636C"/>
    <w:rsid w:val="00AE69C6"/>
    <w:rsid w:val="00AF0CDF"/>
    <w:rsid w:val="00B015DA"/>
    <w:rsid w:val="00B04C23"/>
    <w:rsid w:val="00B07095"/>
    <w:rsid w:val="00B113A9"/>
    <w:rsid w:val="00B1245F"/>
    <w:rsid w:val="00B14952"/>
    <w:rsid w:val="00B14BF1"/>
    <w:rsid w:val="00B2070C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1F18"/>
    <w:rsid w:val="00B9214D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C51FC"/>
    <w:rsid w:val="00BC5D29"/>
    <w:rsid w:val="00BD2BC3"/>
    <w:rsid w:val="00BD4E33"/>
    <w:rsid w:val="00BD5068"/>
    <w:rsid w:val="00BE11C6"/>
    <w:rsid w:val="00BE494C"/>
    <w:rsid w:val="00BE588F"/>
    <w:rsid w:val="00C02127"/>
    <w:rsid w:val="00C030DE"/>
    <w:rsid w:val="00C03108"/>
    <w:rsid w:val="00C157A0"/>
    <w:rsid w:val="00C22105"/>
    <w:rsid w:val="00C244B6"/>
    <w:rsid w:val="00C30406"/>
    <w:rsid w:val="00C35FFF"/>
    <w:rsid w:val="00C3702F"/>
    <w:rsid w:val="00C448F9"/>
    <w:rsid w:val="00C45082"/>
    <w:rsid w:val="00C45CD2"/>
    <w:rsid w:val="00C50A24"/>
    <w:rsid w:val="00C5627C"/>
    <w:rsid w:val="00C6170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949"/>
    <w:rsid w:val="00C77C0E"/>
    <w:rsid w:val="00C77C4A"/>
    <w:rsid w:val="00C85BB8"/>
    <w:rsid w:val="00C85D2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303A"/>
    <w:rsid w:val="00CC5570"/>
    <w:rsid w:val="00CC60CF"/>
    <w:rsid w:val="00CC739E"/>
    <w:rsid w:val="00CC7850"/>
    <w:rsid w:val="00CD2230"/>
    <w:rsid w:val="00CD2FE9"/>
    <w:rsid w:val="00CD58B7"/>
    <w:rsid w:val="00CF4099"/>
    <w:rsid w:val="00CF46BB"/>
    <w:rsid w:val="00CF4F5E"/>
    <w:rsid w:val="00CF77F5"/>
    <w:rsid w:val="00D00796"/>
    <w:rsid w:val="00D042BF"/>
    <w:rsid w:val="00D203BB"/>
    <w:rsid w:val="00D261A2"/>
    <w:rsid w:val="00D34A67"/>
    <w:rsid w:val="00D34D98"/>
    <w:rsid w:val="00D3569F"/>
    <w:rsid w:val="00D361D6"/>
    <w:rsid w:val="00D45E4A"/>
    <w:rsid w:val="00D53921"/>
    <w:rsid w:val="00D616D2"/>
    <w:rsid w:val="00D63B5F"/>
    <w:rsid w:val="00D65891"/>
    <w:rsid w:val="00D67CD3"/>
    <w:rsid w:val="00D70EF7"/>
    <w:rsid w:val="00D74FA5"/>
    <w:rsid w:val="00D75BA7"/>
    <w:rsid w:val="00D80E51"/>
    <w:rsid w:val="00D82643"/>
    <w:rsid w:val="00D8397C"/>
    <w:rsid w:val="00D846A7"/>
    <w:rsid w:val="00D9465D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DF0177"/>
    <w:rsid w:val="00E01436"/>
    <w:rsid w:val="00E045BD"/>
    <w:rsid w:val="00E046FE"/>
    <w:rsid w:val="00E1002B"/>
    <w:rsid w:val="00E10701"/>
    <w:rsid w:val="00E11C96"/>
    <w:rsid w:val="00E12641"/>
    <w:rsid w:val="00E12DB3"/>
    <w:rsid w:val="00E15AA8"/>
    <w:rsid w:val="00E17B77"/>
    <w:rsid w:val="00E23337"/>
    <w:rsid w:val="00E2586A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583B"/>
    <w:rsid w:val="00E76D26"/>
    <w:rsid w:val="00E84F3B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3D1A"/>
    <w:rsid w:val="00ED55C0"/>
    <w:rsid w:val="00ED6607"/>
    <w:rsid w:val="00ED682B"/>
    <w:rsid w:val="00EE269C"/>
    <w:rsid w:val="00EE41D5"/>
    <w:rsid w:val="00EE7199"/>
    <w:rsid w:val="00EF50A2"/>
    <w:rsid w:val="00EF6555"/>
    <w:rsid w:val="00F0187D"/>
    <w:rsid w:val="00F01D52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5071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323"/>
    <w:rsid w:val="00FC2698"/>
    <w:rsid w:val="00FC2AED"/>
    <w:rsid w:val="00FD4B11"/>
    <w:rsid w:val="00FD53BA"/>
    <w:rsid w:val="00FD5EA7"/>
    <w:rsid w:val="00FE7DA8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/StronaGlownaDBW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19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http://stat.gov.pl/en/topics/prices-trade/trade/foreign-trade-poland-in-european-union,6,12.html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tat.gov.pl/en/metainformations/glossary/terms-used-in-official-statistics/746,term.html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file:///C:\Users\MatejakA\Desktop\Documents\Sygnalna\2018\Foreign%20trade.%20Mirror%20and%20asymmetry%20statist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44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HandelZagraniczny.aspx" TargetMode="External"/><Relationship Id="rId33" Type="http://schemas.openxmlformats.org/officeDocument/2006/relationships/hyperlink" Target="https://stat.gov.pl/en/topics/prices-trade/trade/foreign-trade-trade-in-goods-by-enterprise-characteristics-tec,6,13.html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1.6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C53-4645-84E6-044F814107E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45244912"/>
        <c:axId val="-245238928"/>
      </c:barChart>
      <c:catAx>
        <c:axId val="-245244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45238928"/>
        <c:crosses val="autoZero"/>
        <c:auto val="1"/>
        <c:lblAlgn val="ctr"/>
        <c:lblOffset val="100"/>
        <c:noMultiLvlLbl val="0"/>
      </c:catAx>
      <c:valAx>
        <c:axId val="-2452389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24524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245244368"/>
        <c:axId val="-245240016"/>
      </c:barChart>
      <c:catAx>
        <c:axId val="-245244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45240016"/>
        <c:crosses val="autoZero"/>
        <c:auto val="1"/>
        <c:lblAlgn val="ctr"/>
        <c:lblOffset val="100"/>
        <c:noMultiLvlLbl val="0"/>
      </c:catAx>
      <c:valAx>
        <c:axId val="-2452400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24524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6C2E9-B9AA-45D5-9D7E-18590CB8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6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2020-11-16T14:30:00Z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