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1E" w:rsidRDefault="00581B78" w:rsidP="0002005A">
      <w:pPr>
        <w:pStyle w:val="tytuinformacji"/>
        <w:rPr>
          <w:rFonts w:ascii="Fira Sans Condensed SemiBold" w:hAnsi="Fira Sans Condensed SemiBold"/>
          <w:bCs/>
          <w:lang w:val="en-GB"/>
        </w:rPr>
      </w:pPr>
      <w:r>
        <w:rPr>
          <w:rFonts w:ascii="Fira Sans Condensed SemiBold" w:hAnsi="Fira Sans Condensed SemiBold"/>
          <w:bCs/>
          <w:lang w:val="en-GB"/>
        </w:rPr>
        <w:t>Housing economy</w:t>
      </w:r>
      <w:r w:rsidR="00353B5B" w:rsidRPr="000B572E">
        <w:rPr>
          <w:rFonts w:ascii="Fira Sans Condensed SemiBold" w:hAnsi="Fira Sans Condensed SemiBold"/>
          <w:bCs/>
          <w:lang w:val="en-GB"/>
        </w:rPr>
        <w:t xml:space="preserve"> in 201</w:t>
      </w:r>
      <w:r w:rsidR="007602DB">
        <w:rPr>
          <w:rFonts w:ascii="Fira Sans Condensed SemiBold" w:hAnsi="Fira Sans Condensed SemiBold"/>
          <w:bCs/>
          <w:lang w:val="en-GB"/>
        </w:rPr>
        <w:t>9</w:t>
      </w:r>
    </w:p>
    <w:p w:rsidR="0002005A" w:rsidRPr="000B572E" w:rsidRDefault="0002005A" w:rsidP="00E2731E">
      <w:pPr>
        <w:pStyle w:val="tytuinformacji"/>
        <w:spacing w:before="0"/>
        <w:rPr>
          <w:rFonts w:ascii="Fira Sans Condensed SemiBold" w:hAnsi="Fira Sans Condensed SemiBold"/>
          <w:sz w:val="32"/>
          <w:lang w:val="en-US"/>
        </w:rPr>
      </w:pPr>
    </w:p>
    <w:p w:rsidR="00581B78" w:rsidRPr="00281994" w:rsidRDefault="00581B78" w:rsidP="00581B78">
      <w:pPr>
        <w:pStyle w:val="LID"/>
        <w:rPr>
          <w:lang w:val="en-GB"/>
        </w:rPr>
      </w:pPr>
      <w:r w:rsidRPr="00074DD8">
        <w:rPr>
          <w:lang w:val="en-GB" w:eastAsia="en-GB"/>
        </w:rPr>
        <mc:AlternateContent>
          <mc:Choice Requires="wps">
            <w:drawing>
              <wp:anchor distT="45720" distB="45720" distL="114300" distR="114300" simplePos="0" relativeHeight="251779072" behindDoc="0" locked="0" layoutInCell="1" allowOverlap="1" wp14:anchorId="4F518AC6" wp14:editId="0645B93B">
                <wp:simplePos x="0" y="0"/>
                <wp:positionH relativeFrom="margin">
                  <wp:align>left</wp:align>
                </wp:positionH>
                <wp:positionV relativeFrom="paragraph">
                  <wp:posOffset>83427</wp:posOffset>
                </wp:positionV>
                <wp:extent cx="1828800" cy="1216025"/>
                <wp:effectExtent l="0" t="0" r="0" b="31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16550"/>
                        </a:xfrm>
                        <a:prstGeom prst="rect">
                          <a:avLst/>
                        </a:prstGeom>
                        <a:solidFill>
                          <a:srgbClr val="001D77"/>
                        </a:solidFill>
                        <a:ln w="9525">
                          <a:noFill/>
                          <a:miter lim="800000"/>
                          <a:headEnd/>
                          <a:tailEnd/>
                        </a:ln>
                      </wps:spPr>
                      <wps:txbx>
                        <w:txbxContent>
                          <w:p w:rsidR="00C0111D" w:rsidRPr="002D6A12" w:rsidRDefault="00C0111D" w:rsidP="00581B78">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val="en-GB" w:eastAsia="en-GB"/>
                              </w:rPr>
                              <w:drawing>
                                <wp:inline distT="0" distB="0" distL="0" distR="0">
                                  <wp:extent cx="335280" cy="335280"/>
                                  <wp:effectExtent l="0" t="0" r="7620" b="762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2D6A12">
                              <w:rPr>
                                <w:noProof/>
                                <w:color w:val="001D77"/>
                                <w:lang w:val="en-GB" w:eastAsia="pl-PL"/>
                              </w:rPr>
                              <w:t xml:space="preserve"> </w:t>
                            </w:r>
                            <w:r w:rsidRPr="002D6A12">
                              <w:rPr>
                                <w:rFonts w:ascii="Fira Sans SemiBold" w:hAnsi="Fira Sans SemiBold"/>
                                <w:color w:val="FFFFFF" w:themeColor="background1"/>
                                <w:sz w:val="72"/>
                                <w:lang w:val="en-GB"/>
                              </w:rPr>
                              <w:t>1.4%</w:t>
                            </w:r>
                          </w:p>
                          <w:p w:rsidR="00C0111D" w:rsidRPr="00281994" w:rsidRDefault="00C0111D" w:rsidP="00581B78">
                            <w:pPr>
                              <w:pStyle w:val="tekstnaniebieskimtle"/>
                              <w:rPr>
                                <w:color w:val="FFFFFF" w:themeColor="background1"/>
                                <w:sz w:val="18"/>
                                <w:szCs w:val="20"/>
                                <w:lang w:val="en-GB"/>
                              </w:rPr>
                            </w:pPr>
                            <w:r w:rsidRPr="00281994">
                              <w:rPr>
                                <w:lang w:val="en-GB"/>
                              </w:rPr>
                              <w:t>The increase in the number of dwellings</w:t>
                            </w:r>
                            <w:r>
                              <w:rPr>
                                <w:lang w:val="en-GB"/>
                              </w:rPr>
                              <w:t xml:space="preserve"> compared 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8AC6" id="_x0000_t202" coordsize="21600,21600" o:spt="202" path="m,l,21600r21600,l21600,xe">
                <v:stroke joinstyle="miter"/>
                <v:path gradientshapeok="t" o:connecttype="rect"/>
              </v:shapetype>
              <v:shape id="Pole tekstowe 2" o:spid="_x0000_s1026" type="#_x0000_t202" style="position:absolute;margin-left:0;margin-top:6.55pt;width:2in;height:95.75pt;z-index:251779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" fillcolor="#001d77" stroked="f">
                <v:textbox>
                  <w:txbxContent>
                    <w:p w:rsidR="00C0111D" w:rsidRPr="002D6A12" w:rsidRDefault="00C0111D" w:rsidP="00581B78">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extent cx="335280" cy="335280"/>
                            <wp:effectExtent l="0" t="0" r="7620" b="762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sidRPr="002D6A12">
                        <w:rPr>
                          <w:noProof/>
                          <w:color w:val="001D77"/>
                          <w:lang w:val="en-GB" w:eastAsia="pl-PL"/>
                        </w:rPr>
                        <w:t xml:space="preserve"> </w:t>
                      </w:r>
                      <w:r w:rsidRPr="002D6A12">
                        <w:rPr>
                          <w:rFonts w:ascii="Fira Sans SemiBold" w:hAnsi="Fira Sans SemiBold"/>
                          <w:color w:val="FFFFFF" w:themeColor="background1"/>
                          <w:sz w:val="72"/>
                          <w:lang w:val="en-GB"/>
                        </w:rPr>
                        <w:t>1.4%</w:t>
                      </w:r>
                    </w:p>
                    <w:p w:rsidR="00C0111D" w:rsidRPr="00281994" w:rsidRDefault="00C0111D" w:rsidP="00581B78">
                      <w:pPr>
                        <w:pStyle w:val="tekstnaniebieskimtle"/>
                        <w:rPr>
                          <w:color w:val="FFFFFF" w:themeColor="background1"/>
                          <w:sz w:val="18"/>
                          <w:szCs w:val="20"/>
                          <w:lang w:val="en-GB"/>
                        </w:rPr>
                      </w:pPr>
                      <w:r w:rsidRPr="00281994">
                        <w:rPr>
                          <w:lang w:val="en-GB"/>
                        </w:rPr>
                        <w:t>The increase in the number of dwellings</w:t>
                      </w:r>
                      <w:r>
                        <w:rPr>
                          <w:lang w:val="en-GB"/>
                        </w:rPr>
                        <w:t xml:space="preserve"> compared to the previous year</w:t>
                      </w:r>
                    </w:p>
                  </w:txbxContent>
                </v:textbox>
                <w10:wrap type="square" anchorx="margin"/>
              </v:shape>
            </w:pict>
          </mc:Fallback>
        </mc:AlternateContent>
      </w:r>
      <w:r w:rsidRPr="00281994">
        <w:rPr>
          <w:lang w:val="en-GB"/>
        </w:rPr>
        <w:t>In Poland, as of the end of 201</w:t>
      </w:r>
      <w:r>
        <w:rPr>
          <w:lang w:val="en-GB"/>
        </w:rPr>
        <w:t>9</w:t>
      </w:r>
      <w:r w:rsidRPr="00281994">
        <w:rPr>
          <w:lang w:val="en-GB"/>
        </w:rPr>
        <w:t>, there were recorded 14.</w:t>
      </w:r>
      <w:r>
        <w:rPr>
          <w:lang w:val="en-GB"/>
        </w:rPr>
        <w:t>8</w:t>
      </w:r>
      <w:r w:rsidRPr="00281994">
        <w:rPr>
          <w:lang w:val="en-GB"/>
        </w:rPr>
        <w:t> million dwellings (an increase of 1.</w:t>
      </w:r>
      <w:r>
        <w:rPr>
          <w:lang w:val="en-GB"/>
        </w:rPr>
        <w:t>4</w:t>
      </w:r>
      <w:r w:rsidRPr="00281994">
        <w:rPr>
          <w:lang w:val="en-GB"/>
        </w:rPr>
        <w:t> % compared with the end of 201</w:t>
      </w:r>
      <w:r>
        <w:rPr>
          <w:lang w:val="en-GB"/>
        </w:rPr>
        <w:t>8</w:t>
      </w:r>
      <w:r w:rsidRPr="00281994">
        <w:rPr>
          <w:lang w:val="en-GB"/>
        </w:rPr>
        <w:t xml:space="preserve">) with the total useful floor area of </w:t>
      </w:r>
      <w:r w:rsidR="00E953C7" w:rsidRPr="00281994">
        <w:rPr>
          <w:lang w:val="en-GB"/>
        </w:rPr>
        <w:t>1</w:t>
      </w:r>
      <w:r w:rsidR="00E953C7">
        <w:rPr>
          <w:lang w:val="en-GB"/>
        </w:rPr>
        <w:t>,</w:t>
      </w:r>
      <w:r>
        <w:rPr>
          <w:lang w:val="en-GB"/>
        </w:rPr>
        <w:t>101.4</w:t>
      </w:r>
      <w:r w:rsidRPr="00281994">
        <w:rPr>
          <w:lang w:val="en-GB"/>
        </w:rPr>
        <w:t xml:space="preserve"> million m</w:t>
      </w:r>
      <w:r w:rsidRPr="00281994">
        <w:rPr>
          <w:vertAlign w:val="superscript"/>
          <w:lang w:val="en-GB"/>
        </w:rPr>
        <w:t>2</w:t>
      </w:r>
      <w:r w:rsidRPr="00281994">
        <w:rPr>
          <w:lang w:val="en-GB"/>
        </w:rPr>
        <w:t>, with 5</w:t>
      </w:r>
      <w:r>
        <w:rPr>
          <w:lang w:val="en-GB"/>
        </w:rPr>
        <w:t>6.6</w:t>
      </w:r>
      <w:r w:rsidRPr="00281994">
        <w:rPr>
          <w:lang w:val="en-GB"/>
        </w:rPr>
        <w:t xml:space="preserve"> million rooms.</w:t>
      </w:r>
    </w:p>
    <w:p w:rsidR="00581B78" w:rsidRPr="00281994" w:rsidRDefault="00581B78" w:rsidP="00581B78">
      <w:pPr>
        <w:pStyle w:val="Nagwek1"/>
        <w:spacing w:before="0"/>
        <w:rPr>
          <w:rFonts w:ascii="Fira Sans" w:hAnsi="Fira Sans"/>
          <w:b/>
          <w:color w:val="212492"/>
          <w:spacing w:val="-2"/>
          <w:szCs w:val="19"/>
          <w:lang w:val="en-GB"/>
        </w:rPr>
      </w:pPr>
    </w:p>
    <w:p w:rsidR="00581B78" w:rsidRPr="00281994" w:rsidRDefault="00581B78" w:rsidP="00581B78">
      <w:pPr>
        <w:pStyle w:val="Nagwek1"/>
        <w:rPr>
          <w:shd w:val="clear" w:color="auto" w:fill="FFFFFF"/>
          <w:lang w:val="en-GB"/>
        </w:rPr>
      </w:pPr>
    </w:p>
    <w:p w:rsidR="00C340D8" w:rsidRDefault="00C340D8" w:rsidP="00581B78">
      <w:pPr>
        <w:pStyle w:val="Nagwek1"/>
        <w:rPr>
          <w:lang w:val="en-GB"/>
        </w:rPr>
      </w:pPr>
    </w:p>
    <w:p w:rsidR="00581B78" w:rsidRPr="00CA0A0F" w:rsidRDefault="00581B78" w:rsidP="00581B78">
      <w:pPr>
        <w:pStyle w:val="Nagwek1"/>
        <w:rPr>
          <w:lang w:val="en-GB"/>
        </w:rPr>
      </w:pPr>
      <w:r w:rsidRPr="00DD60ED">
        <w:rPr>
          <w:noProof/>
          <w:color w:val="212492"/>
          <w:spacing w:val="-2"/>
          <w:szCs w:val="19"/>
          <w:lang w:val="en-GB" w:eastAsia="en-GB"/>
        </w:rPr>
        <mc:AlternateContent>
          <mc:Choice Requires="wps">
            <w:drawing>
              <wp:anchor distT="45720" distB="45720" distL="114300" distR="114300" simplePos="0" relativeHeight="251778048" behindDoc="1" locked="0" layoutInCell="1" allowOverlap="1" wp14:anchorId="3BDFC41B" wp14:editId="12731814">
                <wp:simplePos x="0" y="0"/>
                <wp:positionH relativeFrom="column">
                  <wp:posOffset>5230495</wp:posOffset>
                </wp:positionH>
                <wp:positionV relativeFrom="paragraph">
                  <wp:posOffset>125095</wp:posOffset>
                </wp:positionV>
                <wp:extent cx="1745615" cy="683895"/>
                <wp:effectExtent l="0" t="0" r="0" b="1905"/>
                <wp:wrapTight wrapText="bothSides">
                  <wp:wrapPolygon edited="0">
                    <wp:start x="707" y="0"/>
                    <wp:lineTo x="707" y="21058"/>
                    <wp:lineTo x="20744" y="21058"/>
                    <wp:lineTo x="20744" y="0"/>
                    <wp:lineTo x="707"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683895"/>
                        </a:xfrm>
                        <a:prstGeom prst="rect">
                          <a:avLst/>
                        </a:prstGeom>
                        <a:noFill/>
                        <a:ln w="9525">
                          <a:noFill/>
                          <a:miter lim="800000"/>
                          <a:headEnd/>
                          <a:tailEnd/>
                        </a:ln>
                      </wps:spPr>
                      <wps:txb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dwelling stocks in Poland amounted to 14.</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FC41B" id="_x0000_s1027" type="#_x0000_t202" style="position:absolute;margin-left:411.85pt;margin-top:9.85pt;width:137.45pt;height:53.8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" filled="f" stroked="f">
                <v:textbo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 the end of 201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dwelling stocks in Poland amounted to 14.</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w:t>
                      </w:r>
                    </w:p>
                  </w:txbxContent>
                </v:textbox>
                <w10:wrap type="tight"/>
              </v:shape>
            </w:pict>
          </mc:Fallback>
        </mc:AlternateContent>
      </w:r>
      <w:r w:rsidRPr="00CA0A0F">
        <w:rPr>
          <w:lang w:val="en-GB"/>
        </w:rPr>
        <w:t>Dwelling stocks</w:t>
      </w:r>
    </w:p>
    <w:p w:rsidR="00581B78" w:rsidRPr="00281994" w:rsidRDefault="00581B78" w:rsidP="00581B78">
      <w:pPr>
        <w:rPr>
          <w:shd w:val="clear" w:color="auto" w:fill="FFFFFF"/>
          <w:lang w:val="en-GB"/>
        </w:rPr>
      </w:pPr>
      <w:r w:rsidRPr="00281994">
        <w:rPr>
          <w:shd w:val="clear" w:color="auto" w:fill="FFFFFF"/>
          <w:lang w:val="en-GB"/>
        </w:rPr>
        <w:t>As of 31 December 201</w:t>
      </w:r>
      <w:r>
        <w:rPr>
          <w:shd w:val="clear" w:color="auto" w:fill="FFFFFF"/>
          <w:lang w:val="en-GB"/>
        </w:rPr>
        <w:t>9</w:t>
      </w:r>
      <w:r w:rsidRPr="00281994">
        <w:rPr>
          <w:shd w:val="clear" w:color="auto" w:fill="FFFFFF"/>
          <w:lang w:val="en-GB"/>
        </w:rPr>
        <w:t xml:space="preserve">, dwelling stocks </w:t>
      </w:r>
      <w:r w:rsidR="00C14CB6">
        <w:rPr>
          <w:shd w:val="clear" w:color="auto" w:fill="FFFFFF"/>
          <w:lang w:val="en-GB"/>
        </w:rPr>
        <w:t>located on the territory of</w:t>
      </w:r>
      <w:r w:rsidRPr="00281994">
        <w:rPr>
          <w:shd w:val="clear" w:color="auto" w:fill="FFFFFF"/>
          <w:lang w:val="en-GB"/>
        </w:rPr>
        <w:t xml:space="preserve"> Poland amounted to 14.</w:t>
      </w:r>
      <w:r>
        <w:rPr>
          <w:shd w:val="clear" w:color="auto" w:fill="FFFFFF"/>
          <w:lang w:val="en-GB"/>
        </w:rPr>
        <w:t>8</w:t>
      </w:r>
      <w:r w:rsidRPr="00281994">
        <w:rPr>
          <w:shd w:val="clear" w:color="auto" w:fill="FFFFFF"/>
          <w:lang w:val="en-GB"/>
        </w:rPr>
        <w:t xml:space="preserve"> million of dwellings with the total useful floor area of </w:t>
      </w:r>
      <w:r w:rsidR="00E953C7" w:rsidRPr="00281994">
        <w:rPr>
          <w:shd w:val="clear" w:color="auto" w:fill="FFFFFF"/>
          <w:lang w:val="en-GB"/>
        </w:rPr>
        <w:t>1</w:t>
      </w:r>
      <w:r w:rsidR="00E953C7">
        <w:rPr>
          <w:shd w:val="clear" w:color="auto" w:fill="FFFFFF"/>
          <w:lang w:val="en-GB"/>
        </w:rPr>
        <w:t>,</w:t>
      </w:r>
      <w:r>
        <w:rPr>
          <w:shd w:val="clear" w:color="auto" w:fill="FFFFFF"/>
          <w:lang w:val="en-GB"/>
        </w:rPr>
        <w:t>101.4</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with 5</w:t>
      </w:r>
      <w:r>
        <w:rPr>
          <w:shd w:val="clear" w:color="auto" w:fill="FFFFFF"/>
          <w:lang w:val="en-GB"/>
        </w:rPr>
        <w:t>6.6</w:t>
      </w:r>
      <w:r w:rsidRPr="00281994">
        <w:rPr>
          <w:shd w:val="clear" w:color="auto" w:fill="FFFFFF"/>
          <w:lang w:val="en-GB"/>
        </w:rPr>
        <w:t xml:space="preserve"> million rooms. </w:t>
      </w:r>
      <w:r w:rsidR="00C340D8">
        <w:rPr>
          <w:shd w:val="clear" w:color="auto" w:fill="FFFFFF"/>
          <w:lang w:val="en-GB"/>
        </w:rPr>
        <w:t>C</w:t>
      </w:r>
      <w:r w:rsidRPr="00281994">
        <w:rPr>
          <w:shd w:val="clear" w:color="auto" w:fill="FFFFFF"/>
          <w:lang w:val="en-GB"/>
        </w:rPr>
        <w:t>ompared to the year before</w:t>
      </w:r>
      <w:r w:rsidR="00C340D8">
        <w:rPr>
          <w:shd w:val="clear" w:color="auto" w:fill="FFFFFF"/>
          <w:lang w:val="en-GB"/>
        </w:rPr>
        <w:t>,</w:t>
      </w:r>
      <w:r w:rsidRPr="00281994">
        <w:rPr>
          <w:shd w:val="clear" w:color="auto" w:fill="FFFFFF"/>
          <w:lang w:val="en-GB"/>
        </w:rPr>
        <w:t xml:space="preserve"> </w:t>
      </w:r>
      <w:r>
        <w:rPr>
          <w:shd w:val="clear" w:color="auto" w:fill="FFFFFF"/>
          <w:lang w:val="en-GB"/>
        </w:rPr>
        <w:t>197.7</w:t>
      </w:r>
      <w:r w:rsidRPr="00281994">
        <w:rPr>
          <w:shd w:val="clear" w:color="auto" w:fill="FFFFFF"/>
          <w:lang w:val="en-GB"/>
        </w:rPr>
        <w:t xml:space="preserve"> thousand of dwellings were</w:t>
      </w:r>
      <w:r>
        <w:rPr>
          <w:shd w:val="clear" w:color="auto" w:fill="FFFFFF"/>
          <w:lang w:val="en-GB"/>
        </w:rPr>
        <w:t xml:space="preserve"> built </w:t>
      </w:r>
      <w:r w:rsidRPr="00281994">
        <w:rPr>
          <w:shd w:val="clear" w:color="auto" w:fill="FFFFFF"/>
          <w:lang w:val="en-GB"/>
        </w:rPr>
        <w:t>(an increase of 1.</w:t>
      </w:r>
      <w:r>
        <w:rPr>
          <w:shd w:val="clear" w:color="auto" w:fill="FFFFFF"/>
          <w:lang w:val="en-GB"/>
        </w:rPr>
        <w:t>4</w:t>
      </w:r>
      <w:r w:rsidRPr="00281994">
        <w:rPr>
          <w:shd w:val="clear" w:color="auto" w:fill="FFFFFF"/>
          <w:lang w:val="en-GB"/>
        </w:rPr>
        <w:t xml:space="preserve"> %) with the total useful floor area of </w:t>
      </w:r>
      <w:r w:rsidR="00E953C7">
        <w:rPr>
          <w:shd w:val="clear" w:color="auto" w:fill="FFFFFF"/>
          <w:lang w:val="en-GB"/>
        </w:rPr>
        <w:t>17,</w:t>
      </w:r>
      <w:r>
        <w:rPr>
          <w:shd w:val="clear" w:color="auto" w:fill="FFFFFF"/>
          <w:lang w:val="en-GB"/>
        </w:rPr>
        <w:t>231.1</w:t>
      </w:r>
      <w:r w:rsidRPr="00281994">
        <w:rPr>
          <w:shd w:val="clear" w:color="auto" w:fill="FFFFFF"/>
          <w:lang w:val="en-GB"/>
        </w:rPr>
        <w:t xml:space="preserve"> thousand m</w:t>
      </w:r>
      <w:r w:rsidRPr="00281994">
        <w:rPr>
          <w:shd w:val="clear" w:color="auto" w:fill="FFFFFF"/>
          <w:vertAlign w:val="superscript"/>
          <w:lang w:val="en-GB"/>
        </w:rPr>
        <w:t>2</w:t>
      </w:r>
      <w:r w:rsidRPr="00281994">
        <w:rPr>
          <w:shd w:val="clear" w:color="auto" w:fill="FFFFFF"/>
          <w:lang w:val="en-GB"/>
        </w:rPr>
        <w:t xml:space="preserve"> (an increase of 1.</w:t>
      </w:r>
      <w:r>
        <w:rPr>
          <w:shd w:val="clear" w:color="auto" w:fill="FFFFFF"/>
          <w:lang w:val="en-GB"/>
        </w:rPr>
        <w:t>6</w:t>
      </w:r>
      <w:r w:rsidRPr="00281994">
        <w:rPr>
          <w:shd w:val="clear" w:color="auto" w:fill="FFFFFF"/>
          <w:lang w:val="en-GB"/>
        </w:rPr>
        <w:t xml:space="preserve"> %) and </w:t>
      </w:r>
      <w:r w:rsidR="00314CA0">
        <w:rPr>
          <w:shd w:val="clear" w:color="auto" w:fill="FFFFFF"/>
          <w:lang w:val="en-GB"/>
        </w:rPr>
        <w:t>737.3</w:t>
      </w:r>
      <w:r w:rsidRPr="00281994">
        <w:rPr>
          <w:shd w:val="clear" w:color="auto" w:fill="FFFFFF"/>
          <w:lang w:val="en-GB"/>
        </w:rPr>
        <w:t> thousand rooms (an increase of 1.</w:t>
      </w:r>
      <w:r w:rsidR="00314CA0">
        <w:rPr>
          <w:shd w:val="clear" w:color="auto" w:fill="FFFFFF"/>
          <w:lang w:val="en-GB"/>
        </w:rPr>
        <w:t>3</w:t>
      </w:r>
      <w:r w:rsidRPr="00281994">
        <w:rPr>
          <w:shd w:val="clear" w:color="auto" w:fill="FFFFFF"/>
          <w:lang w:val="en-GB"/>
        </w:rPr>
        <w:t> %).</w:t>
      </w:r>
    </w:p>
    <w:p w:rsidR="00581B78" w:rsidRPr="00281994" w:rsidRDefault="00581B78" w:rsidP="00581B78">
      <w:pPr>
        <w:rPr>
          <w:shd w:val="clear" w:color="auto" w:fill="FFFFFF"/>
          <w:lang w:val="en-GB"/>
        </w:rPr>
      </w:pPr>
      <w:r>
        <w:rPr>
          <w:noProof/>
          <w:color w:val="212492"/>
          <w:spacing w:val="-2"/>
          <w:lang w:val="en-GB" w:eastAsia="en-GB"/>
        </w:rPr>
        <mc:AlternateContent>
          <mc:Choice Requires="wps">
            <w:drawing>
              <wp:anchor distT="45720" distB="45720" distL="114300" distR="114300" simplePos="0" relativeHeight="251780096" behindDoc="1" locked="0" layoutInCell="1" allowOverlap="1" wp14:anchorId="646F69B1" wp14:editId="21368E82">
                <wp:simplePos x="0" y="0"/>
                <wp:positionH relativeFrom="rightMargin">
                  <wp:posOffset>15102</wp:posOffset>
                </wp:positionH>
                <wp:positionV relativeFrom="paragraph">
                  <wp:posOffset>72390</wp:posOffset>
                </wp:positionV>
                <wp:extent cx="1666875" cy="798830"/>
                <wp:effectExtent l="0" t="0" r="0" b="1270"/>
                <wp:wrapTight wrapText="bothSides">
                  <wp:wrapPolygon edited="0">
                    <wp:start x="741" y="0"/>
                    <wp:lineTo x="741" y="21119"/>
                    <wp:lineTo x="20736" y="21119"/>
                    <wp:lineTo x="20736" y="0"/>
                    <wp:lineTo x="741" y="0"/>
                  </wp:wrapPolygon>
                </wp:wrapTight>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8830"/>
                        </a:xfrm>
                        <a:prstGeom prst="rect">
                          <a:avLst/>
                        </a:prstGeom>
                        <a:noFill/>
                        <a:ln w="9525">
                          <a:noFill/>
                          <a:miter lim="800000"/>
                          <a:headEnd/>
                          <a:tailEnd/>
                        </a:ln>
                      </wps:spPr>
                      <wps:txb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Total useful floor area amounted to </w:t>
                            </w:r>
                            <w:r w:rsidR="00E953C7"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w:t>
                            </w:r>
                            <w:r w:rsidR="00E953C7">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101</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4</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 m</w:t>
                            </w:r>
                            <w:r w:rsidRPr="00281994">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and the number of rooms to 5</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6.6</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F69B1" id="_x0000_s1028" type="#_x0000_t202" style="position:absolute;margin-left:1.2pt;margin-top:5.7pt;width:131.25pt;height:62.9pt;z-index:-25153638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" filled="f" stroked="f">
                <v:textbo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Total useful floor area amounted to </w:t>
                      </w:r>
                      <w:r w:rsidR="00E953C7"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w:t>
                      </w:r>
                      <w:r w:rsidR="00E953C7">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101</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4</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 m</w:t>
                      </w:r>
                      <w:r w:rsidRPr="00281994">
                        <w:rPr>
                          <w:vertAlign w:val="superscript"/>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and the number of rooms to 5</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6.6</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million</w:t>
                      </w:r>
                    </w:p>
                  </w:txbxContent>
                </v:textbox>
                <w10:wrap type="tight" anchorx="margin"/>
              </v:shape>
            </w:pict>
          </mc:Fallback>
        </mc:AlternateContent>
      </w:r>
    </w:p>
    <w:p w:rsidR="00581B78" w:rsidRPr="00281994" w:rsidRDefault="00581B78" w:rsidP="00581B78">
      <w:pPr>
        <w:rPr>
          <w:shd w:val="clear" w:color="auto" w:fill="FFFFFF"/>
          <w:lang w:val="en-GB"/>
        </w:rPr>
      </w:pPr>
      <w:r w:rsidRPr="00281994">
        <w:rPr>
          <w:shd w:val="clear" w:color="auto" w:fill="FFFFFF"/>
          <w:lang w:val="en-GB"/>
        </w:rPr>
        <w:t xml:space="preserve">More than </w:t>
      </w:r>
      <w:r w:rsidR="00314CA0" w:rsidRPr="00C330BC">
        <w:rPr>
          <w:shd w:val="clear" w:color="auto" w:fill="FFFFFF"/>
          <w:lang w:val="en-GB"/>
        </w:rPr>
        <w:t>10</w:t>
      </w:r>
      <w:r w:rsidRPr="00C330BC">
        <w:rPr>
          <w:shd w:val="clear" w:color="auto" w:fill="FFFFFF"/>
          <w:lang w:val="en-GB"/>
        </w:rPr>
        <w:t xml:space="preserve"> million</w:t>
      </w:r>
      <w:r w:rsidRPr="00281994">
        <w:rPr>
          <w:shd w:val="clear" w:color="auto" w:fill="FFFFFF"/>
          <w:lang w:val="en-GB"/>
        </w:rPr>
        <w:t xml:space="preserve"> dwellings with the useful floor area of </w:t>
      </w:r>
      <w:r w:rsidR="00314CA0" w:rsidRPr="00C330BC">
        <w:rPr>
          <w:shd w:val="clear" w:color="auto" w:fill="FFFFFF"/>
          <w:lang w:val="en-GB"/>
        </w:rPr>
        <w:t>648</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xml:space="preserve"> and 35.</w:t>
      </w:r>
      <w:r w:rsidR="00314CA0">
        <w:rPr>
          <w:shd w:val="clear" w:color="auto" w:fill="FFFFFF"/>
          <w:lang w:val="en-GB"/>
        </w:rPr>
        <w:t>6</w:t>
      </w:r>
      <w:r w:rsidRPr="00281994">
        <w:rPr>
          <w:shd w:val="clear" w:color="auto" w:fill="FFFFFF"/>
          <w:lang w:val="en-GB"/>
        </w:rPr>
        <w:t xml:space="preserve"> million rooms were located in urban areas.</w:t>
      </w:r>
      <w:r>
        <w:rPr>
          <w:shd w:val="clear" w:color="auto" w:fill="FFFFFF"/>
          <w:lang w:val="en-GB"/>
        </w:rPr>
        <w:t xml:space="preserve"> About</w:t>
      </w:r>
      <w:r w:rsidRPr="00281994">
        <w:rPr>
          <w:shd w:val="clear" w:color="auto" w:fill="FFFFFF"/>
          <w:lang w:val="en-GB"/>
        </w:rPr>
        <w:t xml:space="preserve"> 4.8 million dwellings with the</w:t>
      </w:r>
      <w:r w:rsidRPr="00281994">
        <w:rPr>
          <w:lang w:val="en-GB"/>
        </w:rPr>
        <w:t xml:space="preserve"> </w:t>
      </w:r>
      <w:r w:rsidRPr="00281994">
        <w:rPr>
          <w:shd w:val="clear" w:color="auto" w:fill="FFFFFF"/>
          <w:lang w:val="en-GB"/>
        </w:rPr>
        <w:t xml:space="preserve">useful floor area of </w:t>
      </w:r>
      <w:r w:rsidR="00314CA0">
        <w:rPr>
          <w:shd w:val="clear" w:color="auto" w:fill="FFFFFF"/>
          <w:lang w:val="en-GB"/>
        </w:rPr>
        <w:t>453.4</w:t>
      </w:r>
      <w:r w:rsidRPr="00281994">
        <w:rPr>
          <w:shd w:val="clear" w:color="auto" w:fill="FFFFFF"/>
          <w:lang w:val="en-GB"/>
        </w:rPr>
        <w:t xml:space="preserve"> million m</w:t>
      </w:r>
      <w:r w:rsidRPr="00281994">
        <w:rPr>
          <w:shd w:val="clear" w:color="auto" w:fill="FFFFFF"/>
          <w:vertAlign w:val="superscript"/>
          <w:lang w:val="en-GB"/>
        </w:rPr>
        <w:t>2</w:t>
      </w:r>
      <w:r w:rsidRPr="00281994">
        <w:rPr>
          <w:shd w:val="clear" w:color="auto" w:fill="FFFFFF"/>
          <w:lang w:val="en-GB"/>
        </w:rPr>
        <w:t xml:space="preserve"> and 2</w:t>
      </w:r>
      <w:r w:rsidR="00314CA0">
        <w:rPr>
          <w:shd w:val="clear" w:color="auto" w:fill="FFFFFF"/>
          <w:lang w:val="en-GB"/>
        </w:rPr>
        <w:t>1.0</w:t>
      </w:r>
      <w:r w:rsidRPr="00281994">
        <w:rPr>
          <w:shd w:val="clear" w:color="auto" w:fill="FFFFFF"/>
          <w:lang w:val="en-GB"/>
        </w:rPr>
        <w:t xml:space="preserve"> million rooms were located in rural areas. In urban areas the number of dwellings increased by 1</w:t>
      </w:r>
      <w:r w:rsidR="00314CA0">
        <w:rPr>
          <w:shd w:val="clear" w:color="auto" w:fill="FFFFFF"/>
          <w:lang w:val="en-GB"/>
        </w:rPr>
        <w:t>44.2</w:t>
      </w:r>
      <w:r w:rsidRPr="00281994">
        <w:rPr>
          <w:shd w:val="clear" w:color="auto" w:fill="FFFFFF"/>
          <w:lang w:val="en-GB"/>
        </w:rPr>
        <w:t xml:space="preserve"> thousand (by 1.</w:t>
      </w:r>
      <w:r w:rsidR="00314CA0">
        <w:rPr>
          <w:shd w:val="clear" w:color="auto" w:fill="FFFFFF"/>
          <w:lang w:val="en-GB"/>
        </w:rPr>
        <w:t>5</w:t>
      </w:r>
      <w:r w:rsidRPr="00281994">
        <w:rPr>
          <w:shd w:val="clear" w:color="auto" w:fill="FFFFFF"/>
          <w:lang w:val="en-GB"/>
        </w:rPr>
        <w:t xml:space="preserve"> %), while in rural areas the increase </w:t>
      </w:r>
      <w:r>
        <w:rPr>
          <w:shd w:val="clear" w:color="auto" w:fill="FFFFFF"/>
          <w:lang w:val="en-GB"/>
        </w:rPr>
        <w:t>was of</w:t>
      </w:r>
      <w:r w:rsidRPr="00281994">
        <w:rPr>
          <w:shd w:val="clear" w:color="auto" w:fill="FFFFFF"/>
          <w:lang w:val="en-GB"/>
        </w:rPr>
        <w:t xml:space="preserve"> 5</w:t>
      </w:r>
      <w:r w:rsidR="00314CA0">
        <w:rPr>
          <w:shd w:val="clear" w:color="auto" w:fill="FFFFFF"/>
          <w:lang w:val="en-GB"/>
        </w:rPr>
        <w:t xml:space="preserve">3.5 </w:t>
      </w:r>
      <w:r w:rsidRPr="00281994">
        <w:rPr>
          <w:shd w:val="clear" w:color="auto" w:fill="FFFFFF"/>
          <w:lang w:val="en-GB"/>
        </w:rPr>
        <w:t>thousand (of 1.1 %).</w:t>
      </w:r>
    </w:p>
    <w:p w:rsidR="00581B78" w:rsidRPr="00281994" w:rsidRDefault="00581B78" w:rsidP="00581B78">
      <w:pPr>
        <w:spacing w:before="0" w:after="0"/>
        <w:rPr>
          <w:b/>
          <w:spacing w:val="-2"/>
          <w:sz w:val="18"/>
          <w:lang w:val="en-GB"/>
        </w:rPr>
      </w:pPr>
      <w:r w:rsidRPr="00281994">
        <w:rPr>
          <w:b/>
          <w:spacing w:val="-2"/>
          <w:sz w:val="18"/>
          <w:lang w:val="en-GB"/>
        </w:rPr>
        <w:t>Table 1. Dwelling stocks (as of 31.12)</w:t>
      </w:r>
    </w:p>
    <w:tbl>
      <w:tblPr>
        <w:tblW w:w="7967" w:type="dxa"/>
        <w:tblBorders>
          <w:insideH w:val="single" w:sz="2" w:space="0" w:color="001D77"/>
          <w:insideV w:val="single" w:sz="2" w:space="0" w:color="001D77"/>
        </w:tblBorders>
        <w:tblCellMar>
          <w:left w:w="70" w:type="dxa"/>
          <w:right w:w="70" w:type="dxa"/>
        </w:tblCellMar>
        <w:tblLook w:val="04A0" w:firstRow="1" w:lastRow="0" w:firstColumn="1" w:lastColumn="0" w:noHBand="0" w:noVBand="1"/>
      </w:tblPr>
      <w:tblGrid>
        <w:gridCol w:w="2128"/>
        <w:gridCol w:w="916"/>
        <w:gridCol w:w="833"/>
        <w:gridCol w:w="850"/>
        <w:gridCol w:w="881"/>
        <w:gridCol w:w="654"/>
        <w:gridCol w:w="850"/>
        <w:gridCol w:w="855"/>
      </w:tblGrid>
      <w:tr w:rsidR="00FD7CFC" w:rsidRPr="00781CE2" w:rsidTr="00FD7CFC">
        <w:trPr>
          <w:trHeight w:val="397"/>
        </w:trPr>
        <w:tc>
          <w:tcPr>
            <w:tcW w:w="2128" w:type="dxa"/>
            <w:vMerge w:val="restart"/>
            <w:tcBorders>
              <w:top w:val="nil"/>
              <w:bottom w:val="single" w:sz="2" w:space="0" w:color="001D77"/>
              <w:right w:val="single" w:sz="4" w:space="0" w:color="001D77"/>
            </w:tcBorders>
            <w:shd w:val="clear" w:color="auto" w:fill="auto"/>
            <w:noWrap/>
            <w:vAlign w:val="center"/>
            <w:hideMark/>
          </w:tcPr>
          <w:p w:rsidR="00FD7CFC" w:rsidRPr="00781CE2" w:rsidRDefault="00FD7CFC" w:rsidP="00C0111D">
            <w:pPr>
              <w:spacing w:before="0" w:after="0" w:line="240" w:lineRule="auto"/>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2599" w:type="dxa"/>
            <w:gridSpan w:val="3"/>
            <w:tcBorders>
              <w:top w:val="nil"/>
              <w:left w:val="single" w:sz="4" w:space="0" w:color="001D77"/>
              <w:bottom w:val="single" w:sz="4" w:space="0" w:color="001D77"/>
              <w:right w:val="single" w:sz="4" w:space="0" w:color="001D77"/>
            </w:tcBorders>
            <w:vAlign w:val="bottom"/>
          </w:tcPr>
          <w:p w:rsidR="00FD7CFC" w:rsidRPr="00781CE2" w:rsidRDefault="00FD7CFC" w:rsidP="00C0111D">
            <w:pPr>
              <w:spacing w:after="0" w:line="240" w:lineRule="auto"/>
              <w:jc w:val="center"/>
              <w:rPr>
                <w:rFonts w:eastAsia="Times New Roman" w:cs="Calibri"/>
                <w:sz w:val="16"/>
                <w:szCs w:val="16"/>
                <w:lang w:eastAsia="pl-PL"/>
              </w:rPr>
            </w:pPr>
            <w:r w:rsidRPr="00781CE2">
              <w:rPr>
                <w:rFonts w:eastAsia="Times New Roman" w:cs="Calibri"/>
                <w:sz w:val="16"/>
                <w:szCs w:val="16"/>
                <w:lang w:eastAsia="pl-PL"/>
              </w:rPr>
              <w:t>2018</w:t>
            </w:r>
          </w:p>
        </w:tc>
        <w:tc>
          <w:tcPr>
            <w:tcW w:w="3240" w:type="dxa"/>
            <w:gridSpan w:val="4"/>
            <w:tcBorders>
              <w:top w:val="nil"/>
              <w:left w:val="single" w:sz="4" w:space="0" w:color="001D77"/>
              <w:bottom w:val="single" w:sz="4" w:space="0" w:color="001D77"/>
              <w:right w:val="nil"/>
            </w:tcBorders>
            <w:vAlign w:val="bottom"/>
          </w:tcPr>
          <w:p w:rsidR="00FD7CFC" w:rsidRPr="00781CE2" w:rsidRDefault="00FD7CFC" w:rsidP="00C0111D">
            <w:pPr>
              <w:spacing w:after="0" w:line="240" w:lineRule="auto"/>
              <w:jc w:val="center"/>
            </w:pPr>
            <w:r w:rsidRPr="00781CE2">
              <w:rPr>
                <w:rFonts w:eastAsia="Times New Roman" w:cs="Calibri"/>
                <w:sz w:val="16"/>
                <w:szCs w:val="16"/>
                <w:lang w:eastAsia="pl-PL"/>
              </w:rPr>
              <w:t>2019</w:t>
            </w:r>
          </w:p>
        </w:tc>
      </w:tr>
      <w:tr w:rsidR="00FD7CFC" w:rsidTr="00FD7CFC">
        <w:trPr>
          <w:trHeight w:val="516"/>
        </w:trPr>
        <w:tc>
          <w:tcPr>
            <w:tcW w:w="2128" w:type="dxa"/>
            <w:vMerge/>
            <w:tcBorders>
              <w:top w:val="single" w:sz="2" w:space="0" w:color="001D77"/>
              <w:bottom w:val="single" w:sz="12" w:space="0" w:color="001D77"/>
              <w:right w:val="single" w:sz="4" w:space="0" w:color="001D77"/>
            </w:tcBorders>
            <w:shd w:val="clear" w:color="auto" w:fill="auto"/>
            <w:noWrap/>
            <w:vAlign w:val="bottom"/>
          </w:tcPr>
          <w:p w:rsidR="00FD7CFC" w:rsidRPr="00B02EAA" w:rsidRDefault="00FD7CFC" w:rsidP="00FD7CFC">
            <w:pPr>
              <w:spacing w:after="0" w:line="240" w:lineRule="auto"/>
              <w:jc w:val="center"/>
              <w:rPr>
                <w:spacing w:val="-2"/>
                <w:sz w:val="18"/>
              </w:rPr>
            </w:pPr>
          </w:p>
        </w:tc>
        <w:tc>
          <w:tcPr>
            <w:tcW w:w="916" w:type="dxa"/>
            <w:tcBorders>
              <w:top w:val="single" w:sz="4" w:space="0" w:color="001D77"/>
              <w:left w:val="single" w:sz="4" w:space="0" w:color="001D77"/>
              <w:bottom w:val="single" w:sz="12" w:space="0" w:color="001D77"/>
            </w:tcBorders>
            <w:vAlign w:val="center"/>
          </w:tcPr>
          <w:p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833" w:type="dxa"/>
            <w:tcBorders>
              <w:top w:val="single" w:sz="4" w:space="0" w:color="001D77"/>
              <w:bottom w:val="single" w:sz="12" w:space="0" w:color="001D77"/>
            </w:tcBorders>
            <w:vAlign w:val="center"/>
          </w:tcPr>
          <w:p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0" w:type="dxa"/>
            <w:tcBorders>
              <w:top w:val="single" w:sz="4" w:space="0" w:color="001D77"/>
              <w:bottom w:val="single" w:sz="12" w:space="0" w:color="001D77"/>
              <w:right w:val="single" w:sz="4" w:space="0" w:color="001D77"/>
            </w:tcBorders>
            <w:shd w:val="clear" w:color="auto" w:fill="auto"/>
            <w:noWrap/>
            <w:vAlign w:val="center"/>
          </w:tcPr>
          <w:p w:rsidR="00FD7CFC" w:rsidRPr="00781CE2" w:rsidRDefault="00FD7CFC" w:rsidP="00FD7CFC">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881" w:type="dxa"/>
            <w:tcBorders>
              <w:top w:val="single" w:sz="4" w:space="0" w:color="001D77"/>
              <w:left w:val="single" w:sz="4" w:space="0" w:color="001D77"/>
              <w:bottom w:val="single" w:sz="12" w:space="0" w:color="001D77"/>
            </w:tcBorders>
            <w:vAlign w:val="center"/>
          </w:tcPr>
          <w:p w:rsidR="00FD7CFC" w:rsidRPr="00781CE2"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Total</w:t>
            </w:r>
          </w:p>
        </w:tc>
        <w:tc>
          <w:tcPr>
            <w:tcW w:w="654" w:type="dxa"/>
            <w:tcBorders>
              <w:top w:val="single" w:sz="4" w:space="0" w:color="001D77"/>
              <w:bottom w:val="single" w:sz="12" w:space="0" w:color="001D77"/>
            </w:tcBorders>
            <w:vAlign w:val="center"/>
          </w:tcPr>
          <w:p w:rsidR="00FD7CFC" w:rsidRDefault="00FD7CFC" w:rsidP="00FD7CFC">
            <w:pPr>
              <w:spacing w:after="0" w:line="240" w:lineRule="auto"/>
              <w:jc w:val="center"/>
              <w:rPr>
                <w:rFonts w:eastAsia="Times New Roman" w:cs="Calibri"/>
                <w:sz w:val="16"/>
                <w:szCs w:val="16"/>
                <w:lang w:eastAsia="pl-PL"/>
              </w:rPr>
            </w:pPr>
            <w:r w:rsidRPr="00781CE2">
              <w:rPr>
                <w:rFonts w:eastAsia="Times New Roman" w:cs="Calibri"/>
                <w:sz w:val="16"/>
                <w:szCs w:val="16"/>
                <w:lang w:eastAsia="pl-PL"/>
              </w:rPr>
              <w:t>2018 = 100</w:t>
            </w:r>
          </w:p>
        </w:tc>
        <w:tc>
          <w:tcPr>
            <w:tcW w:w="850" w:type="dxa"/>
            <w:tcBorders>
              <w:top w:val="single" w:sz="4" w:space="0" w:color="001D77"/>
              <w:bottom w:val="single" w:sz="12" w:space="0" w:color="001D77"/>
            </w:tcBorders>
            <w:shd w:val="clear" w:color="auto" w:fill="auto"/>
            <w:noWrap/>
            <w:vAlign w:val="center"/>
          </w:tcPr>
          <w:p w:rsidR="00FD7CFC" w:rsidRDefault="00FD7CFC" w:rsidP="00FD7CFC">
            <w:pPr>
              <w:spacing w:after="0" w:line="240" w:lineRule="auto"/>
              <w:jc w:val="center"/>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855" w:type="dxa"/>
            <w:tcBorders>
              <w:top w:val="single" w:sz="4" w:space="0" w:color="001D77"/>
              <w:bottom w:val="single" w:sz="12" w:space="0" w:color="001D77"/>
            </w:tcBorders>
            <w:shd w:val="clear" w:color="auto" w:fill="auto"/>
            <w:noWrap/>
            <w:vAlign w:val="center"/>
          </w:tcPr>
          <w:p w:rsidR="00FD7CFC" w:rsidRPr="00781CE2" w:rsidRDefault="00FD7CFC" w:rsidP="00FD7CFC">
            <w:pPr>
              <w:spacing w:after="0" w:line="240" w:lineRule="auto"/>
              <w:jc w:val="center"/>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r>
      <w:tr w:rsidR="00FD7CFC" w:rsidRPr="00781CE2" w:rsidTr="00FD7CFC">
        <w:trPr>
          <w:trHeight w:val="300"/>
        </w:trPr>
        <w:tc>
          <w:tcPr>
            <w:tcW w:w="2128" w:type="dxa"/>
            <w:tcBorders>
              <w:top w:val="single" w:sz="12" w:space="0" w:color="001D77"/>
              <w:bottom w:val="single" w:sz="4" w:space="0" w:color="001D77"/>
            </w:tcBorders>
            <w:shd w:val="clear" w:color="auto" w:fill="auto"/>
            <w:noWrap/>
            <w:vAlign w:val="bottom"/>
            <w:hideMark/>
          </w:tcPr>
          <w:p w:rsidR="00FD7CFC" w:rsidRPr="00314CA0" w:rsidRDefault="00FD7CFC" w:rsidP="00FD7CFC">
            <w:pPr>
              <w:spacing w:after="0" w:line="240" w:lineRule="auto"/>
              <w:rPr>
                <w:rFonts w:eastAsia="Times New Roman" w:cs="Calibri"/>
                <w:sz w:val="16"/>
                <w:szCs w:val="16"/>
                <w:lang w:eastAsia="pl-PL"/>
              </w:rPr>
            </w:pPr>
            <w:proofErr w:type="spellStart"/>
            <w:r w:rsidRPr="00314CA0">
              <w:rPr>
                <w:rFonts w:eastAsia="Times New Roman" w:cs="Calibri"/>
                <w:sz w:val="16"/>
                <w:szCs w:val="16"/>
                <w:lang w:eastAsia="pl-PL"/>
              </w:rPr>
              <w:t>Dwellings</w:t>
            </w:r>
            <w:proofErr w:type="spellEnd"/>
            <w:r w:rsidRPr="00314CA0">
              <w:rPr>
                <w:rFonts w:eastAsia="Times New Roman" w:cs="Calibri"/>
                <w:sz w:val="16"/>
                <w:szCs w:val="16"/>
                <w:lang w:eastAsia="pl-PL"/>
              </w:rPr>
              <w:t xml:space="preserve"> in </w:t>
            </w:r>
            <w:proofErr w:type="spellStart"/>
            <w:r w:rsidRPr="00314CA0">
              <w:rPr>
                <w:rFonts w:eastAsia="Times New Roman" w:cs="Calibri"/>
                <w:sz w:val="16"/>
                <w:szCs w:val="16"/>
                <w:lang w:eastAsia="pl-PL"/>
              </w:rPr>
              <w:t>thousand</w:t>
            </w:r>
            <w:r w:rsidR="007C5D10">
              <w:rPr>
                <w:rFonts w:eastAsia="Times New Roman" w:cs="Calibri"/>
                <w:sz w:val="16"/>
                <w:szCs w:val="16"/>
                <w:lang w:eastAsia="pl-PL"/>
              </w:rPr>
              <w:t>s</w:t>
            </w:r>
            <w:proofErr w:type="spellEnd"/>
          </w:p>
        </w:tc>
        <w:tc>
          <w:tcPr>
            <w:tcW w:w="916" w:type="dxa"/>
            <w:tcBorders>
              <w:top w:val="single" w:sz="12" w:space="0" w:color="001D77"/>
              <w:bottom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14 615</w:t>
            </w:r>
            <w:r w:rsidR="007C5D10">
              <w:rPr>
                <w:rFonts w:eastAsia="Times New Roman" w:cs="Calibri"/>
                <w:sz w:val="16"/>
                <w:szCs w:val="16"/>
                <w:lang w:eastAsia="pl-PL"/>
              </w:rPr>
              <w:t>.</w:t>
            </w:r>
            <w:r w:rsidRPr="00DA6AC5">
              <w:rPr>
                <w:rFonts w:eastAsia="Times New Roman" w:cs="Calibri"/>
                <w:sz w:val="16"/>
                <w:szCs w:val="16"/>
                <w:lang w:eastAsia="pl-PL"/>
              </w:rPr>
              <w:t>1</w:t>
            </w:r>
          </w:p>
        </w:tc>
        <w:tc>
          <w:tcPr>
            <w:tcW w:w="833" w:type="dxa"/>
            <w:tcBorders>
              <w:top w:val="single" w:sz="12" w:space="0" w:color="001D77"/>
              <w:bottom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9 864</w:t>
            </w:r>
            <w:r w:rsidR="007C5D10">
              <w:rPr>
                <w:rFonts w:eastAsia="Times New Roman" w:cs="Calibri"/>
                <w:sz w:val="16"/>
                <w:szCs w:val="16"/>
                <w:lang w:eastAsia="pl-PL"/>
              </w:rPr>
              <w:t>.</w:t>
            </w:r>
            <w:r w:rsidRPr="00DA6AC5">
              <w:rPr>
                <w:rFonts w:eastAsia="Times New Roman" w:cs="Calibri"/>
                <w:sz w:val="16"/>
                <w:szCs w:val="16"/>
                <w:lang w:eastAsia="pl-PL"/>
              </w:rPr>
              <w:t>8</w:t>
            </w:r>
          </w:p>
        </w:tc>
        <w:tc>
          <w:tcPr>
            <w:tcW w:w="850" w:type="dxa"/>
            <w:tcBorders>
              <w:top w:val="single" w:sz="12" w:space="0" w:color="001D77"/>
              <w:bottom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4 750</w:t>
            </w:r>
            <w:r w:rsidR="007C5D10">
              <w:rPr>
                <w:rFonts w:eastAsia="Times New Roman" w:cs="Calibri"/>
                <w:sz w:val="16"/>
                <w:szCs w:val="16"/>
                <w:lang w:eastAsia="pl-PL"/>
              </w:rPr>
              <w:t>.</w:t>
            </w:r>
            <w:r w:rsidRPr="00DA6AC5">
              <w:rPr>
                <w:rFonts w:eastAsia="Times New Roman" w:cs="Calibri"/>
                <w:sz w:val="16"/>
                <w:szCs w:val="16"/>
                <w:lang w:eastAsia="pl-PL"/>
              </w:rPr>
              <w:t>3</w:t>
            </w:r>
          </w:p>
        </w:tc>
        <w:tc>
          <w:tcPr>
            <w:tcW w:w="881" w:type="dxa"/>
            <w:tcBorders>
              <w:top w:val="single" w:sz="12" w:space="0" w:color="001D77"/>
              <w:bottom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14 812</w:t>
            </w:r>
            <w:r w:rsidR="007C5D10">
              <w:rPr>
                <w:rFonts w:eastAsia="Times New Roman" w:cs="Calibri"/>
                <w:sz w:val="16"/>
                <w:szCs w:val="16"/>
                <w:lang w:eastAsia="pl-PL"/>
              </w:rPr>
              <w:t>.</w:t>
            </w:r>
            <w:r w:rsidRPr="00DA6AC5">
              <w:rPr>
                <w:rFonts w:eastAsia="Times New Roman" w:cs="Calibri"/>
                <w:sz w:val="16"/>
                <w:szCs w:val="16"/>
                <w:lang w:eastAsia="pl-PL"/>
              </w:rPr>
              <w:t>8</w:t>
            </w:r>
          </w:p>
        </w:tc>
        <w:tc>
          <w:tcPr>
            <w:tcW w:w="654" w:type="dxa"/>
            <w:tcBorders>
              <w:top w:val="single" w:sz="12" w:space="0" w:color="001D77"/>
              <w:bottom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101</w:t>
            </w:r>
            <w:r w:rsidR="007C5D10">
              <w:rPr>
                <w:rFonts w:eastAsia="Times New Roman" w:cs="Calibri"/>
                <w:sz w:val="16"/>
                <w:szCs w:val="16"/>
                <w:lang w:eastAsia="pl-PL"/>
              </w:rPr>
              <w:t>.</w:t>
            </w:r>
            <w:r w:rsidRPr="00781CE2">
              <w:rPr>
                <w:rFonts w:eastAsia="Times New Roman" w:cs="Calibri"/>
                <w:sz w:val="16"/>
                <w:szCs w:val="16"/>
                <w:lang w:eastAsia="pl-PL"/>
              </w:rPr>
              <w:t>4</w:t>
            </w:r>
          </w:p>
        </w:tc>
        <w:tc>
          <w:tcPr>
            <w:tcW w:w="850" w:type="dxa"/>
            <w:tcBorders>
              <w:top w:val="single" w:sz="12"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10 009</w:t>
            </w:r>
            <w:r w:rsidR="007C5D10">
              <w:rPr>
                <w:rFonts w:eastAsia="Times New Roman" w:cs="Calibri"/>
                <w:sz w:val="16"/>
                <w:szCs w:val="16"/>
                <w:lang w:eastAsia="pl-PL"/>
              </w:rPr>
              <w:t>.</w:t>
            </w:r>
            <w:r>
              <w:rPr>
                <w:rFonts w:eastAsia="Times New Roman" w:cs="Calibri"/>
                <w:sz w:val="16"/>
                <w:szCs w:val="16"/>
                <w:lang w:eastAsia="pl-PL"/>
              </w:rPr>
              <w:t>0</w:t>
            </w:r>
          </w:p>
        </w:tc>
        <w:tc>
          <w:tcPr>
            <w:tcW w:w="855" w:type="dxa"/>
            <w:tcBorders>
              <w:top w:val="single" w:sz="12"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4 803</w:t>
            </w:r>
            <w:r w:rsidR="007C5D10">
              <w:rPr>
                <w:rFonts w:eastAsia="Times New Roman" w:cs="Calibri"/>
                <w:sz w:val="16"/>
                <w:szCs w:val="16"/>
                <w:lang w:eastAsia="pl-PL"/>
              </w:rPr>
              <w:t>.</w:t>
            </w:r>
            <w:r>
              <w:rPr>
                <w:rFonts w:eastAsia="Times New Roman" w:cs="Calibri"/>
                <w:sz w:val="16"/>
                <w:szCs w:val="16"/>
                <w:lang w:eastAsia="pl-PL"/>
              </w:rPr>
              <w:t>8</w:t>
            </w:r>
          </w:p>
        </w:tc>
      </w:tr>
      <w:tr w:rsidR="00FD7CFC" w:rsidRPr="00781CE2"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rsidR="00FD7CFC" w:rsidRPr="00281994" w:rsidRDefault="00FD7CFC" w:rsidP="00FD7CFC">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Rooms in dwellings in thousand</w:t>
            </w:r>
            <w:r w:rsidR="007C5D10">
              <w:rPr>
                <w:rFonts w:eastAsia="Times New Roman" w:cs="Calibri"/>
                <w:sz w:val="16"/>
                <w:szCs w:val="16"/>
                <w:lang w:val="en-GB" w:eastAsia="pl-PL"/>
              </w:rPr>
              <w:t>s</w:t>
            </w:r>
          </w:p>
        </w:tc>
        <w:tc>
          <w:tcPr>
            <w:tcW w:w="916"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55 874</w:t>
            </w:r>
            <w:r w:rsidR="007C5D10">
              <w:rPr>
                <w:rFonts w:eastAsia="Times New Roman" w:cs="Calibri"/>
                <w:sz w:val="16"/>
                <w:szCs w:val="16"/>
                <w:lang w:eastAsia="pl-PL"/>
              </w:rPr>
              <w:t>.</w:t>
            </w:r>
            <w:r w:rsidRPr="00DA6AC5">
              <w:rPr>
                <w:rFonts w:eastAsia="Times New Roman" w:cs="Calibri"/>
                <w:sz w:val="16"/>
                <w:szCs w:val="16"/>
                <w:lang w:eastAsia="pl-PL"/>
              </w:rPr>
              <w:t>3</w:t>
            </w:r>
          </w:p>
        </w:tc>
        <w:tc>
          <w:tcPr>
            <w:tcW w:w="833"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35 142</w:t>
            </w:r>
            <w:r w:rsidR="007C5D10">
              <w:rPr>
                <w:rFonts w:eastAsia="Times New Roman" w:cs="Calibri"/>
                <w:sz w:val="16"/>
                <w:szCs w:val="16"/>
                <w:lang w:eastAsia="pl-PL"/>
              </w:rPr>
              <w:t>.</w:t>
            </w:r>
            <w:r w:rsidRPr="00DA6AC5">
              <w:rPr>
                <w:rFonts w:eastAsia="Times New Roman" w:cs="Calibri"/>
                <w:sz w:val="16"/>
                <w:szCs w:val="16"/>
                <w:lang w:eastAsia="pl-PL"/>
              </w:rPr>
              <w:t>3</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20 732</w:t>
            </w:r>
            <w:r w:rsidR="007C5D10">
              <w:rPr>
                <w:rFonts w:eastAsia="Times New Roman" w:cs="Calibri"/>
                <w:sz w:val="16"/>
                <w:szCs w:val="16"/>
                <w:lang w:eastAsia="pl-PL"/>
              </w:rPr>
              <w:t>.</w:t>
            </w:r>
            <w:r w:rsidRPr="00DA6AC5">
              <w:rPr>
                <w:rFonts w:eastAsia="Times New Roman" w:cs="Calibri"/>
                <w:sz w:val="16"/>
                <w:szCs w:val="16"/>
                <w:lang w:eastAsia="pl-PL"/>
              </w:rPr>
              <w:t>0</w:t>
            </w:r>
          </w:p>
        </w:tc>
        <w:tc>
          <w:tcPr>
            <w:tcW w:w="881"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56 611</w:t>
            </w:r>
            <w:r w:rsidR="007C5D10">
              <w:rPr>
                <w:rFonts w:eastAsia="Times New Roman" w:cs="Calibri"/>
                <w:sz w:val="16"/>
                <w:szCs w:val="16"/>
                <w:lang w:eastAsia="pl-PL"/>
              </w:rPr>
              <w:t>.</w:t>
            </w:r>
            <w:r w:rsidRPr="00DA6AC5">
              <w:rPr>
                <w:rFonts w:eastAsia="Times New Roman" w:cs="Calibri"/>
                <w:sz w:val="16"/>
                <w:szCs w:val="16"/>
                <w:lang w:eastAsia="pl-PL"/>
              </w:rPr>
              <w:t>6</w:t>
            </w:r>
          </w:p>
        </w:tc>
        <w:tc>
          <w:tcPr>
            <w:tcW w:w="654" w:type="dxa"/>
            <w:tcBorders>
              <w:top w:val="single" w:sz="4" w:space="0" w:color="001D77"/>
              <w:left w:val="single" w:sz="4" w:space="0" w:color="001D77"/>
              <w:bottom w:val="single" w:sz="4" w:space="0" w:color="001D77"/>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101</w:t>
            </w:r>
            <w:r w:rsidR="007C5D10">
              <w:rPr>
                <w:rFonts w:eastAsia="Times New Roman" w:cs="Calibri"/>
                <w:sz w:val="16"/>
                <w:szCs w:val="16"/>
                <w:lang w:eastAsia="pl-PL"/>
              </w:rPr>
              <w:t>.</w:t>
            </w:r>
            <w:r w:rsidRPr="00781CE2">
              <w:rPr>
                <w:rFonts w:eastAsia="Times New Roman" w:cs="Calibri"/>
                <w:sz w:val="16"/>
                <w:szCs w:val="16"/>
                <w:lang w:eastAsia="pl-PL"/>
              </w:rPr>
              <w:t>3</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693C68">
              <w:rPr>
                <w:rFonts w:eastAsia="Times New Roman" w:cs="Calibri"/>
                <w:sz w:val="16"/>
                <w:szCs w:val="16"/>
                <w:lang w:eastAsia="pl-PL"/>
              </w:rPr>
              <w:t>5</w:t>
            </w:r>
            <w:r>
              <w:rPr>
                <w:rFonts w:eastAsia="Times New Roman" w:cs="Calibri"/>
                <w:sz w:val="16"/>
                <w:szCs w:val="16"/>
                <w:lang w:eastAsia="pl-PL"/>
              </w:rPr>
              <w:t> 600</w:t>
            </w:r>
            <w:r w:rsidR="007C5D10">
              <w:rPr>
                <w:rFonts w:eastAsia="Times New Roman" w:cs="Calibri"/>
                <w:sz w:val="16"/>
                <w:szCs w:val="16"/>
                <w:lang w:eastAsia="pl-PL"/>
              </w:rPr>
              <w:t>.</w:t>
            </w:r>
            <w:r>
              <w:rPr>
                <w:rFonts w:eastAsia="Times New Roman" w:cs="Calibri"/>
                <w:sz w:val="16"/>
                <w:szCs w:val="16"/>
                <w:lang w:eastAsia="pl-PL"/>
              </w:rPr>
              <w:t>3</w:t>
            </w:r>
          </w:p>
        </w:tc>
        <w:tc>
          <w:tcPr>
            <w:tcW w:w="855" w:type="dxa"/>
            <w:tcBorders>
              <w:top w:val="single" w:sz="4" w:space="0" w:color="001D77"/>
              <w:left w:val="single" w:sz="4"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21 011</w:t>
            </w:r>
            <w:r w:rsidR="007C5D10">
              <w:rPr>
                <w:rFonts w:eastAsia="Times New Roman" w:cs="Calibri"/>
                <w:sz w:val="16"/>
                <w:szCs w:val="16"/>
                <w:lang w:eastAsia="pl-PL"/>
              </w:rPr>
              <w:t>.</w:t>
            </w:r>
            <w:r>
              <w:rPr>
                <w:rFonts w:eastAsia="Times New Roman" w:cs="Calibri"/>
                <w:sz w:val="16"/>
                <w:szCs w:val="16"/>
                <w:lang w:eastAsia="pl-PL"/>
              </w:rPr>
              <w:t>3</w:t>
            </w:r>
          </w:p>
        </w:tc>
      </w:tr>
      <w:tr w:rsidR="00FD7CFC" w:rsidRPr="00781CE2"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rsidR="00FD7CFC" w:rsidRPr="00281994" w:rsidRDefault="00FD7CFC" w:rsidP="00FD7CFC">
            <w:pPr>
              <w:spacing w:after="0" w:line="240" w:lineRule="auto"/>
              <w:rPr>
                <w:rFonts w:eastAsia="Times New Roman" w:cs="Calibri"/>
                <w:sz w:val="16"/>
                <w:szCs w:val="16"/>
                <w:lang w:val="en-GB" w:eastAsia="pl-PL"/>
              </w:rPr>
            </w:pPr>
            <w:r w:rsidRPr="00281994">
              <w:rPr>
                <w:rFonts w:eastAsia="Times New Roman" w:cs="Calibri"/>
                <w:sz w:val="16"/>
                <w:szCs w:val="16"/>
                <w:lang w:val="en-GB" w:eastAsia="pl-PL"/>
              </w:rPr>
              <w:t>Useful floor area of dwellings in thousand m</w:t>
            </w:r>
            <w:r w:rsidRPr="00281994">
              <w:rPr>
                <w:rFonts w:eastAsia="Times New Roman" w:cs="Calibri"/>
                <w:sz w:val="16"/>
                <w:szCs w:val="16"/>
                <w:vertAlign w:val="superscript"/>
                <w:lang w:val="en-GB" w:eastAsia="pl-PL"/>
              </w:rPr>
              <w:t>2</w:t>
            </w:r>
          </w:p>
        </w:tc>
        <w:tc>
          <w:tcPr>
            <w:tcW w:w="916"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1 084 166</w:t>
            </w:r>
            <w:r w:rsidR="007C5D10">
              <w:rPr>
                <w:rFonts w:eastAsia="Times New Roman" w:cs="Calibri"/>
                <w:sz w:val="16"/>
                <w:szCs w:val="16"/>
                <w:lang w:eastAsia="pl-PL"/>
              </w:rPr>
              <w:t>.</w:t>
            </w:r>
            <w:r w:rsidRPr="00DA6AC5">
              <w:rPr>
                <w:rFonts w:eastAsia="Times New Roman" w:cs="Calibri"/>
                <w:sz w:val="16"/>
                <w:szCs w:val="16"/>
                <w:lang w:eastAsia="pl-PL"/>
              </w:rPr>
              <w:t>5</w:t>
            </w:r>
          </w:p>
        </w:tc>
        <w:tc>
          <w:tcPr>
            <w:tcW w:w="833"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637 833</w:t>
            </w:r>
            <w:r w:rsidR="007C5D10">
              <w:rPr>
                <w:rFonts w:eastAsia="Times New Roman" w:cs="Calibri"/>
                <w:sz w:val="16"/>
                <w:szCs w:val="16"/>
                <w:lang w:eastAsia="pl-PL"/>
              </w:rPr>
              <w:t>.</w:t>
            </w:r>
            <w:r w:rsidRPr="00DA6AC5">
              <w:rPr>
                <w:rFonts w:eastAsia="Times New Roman" w:cs="Calibri"/>
                <w:sz w:val="16"/>
                <w:szCs w:val="16"/>
                <w:lang w:eastAsia="pl-PL"/>
              </w:rPr>
              <w:t>8</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446 332</w:t>
            </w:r>
            <w:r w:rsidR="007C5D10">
              <w:rPr>
                <w:rFonts w:eastAsia="Times New Roman" w:cs="Calibri"/>
                <w:sz w:val="16"/>
                <w:szCs w:val="16"/>
                <w:lang w:eastAsia="pl-PL"/>
              </w:rPr>
              <w:t>.</w:t>
            </w:r>
            <w:r w:rsidRPr="00DA6AC5">
              <w:rPr>
                <w:rFonts w:eastAsia="Times New Roman" w:cs="Calibri"/>
                <w:sz w:val="16"/>
                <w:szCs w:val="16"/>
                <w:lang w:eastAsia="pl-PL"/>
              </w:rPr>
              <w:t>6</w:t>
            </w:r>
          </w:p>
        </w:tc>
        <w:tc>
          <w:tcPr>
            <w:tcW w:w="881"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1 101 397</w:t>
            </w:r>
            <w:r w:rsidR="007C5D10">
              <w:rPr>
                <w:rFonts w:eastAsia="Times New Roman" w:cs="Calibri"/>
                <w:sz w:val="16"/>
                <w:szCs w:val="16"/>
                <w:lang w:eastAsia="pl-PL"/>
              </w:rPr>
              <w:t>.</w:t>
            </w:r>
            <w:r w:rsidRPr="00DA6AC5">
              <w:rPr>
                <w:rFonts w:eastAsia="Times New Roman" w:cs="Calibri"/>
                <w:sz w:val="16"/>
                <w:szCs w:val="16"/>
                <w:lang w:eastAsia="pl-PL"/>
              </w:rPr>
              <w:t>6</w:t>
            </w:r>
          </w:p>
        </w:tc>
        <w:tc>
          <w:tcPr>
            <w:tcW w:w="654" w:type="dxa"/>
            <w:tcBorders>
              <w:top w:val="single" w:sz="4" w:space="0" w:color="001D77"/>
              <w:left w:val="single" w:sz="4" w:space="0" w:color="001D77"/>
              <w:bottom w:val="single" w:sz="4" w:space="0" w:color="001D77"/>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101</w:t>
            </w:r>
            <w:r w:rsidR="007C5D10">
              <w:rPr>
                <w:rFonts w:eastAsia="Times New Roman" w:cs="Calibri"/>
                <w:sz w:val="16"/>
                <w:szCs w:val="16"/>
                <w:lang w:eastAsia="pl-PL"/>
              </w:rPr>
              <w:t>.</w:t>
            </w:r>
            <w:r w:rsidRPr="00781CE2">
              <w:rPr>
                <w:rFonts w:eastAsia="Times New Roman" w:cs="Calibri"/>
                <w:sz w:val="16"/>
                <w:szCs w:val="16"/>
                <w:lang w:eastAsia="pl-PL"/>
              </w:rPr>
              <w:t>6</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647 985</w:t>
            </w:r>
            <w:r w:rsidR="007C5D10">
              <w:rPr>
                <w:rFonts w:eastAsia="Times New Roman" w:cs="Calibri"/>
                <w:sz w:val="16"/>
                <w:szCs w:val="16"/>
                <w:lang w:eastAsia="pl-PL"/>
              </w:rPr>
              <w:t>.</w:t>
            </w:r>
            <w:r>
              <w:rPr>
                <w:rFonts w:eastAsia="Times New Roman" w:cs="Calibri"/>
                <w:sz w:val="16"/>
                <w:szCs w:val="16"/>
                <w:lang w:eastAsia="pl-PL"/>
              </w:rPr>
              <w:t>8</w:t>
            </w:r>
          </w:p>
        </w:tc>
        <w:tc>
          <w:tcPr>
            <w:tcW w:w="855" w:type="dxa"/>
            <w:tcBorders>
              <w:top w:val="single" w:sz="4" w:space="0" w:color="001D77"/>
              <w:left w:val="single" w:sz="4"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453 411</w:t>
            </w:r>
            <w:r w:rsidR="007C5D10">
              <w:rPr>
                <w:rFonts w:eastAsia="Times New Roman" w:cs="Calibri"/>
                <w:sz w:val="16"/>
                <w:szCs w:val="16"/>
                <w:lang w:eastAsia="pl-PL"/>
              </w:rPr>
              <w:t>.</w:t>
            </w:r>
            <w:r>
              <w:rPr>
                <w:rFonts w:eastAsia="Times New Roman" w:cs="Calibri"/>
                <w:sz w:val="16"/>
                <w:szCs w:val="16"/>
                <w:lang w:eastAsia="pl-PL"/>
              </w:rPr>
              <w:t>8</w:t>
            </w:r>
          </w:p>
        </w:tc>
      </w:tr>
      <w:tr w:rsidR="00FD7CFC" w:rsidRPr="00781CE2" w:rsidTr="00FD7CFC">
        <w:trPr>
          <w:trHeight w:val="300"/>
        </w:trPr>
        <w:tc>
          <w:tcPr>
            <w:tcW w:w="2128" w:type="dxa"/>
            <w:tcBorders>
              <w:top w:val="single" w:sz="4" w:space="0" w:color="001D77"/>
              <w:bottom w:val="single" w:sz="4" w:space="0" w:color="001D77"/>
              <w:right w:val="single" w:sz="4" w:space="0" w:color="001D77"/>
            </w:tcBorders>
            <w:shd w:val="clear" w:color="auto" w:fill="auto"/>
            <w:noWrap/>
            <w:vAlign w:val="bottom"/>
            <w:hideMark/>
          </w:tcPr>
          <w:p w:rsidR="00FD7CFC" w:rsidRPr="0097136B" w:rsidRDefault="00FD7CFC" w:rsidP="00FD7CFC">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Dwellings</w:t>
            </w:r>
            <w:proofErr w:type="spellEnd"/>
            <w:r>
              <w:rPr>
                <w:rFonts w:eastAsia="Times New Roman" w:cs="Calibri"/>
                <w:sz w:val="16"/>
                <w:szCs w:val="16"/>
                <w:lang w:eastAsia="pl-PL"/>
              </w:rPr>
              <w:t xml:space="preserve"> per</w:t>
            </w:r>
            <w:r w:rsidRPr="0097136B">
              <w:rPr>
                <w:rFonts w:eastAsia="Times New Roman" w:cs="Calibri"/>
                <w:sz w:val="16"/>
                <w:szCs w:val="16"/>
                <w:lang w:eastAsia="pl-PL"/>
              </w:rPr>
              <w:t xml:space="preserve"> 1</w:t>
            </w:r>
            <w:r>
              <w:rPr>
                <w:rFonts w:eastAsia="Times New Roman" w:cs="Calibri"/>
                <w:sz w:val="16"/>
                <w:szCs w:val="16"/>
                <w:lang w:eastAsia="pl-PL"/>
              </w:rPr>
              <w:t> </w:t>
            </w:r>
            <w:r w:rsidRPr="0097136B">
              <w:rPr>
                <w:rFonts w:eastAsia="Times New Roman" w:cs="Calibri"/>
                <w:sz w:val="16"/>
                <w:szCs w:val="16"/>
                <w:lang w:eastAsia="pl-PL"/>
              </w:rPr>
              <w:t xml:space="preserve">000 </w:t>
            </w:r>
            <w:proofErr w:type="spellStart"/>
            <w:r>
              <w:rPr>
                <w:rFonts w:eastAsia="Times New Roman" w:cs="Calibri"/>
                <w:sz w:val="16"/>
                <w:szCs w:val="16"/>
                <w:lang w:eastAsia="pl-PL"/>
              </w:rPr>
              <w:t>population</w:t>
            </w:r>
            <w:proofErr w:type="spellEnd"/>
          </w:p>
        </w:tc>
        <w:tc>
          <w:tcPr>
            <w:tcW w:w="916"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380</w:t>
            </w:r>
            <w:r w:rsidR="007C5D10">
              <w:rPr>
                <w:rFonts w:eastAsia="Times New Roman" w:cs="Calibri"/>
                <w:sz w:val="16"/>
                <w:szCs w:val="16"/>
                <w:lang w:eastAsia="pl-PL"/>
              </w:rPr>
              <w:t>.</w:t>
            </w:r>
            <w:r w:rsidRPr="00DA6AC5">
              <w:rPr>
                <w:rFonts w:eastAsia="Times New Roman" w:cs="Calibri"/>
                <w:sz w:val="16"/>
                <w:szCs w:val="16"/>
                <w:lang w:eastAsia="pl-PL"/>
              </w:rPr>
              <w:t>5</w:t>
            </w:r>
          </w:p>
        </w:tc>
        <w:tc>
          <w:tcPr>
            <w:tcW w:w="833"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427</w:t>
            </w:r>
            <w:r w:rsidR="007C5D10">
              <w:rPr>
                <w:rFonts w:eastAsia="Times New Roman" w:cs="Calibri"/>
                <w:sz w:val="16"/>
                <w:szCs w:val="16"/>
                <w:lang w:eastAsia="pl-PL"/>
              </w:rPr>
              <w:t>.</w:t>
            </w:r>
            <w:r w:rsidRPr="00DA6AC5">
              <w:rPr>
                <w:rFonts w:eastAsia="Times New Roman" w:cs="Calibri"/>
                <w:sz w:val="16"/>
                <w:szCs w:val="16"/>
                <w:lang w:eastAsia="pl-PL"/>
              </w:rPr>
              <w:t>7</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309</w:t>
            </w:r>
            <w:r w:rsidR="007C5D10">
              <w:rPr>
                <w:rFonts w:eastAsia="Times New Roman" w:cs="Calibri"/>
                <w:sz w:val="16"/>
                <w:szCs w:val="16"/>
                <w:lang w:eastAsia="pl-PL"/>
              </w:rPr>
              <w:t>.</w:t>
            </w:r>
            <w:r w:rsidRPr="00DA6AC5">
              <w:rPr>
                <w:rFonts w:eastAsia="Times New Roman" w:cs="Calibri"/>
                <w:sz w:val="16"/>
                <w:szCs w:val="16"/>
                <w:lang w:eastAsia="pl-PL"/>
              </w:rPr>
              <w:t>6</w:t>
            </w:r>
          </w:p>
        </w:tc>
        <w:tc>
          <w:tcPr>
            <w:tcW w:w="881" w:type="dxa"/>
            <w:tcBorders>
              <w:top w:val="single" w:sz="4" w:space="0" w:color="001D77"/>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385</w:t>
            </w:r>
            <w:r w:rsidR="007C5D10">
              <w:rPr>
                <w:rFonts w:eastAsia="Times New Roman" w:cs="Calibri"/>
                <w:sz w:val="16"/>
                <w:szCs w:val="16"/>
                <w:lang w:eastAsia="pl-PL"/>
              </w:rPr>
              <w:t>.</w:t>
            </w:r>
            <w:r w:rsidRPr="00DA6AC5">
              <w:rPr>
                <w:rFonts w:eastAsia="Times New Roman" w:cs="Calibri"/>
                <w:sz w:val="16"/>
                <w:szCs w:val="16"/>
                <w:lang w:eastAsia="pl-PL"/>
              </w:rPr>
              <w:t>9</w:t>
            </w:r>
          </w:p>
        </w:tc>
        <w:tc>
          <w:tcPr>
            <w:tcW w:w="654" w:type="dxa"/>
            <w:tcBorders>
              <w:top w:val="single" w:sz="4" w:space="0" w:color="001D77"/>
              <w:left w:val="single" w:sz="4" w:space="0" w:color="001D77"/>
              <w:bottom w:val="single" w:sz="4" w:space="0" w:color="001D77"/>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101</w:t>
            </w:r>
            <w:r w:rsidR="007C5D10">
              <w:rPr>
                <w:rFonts w:eastAsia="Times New Roman" w:cs="Calibri"/>
                <w:sz w:val="16"/>
                <w:szCs w:val="16"/>
                <w:lang w:eastAsia="pl-PL"/>
              </w:rPr>
              <w:t>.</w:t>
            </w:r>
            <w:r w:rsidRPr="00781CE2">
              <w:rPr>
                <w:rFonts w:eastAsia="Times New Roman" w:cs="Calibri"/>
                <w:sz w:val="16"/>
                <w:szCs w:val="16"/>
                <w:lang w:eastAsia="pl-PL"/>
              </w:rPr>
              <w:t>4</w:t>
            </w:r>
          </w:p>
        </w:tc>
        <w:tc>
          <w:tcPr>
            <w:tcW w:w="850" w:type="dxa"/>
            <w:tcBorders>
              <w:top w:val="single" w:sz="4" w:space="0" w:color="001D77"/>
              <w:left w:val="single" w:sz="4" w:space="0" w:color="001D77"/>
              <w:bottom w:val="single" w:sz="4" w:space="0" w:color="001D77"/>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434</w:t>
            </w:r>
            <w:r w:rsidR="007C5D10">
              <w:rPr>
                <w:rFonts w:eastAsia="Times New Roman" w:cs="Calibri"/>
                <w:sz w:val="16"/>
                <w:szCs w:val="16"/>
                <w:lang w:eastAsia="pl-PL"/>
              </w:rPr>
              <w:t>.</w:t>
            </w:r>
            <w:r>
              <w:rPr>
                <w:rFonts w:eastAsia="Times New Roman" w:cs="Calibri"/>
                <w:sz w:val="16"/>
                <w:szCs w:val="16"/>
                <w:lang w:eastAsia="pl-PL"/>
              </w:rPr>
              <w:t>5</w:t>
            </w:r>
          </w:p>
        </w:tc>
        <w:tc>
          <w:tcPr>
            <w:tcW w:w="855" w:type="dxa"/>
            <w:tcBorders>
              <w:top w:val="single" w:sz="4" w:space="0" w:color="001D77"/>
              <w:left w:val="single" w:sz="4"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313</w:t>
            </w:r>
            <w:r w:rsidR="007C5D10">
              <w:rPr>
                <w:rFonts w:eastAsia="Times New Roman" w:cs="Calibri"/>
                <w:sz w:val="16"/>
                <w:szCs w:val="16"/>
                <w:lang w:eastAsia="pl-PL"/>
              </w:rPr>
              <w:t>.</w:t>
            </w:r>
            <w:r>
              <w:rPr>
                <w:rFonts w:eastAsia="Times New Roman" w:cs="Calibri"/>
                <w:sz w:val="16"/>
                <w:szCs w:val="16"/>
                <w:lang w:eastAsia="pl-PL"/>
              </w:rPr>
              <w:t>0</w:t>
            </w:r>
          </w:p>
        </w:tc>
      </w:tr>
      <w:tr w:rsidR="00FD7CFC" w:rsidRPr="00781CE2"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rsidR="00FD7CFC" w:rsidRPr="0097136B" w:rsidRDefault="00FD7CFC" w:rsidP="007C5D10">
            <w:pPr>
              <w:spacing w:after="0" w:line="240" w:lineRule="auto"/>
              <w:rPr>
                <w:rFonts w:eastAsia="Times New Roman" w:cs="Calibri"/>
                <w:sz w:val="16"/>
                <w:szCs w:val="16"/>
                <w:lang w:eastAsia="pl-PL"/>
              </w:rPr>
            </w:pPr>
            <w:proofErr w:type="spellStart"/>
            <w:r>
              <w:rPr>
                <w:rFonts w:eastAsia="Times New Roman" w:cs="Calibri"/>
                <w:sz w:val="16"/>
                <w:szCs w:val="16"/>
                <w:lang w:eastAsia="pl-PL"/>
              </w:rPr>
              <w:t>Dwelling</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stocks</w:t>
            </w:r>
            <w:proofErr w:type="spellEnd"/>
            <w:r w:rsidR="007C5D10">
              <w:rPr>
                <w:rFonts w:eastAsia="Times New Roman" w:cs="Calibri"/>
                <w:sz w:val="16"/>
                <w:szCs w:val="16"/>
                <w:lang w:eastAsia="pl-PL"/>
              </w:rPr>
              <w:t xml:space="preserve">, </w:t>
            </w:r>
            <w:r>
              <w:rPr>
                <w:rFonts w:eastAsia="Times New Roman" w:cs="Calibri"/>
                <w:sz w:val="16"/>
                <w:szCs w:val="16"/>
                <w:lang w:eastAsia="pl-PL"/>
              </w:rPr>
              <w:t xml:space="preserve">the </w:t>
            </w:r>
            <w:proofErr w:type="spellStart"/>
            <w:r>
              <w:rPr>
                <w:rFonts w:eastAsia="Times New Roman" w:cs="Calibri"/>
                <w:sz w:val="16"/>
                <w:szCs w:val="16"/>
                <w:lang w:eastAsia="pl-PL"/>
              </w:rPr>
              <w:t>average</w:t>
            </w:r>
            <w:proofErr w:type="spellEnd"/>
            <w:r>
              <w:rPr>
                <w:rFonts w:eastAsia="Times New Roman" w:cs="Calibri"/>
                <w:sz w:val="16"/>
                <w:szCs w:val="16"/>
                <w:lang w:eastAsia="pl-PL"/>
              </w:rPr>
              <w:t>:</w:t>
            </w:r>
          </w:p>
        </w:tc>
        <w:tc>
          <w:tcPr>
            <w:tcW w:w="916"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 </w:t>
            </w:r>
          </w:p>
        </w:tc>
        <w:tc>
          <w:tcPr>
            <w:tcW w:w="833"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881"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654" w:type="dxa"/>
            <w:tcBorders>
              <w:top w:val="single" w:sz="4" w:space="0" w:color="001D77"/>
              <w:left w:val="single" w:sz="4" w:space="0" w:color="001D77"/>
              <w:bottom w:val="nil"/>
              <w:right w:val="single" w:sz="4" w:space="0" w:color="001D77"/>
            </w:tcBorders>
            <w:vAlign w:val="bottom"/>
          </w:tcPr>
          <w:p w:rsidR="00FD7CFC" w:rsidRPr="00781CE2" w:rsidRDefault="00FD7CFC" w:rsidP="00FD7CFC">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p>
        </w:tc>
        <w:tc>
          <w:tcPr>
            <w:tcW w:w="855" w:type="dxa"/>
            <w:tcBorders>
              <w:top w:val="single" w:sz="4" w:space="0" w:color="001D77"/>
              <w:left w:val="single" w:sz="4" w:space="0" w:color="001D77"/>
              <w:bottom w:val="nil"/>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p>
        </w:tc>
      </w:tr>
      <w:tr w:rsidR="00FD7CFC" w:rsidRPr="00781CE2" w:rsidTr="00FD7CFC">
        <w:trPr>
          <w:trHeight w:val="300"/>
        </w:trPr>
        <w:tc>
          <w:tcPr>
            <w:tcW w:w="2128" w:type="dxa"/>
            <w:tcBorders>
              <w:top w:val="nil"/>
              <w:bottom w:val="single" w:sz="4" w:space="0" w:color="001D77"/>
              <w:right w:val="single" w:sz="4" w:space="0" w:color="001D77"/>
            </w:tcBorders>
            <w:shd w:val="clear" w:color="auto" w:fill="auto"/>
            <w:noWrap/>
            <w:vAlign w:val="bottom"/>
            <w:hideMark/>
          </w:tcPr>
          <w:p w:rsidR="00FD7CFC" w:rsidRPr="00281994" w:rsidRDefault="00FD7CFC" w:rsidP="00FD7CFC">
            <w:pPr>
              <w:spacing w:after="0" w:line="240" w:lineRule="auto"/>
              <w:rPr>
                <w:rFonts w:eastAsia="Times New Roman" w:cs="Calibri"/>
                <w:sz w:val="16"/>
                <w:szCs w:val="16"/>
                <w:lang w:val="en-GB" w:eastAsia="pl-PL"/>
              </w:rPr>
            </w:pPr>
            <w:r>
              <w:rPr>
                <w:rFonts w:eastAsia="Times New Roman" w:cs="Calibri"/>
                <w:sz w:val="16"/>
                <w:szCs w:val="16"/>
                <w:lang w:val="en-GB" w:eastAsia="pl-PL"/>
              </w:rPr>
              <w:t>n</w:t>
            </w:r>
            <w:r w:rsidRPr="00281994">
              <w:rPr>
                <w:rFonts w:eastAsia="Times New Roman" w:cs="Calibri"/>
                <w:sz w:val="16"/>
                <w:szCs w:val="16"/>
                <w:lang w:val="en-GB" w:eastAsia="pl-PL"/>
              </w:rPr>
              <w:t>umber of rooms in a dwelling</w:t>
            </w:r>
          </w:p>
        </w:tc>
        <w:tc>
          <w:tcPr>
            <w:tcW w:w="916"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w:t>
            </w:r>
            <w:r w:rsidR="007C5D10">
              <w:rPr>
                <w:rFonts w:eastAsia="Times New Roman" w:cs="Calibri"/>
                <w:sz w:val="16"/>
                <w:szCs w:val="16"/>
                <w:lang w:eastAsia="pl-PL"/>
              </w:rPr>
              <w:t>.</w:t>
            </w:r>
            <w:r w:rsidRPr="00DA6AC5">
              <w:rPr>
                <w:rFonts w:eastAsia="Times New Roman" w:cs="Calibri"/>
                <w:sz w:val="16"/>
                <w:szCs w:val="16"/>
                <w:lang w:eastAsia="pl-PL"/>
              </w:rPr>
              <w:t>82</w:t>
            </w:r>
          </w:p>
        </w:tc>
        <w:tc>
          <w:tcPr>
            <w:tcW w:w="833"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w:t>
            </w:r>
            <w:r w:rsidR="007C5D10">
              <w:rPr>
                <w:rFonts w:eastAsia="Times New Roman" w:cs="Calibri"/>
                <w:sz w:val="16"/>
                <w:szCs w:val="16"/>
                <w:lang w:eastAsia="pl-PL"/>
              </w:rPr>
              <w:t>.</w:t>
            </w:r>
            <w:r w:rsidRPr="00DA6AC5">
              <w:rPr>
                <w:rFonts w:eastAsia="Times New Roman" w:cs="Calibri"/>
                <w:sz w:val="16"/>
                <w:szCs w:val="16"/>
                <w:lang w:eastAsia="pl-PL"/>
              </w:rPr>
              <w:t>56</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4</w:t>
            </w:r>
            <w:r w:rsidR="007C5D10">
              <w:rPr>
                <w:rFonts w:eastAsia="Times New Roman" w:cs="Calibri"/>
                <w:sz w:val="16"/>
                <w:szCs w:val="16"/>
                <w:lang w:eastAsia="pl-PL"/>
              </w:rPr>
              <w:t>.</w:t>
            </w:r>
            <w:r w:rsidRPr="00DA6AC5">
              <w:rPr>
                <w:rFonts w:eastAsia="Times New Roman" w:cs="Calibri"/>
                <w:sz w:val="16"/>
                <w:szCs w:val="16"/>
                <w:lang w:eastAsia="pl-PL"/>
              </w:rPr>
              <w:t>36</w:t>
            </w:r>
          </w:p>
        </w:tc>
        <w:tc>
          <w:tcPr>
            <w:tcW w:w="881"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w:t>
            </w:r>
            <w:r w:rsidR="007C5D10">
              <w:rPr>
                <w:rFonts w:eastAsia="Times New Roman" w:cs="Calibri"/>
                <w:sz w:val="16"/>
                <w:szCs w:val="16"/>
                <w:lang w:eastAsia="pl-PL"/>
              </w:rPr>
              <w:t>.</w:t>
            </w:r>
            <w:r w:rsidRPr="00DA6AC5">
              <w:rPr>
                <w:rFonts w:eastAsia="Times New Roman" w:cs="Calibri"/>
                <w:sz w:val="16"/>
                <w:szCs w:val="16"/>
                <w:lang w:eastAsia="pl-PL"/>
              </w:rPr>
              <w:t>82</w:t>
            </w:r>
          </w:p>
        </w:tc>
        <w:tc>
          <w:tcPr>
            <w:tcW w:w="654" w:type="dxa"/>
            <w:tcBorders>
              <w:top w:val="nil"/>
              <w:left w:val="single" w:sz="4" w:space="0" w:color="001D77"/>
              <w:bottom w:val="single" w:sz="4" w:space="0" w:color="001D77"/>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100</w:t>
            </w:r>
            <w:r w:rsidR="007C5D10">
              <w:rPr>
                <w:rFonts w:eastAsia="Times New Roman" w:cs="Calibri"/>
                <w:sz w:val="16"/>
                <w:szCs w:val="16"/>
                <w:lang w:eastAsia="pl-PL"/>
              </w:rPr>
              <w:t>.</w:t>
            </w:r>
            <w:r w:rsidRPr="00781CE2">
              <w:rPr>
                <w:rFonts w:eastAsia="Times New Roman" w:cs="Calibri"/>
                <w:sz w:val="16"/>
                <w:szCs w:val="16"/>
                <w:lang w:eastAsia="pl-PL"/>
              </w:rPr>
              <w:t>0</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7C5D10">
              <w:rPr>
                <w:rFonts w:eastAsia="Times New Roman" w:cs="Calibri"/>
                <w:sz w:val="16"/>
                <w:szCs w:val="16"/>
                <w:lang w:eastAsia="pl-PL"/>
              </w:rPr>
              <w:t>.</w:t>
            </w:r>
            <w:r>
              <w:rPr>
                <w:rFonts w:eastAsia="Times New Roman" w:cs="Calibri"/>
                <w:sz w:val="16"/>
                <w:szCs w:val="16"/>
                <w:lang w:eastAsia="pl-PL"/>
              </w:rPr>
              <w:t>56</w:t>
            </w:r>
          </w:p>
        </w:tc>
        <w:tc>
          <w:tcPr>
            <w:tcW w:w="855" w:type="dxa"/>
            <w:tcBorders>
              <w:top w:val="nil"/>
              <w:left w:val="single" w:sz="4"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4</w:t>
            </w:r>
            <w:r w:rsidR="007C5D10">
              <w:rPr>
                <w:rFonts w:eastAsia="Times New Roman" w:cs="Calibri"/>
                <w:sz w:val="16"/>
                <w:szCs w:val="16"/>
                <w:lang w:eastAsia="pl-PL"/>
              </w:rPr>
              <w:t>.</w:t>
            </w:r>
            <w:r>
              <w:rPr>
                <w:rFonts w:eastAsia="Times New Roman" w:cs="Calibri"/>
                <w:sz w:val="16"/>
                <w:szCs w:val="16"/>
                <w:lang w:eastAsia="pl-PL"/>
              </w:rPr>
              <w:t>37</w:t>
            </w:r>
          </w:p>
        </w:tc>
      </w:tr>
      <w:tr w:rsidR="00FD7CFC" w:rsidRPr="00AA7AD5"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rsidR="00FD7CFC" w:rsidRPr="00281994" w:rsidRDefault="00FD7CFC" w:rsidP="00FD7CFC">
            <w:pPr>
              <w:spacing w:after="0" w:line="240" w:lineRule="auto"/>
              <w:rPr>
                <w:rFonts w:eastAsia="Times New Roman" w:cs="Calibri"/>
                <w:sz w:val="16"/>
                <w:szCs w:val="16"/>
                <w:lang w:val="en-GB" w:eastAsia="pl-PL"/>
              </w:rPr>
            </w:pPr>
            <w:r>
              <w:rPr>
                <w:rFonts w:eastAsia="Times New Roman" w:cs="Calibri"/>
                <w:sz w:val="16"/>
                <w:szCs w:val="16"/>
                <w:lang w:val="en-GB" w:eastAsia="pl-PL"/>
              </w:rPr>
              <w:t>u</w:t>
            </w:r>
            <w:r w:rsidRPr="00281994">
              <w:rPr>
                <w:rFonts w:eastAsia="Times New Roman" w:cs="Calibri"/>
                <w:sz w:val="16"/>
                <w:szCs w:val="16"/>
                <w:lang w:val="en-GB" w:eastAsia="pl-PL"/>
              </w:rPr>
              <w:t>seful floor area in m</w:t>
            </w:r>
            <w:r w:rsidRPr="00281994">
              <w:rPr>
                <w:rFonts w:eastAsia="Times New Roman" w:cs="Calibri"/>
                <w:sz w:val="16"/>
                <w:szCs w:val="16"/>
                <w:vertAlign w:val="superscript"/>
                <w:lang w:val="en-GB" w:eastAsia="pl-PL"/>
              </w:rPr>
              <w:t>2</w:t>
            </w:r>
          </w:p>
        </w:tc>
        <w:tc>
          <w:tcPr>
            <w:tcW w:w="916" w:type="dxa"/>
            <w:tcBorders>
              <w:top w:val="single" w:sz="4" w:space="0" w:color="001D77"/>
              <w:left w:val="single" w:sz="4" w:space="0" w:color="001D77"/>
              <w:bottom w:val="nil"/>
              <w:right w:val="single" w:sz="4" w:space="0" w:color="001D77"/>
            </w:tcBorders>
            <w:vAlign w:val="bottom"/>
          </w:tcPr>
          <w:p w:rsidR="00FD7CFC" w:rsidRPr="002D6A12" w:rsidRDefault="00FD7CFC" w:rsidP="00FD7CFC">
            <w:pPr>
              <w:spacing w:after="0" w:line="240" w:lineRule="auto"/>
              <w:jc w:val="right"/>
              <w:rPr>
                <w:rFonts w:eastAsia="Times New Roman" w:cs="Calibri"/>
                <w:sz w:val="16"/>
                <w:szCs w:val="16"/>
                <w:lang w:val="en-GB" w:eastAsia="pl-PL"/>
              </w:rPr>
            </w:pPr>
            <w:r w:rsidRPr="002D6A12">
              <w:rPr>
                <w:rFonts w:eastAsia="Times New Roman" w:cs="Calibri"/>
                <w:sz w:val="16"/>
                <w:szCs w:val="16"/>
                <w:lang w:val="en-GB" w:eastAsia="pl-PL"/>
              </w:rPr>
              <w:t> </w:t>
            </w:r>
          </w:p>
        </w:tc>
        <w:tc>
          <w:tcPr>
            <w:tcW w:w="833" w:type="dxa"/>
            <w:tcBorders>
              <w:top w:val="single" w:sz="4" w:space="0" w:color="001D77"/>
              <w:left w:val="single" w:sz="4" w:space="0" w:color="001D77"/>
              <w:bottom w:val="nil"/>
              <w:right w:val="single" w:sz="4" w:space="0" w:color="001D77"/>
            </w:tcBorders>
            <w:vAlign w:val="bottom"/>
          </w:tcPr>
          <w:p w:rsidR="00FD7CFC" w:rsidRPr="002D6A12" w:rsidRDefault="00FD7CFC" w:rsidP="00FD7CFC">
            <w:pPr>
              <w:spacing w:after="0" w:line="240" w:lineRule="auto"/>
              <w:jc w:val="right"/>
              <w:rPr>
                <w:rFonts w:eastAsia="Times New Roman" w:cs="Calibri"/>
                <w:sz w:val="16"/>
                <w:szCs w:val="16"/>
                <w:lang w:val="en-GB"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2D6A12" w:rsidRDefault="00FD7CFC" w:rsidP="00FD7CFC">
            <w:pPr>
              <w:spacing w:after="0" w:line="240" w:lineRule="auto"/>
              <w:jc w:val="right"/>
              <w:rPr>
                <w:rFonts w:eastAsia="Times New Roman" w:cs="Calibri"/>
                <w:sz w:val="16"/>
                <w:szCs w:val="16"/>
                <w:lang w:val="en-GB" w:eastAsia="pl-PL"/>
              </w:rPr>
            </w:pPr>
          </w:p>
        </w:tc>
        <w:tc>
          <w:tcPr>
            <w:tcW w:w="881" w:type="dxa"/>
            <w:tcBorders>
              <w:top w:val="single" w:sz="4" w:space="0" w:color="001D77"/>
              <w:left w:val="single" w:sz="4" w:space="0" w:color="001D77"/>
              <w:bottom w:val="nil"/>
              <w:right w:val="single" w:sz="4" w:space="0" w:color="001D77"/>
            </w:tcBorders>
            <w:vAlign w:val="bottom"/>
          </w:tcPr>
          <w:p w:rsidR="00FD7CFC" w:rsidRPr="002D6A12" w:rsidRDefault="00FD7CFC" w:rsidP="00FD7CFC">
            <w:pPr>
              <w:spacing w:after="0" w:line="240" w:lineRule="auto"/>
              <w:jc w:val="right"/>
              <w:rPr>
                <w:rFonts w:eastAsia="Times New Roman" w:cs="Calibri"/>
                <w:sz w:val="16"/>
                <w:szCs w:val="16"/>
                <w:lang w:val="en-GB" w:eastAsia="pl-PL"/>
              </w:rPr>
            </w:pPr>
          </w:p>
        </w:tc>
        <w:tc>
          <w:tcPr>
            <w:tcW w:w="654" w:type="dxa"/>
            <w:tcBorders>
              <w:top w:val="single" w:sz="4" w:space="0" w:color="001D77"/>
              <w:left w:val="single" w:sz="4" w:space="0" w:color="001D77"/>
              <w:bottom w:val="nil"/>
              <w:right w:val="single" w:sz="4" w:space="0" w:color="001D77"/>
            </w:tcBorders>
            <w:vAlign w:val="bottom"/>
          </w:tcPr>
          <w:p w:rsidR="00FD7CFC" w:rsidRPr="002D6A12" w:rsidRDefault="00FD7CFC" w:rsidP="00FD7CFC">
            <w:pPr>
              <w:spacing w:after="0" w:line="240" w:lineRule="auto"/>
              <w:jc w:val="right"/>
              <w:rPr>
                <w:rFonts w:eastAsia="Times New Roman" w:cs="Calibri"/>
                <w:sz w:val="16"/>
                <w:szCs w:val="16"/>
                <w:lang w:val="en-GB"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2D6A12" w:rsidRDefault="00FD7CFC" w:rsidP="00FD7CFC">
            <w:pPr>
              <w:spacing w:after="0" w:line="240" w:lineRule="auto"/>
              <w:jc w:val="right"/>
              <w:rPr>
                <w:rFonts w:eastAsia="Times New Roman" w:cs="Calibri"/>
                <w:sz w:val="16"/>
                <w:szCs w:val="16"/>
                <w:lang w:val="en-GB" w:eastAsia="pl-PL"/>
              </w:rPr>
            </w:pPr>
          </w:p>
        </w:tc>
        <w:tc>
          <w:tcPr>
            <w:tcW w:w="855" w:type="dxa"/>
            <w:tcBorders>
              <w:top w:val="single" w:sz="4" w:space="0" w:color="001D77"/>
              <w:left w:val="single" w:sz="4" w:space="0" w:color="001D77"/>
              <w:bottom w:val="nil"/>
            </w:tcBorders>
            <w:shd w:val="clear" w:color="auto" w:fill="auto"/>
            <w:noWrap/>
            <w:vAlign w:val="bottom"/>
          </w:tcPr>
          <w:p w:rsidR="00FD7CFC" w:rsidRPr="002D6A12" w:rsidRDefault="00FD7CFC" w:rsidP="00FD7CFC">
            <w:pPr>
              <w:spacing w:after="0" w:line="240" w:lineRule="auto"/>
              <w:jc w:val="right"/>
              <w:rPr>
                <w:rFonts w:eastAsia="Times New Roman" w:cs="Calibri"/>
                <w:sz w:val="16"/>
                <w:szCs w:val="16"/>
                <w:lang w:val="en-GB" w:eastAsia="pl-PL"/>
              </w:rPr>
            </w:pPr>
          </w:p>
        </w:tc>
      </w:tr>
      <w:tr w:rsidR="00FD7CFC" w:rsidRPr="00781CE2" w:rsidTr="00FD7CFC">
        <w:trPr>
          <w:trHeight w:val="300"/>
        </w:trPr>
        <w:tc>
          <w:tcPr>
            <w:tcW w:w="2128" w:type="dxa"/>
            <w:tcBorders>
              <w:top w:val="nil"/>
              <w:bottom w:val="nil"/>
              <w:right w:val="single" w:sz="4" w:space="0" w:color="001D77"/>
            </w:tcBorders>
            <w:shd w:val="clear" w:color="auto" w:fill="auto"/>
            <w:noWrap/>
            <w:vAlign w:val="bottom"/>
            <w:hideMark/>
          </w:tcPr>
          <w:p w:rsidR="00FD7CFC" w:rsidRPr="0097136B" w:rsidRDefault="00FD7CFC" w:rsidP="00FD7CFC">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74</w:t>
            </w:r>
            <w:r w:rsidR="007C5D10">
              <w:rPr>
                <w:rFonts w:eastAsia="Times New Roman" w:cs="Calibri"/>
                <w:sz w:val="16"/>
                <w:szCs w:val="16"/>
                <w:lang w:eastAsia="pl-PL"/>
              </w:rPr>
              <w:t>.</w:t>
            </w:r>
            <w:r w:rsidRPr="00DA6AC5">
              <w:rPr>
                <w:rFonts w:eastAsia="Times New Roman" w:cs="Calibri"/>
                <w:sz w:val="16"/>
                <w:szCs w:val="16"/>
                <w:lang w:eastAsia="pl-PL"/>
              </w:rPr>
              <w:t>2</w:t>
            </w:r>
          </w:p>
        </w:tc>
        <w:tc>
          <w:tcPr>
            <w:tcW w:w="833"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64</w:t>
            </w:r>
            <w:r w:rsidR="007C5D10">
              <w:rPr>
                <w:rFonts w:eastAsia="Times New Roman" w:cs="Calibri"/>
                <w:sz w:val="16"/>
                <w:szCs w:val="16"/>
                <w:lang w:eastAsia="pl-PL"/>
              </w:rPr>
              <w:t>.</w:t>
            </w:r>
            <w:r w:rsidRPr="00DA6AC5">
              <w:rPr>
                <w:rFonts w:eastAsia="Times New Roman" w:cs="Calibri"/>
                <w:sz w:val="16"/>
                <w:szCs w:val="16"/>
                <w:lang w:eastAsia="pl-PL"/>
              </w:rPr>
              <w:t>7</w:t>
            </w:r>
          </w:p>
        </w:tc>
        <w:tc>
          <w:tcPr>
            <w:tcW w:w="850" w:type="dxa"/>
            <w:tcBorders>
              <w:top w:val="nil"/>
              <w:left w:val="single" w:sz="4" w:space="0" w:color="001D77"/>
              <w:bottom w:val="nil"/>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94</w:t>
            </w:r>
            <w:r w:rsidR="007C5D10">
              <w:rPr>
                <w:rFonts w:eastAsia="Times New Roman" w:cs="Calibri"/>
                <w:sz w:val="16"/>
                <w:szCs w:val="16"/>
                <w:lang w:eastAsia="pl-PL"/>
              </w:rPr>
              <w:t>.</w:t>
            </w:r>
            <w:r w:rsidRPr="00DA6AC5">
              <w:rPr>
                <w:rFonts w:eastAsia="Times New Roman" w:cs="Calibri"/>
                <w:sz w:val="16"/>
                <w:szCs w:val="16"/>
                <w:lang w:eastAsia="pl-PL"/>
              </w:rPr>
              <w:t>0</w:t>
            </w:r>
          </w:p>
        </w:tc>
        <w:tc>
          <w:tcPr>
            <w:tcW w:w="881"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74</w:t>
            </w:r>
            <w:r w:rsidR="007C5D10">
              <w:rPr>
                <w:rFonts w:eastAsia="Times New Roman" w:cs="Calibri"/>
                <w:sz w:val="16"/>
                <w:szCs w:val="16"/>
                <w:lang w:eastAsia="pl-PL"/>
              </w:rPr>
              <w:t>.</w:t>
            </w:r>
            <w:r w:rsidRPr="00DA6AC5">
              <w:rPr>
                <w:rFonts w:eastAsia="Times New Roman" w:cs="Calibri"/>
                <w:sz w:val="16"/>
                <w:szCs w:val="16"/>
                <w:lang w:eastAsia="pl-PL"/>
              </w:rPr>
              <w:t>4</w:t>
            </w:r>
          </w:p>
        </w:tc>
        <w:tc>
          <w:tcPr>
            <w:tcW w:w="654" w:type="dxa"/>
            <w:tcBorders>
              <w:top w:val="nil"/>
              <w:left w:val="single" w:sz="4" w:space="0" w:color="001D77"/>
              <w:bottom w:val="nil"/>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100</w:t>
            </w:r>
            <w:r w:rsidR="007C5D10">
              <w:rPr>
                <w:rFonts w:eastAsia="Times New Roman" w:cs="Calibri"/>
                <w:sz w:val="16"/>
                <w:szCs w:val="16"/>
                <w:lang w:eastAsia="pl-PL"/>
              </w:rPr>
              <w:t>.</w:t>
            </w:r>
            <w:r w:rsidRPr="00781CE2">
              <w:rPr>
                <w:rFonts w:eastAsia="Times New Roman" w:cs="Calibri"/>
                <w:sz w:val="16"/>
                <w:szCs w:val="16"/>
                <w:lang w:eastAsia="pl-PL"/>
              </w:rPr>
              <w:t>3</w:t>
            </w:r>
          </w:p>
        </w:tc>
        <w:tc>
          <w:tcPr>
            <w:tcW w:w="850" w:type="dxa"/>
            <w:tcBorders>
              <w:top w:val="nil"/>
              <w:left w:val="single" w:sz="4" w:space="0" w:color="001D77"/>
              <w:bottom w:val="nil"/>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64</w:t>
            </w:r>
            <w:r w:rsidR="007C5D10">
              <w:rPr>
                <w:rFonts w:eastAsia="Times New Roman" w:cs="Calibri"/>
                <w:sz w:val="16"/>
                <w:szCs w:val="16"/>
                <w:lang w:eastAsia="pl-PL"/>
              </w:rPr>
              <w:t>.</w:t>
            </w:r>
            <w:r>
              <w:rPr>
                <w:rFonts w:eastAsia="Times New Roman" w:cs="Calibri"/>
                <w:sz w:val="16"/>
                <w:szCs w:val="16"/>
                <w:lang w:eastAsia="pl-PL"/>
              </w:rPr>
              <w:t>7</w:t>
            </w:r>
          </w:p>
        </w:tc>
        <w:tc>
          <w:tcPr>
            <w:tcW w:w="855" w:type="dxa"/>
            <w:tcBorders>
              <w:top w:val="nil"/>
              <w:left w:val="single" w:sz="4" w:space="0" w:color="001D77"/>
              <w:bottom w:val="nil"/>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94</w:t>
            </w:r>
            <w:r w:rsidR="007C5D10">
              <w:rPr>
                <w:rFonts w:eastAsia="Times New Roman" w:cs="Calibri"/>
                <w:sz w:val="16"/>
                <w:szCs w:val="16"/>
                <w:lang w:eastAsia="pl-PL"/>
              </w:rPr>
              <w:t>.</w:t>
            </w:r>
            <w:r>
              <w:rPr>
                <w:rFonts w:eastAsia="Times New Roman" w:cs="Calibri"/>
                <w:sz w:val="16"/>
                <w:szCs w:val="16"/>
                <w:lang w:eastAsia="pl-PL"/>
              </w:rPr>
              <w:t>4</w:t>
            </w:r>
          </w:p>
        </w:tc>
      </w:tr>
      <w:tr w:rsidR="00FD7CFC" w:rsidRPr="00781CE2" w:rsidTr="00FD7CFC">
        <w:trPr>
          <w:trHeight w:val="300"/>
        </w:trPr>
        <w:tc>
          <w:tcPr>
            <w:tcW w:w="2128" w:type="dxa"/>
            <w:tcBorders>
              <w:top w:val="nil"/>
              <w:bottom w:val="single" w:sz="4" w:space="0" w:color="001D77"/>
              <w:right w:val="single" w:sz="4" w:space="0" w:color="001D77"/>
            </w:tcBorders>
            <w:shd w:val="clear" w:color="auto" w:fill="auto"/>
            <w:noWrap/>
            <w:vAlign w:val="bottom"/>
            <w:hideMark/>
          </w:tcPr>
          <w:p w:rsidR="00FD7CFC" w:rsidRPr="0097136B" w:rsidRDefault="00FD7CFC" w:rsidP="00FD7CFC">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r>
              <w:rPr>
                <w:rFonts w:eastAsia="Times New Roman" w:cs="Calibri"/>
                <w:sz w:val="16"/>
                <w:szCs w:val="16"/>
                <w:lang w:eastAsia="pl-PL"/>
              </w:rPr>
              <w:t>person</w:t>
            </w:r>
          </w:p>
        </w:tc>
        <w:tc>
          <w:tcPr>
            <w:tcW w:w="916"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28</w:t>
            </w:r>
            <w:r w:rsidR="007C5D10">
              <w:rPr>
                <w:rFonts w:eastAsia="Times New Roman" w:cs="Calibri"/>
                <w:sz w:val="16"/>
                <w:szCs w:val="16"/>
                <w:lang w:eastAsia="pl-PL"/>
              </w:rPr>
              <w:t>.</w:t>
            </w:r>
            <w:r w:rsidRPr="00DA6AC5">
              <w:rPr>
                <w:rFonts w:eastAsia="Times New Roman" w:cs="Calibri"/>
                <w:sz w:val="16"/>
                <w:szCs w:val="16"/>
                <w:lang w:eastAsia="pl-PL"/>
              </w:rPr>
              <w:t>2</w:t>
            </w:r>
          </w:p>
        </w:tc>
        <w:tc>
          <w:tcPr>
            <w:tcW w:w="833"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27</w:t>
            </w:r>
            <w:r w:rsidR="007C5D10">
              <w:rPr>
                <w:rFonts w:eastAsia="Times New Roman" w:cs="Calibri"/>
                <w:sz w:val="16"/>
                <w:szCs w:val="16"/>
                <w:lang w:eastAsia="pl-PL"/>
              </w:rPr>
              <w:t>.</w:t>
            </w:r>
            <w:r w:rsidRPr="00DA6AC5">
              <w:rPr>
                <w:rFonts w:eastAsia="Times New Roman" w:cs="Calibri"/>
                <w:sz w:val="16"/>
                <w:szCs w:val="16"/>
                <w:lang w:eastAsia="pl-PL"/>
              </w:rPr>
              <w:t>7</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29</w:t>
            </w:r>
            <w:r w:rsidR="007C5D10">
              <w:rPr>
                <w:rFonts w:eastAsia="Times New Roman" w:cs="Calibri"/>
                <w:sz w:val="16"/>
                <w:szCs w:val="16"/>
                <w:lang w:eastAsia="pl-PL"/>
              </w:rPr>
              <w:t>.</w:t>
            </w:r>
            <w:r w:rsidRPr="00DA6AC5">
              <w:rPr>
                <w:rFonts w:eastAsia="Times New Roman" w:cs="Calibri"/>
                <w:sz w:val="16"/>
                <w:szCs w:val="16"/>
                <w:lang w:eastAsia="pl-PL"/>
              </w:rPr>
              <w:t>1</w:t>
            </w:r>
          </w:p>
        </w:tc>
        <w:tc>
          <w:tcPr>
            <w:tcW w:w="881" w:type="dxa"/>
            <w:tcBorders>
              <w:top w:val="nil"/>
              <w:left w:val="single" w:sz="4" w:space="0" w:color="001D77"/>
              <w:bottom w:val="single" w:sz="4" w:space="0" w:color="001D77"/>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28</w:t>
            </w:r>
            <w:r w:rsidR="007C5D10">
              <w:rPr>
                <w:rFonts w:eastAsia="Times New Roman" w:cs="Calibri"/>
                <w:sz w:val="16"/>
                <w:szCs w:val="16"/>
                <w:lang w:eastAsia="pl-PL"/>
              </w:rPr>
              <w:t>.</w:t>
            </w:r>
            <w:r w:rsidRPr="00DA6AC5">
              <w:rPr>
                <w:rFonts w:eastAsia="Times New Roman" w:cs="Calibri"/>
                <w:sz w:val="16"/>
                <w:szCs w:val="16"/>
                <w:lang w:eastAsia="pl-PL"/>
              </w:rPr>
              <w:t>7</w:t>
            </w:r>
          </w:p>
        </w:tc>
        <w:tc>
          <w:tcPr>
            <w:tcW w:w="654" w:type="dxa"/>
            <w:tcBorders>
              <w:top w:val="nil"/>
              <w:left w:val="single" w:sz="4" w:space="0" w:color="001D77"/>
              <w:bottom w:val="single" w:sz="4" w:space="0" w:color="001D77"/>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101</w:t>
            </w:r>
            <w:r w:rsidR="007C5D10">
              <w:rPr>
                <w:rFonts w:eastAsia="Times New Roman" w:cs="Calibri"/>
                <w:sz w:val="16"/>
                <w:szCs w:val="16"/>
                <w:lang w:eastAsia="pl-PL"/>
              </w:rPr>
              <w:t>.</w:t>
            </w:r>
            <w:r w:rsidRPr="00781CE2">
              <w:rPr>
                <w:rFonts w:eastAsia="Times New Roman" w:cs="Calibri"/>
                <w:sz w:val="16"/>
                <w:szCs w:val="16"/>
                <w:lang w:eastAsia="pl-PL"/>
              </w:rPr>
              <w:t>8</w:t>
            </w:r>
          </w:p>
        </w:tc>
        <w:tc>
          <w:tcPr>
            <w:tcW w:w="850" w:type="dxa"/>
            <w:tcBorders>
              <w:top w:val="nil"/>
              <w:left w:val="single" w:sz="4" w:space="0" w:color="001D77"/>
              <w:bottom w:val="single" w:sz="4" w:space="0" w:color="001D77"/>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28</w:t>
            </w:r>
            <w:r w:rsidR="007C5D10">
              <w:rPr>
                <w:rFonts w:eastAsia="Times New Roman" w:cs="Calibri"/>
                <w:sz w:val="16"/>
                <w:szCs w:val="16"/>
                <w:lang w:eastAsia="pl-PL"/>
              </w:rPr>
              <w:t>.</w:t>
            </w:r>
            <w:r>
              <w:rPr>
                <w:rFonts w:eastAsia="Times New Roman" w:cs="Calibri"/>
                <w:sz w:val="16"/>
                <w:szCs w:val="16"/>
                <w:lang w:eastAsia="pl-PL"/>
              </w:rPr>
              <w:t>1</w:t>
            </w:r>
          </w:p>
        </w:tc>
        <w:tc>
          <w:tcPr>
            <w:tcW w:w="855" w:type="dxa"/>
            <w:tcBorders>
              <w:top w:val="nil"/>
              <w:left w:val="single" w:sz="4" w:space="0" w:color="001D77"/>
              <w:bottom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29</w:t>
            </w:r>
            <w:r w:rsidR="007C5D10">
              <w:rPr>
                <w:rFonts w:eastAsia="Times New Roman" w:cs="Calibri"/>
                <w:sz w:val="16"/>
                <w:szCs w:val="16"/>
                <w:lang w:eastAsia="pl-PL"/>
              </w:rPr>
              <w:t>.</w:t>
            </w:r>
            <w:r>
              <w:rPr>
                <w:rFonts w:eastAsia="Times New Roman" w:cs="Calibri"/>
                <w:sz w:val="16"/>
                <w:szCs w:val="16"/>
                <w:lang w:eastAsia="pl-PL"/>
              </w:rPr>
              <w:t>5</w:t>
            </w:r>
          </w:p>
        </w:tc>
      </w:tr>
      <w:tr w:rsidR="00FD7CFC" w:rsidRPr="00781CE2" w:rsidTr="00FD7CFC">
        <w:trPr>
          <w:trHeight w:val="300"/>
        </w:trPr>
        <w:tc>
          <w:tcPr>
            <w:tcW w:w="2128" w:type="dxa"/>
            <w:tcBorders>
              <w:top w:val="single" w:sz="4" w:space="0" w:color="001D77"/>
              <w:bottom w:val="nil"/>
              <w:right w:val="single" w:sz="4" w:space="0" w:color="001D77"/>
            </w:tcBorders>
            <w:shd w:val="clear" w:color="auto" w:fill="auto"/>
            <w:noWrap/>
            <w:vAlign w:val="bottom"/>
            <w:hideMark/>
          </w:tcPr>
          <w:p w:rsidR="00FD7CFC" w:rsidRPr="0097136B" w:rsidRDefault="00FD7CFC" w:rsidP="00FD7CFC">
            <w:pPr>
              <w:spacing w:after="0" w:line="240" w:lineRule="auto"/>
              <w:rPr>
                <w:rFonts w:eastAsia="Times New Roman" w:cs="Calibri"/>
                <w:sz w:val="16"/>
                <w:szCs w:val="16"/>
                <w:lang w:eastAsia="pl-PL"/>
              </w:rPr>
            </w:pPr>
            <w:proofErr w:type="spellStart"/>
            <w:r>
              <w:rPr>
                <w:rFonts w:eastAsia="Times New Roman" w:cs="Calibri"/>
                <w:sz w:val="16"/>
                <w:szCs w:val="16"/>
                <w:lang w:eastAsia="pl-PL"/>
              </w:rPr>
              <w:t>number</w:t>
            </w:r>
            <w:proofErr w:type="spellEnd"/>
            <w:r>
              <w:rPr>
                <w:rFonts w:eastAsia="Times New Roman" w:cs="Calibri"/>
                <w:sz w:val="16"/>
                <w:szCs w:val="16"/>
                <w:lang w:eastAsia="pl-PL"/>
              </w:rPr>
              <w:t xml:space="preserve"> of </w:t>
            </w:r>
            <w:proofErr w:type="spellStart"/>
            <w:r>
              <w:rPr>
                <w:rFonts w:eastAsia="Times New Roman" w:cs="Calibri"/>
                <w:sz w:val="16"/>
                <w:szCs w:val="16"/>
                <w:lang w:eastAsia="pl-PL"/>
              </w:rPr>
              <w:t>persons</w:t>
            </w:r>
            <w:proofErr w:type="spellEnd"/>
          </w:p>
        </w:tc>
        <w:tc>
          <w:tcPr>
            <w:tcW w:w="916"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 </w:t>
            </w:r>
          </w:p>
        </w:tc>
        <w:tc>
          <w:tcPr>
            <w:tcW w:w="833"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881" w:type="dxa"/>
            <w:tcBorders>
              <w:top w:val="single" w:sz="4" w:space="0" w:color="001D77"/>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p>
        </w:tc>
        <w:tc>
          <w:tcPr>
            <w:tcW w:w="654" w:type="dxa"/>
            <w:tcBorders>
              <w:top w:val="single" w:sz="4" w:space="0" w:color="001D77"/>
              <w:left w:val="single" w:sz="4" w:space="0" w:color="001D77"/>
              <w:bottom w:val="nil"/>
              <w:right w:val="single" w:sz="4" w:space="0" w:color="001D77"/>
            </w:tcBorders>
            <w:vAlign w:val="bottom"/>
          </w:tcPr>
          <w:p w:rsidR="00FD7CFC" w:rsidRPr="00781CE2" w:rsidRDefault="00FD7CFC" w:rsidP="00FD7CFC">
            <w:pPr>
              <w:spacing w:after="0" w:line="240" w:lineRule="auto"/>
              <w:jc w:val="right"/>
              <w:rPr>
                <w:rFonts w:eastAsia="Times New Roman" w:cs="Calibri"/>
                <w:sz w:val="16"/>
                <w:szCs w:val="16"/>
                <w:lang w:eastAsia="pl-PL"/>
              </w:rPr>
            </w:pPr>
          </w:p>
        </w:tc>
        <w:tc>
          <w:tcPr>
            <w:tcW w:w="850" w:type="dxa"/>
            <w:tcBorders>
              <w:top w:val="single" w:sz="4" w:space="0" w:color="001D77"/>
              <w:left w:val="single" w:sz="4" w:space="0" w:color="001D77"/>
              <w:bottom w:val="nil"/>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p>
        </w:tc>
        <w:tc>
          <w:tcPr>
            <w:tcW w:w="855" w:type="dxa"/>
            <w:tcBorders>
              <w:top w:val="single" w:sz="4" w:space="0" w:color="001D77"/>
              <w:left w:val="single" w:sz="4" w:space="0" w:color="001D77"/>
              <w:bottom w:val="nil"/>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p>
        </w:tc>
      </w:tr>
      <w:tr w:rsidR="00FD7CFC" w:rsidRPr="00781CE2" w:rsidTr="00FD7CFC">
        <w:trPr>
          <w:trHeight w:val="300"/>
        </w:trPr>
        <w:tc>
          <w:tcPr>
            <w:tcW w:w="2128" w:type="dxa"/>
            <w:tcBorders>
              <w:top w:val="nil"/>
              <w:bottom w:val="nil"/>
              <w:right w:val="single" w:sz="4" w:space="0" w:color="001D77"/>
            </w:tcBorders>
            <w:shd w:val="clear" w:color="auto" w:fill="auto"/>
            <w:noWrap/>
            <w:vAlign w:val="bottom"/>
            <w:hideMark/>
          </w:tcPr>
          <w:p w:rsidR="00FD7CFC" w:rsidRPr="0097136B" w:rsidRDefault="00FD7CFC" w:rsidP="00FD7CFC">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per</w:t>
            </w:r>
            <w:r w:rsidRPr="0097136B">
              <w:rPr>
                <w:rFonts w:eastAsia="Times New Roman" w:cs="Calibri"/>
                <w:sz w:val="16"/>
                <w:szCs w:val="16"/>
                <w:lang w:eastAsia="pl-PL"/>
              </w:rPr>
              <w:t xml:space="preserve"> </w:t>
            </w:r>
            <w:proofErr w:type="spellStart"/>
            <w:r>
              <w:rPr>
                <w:rFonts w:eastAsia="Times New Roman" w:cs="Calibri"/>
                <w:sz w:val="16"/>
                <w:szCs w:val="16"/>
                <w:lang w:eastAsia="pl-PL"/>
              </w:rPr>
              <w:t>dwelling</w:t>
            </w:r>
            <w:proofErr w:type="spellEnd"/>
          </w:p>
        </w:tc>
        <w:tc>
          <w:tcPr>
            <w:tcW w:w="916"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w:t>
            </w:r>
            <w:r w:rsidR="007C5D10">
              <w:rPr>
                <w:rFonts w:eastAsia="Times New Roman" w:cs="Calibri"/>
                <w:sz w:val="16"/>
                <w:szCs w:val="16"/>
                <w:lang w:eastAsia="pl-PL"/>
              </w:rPr>
              <w:t>.</w:t>
            </w:r>
            <w:r w:rsidRPr="00DA6AC5">
              <w:rPr>
                <w:rFonts w:eastAsia="Times New Roman" w:cs="Calibri"/>
                <w:sz w:val="16"/>
                <w:szCs w:val="16"/>
                <w:lang w:eastAsia="pl-PL"/>
              </w:rPr>
              <w:t>63</w:t>
            </w:r>
          </w:p>
        </w:tc>
        <w:tc>
          <w:tcPr>
            <w:tcW w:w="833"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w:t>
            </w:r>
            <w:r w:rsidR="007C5D10">
              <w:rPr>
                <w:rFonts w:eastAsia="Times New Roman" w:cs="Calibri"/>
                <w:sz w:val="16"/>
                <w:szCs w:val="16"/>
                <w:lang w:eastAsia="pl-PL"/>
              </w:rPr>
              <w:t>.</w:t>
            </w:r>
            <w:r w:rsidRPr="00DA6AC5">
              <w:rPr>
                <w:rFonts w:eastAsia="Times New Roman" w:cs="Calibri"/>
                <w:sz w:val="16"/>
                <w:szCs w:val="16"/>
                <w:lang w:eastAsia="pl-PL"/>
              </w:rPr>
              <w:t>34</w:t>
            </w:r>
          </w:p>
        </w:tc>
        <w:tc>
          <w:tcPr>
            <w:tcW w:w="850" w:type="dxa"/>
            <w:tcBorders>
              <w:top w:val="nil"/>
              <w:left w:val="single" w:sz="4" w:space="0" w:color="001D77"/>
              <w:bottom w:val="nil"/>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3</w:t>
            </w:r>
            <w:r w:rsidR="007C5D10">
              <w:rPr>
                <w:rFonts w:eastAsia="Times New Roman" w:cs="Calibri"/>
                <w:sz w:val="16"/>
                <w:szCs w:val="16"/>
                <w:lang w:eastAsia="pl-PL"/>
              </w:rPr>
              <w:t>.</w:t>
            </w:r>
            <w:r w:rsidRPr="00DA6AC5">
              <w:rPr>
                <w:rFonts w:eastAsia="Times New Roman" w:cs="Calibri"/>
                <w:sz w:val="16"/>
                <w:szCs w:val="16"/>
                <w:lang w:eastAsia="pl-PL"/>
              </w:rPr>
              <w:t>23</w:t>
            </w:r>
          </w:p>
        </w:tc>
        <w:tc>
          <w:tcPr>
            <w:tcW w:w="881"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2</w:t>
            </w:r>
            <w:r w:rsidR="007C5D10">
              <w:rPr>
                <w:rFonts w:eastAsia="Times New Roman" w:cs="Calibri"/>
                <w:sz w:val="16"/>
                <w:szCs w:val="16"/>
                <w:lang w:eastAsia="pl-PL"/>
              </w:rPr>
              <w:t>.</w:t>
            </w:r>
            <w:r w:rsidRPr="00DA6AC5">
              <w:rPr>
                <w:rFonts w:eastAsia="Times New Roman" w:cs="Calibri"/>
                <w:sz w:val="16"/>
                <w:szCs w:val="16"/>
                <w:lang w:eastAsia="pl-PL"/>
              </w:rPr>
              <w:t>59</w:t>
            </w:r>
          </w:p>
        </w:tc>
        <w:tc>
          <w:tcPr>
            <w:tcW w:w="654" w:type="dxa"/>
            <w:tcBorders>
              <w:top w:val="nil"/>
              <w:left w:val="single" w:sz="4" w:space="0" w:color="001D77"/>
              <w:bottom w:val="nil"/>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98</w:t>
            </w:r>
            <w:r w:rsidR="007C5D10">
              <w:rPr>
                <w:rFonts w:eastAsia="Times New Roman" w:cs="Calibri"/>
                <w:sz w:val="16"/>
                <w:szCs w:val="16"/>
                <w:lang w:eastAsia="pl-PL"/>
              </w:rPr>
              <w:t>.</w:t>
            </w:r>
            <w:r w:rsidRPr="00781CE2">
              <w:rPr>
                <w:rFonts w:eastAsia="Times New Roman" w:cs="Calibri"/>
                <w:sz w:val="16"/>
                <w:szCs w:val="16"/>
                <w:lang w:eastAsia="pl-PL"/>
              </w:rPr>
              <w:t>5</w:t>
            </w:r>
          </w:p>
        </w:tc>
        <w:tc>
          <w:tcPr>
            <w:tcW w:w="850" w:type="dxa"/>
            <w:tcBorders>
              <w:top w:val="nil"/>
              <w:left w:val="single" w:sz="4" w:space="0" w:color="001D77"/>
              <w:bottom w:val="nil"/>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2</w:t>
            </w:r>
            <w:r w:rsidR="007C5D10">
              <w:rPr>
                <w:rFonts w:eastAsia="Times New Roman" w:cs="Calibri"/>
                <w:sz w:val="16"/>
                <w:szCs w:val="16"/>
                <w:lang w:eastAsia="pl-PL"/>
              </w:rPr>
              <w:t>.</w:t>
            </w:r>
            <w:r>
              <w:rPr>
                <w:rFonts w:eastAsia="Times New Roman" w:cs="Calibri"/>
                <w:sz w:val="16"/>
                <w:szCs w:val="16"/>
                <w:lang w:eastAsia="pl-PL"/>
              </w:rPr>
              <w:t>30</w:t>
            </w:r>
          </w:p>
        </w:tc>
        <w:tc>
          <w:tcPr>
            <w:tcW w:w="855" w:type="dxa"/>
            <w:tcBorders>
              <w:top w:val="nil"/>
              <w:left w:val="single" w:sz="4" w:space="0" w:color="001D77"/>
              <w:bottom w:val="nil"/>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3</w:t>
            </w:r>
            <w:r w:rsidR="007C5D10">
              <w:rPr>
                <w:rFonts w:eastAsia="Times New Roman" w:cs="Calibri"/>
                <w:sz w:val="16"/>
                <w:szCs w:val="16"/>
                <w:lang w:eastAsia="pl-PL"/>
              </w:rPr>
              <w:t>.</w:t>
            </w:r>
            <w:r>
              <w:rPr>
                <w:rFonts w:eastAsia="Times New Roman" w:cs="Calibri"/>
                <w:sz w:val="16"/>
                <w:szCs w:val="16"/>
                <w:lang w:eastAsia="pl-PL"/>
              </w:rPr>
              <w:t>20</w:t>
            </w:r>
          </w:p>
        </w:tc>
      </w:tr>
      <w:tr w:rsidR="00FD7CFC" w:rsidRPr="00781CE2" w:rsidTr="00FD7CFC">
        <w:trPr>
          <w:trHeight w:val="300"/>
        </w:trPr>
        <w:tc>
          <w:tcPr>
            <w:tcW w:w="2128" w:type="dxa"/>
            <w:tcBorders>
              <w:top w:val="nil"/>
              <w:bottom w:val="nil"/>
              <w:right w:val="single" w:sz="4" w:space="0" w:color="001D77"/>
            </w:tcBorders>
            <w:shd w:val="clear" w:color="auto" w:fill="auto"/>
            <w:noWrap/>
            <w:vAlign w:val="bottom"/>
            <w:hideMark/>
          </w:tcPr>
          <w:p w:rsidR="00FD7CFC" w:rsidRPr="0097136B" w:rsidRDefault="00FD7CFC" w:rsidP="00FD7CFC">
            <w:pPr>
              <w:spacing w:after="0" w:line="240" w:lineRule="auto"/>
              <w:ind w:firstLineChars="100" w:firstLine="160"/>
              <w:rPr>
                <w:rFonts w:eastAsia="Times New Roman" w:cs="Calibri"/>
                <w:sz w:val="16"/>
                <w:szCs w:val="16"/>
                <w:lang w:eastAsia="pl-PL"/>
              </w:rPr>
            </w:pPr>
            <w:r>
              <w:rPr>
                <w:rFonts w:eastAsia="Times New Roman" w:cs="Calibri"/>
                <w:sz w:val="16"/>
                <w:szCs w:val="16"/>
                <w:lang w:eastAsia="pl-PL"/>
              </w:rPr>
              <w:t xml:space="preserve">per </w:t>
            </w:r>
            <w:proofErr w:type="spellStart"/>
            <w:r>
              <w:rPr>
                <w:rFonts w:eastAsia="Times New Roman" w:cs="Calibri"/>
                <w:sz w:val="16"/>
                <w:szCs w:val="16"/>
                <w:lang w:eastAsia="pl-PL"/>
              </w:rPr>
              <w:t>room</w:t>
            </w:r>
            <w:proofErr w:type="spellEnd"/>
          </w:p>
        </w:tc>
        <w:tc>
          <w:tcPr>
            <w:tcW w:w="916"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0</w:t>
            </w:r>
            <w:r w:rsidR="007C5D10">
              <w:rPr>
                <w:rFonts w:eastAsia="Times New Roman" w:cs="Calibri"/>
                <w:sz w:val="16"/>
                <w:szCs w:val="16"/>
                <w:lang w:eastAsia="pl-PL"/>
              </w:rPr>
              <w:t>.</w:t>
            </w:r>
            <w:r w:rsidRPr="00DA6AC5">
              <w:rPr>
                <w:rFonts w:eastAsia="Times New Roman" w:cs="Calibri"/>
                <w:sz w:val="16"/>
                <w:szCs w:val="16"/>
                <w:lang w:eastAsia="pl-PL"/>
              </w:rPr>
              <w:t>69</w:t>
            </w:r>
          </w:p>
        </w:tc>
        <w:tc>
          <w:tcPr>
            <w:tcW w:w="833"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0</w:t>
            </w:r>
            <w:r w:rsidR="007C5D10">
              <w:rPr>
                <w:rFonts w:eastAsia="Times New Roman" w:cs="Calibri"/>
                <w:sz w:val="16"/>
                <w:szCs w:val="16"/>
                <w:lang w:eastAsia="pl-PL"/>
              </w:rPr>
              <w:t>.</w:t>
            </w:r>
            <w:r w:rsidRPr="00DA6AC5">
              <w:rPr>
                <w:rFonts w:eastAsia="Times New Roman" w:cs="Calibri"/>
                <w:sz w:val="16"/>
                <w:szCs w:val="16"/>
                <w:lang w:eastAsia="pl-PL"/>
              </w:rPr>
              <w:t>66</w:t>
            </w:r>
          </w:p>
        </w:tc>
        <w:tc>
          <w:tcPr>
            <w:tcW w:w="850" w:type="dxa"/>
            <w:tcBorders>
              <w:top w:val="nil"/>
              <w:left w:val="single" w:sz="4" w:space="0" w:color="001D77"/>
              <w:bottom w:val="nil"/>
              <w:right w:val="single" w:sz="4" w:space="0" w:color="001D77"/>
            </w:tcBorders>
            <w:shd w:val="clear" w:color="auto" w:fill="auto"/>
            <w:noWrap/>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0</w:t>
            </w:r>
            <w:r w:rsidR="007C5D10">
              <w:rPr>
                <w:rFonts w:eastAsia="Times New Roman" w:cs="Calibri"/>
                <w:sz w:val="16"/>
                <w:szCs w:val="16"/>
                <w:lang w:eastAsia="pl-PL"/>
              </w:rPr>
              <w:t>.</w:t>
            </w:r>
            <w:r w:rsidRPr="00DA6AC5">
              <w:rPr>
                <w:rFonts w:eastAsia="Times New Roman" w:cs="Calibri"/>
                <w:sz w:val="16"/>
                <w:szCs w:val="16"/>
                <w:lang w:eastAsia="pl-PL"/>
              </w:rPr>
              <w:t>74</w:t>
            </w:r>
          </w:p>
        </w:tc>
        <w:tc>
          <w:tcPr>
            <w:tcW w:w="881" w:type="dxa"/>
            <w:tcBorders>
              <w:top w:val="nil"/>
              <w:left w:val="single" w:sz="4" w:space="0" w:color="001D77"/>
              <w:bottom w:val="nil"/>
              <w:right w:val="single" w:sz="4" w:space="0" w:color="001D77"/>
            </w:tcBorders>
            <w:vAlign w:val="bottom"/>
          </w:tcPr>
          <w:p w:rsidR="00FD7CFC" w:rsidRPr="00DA6AC5" w:rsidRDefault="00FD7CFC" w:rsidP="00FD7CFC">
            <w:pPr>
              <w:spacing w:after="0" w:line="240" w:lineRule="auto"/>
              <w:jc w:val="right"/>
              <w:rPr>
                <w:rFonts w:eastAsia="Times New Roman" w:cs="Calibri"/>
                <w:sz w:val="16"/>
                <w:szCs w:val="16"/>
                <w:lang w:eastAsia="pl-PL"/>
              </w:rPr>
            </w:pPr>
            <w:r w:rsidRPr="00DA6AC5">
              <w:rPr>
                <w:rFonts w:eastAsia="Times New Roman" w:cs="Calibri"/>
                <w:sz w:val="16"/>
                <w:szCs w:val="16"/>
                <w:lang w:eastAsia="pl-PL"/>
              </w:rPr>
              <w:t>0</w:t>
            </w:r>
            <w:r w:rsidR="007C5D10">
              <w:rPr>
                <w:rFonts w:eastAsia="Times New Roman" w:cs="Calibri"/>
                <w:sz w:val="16"/>
                <w:szCs w:val="16"/>
                <w:lang w:eastAsia="pl-PL"/>
              </w:rPr>
              <w:t>.</w:t>
            </w:r>
            <w:r w:rsidRPr="00DA6AC5">
              <w:rPr>
                <w:rFonts w:eastAsia="Times New Roman" w:cs="Calibri"/>
                <w:sz w:val="16"/>
                <w:szCs w:val="16"/>
                <w:lang w:eastAsia="pl-PL"/>
              </w:rPr>
              <w:t>68</w:t>
            </w:r>
          </w:p>
        </w:tc>
        <w:tc>
          <w:tcPr>
            <w:tcW w:w="654" w:type="dxa"/>
            <w:tcBorders>
              <w:top w:val="nil"/>
              <w:left w:val="single" w:sz="4" w:space="0" w:color="001D77"/>
              <w:bottom w:val="nil"/>
              <w:right w:val="single" w:sz="4" w:space="0" w:color="001D77"/>
            </w:tcBorders>
            <w:vAlign w:val="bottom"/>
          </w:tcPr>
          <w:p w:rsidR="00FD7CFC" w:rsidRDefault="00FD7CFC" w:rsidP="00FD7CFC">
            <w:pPr>
              <w:spacing w:after="0" w:line="240" w:lineRule="auto"/>
              <w:jc w:val="right"/>
              <w:rPr>
                <w:rFonts w:eastAsia="Times New Roman" w:cs="Calibri"/>
                <w:sz w:val="16"/>
                <w:szCs w:val="16"/>
                <w:lang w:eastAsia="pl-PL"/>
              </w:rPr>
            </w:pPr>
            <w:r w:rsidRPr="00781CE2">
              <w:rPr>
                <w:rFonts w:eastAsia="Times New Roman" w:cs="Calibri"/>
                <w:sz w:val="16"/>
                <w:szCs w:val="16"/>
                <w:lang w:eastAsia="pl-PL"/>
              </w:rPr>
              <w:t>98</w:t>
            </w:r>
            <w:r w:rsidR="007C5D10">
              <w:rPr>
                <w:rFonts w:eastAsia="Times New Roman" w:cs="Calibri"/>
                <w:sz w:val="16"/>
                <w:szCs w:val="16"/>
                <w:lang w:eastAsia="pl-PL"/>
              </w:rPr>
              <w:t>.</w:t>
            </w:r>
            <w:r w:rsidRPr="00781CE2">
              <w:rPr>
                <w:rFonts w:eastAsia="Times New Roman" w:cs="Calibri"/>
                <w:sz w:val="16"/>
                <w:szCs w:val="16"/>
                <w:lang w:eastAsia="pl-PL"/>
              </w:rPr>
              <w:t>6</w:t>
            </w:r>
          </w:p>
        </w:tc>
        <w:tc>
          <w:tcPr>
            <w:tcW w:w="850" w:type="dxa"/>
            <w:tcBorders>
              <w:top w:val="nil"/>
              <w:left w:val="single" w:sz="4" w:space="0" w:color="001D77"/>
              <w:bottom w:val="nil"/>
              <w:right w:val="single" w:sz="4" w:space="0" w:color="001D77"/>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7C5D10">
              <w:rPr>
                <w:rFonts w:eastAsia="Times New Roman" w:cs="Calibri"/>
                <w:sz w:val="16"/>
                <w:szCs w:val="16"/>
                <w:lang w:eastAsia="pl-PL"/>
              </w:rPr>
              <w:t>.</w:t>
            </w:r>
            <w:r>
              <w:rPr>
                <w:rFonts w:eastAsia="Times New Roman" w:cs="Calibri"/>
                <w:sz w:val="16"/>
                <w:szCs w:val="16"/>
                <w:lang w:eastAsia="pl-PL"/>
              </w:rPr>
              <w:t>65</w:t>
            </w:r>
          </w:p>
        </w:tc>
        <w:tc>
          <w:tcPr>
            <w:tcW w:w="855" w:type="dxa"/>
            <w:tcBorders>
              <w:top w:val="nil"/>
              <w:left w:val="single" w:sz="4" w:space="0" w:color="001D77"/>
              <w:bottom w:val="nil"/>
            </w:tcBorders>
            <w:shd w:val="clear" w:color="auto" w:fill="auto"/>
            <w:noWrap/>
            <w:vAlign w:val="bottom"/>
          </w:tcPr>
          <w:p w:rsidR="00FD7CFC" w:rsidRPr="00781CE2" w:rsidRDefault="00FD7CFC" w:rsidP="00FD7CFC">
            <w:pPr>
              <w:spacing w:after="0" w:line="240" w:lineRule="auto"/>
              <w:jc w:val="right"/>
              <w:rPr>
                <w:rFonts w:eastAsia="Times New Roman" w:cs="Calibri"/>
                <w:sz w:val="16"/>
                <w:szCs w:val="16"/>
                <w:lang w:eastAsia="pl-PL"/>
              </w:rPr>
            </w:pPr>
            <w:r>
              <w:rPr>
                <w:rFonts w:eastAsia="Times New Roman" w:cs="Calibri"/>
                <w:sz w:val="16"/>
                <w:szCs w:val="16"/>
                <w:lang w:eastAsia="pl-PL"/>
              </w:rPr>
              <w:t>0</w:t>
            </w:r>
            <w:r w:rsidR="007C5D10">
              <w:rPr>
                <w:rFonts w:eastAsia="Times New Roman" w:cs="Calibri"/>
                <w:sz w:val="16"/>
                <w:szCs w:val="16"/>
                <w:lang w:eastAsia="pl-PL"/>
              </w:rPr>
              <w:t>.</w:t>
            </w:r>
            <w:r>
              <w:rPr>
                <w:rFonts w:eastAsia="Times New Roman" w:cs="Calibri"/>
                <w:sz w:val="16"/>
                <w:szCs w:val="16"/>
                <w:lang w:eastAsia="pl-PL"/>
              </w:rPr>
              <w:t>73</w:t>
            </w:r>
          </w:p>
        </w:tc>
      </w:tr>
    </w:tbl>
    <w:p w:rsidR="00581B78" w:rsidRDefault="007C5D10" w:rsidP="00581B78">
      <w:pPr>
        <w:spacing w:after="0"/>
        <w:rPr>
          <w:shd w:val="clear" w:color="auto" w:fill="FFFFFF"/>
          <w:lang w:val="en-GB"/>
        </w:rPr>
      </w:pPr>
      <w:r w:rsidRPr="0097136B">
        <w:rPr>
          <w:noProof/>
          <w:color w:val="FF0000"/>
          <w:spacing w:val="-2"/>
          <w:szCs w:val="19"/>
          <w:lang w:val="en-GB" w:eastAsia="en-GB"/>
        </w:rPr>
        <mc:AlternateContent>
          <mc:Choice Requires="wps">
            <w:drawing>
              <wp:anchor distT="45720" distB="45720" distL="114300" distR="114300" simplePos="0" relativeHeight="251782144" behindDoc="1" locked="0" layoutInCell="1" allowOverlap="1" wp14:anchorId="398CE208" wp14:editId="6CC80EEA">
                <wp:simplePos x="0" y="0"/>
                <wp:positionH relativeFrom="rightMargin">
                  <wp:posOffset>-1905</wp:posOffset>
                </wp:positionH>
                <wp:positionV relativeFrom="paragraph">
                  <wp:posOffset>154144</wp:posOffset>
                </wp:positionV>
                <wp:extent cx="1666875" cy="689610"/>
                <wp:effectExtent l="0" t="0" r="0" b="0"/>
                <wp:wrapTight wrapText="bothSides">
                  <wp:wrapPolygon edited="0">
                    <wp:start x="741" y="0"/>
                    <wp:lineTo x="741" y="20884"/>
                    <wp:lineTo x="20736" y="20884"/>
                    <wp:lineTo x="20736" y="0"/>
                    <wp:lineTo x="74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689610"/>
                        </a:xfrm>
                        <a:prstGeom prst="rect">
                          <a:avLst/>
                        </a:prstGeom>
                        <a:noFill/>
                        <a:ln w="9525">
                          <a:noFill/>
                          <a:miter lim="800000"/>
                          <a:headEnd/>
                          <a:tailEnd/>
                        </a:ln>
                      </wps:spPr>
                      <wps:txb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CE208" id="_x0000_s1029" type="#_x0000_t202" style="position:absolute;margin-left:-.15pt;margin-top:12.15pt;width:131.25pt;height:54.3pt;z-index:-2515343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" filled="f" stroked="f">
                <v:textbo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conditions are slightly improving</w:t>
                      </w:r>
                    </w:p>
                  </w:txbxContent>
                </v:textbox>
                <w10:wrap type="tight" anchorx="margin"/>
              </v:shape>
            </w:pict>
          </mc:Fallback>
        </mc:AlternateContent>
      </w:r>
    </w:p>
    <w:p w:rsidR="00581B78" w:rsidRPr="00281994" w:rsidRDefault="00581B78" w:rsidP="00581B78">
      <w:pPr>
        <w:spacing w:after="0"/>
        <w:rPr>
          <w:shd w:val="clear" w:color="auto" w:fill="FFFFFF"/>
          <w:lang w:val="en-GB"/>
        </w:rPr>
      </w:pPr>
      <w:r w:rsidRPr="00281994">
        <w:rPr>
          <w:shd w:val="clear" w:color="auto" w:fill="FFFFFF"/>
          <w:lang w:val="en-GB"/>
        </w:rPr>
        <w:t>In 201</w:t>
      </w:r>
      <w:r w:rsidR="00314CA0">
        <w:rPr>
          <w:shd w:val="clear" w:color="auto" w:fill="FFFFFF"/>
          <w:lang w:val="en-GB"/>
        </w:rPr>
        <w:t>9,</w:t>
      </w:r>
      <w:r w:rsidRPr="00281994">
        <w:rPr>
          <w:shd w:val="clear" w:color="auto" w:fill="FFFFFF"/>
          <w:lang w:val="en-GB"/>
        </w:rPr>
        <w:t xml:space="preserve"> housing conditions in Poland slightly improved compared to the previous years. As of 31 December 201</w:t>
      </w:r>
      <w:r w:rsidR="00314CA0">
        <w:rPr>
          <w:shd w:val="clear" w:color="auto" w:fill="FFFFFF"/>
          <w:lang w:val="en-GB"/>
        </w:rPr>
        <w:t>9</w:t>
      </w:r>
      <w:r w:rsidRPr="00281994">
        <w:rPr>
          <w:shd w:val="clear" w:color="auto" w:fill="FFFFFF"/>
          <w:lang w:val="en-GB"/>
        </w:rPr>
        <w:t xml:space="preserve"> the average number of rooms per 1 dwelling amounted to 3.82</w:t>
      </w:r>
      <w:r w:rsidR="007C5D10">
        <w:rPr>
          <w:shd w:val="clear" w:color="auto" w:fill="FFFFFF"/>
          <w:lang w:val="en-GB"/>
        </w:rPr>
        <w:t>,</w:t>
      </w:r>
      <w:r w:rsidRPr="00281994">
        <w:rPr>
          <w:shd w:val="clear" w:color="auto" w:fill="FFFFFF"/>
          <w:lang w:val="en-GB"/>
        </w:rPr>
        <w:t xml:space="preserve"> </w:t>
      </w:r>
      <w:r>
        <w:rPr>
          <w:shd w:val="clear" w:color="auto" w:fill="FFFFFF"/>
          <w:lang w:val="en-GB"/>
        </w:rPr>
        <w:t>while</w:t>
      </w:r>
      <w:r w:rsidRPr="00281994">
        <w:rPr>
          <w:shd w:val="clear" w:color="auto" w:fill="FFFFFF"/>
          <w:lang w:val="en-GB"/>
        </w:rPr>
        <w:t xml:space="preserve"> in urban areas </w:t>
      </w:r>
      <w:r>
        <w:rPr>
          <w:shd w:val="clear" w:color="auto" w:fill="FFFFFF"/>
          <w:lang w:val="en-GB"/>
        </w:rPr>
        <w:t xml:space="preserve">to </w:t>
      </w:r>
      <w:r w:rsidRPr="00281994">
        <w:rPr>
          <w:shd w:val="clear" w:color="auto" w:fill="FFFFFF"/>
          <w:lang w:val="en-GB"/>
        </w:rPr>
        <w:t>3.56</w:t>
      </w:r>
      <w:r w:rsidR="00314CA0">
        <w:rPr>
          <w:shd w:val="clear" w:color="auto" w:fill="FFFFFF"/>
          <w:lang w:val="en-GB"/>
        </w:rPr>
        <w:t>,</w:t>
      </w:r>
      <w:r w:rsidRPr="00281994">
        <w:rPr>
          <w:shd w:val="clear" w:color="auto" w:fill="FFFFFF"/>
          <w:lang w:val="en-GB"/>
        </w:rPr>
        <w:t xml:space="preserve"> and in rural areas </w:t>
      </w:r>
      <w:r>
        <w:rPr>
          <w:shd w:val="clear" w:color="auto" w:fill="FFFFFF"/>
          <w:lang w:val="en-GB"/>
        </w:rPr>
        <w:t xml:space="preserve">to </w:t>
      </w:r>
      <w:r w:rsidRPr="00281994">
        <w:rPr>
          <w:shd w:val="clear" w:color="auto" w:fill="FFFFFF"/>
          <w:lang w:val="en-GB"/>
        </w:rPr>
        <w:t>4.3</w:t>
      </w:r>
      <w:r w:rsidR="00314CA0">
        <w:rPr>
          <w:shd w:val="clear" w:color="auto" w:fill="FFFFFF"/>
          <w:lang w:val="en-GB"/>
        </w:rPr>
        <w:t>7</w:t>
      </w:r>
      <w:r w:rsidRPr="00281994">
        <w:rPr>
          <w:shd w:val="clear" w:color="auto" w:fill="FFFFFF"/>
          <w:lang w:val="en-GB"/>
        </w:rPr>
        <w:t>. However</w:t>
      </w:r>
      <w:r w:rsidR="00314CA0">
        <w:rPr>
          <w:shd w:val="clear" w:color="auto" w:fill="FFFFFF"/>
          <w:lang w:val="en-GB"/>
        </w:rPr>
        <w:t>,</w:t>
      </w:r>
      <w:r w:rsidRPr="00281994">
        <w:rPr>
          <w:shd w:val="clear" w:color="auto" w:fill="FFFFFF"/>
          <w:lang w:val="en-GB"/>
        </w:rPr>
        <w:t xml:space="preserve"> the average dwelling size amounted </w:t>
      </w:r>
      <w:r w:rsidRPr="00281994">
        <w:rPr>
          <w:shd w:val="clear" w:color="auto" w:fill="FFFFFF"/>
          <w:lang w:val="en-GB"/>
        </w:rPr>
        <w:lastRenderedPageBreak/>
        <w:t>to 74.</w:t>
      </w:r>
      <w:r w:rsidR="00314CA0">
        <w:rPr>
          <w:shd w:val="clear" w:color="auto" w:fill="FFFFFF"/>
          <w:lang w:val="en-GB"/>
        </w:rPr>
        <w:t>4</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and increased by 0.2 m</w:t>
      </w:r>
      <w:r w:rsidRPr="00281994">
        <w:rPr>
          <w:shd w:val="clear" w:color="auto" w:fill="FFFFFF"/>
          <w:vertAlign w:val="superscript"/>
          <w:lang w:val="en-GB"/>
        </w:rPr>
        <w:t>2</w:t>
      </w:r>
      <w:r w:rsidRPr="00281994">
        <w:rPr>
          <w:shd w:val="clear" w:color="auto" w:fill="FFFFFF"/>
          <w:lang w:val="en-GB"/>
        </w:rPr>
        <w:t xml:space="preserve"> compared to the previous year. In rural areas</w:t>
      </w:r>
      <w:r w:rsidR="00314CA0">
        <w:rPr>
          <w:shd w:val="clear" w:color="auto" w:fill="FFFFFF"/>
          <w:lang w:val="en-GB"/>
        </w:rPr>
        <w:t>,</w:t>
      </w:r>
      <w:r w:rsidRPr="00281994">
        <w:rPr>
          <w:shd w:val="clear" w:color="auto" w:fill="FFFFFF"/>
          <w:lang w:val="en-GB"/>
        </w:rPr>
        <w:t xml:space="preserve"> dwelling</w:t>
      </w:r>
      <w:r>
        <w:rPr>
          <w:shd w:val="clear" w:color="auto" w:fill="FFFFFF"/>
          <w:lang w:val="en-GB"/>
        </w:rPr>
        <w:t>s</w:t>
      </w:r>
      <w:r w:rsidRPr="00281994">
        <w:rPr>
          <w:shd w:val="clear" w:color="auto" w:fill="FFFFFF"/>
          <w:lang w:val="en-GB"/>
        </w:rPr>
        <w:t xml:space="preserve"> were</w:t>
      </w:r>
      <w:r w:rsidR="00314CA0">
        <w:rPr>
          <w:shd w:val="clear" w:color="auto" w:fill="FFFFFF"/>
          <w:lang w:val="en-GB"/>
        </w:rPr>
        <w:t>,</w:t>
      </w:r>
      <w:r w:rsidRPr="00281994">
        <w:rPr>
          <w:shd w:val="clear" w:color="auto" w:fill="FFFFFF"/>
          <w:lang w:val="en-GB"/>
        </w:rPr>
        <w:t xml:space="preserve"> on average</w:t>
      </w:r>
      <w:r w:rsidR="00314CA0">
        <w:rPr>
          <w:shd w:val="clear" w:color="auto" w:fill="FFFFFF"/>
          <w:lang w:val="en-GB"/>
        </w:rPr>
        <w:t>,</w:t>
      </w:r>
      <w:r w:rsidRPr="00281994">
        <w:rPr>
          <w:shd w:val="clear" w:color="auto" w:fill="FFFFFF"/>
          <w:lang w:val="en-GB"/>
        </w:rPr>
        <w:t xml:space="preserve"> by 29.</w:t>
      </w:r>
      <w:r w:rsidR="00314CA0">
        <w:rPr>
          <w:shd w:val="clear" w:color="auto" w:fill="FFFFFF"/>
          <w:lang w:val="en-GB"/>
        </w:rPr>
        <w:t>7</w:t>
      </w:r>
      <w:r w:rsidRPr="00281994">
        <w:rPr>
          <w:shd w:val="clear" w:color="auto" w:fill="FFFFFF"/>
          <w:lang w:val="en-GB"/>
        </w:rPr>
        <w:t xml:space="preserve"> m</w:t>
      </w:r>
      <w:r w:rsidRPr="00281994">
        <w:rPr>
          <w:shd w:val="clear" w:color="auto" w:fill="FFFFFF"/>
          <w:vertAlign w:val="superscript"/>
          <w:lang w:val="en-GB"/>
        </w:rPr>
        <w:t>2</w:t>
      </w:r>
      <w:r w:rsidRPr="00281994">
        <w:rPr>
          <w:shd w:val="clear" w:color="auto" w:fill="FFFFFF"/>
          <w:lang w:val="en-GB"/>
        </w:rPr>
        <w:t xml:space="preserve"> larger than in urban areas (relevant indicators were 94.</w:t>
      </w:r>
      <w:r w:rsidR="00314CA0">
        <w:rPr>
          <w:shd w:val="clear" w:color="auto" w:fill="FFFFFF"/>
          <w:lang w:val="en-GB"/>
        </w:rPr>
        <w:t>4</w:t>
      </w:r>
      <w:r w:rsidRPr="00281994">
        <w:rPr>
          <w:shd w:val="clear" w:color="auto" w:fill="FFFFFF"/>
          <w:lang w:val="en-GB"/>
        </w:rPr>
        <w:t> m</w:t>
      </w:r>
      <w:r w:rsidRPr="00281994">
        <w:rPr>
          <w:shd w:val="clear" w:color="auto" w:fill="FFFFFF"/>
          <w:vertAlign w:val="superscript"/>
          <w:lang w:val="en-GB"/>
        </w:rPr>
        <w:t>2</w:t>
      </w:r>
      <w:r w:rsidRPr="00281994">
        <w:rPr>
          <w:shd w:val="clear" w:color="auto" w:fill="FFFFFF"/>
          <w:lang w:val="en-GB"/>
        </w:rPr>
        <w:t xml:space="preserve"> for rural areas</w:t>
      </w:r>
      <w:r w:rsidR="00314CA0">
        <w:rPr>
          <w:shd w:val="clear" w:color="auto" w:fill="FFFFFF"/>
          <w:lang w:val="en-GB"/>
        </w:rPr>
        <w:t>,</w:t>
      </w:r>
      <w:r w:rsidRPr="00281994">
        <w:rPr>
          <w:shd w:val="clear" w:color="auto" w:fill="FFFFFF"/>
          <w:lang w:val="en-GB"/>
        </w:rPr>
        <w:t xml:space="preserve"> and 64.7 m</w:t>
      </w:r>
      <w:r w:rsidRPr="00281994">
        <w:rPr>
          <w:shd w:val="clear" w:color="auto" w:fill="FFFFFF"/>
          <w:vertAlign w:val="superscript"/>
          <w:lang w:val="en-GB"/>
        </w:rPr>
        <w:t>2</w:t>
      </w:r>
      <w:r w:rsidRPr="00281994">
        <w:rPr>
          <w:shd w:val="clear" w:color="auto" w:fill="FFFFFF"/>
          <w:lang w:val="en-GB"/>
        </w:rPr>
        <w:t xml:space="preserve"> for urban areas).</w:t>
      </w:r>
    </w:p>
    <w:p w:rsidR="00581B78" w:rsidRPr="00281994" w:rsidRDefault="007C5D10" w:rsidP="00581B78">
      <w:pPr>
        <w:pStyle w:val="Nagwek1"/>
        <w:rPr>
          <w:rFonts w:ascii="Fira Sans" w:eastAsiaTheme="minorHAnsi" w:hAnsi="Fira Sans" w:cstheme="minorBidi"/>
          <w:bCs w:val="0"/>
          <w:color w:val="auto"/>
          <w:szCs w:val="22"/>
          <w:shd w:val="clear" w:color="auto" w:fill="FFFFFF"/>
          <w:lang w:val="en-GB" w:eastAsia="en-US"/>
        </w:rPr>
      </w:pPr>
      <w:r w:rsidRPr="0097136B">
        <w:rPr>
          <w:noProof/>
          <w:lang w:val="en-GB" w:eastAsia="en-GB"/>
        </w:rPr>
        <mc:AlternateContent>
          <mc:Choice Requires="wps">
            <w:drawing>
              <wp:anchor distT="45720" distB="45720" distL="114300" distR="114300" simplePos="0" relativeHeight="251784192" behindDoc="1" locked="0" layoutInCell="1" allowOverlap="1" wp14:anchorId="51F1282F" wp14:editId="2B9F729C">
                <wp:simplePos x="0" y="0"/>
                <wp:positionH relativeFrom="rightMargin">
                  <wp:posOffset>635</wp:posOffset>
                </wp:positionH>
                <wp:positionV relativeFrom="paragraph">
                  <wp:posOffset>1252059</wp:posOffset>
                </wp:positionV>
                <wp:extent cx="1666875" cy="791210"/>
                <wp:effectExtent l="0" t="0" r="0" b="0"/>
                <wp:wrapTight wrapText="bothSides">
                  <wp:wrapPolygon edited="0">
                    <wp:start x="741" y="0"/>
                    <wp:lineTo x="741" y="20803"/>
                    <wp:lineTo x="20736" y="20803"/>
                    <wp:lineTo x="20736" y="0"/>
                    <wp:lineTo x="741"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1210"/>
                        </a:xfrm>
                        <a:prstGeom prst="rect">
                          <a:avLst/>
                        </a:prstGeom>
                        <a:noFill/>
                        <a:ln w="9525">
                          <a:noFill/>
                          <a:miter lim="800000"/>
                          <a:headEnd/>
                          <a:tailEnd/>
                        </a:ln>
                      </wps:spPr>
                      <wps:txb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Poland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1282F" id="_x0000_s1030" type="#_x0000_t202" style="position:absolute;margin-left:.05pt;margin-top:98.6pt;width:131.25pt;height:62.3pt;z-index:-251532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" filled="f" stroked="f">
                <v:textbox>
                  <w:txbxContent>
                    <w:p w:rsidR="00C0111D" w:rsidRPr="00281994" w:rsidRDefault="00C0111D" w:rsidP="00581B78">
                      <w:pPr>
                        <w:pStyle w:val="tekstzboku"/>
                        <w:rPr>
                          <w:lang w:val="en-GB"/>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installations increased in 201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9</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in Poland</w:t>
                      </w:r>
                    </w:p>
                  </w:txbxContent>
                </v:textbox>
                <w10:wrap type="tight" anchorx="margin"/>
              </v:shape>
            </w:pict>
          </mc:Fallback>
        </mc:AlternateContent>
      </w:r>
      <w:r w:rsidR="00581B78" w:rsidRPr="00281994">
        <w:rPr>
          <w:rFonts w:ascii="Fira Sans" w:eastAsiaTheme="minorHAnsi" w:hAnsi="Fira Sans" w:cstheme="minorBidi"/>
          <w:bCs w:val="0"/>
          <w:color w:val="auto"/>
          <w:szCs w:val="22"/>
          <w:shd w:val="clear" w:color="auto" w:fill="FFFFFF"/>
          <w:lang w:val="en-GB" w:eastAsia="en-US"/>
        </w:rPr>
        <w:t xml:space="preserve">In </w:t>
      </w:r>
      <w:r w:rsidRPr="00281994">
        <w:rPr>
          <w:rFonts w:ascii="Fira Sans" w:eastAsiaTheme="minorHAnsi" w:hAnsi="Fira Sans" w:cstheme="minorBidi"/>
          <w:bCs w:val="0"/>
          <w:color w:val="auto"/>
          <w:szCs w:val="22"/>
          <w:shd w:val="clear" w:color="auto" w:fill="FFFFFF"/>
          <w:lang w:val="en-GB" w:eastAsia="en-US"/>
        </w:rPr>
        <w:t>201</w:t>
      </w:r>
      <w:r>
        <w:rPr>
          <w:rFonts w:ascii="Fira Sans" w:eastAsiaTheme="minorHAnsi" w:hAnsi="Fira Sans" w:cstheme="minorBidi"/>
          <w:bCs w:val="0"/>
          <w:color w:val="auto"/>
          <w:szCs w:val="22"/>
          <w:shd w:val="clear" w:color="auto" w:fill="FFFFFF"/>
          <w:lang w:val="en-GB" w:eastAsia="en-US"/>
        </w:rPr>
        <w:t>9</w:t>
      </w:r>
      <w:r w:rsidR="00314CA0">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compared to the previous year</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the average useful floor area per 1 person increased by 0.</w:t>
      </w:r>
      <w:r w:rsidR="00AD3BD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and amounted to 28.</w:t>
      </w:r>
      <w:r w:rsidR="00AD3BD2">
        <w:rPr>
          <w:rFonts w:ascii="Fira Sans" w:eastAsiaTheme="minorHAnsi" w:hAnsi="Fira Sans" w:cstheme="minorBidi"/>
          <w:bCs w:val="0"/>
          <w:color w:val="auto"/>
          <w:szCs w:val="22"/>
          <w:shd w:val="clear" w:color="auto" w:fill="FFFFFF"/>
          <w:lang w:val="en-GB" w:eastAsia="en-US"/>
        </w:rPr>
        <w:t>7</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(in urban areas it increased from 27.</w:t>
      </w:r>
      <w:r w:rsidR="00AD3BD2">
        <w:rPr>
          <w:rFonts w:ascii="Fira Sans" w:eastAsiaTheme="minorHAnsi" w:hAnsi="Fira Sans" w:cstheme="minorBidi"/>
          <w:bCs w:val="0"/>
          <w:color w:val="auto"/>
          <w:szCs w:val="22"/>
          <w:shd w:val="clear" w:color="auto" w:fill="FFFFFF"/>
          <w:lang w:val="en-GB" w:eastAsia="en-US"/>
        </w:rPr>
        <w:t>7</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to 2</w:t>
      </w:r>
      <w:r w:rsidR="00AD3BD2">
        <w:rPr>
          <w:rFonts w:ascii="Fira Sans" w:eastAsiaTheme="minorHAnsi" w:hAnsi="Fira Sans" w:cstheme="minorBidi"/>
          <w:bCs w:val="0"/>
          <w:color w:val="auto"/>
          <w:szCs w:val="22"/>
          <w:shd w:val="clear" w:color="auto" w:fill="FFFFFF"/>
          <w:lang w:val="en-GB" w:eastAsia="en-US"/>
        </w:rPr>
        <w:t>8.1</w:t>
      </w:r>
      <w:r w:rsidR="00581B78" w:rsidRPr="00281994">
        <w:rPr>
          <w:rFonts w:ascii="Fira Sans" w:eastAsiaTheme="minorHAnsi" w:hAnsi="Fira Sans" w:cstheme="minorBidi"/>
          <w:bCs w:val="0"/>
          <w:color w:val="auto"/>
          <w:szCs w:val="22"/>
          <w:shd w:val="clear" w:color="auto" w:fill="FFFFFF"/>
          <w:lang w:val="en-GB" w:eastAsia="en-US"/>
        </w:rPr>
        <w:t>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and in rural areas from 2</w:t>
      </w:r>
      <w:r w:rsidR="00AD3BD2">
        <w:rPr>
          <w:rFonts w:ascii="Fira Sans" w:eastAsiaTheme="minorHAnsi" w:hAnsi="Fira Sans" w:cstheme="minorBidi"/>
          <w:bCs w:val="0"/>
          <w:color w:val="auto"/>
          <w:szCs w:val="22"/>
          <w:shd w:val="clear" w:color="auto" w:fill="FFFFFF"/>
          <w:lang w:val="en-GB" w:eastAsia="en-US"/>
        </w:rPr>
        <w:t>9.1</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xml:space="preserve"> to 29.</w:t>
      </w:r>
      <w:r w:rsidR="00AD3BD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m</w:t>
      </w:r>
      <w:r w:rsidR="00581B78" w:rsidRPr="00281994">
        <w:rPr>
          <w:rFonts w:ascii="Fira Sans" w:eastAsiaTheme="minorHAnsi" w:hAnsi="Fira Sans" w:cstheme="minorBidi"/>
          <w:bCs w:val="0"/>
          <w:color w:val="auto"/>
          <w:szCs w:val="22"/>
          <w:shd w:val="clear" w:color="auto" w:fill="FFFFFF"/>
          <w:vertAlign w:val="superscript"/>
          <w:lang w:val="en-GB" w:eastAsia="en-US"/>
        </w:rPr>
        <w:t>2</w:t>
      </w:r>
      <w:r w:rsidR="00581B78" w:rsidRPr="00281994">
        <w:rPr>
          <w:rFonts w:ascii="Fira Sans" w:eastAsiaTheme="minorHAnsi" w:hAnsi="Fira Sans" w:cstheme="minorBidi"/>
          <w:bCs w:val="0"/>
          <w:color w:val="auto"/>
          <w:szCs w:val="22"/>
          <w:shd w:val="clear" w:color="auto" w:fill="FFFFFF"/>
          <w:lang w:val="en-GB" w:eastAsia="en-US"/>
        </w:rPr>
        <w:t>). Disproportions between urban and rural areas also concerned the degree of population of dwellings. Rural dwellings had denser population than urban dwellings. On average</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there were 2.</w:t>
      </w:r>
      <w:r w:rsidR="00581B78" w:rsidRPr="00C330BC">
        <w:rPr>
          <w:rFonts w:ascii="Fira Sans" w:eastAsiaTheme="minorHAnsi" w:hAnsi="Fira Sans" w:cstheme="minorBidi"/>
          <w:bCs w:val="0"/>
          <w:color w:val="auto"/>
          <w:szCs w:val="22"/>
          <w:shd w:val="clear" w:color="auto" w:fill="FFFFFF"/>
          <w:lang w:val="en-GB" w:eastAsia="en-US"/>
        </w:rPr>
        <w:t>3</w:t>
      </w:r>
      <w:r w:rsidR="00AD3BD2" w:rsidRPr="00C330BC">
        <w:rPr>
          <w:rFonts w:ascii="Fira Sans" w:eastAsiaTheme="minorHAnsi" w:hAnsi="Fira Sans" w:cstheme="minorBidi"/>
          <w:bCs w:val="0"/>
          <w:color w:val="auto"/>
          <w:szCs w:val="22"/>
          <w:shd w:val="clear" w:color="auto" w:fill="FFFFFF"/>
          <w:lang w:val="en-GB" w:eastAsia="en-US"/>
        </w:rPr>
        <w:t>0</w:t>
      </w:r>
      <w:r w:rsidR="00581B78" w:rsidRPr="00C330BC">
        <w:rPr>
          <w:rFonts w:ascii="Fira Sans" w:eastAsiaTheme="minorHAnsi" w:hAnsi="Fira Sans" w:cstheme="minorBidi"/>
          <w:bCs w:val="0"/>
          <w:color w:val="auto"/>
          <w:szCs w:val="22"/>
          <w:shd w:val="clear" w:color="auto" w:fill="FFFFFF"/>
          <w:lang w:val="en-GB" w:eastAsia="en-US"/>
        </w:rPr>
        <w:t xml:space="preserve"> person</w:t>
      </w:r>
      <w:r w:rsidR="00AA7AD5" w:rsidRPr="00C330BC">
        <w:rPr>
          <w:rFonts w:ascii="Fira Sans" w:eastAsiaTheme="minorHAnsi" w:hAnsi="Fira Sans" w:cstheme="minorBidi"/>
          <w:bCs w:val="0"/>
          <w:color w:val="auto"/>
          <w:szCs w:val="22"/>
          <w:shd w:val="clear" w:color="auto" w:fill="FFFFFF"/>
          <w:lang w:val="en-GB" w:eastAsia="en-US"/>
        </w:rPr>
        <w:t>s</w:t>
      </w:r>
      <w:r w:rsidR="00581B78" w:rsidRPr="00281994">
        <w:rPr>
          <w:rFonts w:ascii="Fira Sans" w:eastAsiaTheme="minorHAnsi" w:hAnsi="Fira Sans" w:cstheme="minorBidi"/>
          <w:bCs w:val="0"/>
          <w:color w:val="auto"/>
          <w:szCs w:val="22"/>
          <w:shd w:val="clear" w:color="auto" w:fill="FFFFFF"/>
          <w:lang w:val="en-GB" w:eastAsia="en-US"/>
        </w:rPr>
        <w:t xml:space="preserve"> per 1 dwelling in urban areas</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w:t>
      </w:r>
      <w:r w:rsidR="00581B78">
        <w:rPr>
          <w:rFonts w:ascii="Fira Sans" w:eastAsiaTheme="minorHAnsi" w:hAnsi="Fira Sans" w:cstheme="minorBidi"/>
          <w:bCs w:val="0"/>
          <w:color w:val="auto"/>
          <w:szCs w:val="22"/>
          <w:shd w:val="clear" w:color="auto" w:fill="FFFFFF"/>
          <w:lang w:val="en-GB" w:eastAsia="en-US"/>
        </w:rPr>
        <w:t>whereas</w:t>
      </w:r>
      <w:r w:rsidR="00581B78" w:rsidRPr="00281994">
        <w:rPr>
          <w:rFonts w:ascii="Fira Sans" w:eastAsiaTheme="minorHAnsi" w:hAnsi="Fira Sans" w:cstheme="minorBidi"/>
          <w:bCs w:val="0"/>
          <w:color w:val="auto"/>
          <w:szCs w:val="22"/>
          <w:shd w:val="clear" w:color="auto" w:fill="FFFFFF"/>
          <w:lang w:val="en-GB" w:eastAsia="en-US"/>
        </w:rPr>
        <w:t xml:space="preserve"> in rural areas 3.2</w:t>
      </w:r>
      <w:r w:rsidR="00AD3BD2">
        <w:rPr>
          <w:rFonts w:ascii="Fira Sans" w:eastAsiaTheme="minorHAnsi" w:hAnsi="Fira Sans" w:cstheme="minorBidi"/>
          <w:bCs w:val="0"/>
          <w:color w:val="auto"/>
          <w:szCs w:val="22"/>
          <w:shd w:val="clear" w:color="auto" w:fill="FFFFFF"/>
          <w:lang w:val="en-GB" w:eastAsia="en-US"/>
        </w:rPr>
        <w:t>0</w:t>
      </w:r>
      <w:r>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while the average for Poland was 2.</w:t>
      </w:r>
      <w:r w:rsidR="00AD3BD2">
        <w:rPr>
          <w:rFonts w:ascii="Fira Sans" w:eastAsiaTheme="minorHAnsi" w:hAnsi="Fira Sans" w:cstheme="minorBidi"/>
          <w:bCs w:val="0"/>
          <w:color w:val="auto"/>
          <w:szCs w:val="22"/>
          <w:shd w:val="clear" w:color="auto" w:fill="FFFFFF"/>
          <w:lang w:val="en-GB" w:eastAsia="en-US"/>
        </w:rPr>
        <w:t>59</w:t>
      </w:r>
      <w:r w:rsidR="00581B78" w:rsidRPr="00281994">
        <w:rPr>
          <w:rFonts w:ascii="Fira Sans" w:eastAsiaTheme="minorHAnsi" w:hAnsi="Fira Sans" w:cstheme="minorBidi"/>
          <w:bCs w:val="0"/>
          <w:color w:val="auto"/>
          <w:szCs w:val="22"/>
          <w:shd w:val="clear" w:color="auto" w:fill="FFFFFF"/>
          <w:lang w:val="en-GB" w:eastAsia="en-US"/>
        </w:rPr>
        <w:t xml:space="preserve">. </w:t>
      </w:r>
      <w:r w:rsidR="003C3321">
        <w:rPr>
          <w:rFonts w:ascii="Fira Sans" w:eastAsiaTheme="minorHAnsi" w:hAnsi="Fira Sans" w:cstheme="minorBidi"/>
          <w:bCs w:val="0"/>
          <w:color w:val="auto"/>
          <w:szCs w:val="22"/>
          <w:shd w:val="clear" w:color="auto" w:fill="FFFFFF"/>
          <w:lang w:val="en-GB" w:eastAsia="en-US"/>
        </w:rPr>
        <w:t>At the same time</w:t>
      </w:r>
      <w:r w:rsidR="00581B78" w:rsidRPr="00281994">
        <w:rPr>
          <w:rFonts w:ascii="Fira Sans" w:eastAsiaTheme="minorHAnsi" w:hAnsi="Fira Sans" w:cstheme="minorBidi"/>
          <w:bCs w:val="0"/>
          <w:color w:val="auto"/>
          <w:szCs w:val="22"/>
          <w:shd w:val="clear" w:color="auto" w:fill="FFFFFF"/>
          <w:lang w:val="en-GB" w:eastAsia="en-US"/>
        </w:rPr>
        <w:t xml:space="preserve"> the average number of persons per 1 room</w:t>
      </w:r>
      <w:r w:rsidR="003C3321">
        <w:rPr>
          <w:rFonts w:ascii="Fira Sans" w:eastAsiaTheme="minorHAnsi" w:hAnsi="Fira Sans" w:cstheme="minorBidi"/>
          <w:bCs w:val="0"/>
          <w:color w:val="auto"/>
          <w:szCs w:val="22"/>
          <w:shd w:val="clear" w:color="auto" w:fill="FFFFFF"/>
          <w:lang w:val="en-GB" w:eastAsia="en-US"/>
        </w:rPr>
        <w:t xml:space="preserve"> in Poland amounted to 0</w:t>
      </w:r>
      <w:r>
        <w:rPr>
          <w:rFonts w:ascii="Fira Sans" w:eastAsiaTheme="minorHAnsi" w:hAnsi="Fira Sans" w:cstheme="minorBidi"/>
          <w:bCs w:val="0"/>
          <w:color w:val="auto"/>
          <w:szCs w:val="22"/>
          <w:shd w:val="clear" w:color="auto" w:fill="FFFFFF"/>
          <w:lang w:val="en-GB" w:eastAsia="en-US"/>
        </w:rPr>
        <w:t>.</w:t>
      </w:r>
      <w:r w:rsidR="003C3321">
        <w:rPr>
          <w:rFonts w:ascii="Fira Sans" w:eastAsiaTheme="minorHAnsi" w:hAnsi="Fira Sans" w:cstheme="minorBidi"/>
          <w:bCs w:val="0"/>
          <w:color w:val="auto"/>
          <w:szCs w:val="22"/>
          <w:shd w:val="clear" w:color="auto" w:fill="FFFFFF"/>
          <w:lang w:val="en-GB" w:eastAsia="en-US"/>
        </w:rPr>
        <w:t>68</w:t>
      </w:r>
      <w:r w:rsidR="00AD3BD2">
        <w:rPr>
          <w:rFonts w:ascii="Fira Sans" w:eastAsiaTheme="minorHAnsi" w:hAnsi="Fira Sans" w:cstheme="minorBidi"/>
          <w:bCs w:val="0"/>
          <w:color w:val="auto"/>
          <w:szCs w:val="22"/>
          <w:shd w:val="clear" w:color="auto" w:fill="FFFFFF"/>
          <w:lang w:val="en-GB" w:eastAsia="en-US"/>
        </w:rPr>
        <w:t>,</w:t>
      </w:r>
      <w:r w:rsidR="00581B78" w:rsidRPr="00281994">
        <w:rPr>
          <w:rFonts w:ascii="Fira Sans" w:eastAsiaTheme="minorHAnsi" w:hAnsi="Fira Sans" w:cstheme="minorBidi"/>
          <w:bCs w:val="0"/>
          <w:color w:val="auto"/>
          <w:szCs w:val="22"/>
          <w:shd w:val="clear" w:color="auto" w:fill="FFFFFF"/>
          <w:lang w:val="en-GB" w:eastAsia="en-US"/>
        </w:rPr>
        <w:t xml:space="preserve"> however in rural areas it was higher and amounted to 0.7</w:t>
      </w:r>
      <w:r w:rsidR="00AD3BD2">
        <w:rPr>
          <w:rFonts w:ascii="Fira Sans" w:eastAsiaTheme="minorHAnsi" w:hAnsi="Fira Sans" w:cstheme="minorBidi"/>
          <w:bCs w:val="0"/>
          <w:color w:val="auto"/>
          <w:szCs w:val="22"/>
          <w:shd w:val="clear" w:color="auto" w:fill="FFFFFF"/>
          <w:lang w:val="en-GB" w:eastAsia="en-US"/>
        </w:rPr>
        <w:t>3,</w:t>
      </w:r>
      <w:r w:rsidR="00581B78" w:rsidRPr="00281994">
        <w:rPr>
          <w:rFonts w:ascii="Fira Sans" w:eastAsiaTheme="minorHAnsi" w:hAnsi="Fira Sans" w:cstheme="minorBidi"/>
          <w:bCs w:val="0"/>
          <w:color w:val="auto"/>
          <w:szCs w:val="22"/>
          <w:shd w:val="clear" w:color="auto" w:fill="FFFFFF"/>
          <w:lang w:val="en-GB" w:eastAsia="en-US"/>
        </w:rPr>
        <w:t xml:space="preserve"> while in urban areas – 0.6</w:t>
      </w:r>
      <w:r w:rsidR="00AD3BD2">
        <w:rPr>
          <w:rFonts w:ascii="Fira Sans" w:eastAsiaTheme="minorHAnsi" w:hAnsi="Fira Sans" w:cstheme="minorBidi"/>
          <w:bCs w:val="0"/>
          <w:color w:val="auto"/>
          <w:szCs w:val="22"/>
          <w:shd w:val="clear" w:color="auto" w:fill="FFFFFF"/>
          <w:lang w:val="en-GB" w:eastAsia="en-US"/>
        </w:rPr>
        <w:t>5</w:t>
      </w:r>
      <w:r w:rsidR="00581B78" w:rsidRPr="00281994">
        <w:rPr>
          <w:rFonts w:ascii="Fira Sans" w:eastAsiaTheme="minorHAnsi" w:hAnsi="Fira Sans" w:cstheme="minorBidi"/>
          <w:bCs w:val="0"/>
          <w:color w:val="auto"/>
          <w:szCs w:val="22"/>
          <w:shd w:val="clear" w:color="auto" w:fill="FFFFFF"/>
          <w:lang w:val="en-GB" w:eastAsia="en-US"/>
        </w:rPr>
        <w:t xml:space="preserve"> person per 1 room.</w:t>
      </w:r>
    </w:p>
    <w:p w:rsidR="00581B78" w:rsidRPr="00281994" w:rsidRDefault="00581B78" w:rsidP="005B0B72">
      <w:pPr>
        <w:spacing w:before="0" w:after="0"/>
        <w:rPr>
          <w:shd w:val="clear" w:color="auto" w:fill="FFFFFF"/>
          <w:lang w:val="en-GB"/>
        </w:rPr>
      </w:pPr>
      <w:r w:rsidRPr="00281994">
        <w:rPr>
          <w:shd w:val="clear" w:color="auto" w:fill="FFFFFF"/>
          <w:lang w:val="en-GB"/>
        </w:rPr>
        <w:t>An increasing percentage of dwellings fitted with sanitary and technical installations indicated an improvement in housing conditions of population.</w:t>
      </w:r>
    </w:p>
    <w:p w:rsidR="00581B78" w:rsidRPr="00281994" w:rsidRDefault="00581B78" w:rsidP="005B0B72">
      <w:pPr>
        <w:spacing w:before="0" w:after="0"/>
        <w:rPr>
          <w:shd w:val="clear" w:color="auto" w:fill="FFFFFF"/>
          <w:lang w:val="en-GB"/>
        </w:rPr>
      </w:pPr>
      <w:r w:rsidRPr="00281994">
        <w:rPr>
          <w:shd w:val="clear" w:color="auto" w:fill="FFFFFF"/>
          <w:lang w:val="en-GB"/>
        </w:rPr>
        <w:t>Water supply system were fitted in 96.9 % of dwellings</w:t>
      </w:r>
      <w:r w:rsidR="00AD3BD2">
        <w:rPr>
          <w:shd w:val="clear" w:color="auto" w:fill="FFFFFF"/>
          <w:lang w:val="en-GB"/>
        </w:rPr>
        <w:t>,</w:t>
      </w:r>
      <w:r w:rsidRPr="00281994">
        <w:rPr>
          <w:shd w:val="clear" w:color="auto" w:fill="FFFFFF"/>
          <w:lang w:val="en-GB"/>
        </w:rPr>
        <w:t xml:space="preserve"> lavatory </w:t>
      </w:r>
      <w:r>
        <w:rPr>
          <w:shd w:val="clear" w:color="auto" w:fill="FFFFFF"/>
          <w:lang w:val="en-GB"/>
        </w:rPr>
        <w:t xml:space="preserve">was </w:t>
      </w:r>
      <w:r w:rsidRPr="00281994">
        <w:rPr>
          <w:shd w:val="clear" w:color="auto" w:fill="FFFFFF"/>
          <w:lang w:val="en-GB"/>
        </w:rPr>
        <w:t>in 93.</w:t>
      </w:r>
      <w:r w:rsidR="00AD3BD2">
        <w:rPr>
          <w:shd w:val="clear" w:color="auto" w:fill="FFFFFF"/>
          <w:lang w:val="en-GB"/>
        </w:rPr>
        <w:t>9</w:t>
      </w:r>
      <w:r w:rsidRPr="00281994">
        <w:rPr>
          <w:shd w:val="clear" w:color="auto" w:fill="FFFFFF"/>
          <w:lang w:val="en-GB"/>
        </w:rPr>
        <w:t> %</w:t>
      </w:r>
      <w:r w:rsidR="007C5D10">
        <w:rPr>
          <w:shd w:val="clear" w:color="auto" w:fill="FFFFFF"/>
          <w:lang w:val="en-GB"/>
        </w:rPr>
        <w:t>,</w:t>
      </w:r>
      <w:r w:rsidRPr="00281994">
        <w:rPr>
          <w:shd w:val="clear" w:color="auto" w:fill="FFFFFF"/>
          <w:lang w:val="en-GB"/>
        </w:rPr>
        <w:t xml:space="preserve"> and bathroom in 91.</w:t>
      </w:r>
      <w:r w:rsidR="00AD3BD2">
        <w:rPr>
          <w:shd w:val="clear" w:color="auto" w:fill="FFFFFF"/>
          <w:lang w:val="en-GB"/>
        </w:rPr>
        <w:t>7</w:t>
      </w:r>
      <w:r w:rsidRPr="00281994">
        <w:rPr>
          <w:shd w:val="clear" w:color="auto" w:fill="FFFFFF"/>
          <w:lang w:val="en-GB"/>
        </w:rPr>
        <w:t> %</w:t>
      </w:r>
      <w:r w:rsidR="007C5D10">
        <w:rPr>
          <w:shd w:val="clear" w:color="auto" w:fill="FFFFFF"/>
          <w:lang w:val="en-GB"/>
        </w:rPr>
        <w:t>, h</w:t>
      </w:r>
      <w:r w:rsidRPr="00281994">
        <w:rPr>
          <w:shd w:val="clear" w:color="auto" w:fill="FFFFFF"/>
          <w:lang w:val="en-GB"/>
        </w:rPr>
        <w:t>owever</w:t>
      </w:r>
      <w:r w:rsidR="00AD3BD2">
        <w:rPr>
          <w:shd w:val="clear" w:color="auto" w:fill="FFFFFF"/>
          <w:lang w:val="en-GB"/>
        </w:rPr>
        <w:t>,</w:t>
      </w:r>
      <w:r w:rsidRPr="00281994">
        <w:rPr>
          <w:shd w:val="clear" w:color="auto" w:fill="FFFFFF"/>
          <w:lang w:val="en-GB"/>
        </w:rPr>
        <w:t xml:space="preserve"> every second dwelling was fitted with gas installation. </w:t>
      </w:r>
    </w:p>
    <w:p w:rsidR="00581B78" w:rsidRDefault="00581B78" w:rsidP="005B0B72">
      <w:pPr>
        <w:spacing w:before="0"/>
        <w:rPr>
          <w:shd w:val="clear" w:color="auto" w:fill="FFFFFF"/>
          <w:lang w:val="en-GB"/>
        </w:rPr>
      </w:pPr>
      <w:r w:rsidRPr="00281994">
        <w:rPr>
          <w:shd w:val="clear" w:color="auto" w:fill="FFFFFF"/>
          <w:lang w:val="en-GB"/>
        </w:rPr>
        <w:t xml:space="preserve">Disproportions in dwellings </w:t>
      </w:r>
      <w:r>
        <w:rPr>
          <w:shd w:val="clear" w:color="auto" w:fill="FFFFFF"/>
          <w:lang w:val="en-GB"/>
        </w:rPr>
        <w:t xml:space="preserve">fitted </w:t>
      </w:r>
      <w:r w:rsidRPr="00281994">
        <w:rPr>
          <w:shd w:val="clear" w:color="auto" w:fill="FFFFFF"/>
          <w:lang w:val="en-GB"/>
        </w:rPr>
        <w:t xml:space="preserve">with basic installations have been present between urban and rural areas. In urban areas water supply system </w:t>
      </w:r>
      <w:r>
        <w:rPr>
          <w:shd w:val="clear" w:color="auto" w:fill="FFFFFF"/>
          <w:lang w:val="en-GB"/>
        </w:rPr>
        <w:t>was</w:t>
      </w:r>
      <w:r w:rsidRPr="00281994">
        <w:rPr>
          <w:shd w:val="clear" w:color="auto" w:fill="FFFFFF"/>
          <w:lang w:val="en-GB"/>
        </w:rPr>
        <w:t xml:space="preserve"> fitted in 99.1% of dwellings</w:t>
      </w:r>
      <w:r w:rsidR="00D90796">
        <w:rPr>
          <w:shd w:val="clear" w:color="auto" w:fill="FFFFFF"/>
          <w:lang w:val="en-GB"/>
        </w:rPr>
        <w:t>,</w:t>
      </w:r>
      <w:r w:rsidR="00D90796" w:rsidRPr="00281994">
        <w:rPr>
          <w:shd w:val="clear" w:color="auto" w:fill="FFFFFF"/>
          <w:lang w:val="en-GB"/>
        </w:rPr>
        <w:t xml:space="preserve"> </w:t>
      </w:r>
      <w:r w:rsidRPr="00281994">
        <w:rPr>
          <w:shd w:val="clear" w:color="auto" w:fill="FFFFFF"/>
          <w:lang w:val="en-GB"/>
        </w:rPr>
        <w:t>lavatory – in 97.3 %</w:t>
      </w:r>
      <w:r w:rsidR="00D90796">
        <w:rPr>
          <w:shd w:val="clear" w:color="auto" w:fill="FFFFFF"/>
          <w:lang w:val="en-GB"/>
        </w:rPr>
        <w:t>,</w:t>
      </w:r>
      <w:r w:rsidRPr="00281994">
        <w:rPr>
          <w:shd w:val="clear" w:color="auto" w:fill="FFFFFF"/>
          <w:lang w:val="en-GB"/>
        </w:rPr>
        <w:t xml:space="preserve"> and bathroom</w:t>
      </w:r>
      <w:r>
        <w:rPr>
          <w:shd w:val="clear" w:color="auto" w:fill="FFFFFF"/>
          <w:lang w:val="en-GB"/>
        </w:rPr>
        <w:t xml:space="preserve"> </w:t>
      </w:r>
      <w:r w:rsidRPr="00281994">
        <w:rPr>
          <w:shd w:val="clear" w:color="auto" w:fill="FFFFFF"/>
          <w:lang w:val="en-GB"/>
        </w:rPr>
        <w:t>– in 95.</w:t>
      </w:r>
      <w:r w:rsidR="00AD3BD2">
        <w:rPr>
          <w:shd w:val="clear" w:color="auto" w:fill="FFFFFF"/>
          <w:lang w:val="en-GB"/>
        </w:rPr>
        <w:t>7</w:t>
      </w:r>
      <w:r w:rsidRPr="00281994">
        <w:rPr>
          <w:shd w:val="clear" w:color="auto" w:fill="FFFFFF"/>
          <w:lang w:val="en-GB"/>
        </w:rPr>
        <w:t> %. In rural areas 92.</w:t>
      </w:r>
      <w:r w:rsidR="00AD3BD2">
        <w:rPr>
          <w:shd w:val="clear" w:color="auto" w:fill="FFFFFF"/>
          <w:lang w:val="en-GB"/>
        </w:rPr>
        <w:t>4</w:t>
      </w:r>
      <w:r w:rsidRPr="00281994">
        <w:rPr>
          <w:shd w:val="clear" w:color="auto" w:fill="FFFFFF"/>
          <w:lang w:val="en-GB"/>
        </w:rPr>
        <w:t> % of dwellings were connected to water supply system</w:t>
      </w:r>
      <w:r w:rsidR="00AD3BD2">
        <w:rPr>
          <w:shd w:val="clear" w:color="auto" w:fill="FFFFFF"/>
          <w:lang w:val="en-GB"/>
        </w:rPr>
        <w:t>,</w:t>
      </w:r>
      <w:r w:rsidRPr="00281994">
        <w:rPr>
          <w:shd w:val="clear" w:color="auto" w:fill="FFFFFF"/>
          <w:lang w:val="en-GB"/>
        </w:rPr>
        <w:t xml:space="preserve"> 86.</w:t>
      </w:r>
      <w:r w:rsidR="00AD3BD2">
        <w:rPr>
          <w:shd w:val="clear" w:color="auto" w:fill="FFFFFF"/>
          <w:lang w:val="en-GB"/>
        </w:rPr>
        <w:t>8</w:t>
      </w:r>
      <w:r w:rsidRPr="00281994">
        <w:rPr>
          <w:shd w:val="clear" w:color="auto" w:fill="FFFFFF"/>
          <w:lang w:val="en-GB"/>
        </w:rPr>
        <w:t> % dwellings had lavatory</w:t>
      </w:r>
      <w:r w:rsidR="00AD3BD2">
        <w:rPr>
          <w:shd w:val="clear" w:color="auto" w:fill="FFFFFF"/>
          <w:lang w:val="en-GB"/>
        </w:rPr>
        <w:t>,</w:t>
      </w:r>
      <w:r w:rsidRPr="00281994">
        <w:rPr>
          <w:shd w:val="clear" w:color="auto" w:fill="FFFFFF"/>
          <w:lang w:val="en-GB"/>
        </w:rPr>
        <w:t xml:space="preserve"> and 83.</w:t>
      </w:r>
      <w:r w:rsidR="00AD3BD2">
        <w:rPr>
          <w:shd w:val="clear" w:color="auto" w:fill="FFFFFF"/>
          <w:lang w:val="en-GB"/>
        </w:rPr>
        <w:t>3</w:t>
      </w:r>
      <w:r w:rsidRPr="00281994">
        <w:rPr>
          <w:shd w:val="clear" w:color="auto" w:fill="FFFFFF"/>
          <w:lang w:val="en-GB"/>
        </w:rPr>
        <w:t> % had bathroom.</w:t>
      </w:r>
    </w:p>
    <w:p w:rsidR="00581B78" w:rsidRPr="00281994" w:rsidRDefault="00581B78" w:rsidP="00581B78">
      <w:pPr>
        <w:rPr>
          <w:shd w:val="clear" w:color="auto" w:fill="FFFFFF"/>
          <w:lang w:val="en-GB"/>
        </w:rPr>
      </w:pPr>
    </w:p>
    <w:p w:rsidR="00581B78" w:rsidRPr="00281994" w:rsidRDefault="00581B78" w:rsidP="00581B78">
      <w:pPr>
        <w:spacing w:before="0" w:after="0"/>
        <w:rPr>
          <w:rFonts w:eastAsia="Times New Roman" w:cs="Times New Roman"/>
          <w:bCs/>
          <w:szCs w:val="19"/>
          <w:lang w:val="en-GB" w:eastAsia="pl-PL"/>
        </w:rPr>
      </w:pPr>
      <w:r w:rsidRPr="00281994">
        <w:rPr>
          <w:b/>
          <w:spacing w:val="-2"/>
          <w:sz w:val="18"/>
          <w:lang w:val="en-GB"/>
        </w:rPr>
        <w:t xml:space="preserve">Chart 1. Dwellings fitted with installations in % of total </w:t>
      </w:r>
      <w:r w:rsidR="00D90796">
        <w:rPr>
          <w:b/>
          <w:spacing w:val="-2"/>
          <w:sz w:val="18"/>
          <w:lang w:val="en-GB"/>
        </w:rPr>
        <w:t xml:space="preserve">number of dwellings </w:t>
      </w:r>
      <w:r w:rsidRPr="00281994">
        <w:rPr>
          <w:b/>
          <w:spacing w:val="-2"/>
          <w:sz w:val="18"/>
          <w:lang w:val="en-GB"/>
        </w:rPr>
        <w:t>in 201</w:t>
      </w:r>
      <w:r w:rsidR="00AD3BD2">
        <w:rPr>
          <w:b/>
          <w:spacing w:val="-2"/>
          <w:sz w:val="18"/>
          <w:lang w:val="en-GB"/>
        </w:rPr>
        <w:t>9</w:t>
      </w:r>
      <w:r w:rsidRPr="00281994">
        <w:rPr>
          <w:b/>
          <w:spacing w:val="-2"/>
          <w:sz w:val="18"/>
          <w:lang w:val="en-GB"/>
        </w:rPr>
        <w:t xml:space="preserve"> (as of 31.12</w:t>
      </w:r>
      <w:r w:rsidR="00D90796">
        <w:rPr>
          <w:b/>
          <w:spacing w:val="-2"/>
          <w:sz w:val="18"/>
          <w:lang w:val="en-GB"/>
        </w:rPr>
        <w:t>.2019</w:t>
      </w:r>
      <w:r w:rsidRPr="00281994">
        <w:rPr>
          <w:b/>
          <w:spacing w:val="-2"/>
          <w:sz w:val="18"/>
          <w:lang w:val="en-GB"/>
        </w:rPr>
        <w:t>)</w:t>
      </w: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r>
        <w:rPr>
          <w:noProof/>
          <w:lang w:val="en-GB" w:eastAsia="en-GB"/>
        </w:rPr>
        <w:drawing>
          <wp:anchor distT="0" distB="0" distL="114300" distR="114300" simplePos="0" relativeHeight="251783168" behindDoc="0" locked="0" layoutInCell="1" allowOverlap="1" wp14:anchorId="1EFC94DA" wp14:editId="5AE7424A">
            <wp:simplePos x="0" y="0"/>
            <wp:positionH relativeFrom="margin">
              <wp:posOffset>242048</wp:posOffset>
            </wp:positionH>
            <wp:positionV relativeFrom="paragraph">
              <wp:posOffset>3949</wp:posOffset>
            </wp:positionV>
            <wp:extent cx="4518212" cy="2220685"/>
            <wp:effectExtent l="0" t="0" r="0" b="8255"/>
            <wp:wrapNone/>
            <wp:docPr id="17"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spacing w:before="0" w:after="0"/>
        <w:rPr>
          <w:rFonts w:eastAsia="Times New Roman" w:cs="Times New Roman"/>
          <w:bCs/>
          <w:szCs w:val="19"/>
          <w:lang w:val="en-GB" w:eastAsia="pl-PL"/>
        </w:rPr>
      </w:pPr>
    </w:p>
    <w:p w:rsidR="00581B78" w:rsidRPr="00281994" w:rsidRDefault="00581B78" w:rsidP="00581B78">
      <w:pPr>
        <w:rPr>
          <w:shd w:val="clear" w:color="auto" w:fill="FFFFFF"/>
          <w:lang w:val="en-GB"/>
        </w:rPr>
      </w:pPr>
    </w:p>
    <w:p w:rsidR="00581B78" w:rsidRDefault="00581B78" w:rsidP="00581B78">
      <w:pPr>
        <w:rPr>
          <w:lang w:val="en-GB"/>
        </w:rPr>
      </w:pPr>
    </w:p>
    <w:p w:rsidR="00AD3BD2" w:rsidRPr="002D6A12" w:rsidRDefault="00F9509C" w:rsidP="00AD3BD2">
      <w:pPr>
        <w:keepNext/>
        <w:spacing w:before="0" w:after="0" w:line="240" w:lineRule="auto"/>
        <w:outlineLvl w:val="0"/>
        <w:rPr>
          <w:rFonts w:eastAsia="Times New Roman" w:cs="Times New Roman"/>
          <w:b/>
          <w:bCs/>
          <w:color w:val="001D77"/>
          <w:szCs w:val="24"/>
          <w:lang w:val="en-GB" w:eastAsia="pl-PL"/>
        </w:rPr>
      </w:pPr>
      <w:proofErr w:type="spellStart"/>
      <w:r w:rsidRPr="002D6A12">
        <w:rPr>
          <w:rFonts w:eastAsia="Times New Roman" w:cs="Times New Roman"/>
          <w:b/>
          <w:bCs/>
          <w:color w:val="001D77"/>
          <w:szCs w:val="24"/>
          <w:lang w:val="en-GB" w:eastAsia="pl-PL"/>
        </w:rPr>
        <w:t>Gmina</w:t>
      </w:r>
      <w:r w:rsidR="00C0111D" w:rsidRPr="002D6A12">
        <w:rPr>
          <w:rFonts w:eastAsia="Times New Roman" w:cs="Times New Roman"/>
          <w:b/>
          <w:bCs/>
          <w:color w:val="001D77"/>
          <w:szCs w:val="24"/>
          <w:lang w:val="en-GB" w:eastAsia="pl-PL"/>
        </w:rPr>
        <w:t>’</w:t>
      </w:r>
      <w:r w:rsidRPr="002D6A12">
        <w:rPr>
          <w:rFonts w:eastAsia="Times New Roman" w:cs="Times New Roman"/>
          <w:b/>
          <w:bCs/>
          <w:color w:val="001D77"/>
          <w:szCs w:val="24"/>
          <w:lang w:val="en-GB" w:eastAsia="pl-PL"/>
        </w:rPr>
        <w:t>s</w:t>
      </w:r>
      <w:proofErr w:type="spellEnd"/>
      <w:r w:rsidRPr="002D6A12">
        <w:rPr>
          <w:rFonts w:eastAsia="Times New Roman" w:cs="Times New Roman"/>
          <w:b/>
          <w:bCs/>
          <w:color w:val="001D77"/>
          <w:szCs w:val="24"/>
          <w:lang w:val="en-GB" w:eastAsia="pl-PL"/>
        </w:rPr>
        <w:t xml:space="preserve"> (municipal) dwelling stocks</w:t>
      </w:r>
    </w:p>
    <w:p w:rsidR="00AD3BD2" w:rsidRPr="002D6A12" w:rsidRDefault="005B0B72" w:rsidP="00AD3BD2">
      <w:pPr>
        <w:keepNext/>
        <w:spacing w:before="0" w:after="0" w:line="240" w:lineRule="auto"/>
        <w:outlineLvl w:val="0"/>
        <w:rPr>
          <w:rFonts w:ascii="Fira Sans SemiBold" w:eastAsia="Times New Roman" w:hAnsi="Fira Sans SemiBold" w:cs="Times New Roman"/>
          <w:bCs/>
          <w:color w:val="001D77"/>
          <w:szCs w:val="24"/>
          <w:shd w:val="clear" w:color="auto" w:fill="FFFFFF"/>
          <w:lang w:val="en-GB" w:eastAsia="pl-PL"/>
        </w:rPr>
      </w:pPr>
      <w:r w:rsidRPr="008A0F67">
        <w:rPr>
          <w:rFonts w:eastAsia="Times New Roman" w:cs="Times New Roman"/>
          <w:b/>
          <w:bCs/>
          <w:noProof/>
          <w:color w:val="001D77"/>
          <w:spacing w:val="-2"/>
          <w:szCs w:val="19"/>
          <w:lang w:val="en-GB" w:eastAsia="en-GB"/>
        </w:rPr>
        <mc:AlternateContent>
          <mc:Choice Requires="wps">
            <w:drawing>
              <wp:anchor distT="45720" distB="45720" distL="114300" distR="114300" simplePos="0" relativeHeight="251792384" behindDoc="1" locked="0" layoutInCell="1" allowOverlap="1" wp14:anchorId="60E10FB1" wp14:editId="3523E067">
                <wp:simplePos x="0" y="0"/>
                <wp:positionH relativeFrom="rightMargin">
                  <wp:align>left</wp:align>
                </wp:positionH>
                <wp:positionV relativeFrom="paragraph">
                  <wp:posOffset>13970</wp:posOffset>
                </wp:positionV>
                <wp:extent cx="1667510" cy="897890"/>
                <wp:effectExtent l="0" t="0" r="0" b="0"/>
                <wp:wrapTight wrapText="bothSides">
                  <wp:wrapPolygon edited="0">
                    <wp:start x="740" y="0"/>
                    <wp:lineTo x="740" y="21081"/>
                    <wp:lineTo x="20728" y="21081"/>
                    <wp:lineTo x="20728" y="0"/>
                    <wp:lineTo x="74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98497"/>
                        </a:xfrm>
                        <a:prstGeom prst="rect">
                          <a:avLst/>
                        </a:prstGeom>
                        <a:noFill/>
                        <a:ln w="9525">
                          <a:noFill/>
                          <a:miter lim="800000"/>
                          <a:headEnd/>
                          <a:tailEnd/>
                        </a:ln>
                      </wps:spPr>
                      <wps:txbx>
                        <w:txbxContent>
                          <w:p w:rsidR="00C0111D" w:rsidRPr="002D6A12" w:rsidRDefault="00C0111D" w:rsidP="00AD3BD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As of the end of 2019, the number of premises </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rented from </w:t>
                            </w:r>
                            <w:proofErr w:type="spellStart"/>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(municipal) dwelling stock was </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641</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10FB1" id="Pole tekstowe 1" o:spid="_x0000_s1031" type="#_x0000_t202" style="position:absolute;margin-left:0;margin-top:1.1pt;width:131.3pt;height:70.7pt;z-index:-25152409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" filled="f" stroked="f">
                <v:textbox>
                  <w:txbxContent>
                    <w:p w:rsidR="00C0111D" w:rsidRPr="002D6A12" w:rsidRDefault="00C0111D" w:rsidP="00AD3BD2">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As of the end of 2019, the number of premises </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rented from </w:t>
                      </w:r>
                      <w:proofErr w:type="spellStart"/>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(municipal) dwelling stock was </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641</w:t>
                      </w:r>
                      <w:r w:rsidR="00734327"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D6A12">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801</w:t>
                      </w:r>
                    </w:p>
                  </w:txbxContent>
                </v:textbox>
                <w10:wrap type="tight" anchorx="margin"/>
              </v:shape>
            </w:pict>
          </mc:Fallback>
        </mc:AlternateContent>
      </w:r>
    </w:p>
    <w:p w:rsidR="00C0111D" w:rsidRPr="002D6A12" w:rsidRDefault="00734327" w:rsidP="00AD3BD2">
      <w:pPr>
        <w:spacing w:before="0" w:after="0"/>
        <w:rPr>
          <w:shd w:val="clear" w:color="auto" w:fill="FFFFFF"/>
          <w:lang w:val="en-GB"/>
        </w:rPr>
      </w:pPr>
      <w:proofErr w:type="spellStart"/>
      <w:r>
        <w:rPr>
          <w:shd w:val="clear" w:color="auto" w:fill="FFFFFF"/>
          <w:lang w:val="en-GB"/>
        </w:rPr>
        <w:t>G</w:t>
      </w:r>
      <w:r w:rsidR="00F9509C" w:rsidRPr="002D6A12">
        <w:rPr>
          <w:shd w:val="clear" w:color="auto" w:fill="FFFFFF"/>
          <w:lang w:val="en-GB"/>
        </w:rPr>
        <w:t>mina</w:t>
      </w:r>
      <w:r w:rsidR="00C0111D" w:rsidRPr="002D6A12">
        <w:rPr>
          <w:shd w:val="clear" w:color="auto" w:fill="FFFFFF"/>
          <w:lang w:val="en-GB"/>
        </w:rPr>
        <w:t>’</w:t>
      </w:r>
      <w:r w:rsidR="00F9509C" w:rsidRPr="002D6A12">
        <w:rPr>
          <w:shd w:val="clear" w:color="auto" w:fill="FFFFFF"/>
          <w:lang w:val="en-GB"/>
        </w:rPr>
        <w:t>s</w:t>
      </w:r>
      <w:proofErr w:type="spellEnd"/>
      <w:r w:rsidR="00F9509C" w:rsidRPr="002D6A12">
        <w:rPr>
          <w:shd w:val="clear" w:color="auto" w:fill="FFFFFF"/>
          <w:lang w:val="en-GB"/>
        </w:rPr>
        <w:t xml:space="preserve"> </w:t>
      </w:r>
      <w:r>
        <w:rPr>
          <w:shd w:val="clear" w:color="auto" w:fill="FFFFFF"/>
          <w:lang w:val="en-GB"/>
        </w:rPr>
        <w:t xml:space="preserve">(municipal) </w:t>
      </w:r>
      <w:r w:rsidR="00F9509C" w:rsidRPr="002D6A12">
        <w:rPr>
          <w:shd w:val="clear" w:color="auto" w:fill="FFFFFF"/>
          <w:lang w:val="en-GB"/>
        </w:rPr>
        <w:t xml:space="preserve">dwelling stocks should </w:t>
      </w:r>
      <w:r>
        <w:rPr>
          <w:shd w:val="clear" w:color="auto" w:fill="FFFFFF"/>
          <w:lang w:val="en-GB"/>
        </w:rPr>
        <w:t xml:space="preserve">be </w:t>
      </w:r>
      <w:r w:rsidR="00F9509C" w:rsidRPr="002D6A12">
        <w:rPr>
          <w:shd w:val="clear" w:color="auto" w:fill="FFFFFF"/>
          <w:lang w:val="en-GB"/>
        </w:rPr>
        <w:t>underst</w:t>
      </w:r>
      <w:r>
        <w:rPr>
          <w:shd w:val="clear" w:color="auto" w:fill="FFFFFF"/>
          <w:lang w:val="en-GB"/>
        </w:rPr>
        <w:t>ood</w:t>
      </w:r>
      <w:r w:rsidR="00F9509C" w:rsidRPr="002D6A12">
        <w:rPr>
          <w:shd w:val="clear" w:color="auto" w:fill="FFFFFF"/>
          <w:lang w:val="en-GB"/>
        </w:rPr>
        <w:t xml:space="preserve"> </w:t>
      </w:r>
      <w:r>
        <w:rPr>
          <w:shd w:val="clear" w:color="auto" w:fill="FFFFFF"/>
          <w:lang w:val="en-GB"/>
        </w:rPr>
        <w:t xml:space="preserve">as </w:t>
      </w:r>
      <w:r w:rsidR="00F9509C" w:rsidRPr="002D6A12">
        <w:rPr>
          <w:shd w:val="clear" w:color="auto" w:fill="FFFFFF"/>
          <w:lang w:val="en-GB"/>
        </w:rPr>
        <w:t xml:space="preserve">premises used for satisfying housing needs, owned by </w:t>
      </w:r>
      <w:proofErr w:type="spellStart"/>
      <w:r w:rsidR="00F9509C" w:rsidRPr="002D6A12">
        <w:rPr>
          <w:shd w:val="clear" w:color="auto" w:fill="FFFFFF"/>
          <w:lang w:val="en-GB"/>
        </w:rPr>
        <w:t>gminas</w:t>
      </w:r>
      <w:proofErr w:type="spellEnd"/>
      <w:r w:rsidR="00F9509C" w:rsidRPr="002D6A12">
        <w:rPr>
          <w:shd w:val="clear" w:color="auto" w:fill="FFFFFF"/>
          <w:lang w:val="en-GB"/>
        </w:rPr>
        <w:t xml:space="preserve"> (municipal</w:t>
      </w:r>
      <w:r>
        <w:rPr>
          <w:shd w:val="clear" w:color="auto" w:fill="FFFFFF"/>
          <w:lang w:val="en-GB"/>
        </w:rPr>
        <w:t>ities</w:t>
      </w:r>
      <w:r w:rsidR="00F9509C" w:rsidRPr="002D6A12">
        <w:rPr>
          <w:shd w:val="clear" w:color="auto" w:fill="FFFFFF"/>
          <w:lang w:val="en-GB"/>
        </w:rPr>
        <w:t>)</w:t>
      </w:r>
      <w:r w:rsidR="00C0111D" w:rsidRPr="002D6A12">
        <w:rPr>
          <w:shd w:val="clear" w:color="auto" w:fill="FFFFFF"/>
          <w:lang w:val="en-GB"/>
        </w:rPr>
        <w:t xml:space="preserve">. </w:t>
      </w:r>
      <w:r>
        <w:rPr>
          <w:shd w:val="clear" w:color="auto" w:fill="FFFFFF"/>
          <w:lang w:val="en-GB"/>
        </w:rPr>
        <w:t>As of the end of 2019, t</w:t>
      </w:r>
      <w:r w:rsidR="00C0111D" w:rsidRPr="002D6A12">
        <w:rPr>
          <w:shd w:val="clear" w:color="auto" w:fill="FFFFFF"/>
          <w:lang w:val="en-GB"/>
        </w:rPr>
        <w:t xml:space="preserve">he number of residential premises </w:t>
      </w:r>
      <w:r>
        <w:rPr>
          <w:shd w:val="clear" w:color="auto" w:fill="FFFFFF"/>
          <w:lang w:val="en-GB"/>
        </w:rPr>
        <w:t>with</w:t>
      </w:r>
      <w:r w:rsidR="00C0111D" w:rsidRPr="002D6A12">
        <w:rPr>
          <w:shd w:val="clear" w:color="auto" w:fill="FFFFFF"/>
          <w:lang w:val="en-GB"/>
        </w:rPr>
        <w:t xml:space="preserve"> </w:t>
      </w:r>
      <w:r>
        <w:rPr>
          <w:shd w:val="clear" w:color="auto" w:fill="FFFFFF"/>
          <w:lang w:val="en-GB"/>
        </w:rPr>
        <w:t xml:space="preserve">rental contracts </w:t>
      </w:r>
      <w:r w:rsidR="00C0111D" w:rsidRPr="002D6A12">
        <w:rPr>
          <w:shd w:val="clear" w:color="auto" w:fill="FFFFFF"/>
          <w:lang w:val="en-GB"/>
        </w:rPr>
        <w:t xml:space="preserve">(excluding replacement premises and temporary premises) amounted to 641,801 and their useful floor area </w:t>
      </w:r>
      <w:r>
        <w:rPr>
          <w:shd w:val="clear" w:color="auto" w:fill="FFFFFF"/>
          <w:lang w:val="en-GB"/>
        </w:rPr>
        <w:t xml:space="preserve">to </w:t>
      </w:r>
      <w:r w:rsidR="00C0111D" w:rsidRPr="002D6A12">
        <w:rPr>
          <w:shd w:val="clear" w:color="auto" w:fill="FFFFFF"/>
          <w:lang w:val="en-GB"/>
        </w:rPr>
        <w:t>28,577.6 thousand m</w:t>
      </w:r>
      <w:r w:rsidR="00C0111D" w:rsidRPr="002D6A12">
        <w:rPr>
          <w:shd w:val="clear" w:color="auto" w:fill="FFFFFF"/>
          <w:vertAlign w:val="superscript"/>
          <w:lang w:val="en-GB"/>
        </w:rPr>
        <w:t>2</w:t>
      </w:r>
      <w:r w:rsidR="00AD3BD2" w:rsidRPr="002D6A12">
        <w:rPr>
          <w:shd w:val="clear" w:color="auto" w:fill="FFFFFF"/>
          <w:lang w:val="en-GB"/>
        </w:rPr>
        <w:t xml:space="preserve">. </w:t>
      </w:r>
      <w:r w:rsidR="00C0111D" w:rsidRPr="002D6A12">
        <w:rPr>
          <w:shd w:val="clear" w:color="auto" w:fill="FFFFFF"/>
          <w:lang w:val="en-GB"/>
        </w:rPr>
        <w:t xml:space="preserve">The average useful floor area of rented premises in </w:t>
      </w:r>
      <w:proofErr w:type="spellStart"/>
      <w:r w:rsidR="00C0111D" w:rsidRPr="002D6A12">
        <w:rPr>
          <w:shd w:val="clear" w:color="auto" w:fill="FFFFFF"/>
          <w:lang w:val="en-GB"/>
        </w:rPr>
        <w:t>gmina’s</w:t>
      </w:r>
      <w:proofErr w:type="spellEnd"/>
      <w:r w:rsidR="00C0111D" w:rsidRPr="002D6A12">
        <w:rPr>
          <w:shd w:val="clear" w:color="auto" w:fill="FFFFFF"/>
          <w:lang w:val="en-GB"/>
        </w:rPr>
        <w:t xml:space="preserve"> dwelling stocks was 44.5 m</w:t>
      </w:r>
      <w:r w:rsidR="00C0111D" w:rsidRPr="002D6A12">
        <w:rPr>
          <w:shd w:val="clear" w:color="auto" w:fill="FFFFFF"/>
          <w:vertAlign w:val="superscript"/>
          <w:lang w:val="en-GB"/>
        </w:rPr>
        <w:t>2</w:t>
      </w:r>
      <w:r w:rsidR="00C0111D" w:rsidRPr="002D6A12">
        <w:rPr>
          <w:shd w:val="clear" w:color="auto" w:fill="FFFFFF"/>
          <w:lang w:val="en-GB"/>
        </w:rPr>
        <w:t xml:space="preserve">.  </w:t>
      </w:r>
    </w:p>
    <w:p w:rsidR="00C0111D" w:rsidRDefault="00C0111D" w:rsidP="00AD3BD2">
      <w:pPr>
        <w:spacing w:before="0" w:after="0"/>
        <w:rPr>
          <w:highlight w:val="yellow"/>
          <w:shd w:val="clear" w:color="auto" w:fill="FFFFFF"/>
          <w:lang w:val="en-GB"/>
        </w:rPr>
      </w:pPr>
    </w:p>
    <w:p w:rsidR="00814B49" w:rsidRPr="002D6A12" w:rsidRDefault="00814B49" w:rsidP="00AD3BD2">
      <w:pPr>
        <w:spacing w:before="0" w:after="0"/>
        <w:rPr>
          <w:shd w:val="clear" w:color="auto" w:fill="FFFFFF"/>
          <w:lang w:val="en-GB"/>
        </w:rPr>
      </w:pPr>
      <w:r w:rsidRPr="002D6A12">
        <w:rPr>
          <w:shd w:val="clear" w:color="auto" w:fill="FFFFFF"/>
          <w:lang w:val="en-GB"/>
        </w:rPr>
        <w:t>The number of residential premises with social rental agreements</w:t>
      </w:r>
      <w:r w:rsidR="008A0F67">
        <w:rPr>
          <w:rStyle w:val="Odwoanieprzypisudolnego"/>
          <w:shd w:val="clear" w:color="auto" w:fill="FFFFFF"/>
          <w:lang w:val="en-GB"/>
        </w:rPr>
        <w:footnoteReference w:id="1"/>
      </w:r>
      <w:r w:rsidRPr="002D6A12">
        <w:rPr>
          <w:shd w:val="clear" w:color="auto" w:fill="FFFFFF"/>
          <w:lang w:val="en-GB"/>
        </w:rPr>
        <w:t xml:space="preserve"> amounted to 73,970 and their useful floor area to 2,520.6 thousand m</w:t>
      </w:r>
      <w:r w:rsidRPr="002D6A12">
        <w:rPr>
          <w:shd w:val="clear" w:color="auto" w:fill="FFFFFF"/>
          <w:vertAlign w:val="superscript"/>
          <w:lang w:val="en-GB"/>
        </w:rPr>
        <w:t>2</w:t>
      </w:r>
      <w:r w:rsidRPr="002D6A12">
        <w:rPr>
          <w:shd w:val="clear" w:color="auto" w:fill="FFFFFF"/>
          <w:lang w:val="en-GB"/>
        </w:rPr>
        <w:t xml:space="preserve">. </w:t>
      </w:r>
      <w:proofErr w:type="spellStart"/>
      <w:r w:rsidRPr="002D6A12">
        <w:rPr>
          <w:shd w:val="clear" w:color="auto" w:fill="FFFFFF"/>
          <w:lang w:val="en-GB"/>
        </w:rPr>
        <w:t>mIn</w:t>
      </w:r>
      <w:proofErr w:type="spellEnd"/>
      <w:r w:rsidRPr="002D6A12">
        <w:rPr>
          <w:shd w:val="clear" w:color="auto" w:fill="FFFFFF"/>
          <w:lang w:val="en-GB"/>
        </w:rPr>
        <w:t xml:space="preserve"> addition, as of the end of 2019, </w:t>
      </w:r>
      <w:proofErr w:type="spellStart"/>
      <w:r w:rsidRPr="002D6A12">
        <w:rPr>
          <w:shd w:val="clear" w:color="auto" w:fill="FFFFFF"/>
          <w:lang w:val="en-GB"/>
        </w:rPr>
        <w:t>gminas</w:t>
      </w:r>
      <w:proofErr w:type="spellEnd"/>
      <w:r w:rsidRPr="002D6A12">
        <w:rPr>
          <w:shd w:val="clear" w:color="auto" w:fill="FFFFFF"/>
          <w:lang w:val="en-GB"/>
        </w:rPr>
        <w:t xml:space="preserve"> had rental contracts for 1,600 temporary premises with useful floor area of 34.</w:t>
      </w:r>
      <w:r w:rsidR="00A055D0">
        <w:rPr>
          <w:shd w:val="clear" w:color="auto" w:fill="FFFFFF"/>
          <w:lang w:val="en-GB"/>
        </w:rPr>
        <w:t>7</w:t>
      </w:r>
      <w:r w:rsidRPr="002D6A12">
        <w:rPr>
          <w:shd w:val="clear" w:color="auto" w:fill="FFFFFF"/>
          <w:lang w:val="en-GB"/>
        </w:rPr>
        <w:t xml:space="preserve"> thousand m</w:t>
      </w:r>
      <w:r w:rsidRPr="002D6A12">
        <w:rPr>
          <w:shd w:val="clear" w:color="auto" w:fill="FFFFFF"/>
          <w:vertAlign w:val="superscript"/>
          <w:lang w:val="en-GB"/>
        </w:rPr>
        <w:t>2</w:t>
      </w:r>
      <w:r w:rsidRPr="002D6A12">
        <w:rPr>
          <w:shd w:val="clear" w:color="auto" w:fill="FFFFFF"/>
          <w:lang w:val="en-GB"/>
        </w:rPr>
        <w:t xml:space="preserve">. </w:t>
      </w:r>
    </w:p>
    <w:p w:rsidR="005753F2" w:rsidRPr="002D6A12" w:rsidRDefault="005B0B72" w:rsidP="00AD3BD2">
      <w:pPr>
        <w:spacing w:before="0" w:after="0"/>
        <w:rPr>
          <w:shd w:val="clear" w:color="auto" w:fill="FFFFFF"/>
          <w:lang w:val="en-GB"/>
        </w:rPr>
      </w:pPr>
      <w:r>
        <w:rPr>
          <w:b/>
          <w:noProof/>
          <w:spacing w:val="-2"/>
          <w:szCs w:val="19"/>
          <w:lang w:val="en-GB" w:eastAsia="en-GB"/>
        </w:rPr>
        <w:lastRenderedPageBreak/>
        <mc:AlternateContent>
          <mc:Choice Requires="wps">
            <w:drawing>
              <wp:anchor distT="45720" distB="45720" distL="114300" distR="114300" simplePos="0" relativeHeight="251789312" behindDoc="1" locked="0" layoutInCell="1" allowOverlap="1" wp14:anchorId="66796510" wp14:editId="5A2701E2">
                <wp:simplePos x="0" y="0"/>
                <wp:positionH relativeFrom="rightMargin">
                  <wp:align>left</wp:align>
                </wp:positionH>
                <wp:positionV relativeFrom="paragraph">
                  <wp:posOffset>10160</wp:posOffset>
                </wp:positionV>
                <wp:extent cx="1667510" cy="1133475"/>
                <wp:effectExtent l="0" t="0" r="0" b="0"/>
                <wp:wrapTight wrapText="bothSides">
                  <wp:wrapPolygon edited="0">
                    <wp:start x="740" y="0"/>
                    <wp:lineTo x="740" y="21055"/>
                    <wp:lineTo x="20728" y="21055"/>
                    <wp:lineTo x="20728" y="0"/>
                    <wp:lineTo x="74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133475"/>
                        </a:xfrm>
                        <a:prstGeom prst="rect">
                          <a:avLst/>
                        </a:prstGeom>
                        <a:noFill/>
                        <a:ln w="9525">
                          <a:noFill/>
                          <a:miter lim="800000"/>
                          <a:headEnd/>
                          <a:tailEnd/>
                        </a:ln>
                      </wps:spPr>
                      <wps:txb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ompared to </w:t>
                            </w:r>
                            <w:r w:rsidR="00AA7AD5"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2018</w:t>
                            </w:r>
                            <w:r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households waiting for residential premises rental from </w:t>
                            </w:r>
                            <w:proofErr w:type="spellStart"/>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reased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0.8</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96510" id="_x0000_t202" coordsize="21600,21600" o:spt="202" path="m,l,21600r21600,l21600,xe">
                <v:stroke joinstyle="miter"/>
                <v:path gradientshapeok="t" o:connecttype="rect"/>
              </v:shapetype>
              <v:shape id="Pole tekstowe 20" o:spid="_x0000_s1032" type="#_x0000_t202" style="position:absolute;margin-left:0;margin-top:.8pt;width:131.3pt;height:89.25pt;z-index:-25152716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" filled="f" stroked="f">
                <v:textbo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ompared to </w:t>
                      </w:r>
                      <w:r w:rsidR="00AA7AD5"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2018</w:t>
                      </w:r>
                      <w:r w:rsidRPr="00C330BC">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number of households waiting for residential premises rental from </w:t>
                      </w:r>
                      <w:proofErr w:type="spellStart"/>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inc</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reased by </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0.8</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v:textbox>
                <w10:wrap type="tight" anchorx="margin"/>
              </v:shape>
            </w:pict>
          </mc:Fallback>
        </mc:AlternateContent>
      </w:r>
    </w:p>
    <w:p w:rsidR="007F7430" w:rsidRPr="002D6A12" w:rsidRDefault="007F7430" w:rsidP="00AD3BD2">
      <w:pPr>
        <w:spacing w:before="0" w:after="0"/>
        <w:rPr>
          <w:shd w:val="clear" w:color="auto" w:fill="FFFFFF"/>
          <w:lang w:val="en-GB"/>
        </w:rPr>
      </w:pPr>
      <w:r w:rsidRPr="002D6A12">
        <w:rPr>
          <w:shd w:val="clear" w:color="auto" w:fill="FFFFFF"/>
          <w:lang w:val="en-GB"/>
        </w:rPr>
        <w:t xml:space="preserve">In 2019, as many as 150 579 households waited for </w:t>
      </w:r>
      <w:proofErr w:type="spellStart"/>
      <w:r w:rsidRPr="002D6A12">
        <w:rPr>
          <w:shd w:val="clear" w:color="auto" w:fill="FFFFFF"/>
          <w:lang w:val="en-GB"/>
        </w:rPr>
        <w:t>gminas</w:t>
      </w:r>
      <w:proofErr w:type="spellEnd"/>
      <w:r w:rsidRPr="002D6A12">
        <w:rPr>
          <w:shd w:val="clear" w:color="auto" w:fill="FFFFFF"/>
          <w:lang w:val="en-GB"/>
        </w:rPr>
        <w:t xml:space="preserve"> stocks rental (excluding replacement premises and temporary premises). </w:t>
      </w:r>
      <w:r w:rsidR="00D90796">
        <w:rPr>
          <w:shd w:val="clear" w:color="auto" w:fill="FFFFFF"/>
          <w:lang w:val="en-GB"/>
        </w:rPr>
        <w:t>C</w:t>
      </w:r>
      <w:r w:rsidRPr="002D6A12">
        <w:rPr>
          <w:shd w:val="clear" w:color="auto" w:fill="FFFFFF"/>
          <w:lang w:val="en-GB"/>
        </w:rPr>
        <w:t xml:space="preserve">ompared to 2018, the demand for rental of premises being part of </w:t>
      </w:r>
      <w:proofErr w:type="spellStart"/>
      <w:r w:rsidRPr="002D6A12">
        <w:rPr>
          <w:shd w:val="clear" w:color="auto" w:fill="FFFFFF"/>
          <w:lang w:val="en-GB"/>
        </w:rPr>
        <w:t>gminas</w:t>
      </w:r>
      <w:proofErr w:type="spellEnd"/>
      <w:r w:rsidRPr="002D6A12">
        <w:rPr>
          <w:shd w:val="clear" w:color="auto" w:fill="FFFFFF"/>
          <w:lang w:val="en-GB"/>
        </w:rPr>
        <w:t xml:space="preserve"> dwelling stock</w:t>
      </w:r>
      <w:r w:rsidR="00DB47DC" w:rsidRPr="002D6A12">
        <w:rPr>
          <w:shd w:val="clear" w:color="auto" w:fill="FFFFFF"/>
          <w:lang w:val="en-GB"/>
        </w:rPr>
        <w:t>s</w:t>
      </w:r>
      <w:r w:rsidRPr="002D6A12">
        <w:rPr>
          <w:shd w:val="clear" w:color="auto" w:fill="FFFFFF"/>
          <w:lang w:val="en-GB"/>
        </w:rPr>
        <w:t xml:space="preserve"> increased </w:t>
      </w:r>
      <w:r w:rsidR="00D90796">
        <w:rPr>
          <w:shd w:val="clear" w:color="auto" w:fill="FFFFFF"/>
          <w:lang w:val="en-GB"/>
        </w:rPr>
        <w:t>by</w:t>
      </w:r>
      <w:r w:rsidR="00D90796" w:rsidRPr="002D6A12">
        <w:rPr>
          <w:shd w:val="clear" w:color="auto" w:fill="FFFFFF"/>
          <w:lang w:val="en-GB"/>
        </w:rPr>
        <w:t xml:space="preserve"> </w:t>
      </w:r>
      <w:r w:rsidRPr="002D6A12">
        <w:rPr>
          <w:shd w:val="clear" w:color="auto" w:fill="FFFFFF"/>
          <w:lang w:val="en-GB"/>
        </w:rPr>
        <w:t>0.8%.</w:t>
      </w:r>
    </w:p>
    <w:p w:rsidR="008A0F67" w:rsidRDefault="00581B78" w:rsidP="005753F2">
      <w:pPr>
        <w:spacing w:after="0" w:line="240" w:lineRule="auto"/>
        <w:rPr>
          <w:shd w:val="clear" w:color="auto" w:fill="FFFFFF"/>
          <w:lang w:val="en-GB"/>
        </w:rPr>
      </w:pPr>
      <w:r w:rsidRPr="00281994">
        <w:rPr>
          <w:shd w:val="clear" w:color="auto" w:fill="FFFFFF"/>
          <w:lang w:val="en-GB"/>
        </w:rPr>
        <w:t xml:space="preserve">In the total number of households waiting for </w:t>
      </w:r>
      <w:proofErr w:type="spellStart"/>
      <w:r w:rsidRPr="00281994">
        <w:rPr>
          <w:shd w:val="clear" w:color="auto" w:fill="FFFFFF"/>
          <w:lang w:val="en-GB"/>
        </w:rPr>
        <w:t>gminas</w:t>
      </w:r>
      <w:proofErr w:type="spellEnd"/>
      <w:r w:rsidRPr="00281994">
        <w:rPr>
          <w:shd w:val="clear" w:color="auto" w:fill="FFFFFF"/>
          <w:lang w:val="en-GB"/>
        </w:rPr>
        <w:t xml:space="preserve"> housing stocks rental</w:t>
      </w:r>
      <w:r w:rsidR="005753F2">
        <w:rPr>
          <w:shd w:val="clear" w:color="auto" w:fill="FFFFFF"/>
          <w:lang w:val="en-GB"/>
        </w:rPr>
        <w:t xml:space="preserve"> </w:t>
      </w:r>
      <w:r w:rsidR="00814B49">
        <w:rPr>
          <w:shd w:val="clear" w:color="auto" w:fill="FFFFFF"/>
          <w:lang w:val="en-GB"/>
        </w:rPr>
        <w:t>81,</w:t>
      </w:r>
      <w:r w:rsidR="005753F2">
        <w:rPr>
          <w:shd w:val="clear" w:color="auto" w:fill="FFFFFF"/>
          <w:lang w:val="en-GB"/>
        </w:rPr>
        <w:t>214</w:t>
      </w:r>
      <w:r w:rsidR="003C3321">
        <w:rPr>
          <w:shd w:val="clear" w:color="auto" w:fill="FFFFFF"/>
          <w:lang w:val="en-GB"/>
        </w:rPr>
        <w:t xml:space="preserve"> of</w:t>
      </w:r>
      <w:r w:rsidRPr="00281994">
        <w:rPr>
          <w:shd w:val="clear" w:color="auto" w:fill="FFFFFF"/>
          <w:lang w:val="en-GB"/>
        </w:rPr>
        <w:t xml:space="preserve"> households waited for </w:t>
      </w:r>
      <w:r w:rsidR="005753F2">
        <w:rPr>
          <w:shd w:val="clear" w:color="auto" w:fill="FFFFFF"/>
          <w:lang w:val="en-GB"/>
        </w:rPr>
        <w:t>social renting</w:t>
      </w:r>
      <w:r w:rsidR="008A0F67">
        <w:rPr>
          <w:rStyle w:val="Odwoanieprzypisudolnego"/>
          <w:shd w:val="clear" w:color="auto" w:fill="FFFFFF"/>
          <w:lang w:val="en-GB"/>
        </w:rPr>
        <w:footnoteReference w:id="2"/>
      </w:r>
      <w:r w:rsidR="005753F2">
        <w:rPr>
          <w:shd w:val="clear" w:color="auto" w:fill="FFFFFF"/>
          <w:lang w:val="en-GB"/>
        </w:rPr>
        <w:t>,</w:t>
      </w:r>
      <w:r w:rsidRPr="00281994">
        <w:rPr>
          <w:shd w:val="clear" w:color="auto" w:fill="FFFFFF"/>
          <w:lang w:val="en-GB"/>
        </w:rPr>
        <w:t xml:space="preserve"> of which </w:t>
      </w:r>
      <w:r w:rsidR="00C330BC" w:rsidRPr="00C330BC">
        <w:rPr>
          <w:shd w:val="clear" w:color="auto" w:fill="FFFFFF"/>
          <w:lang w:val="en-GB"/>
        </w:rPr>
        <w:t>47,644</w:t>
      </w:r>
      <w:r w:rsidRPr="00281994">
        <w:rPr>
          <w:shd w:val="clear" w:color="auto" w:fill="FFFFFF"/>
          <w:lang w:val="en-GB"/>
        </w:rPr>
        <w:t xml:space="preserve"> </w:t>
      </w:r>
      <w:r w:rsidR="003C3321">
        <w:rPr>
          <w:shd w:val="clear" w:color="auto" w:fill="FFFFFF"/>
          <w:lang w:val="en-GB"/>
        </w:rPr>
        <w:t xml:space="preserve">of </w:t>
      </w:r>
      <w:r w:rsidRPr="00281994">
        <w:rPr>
          <w:shd w:val="clear" w:color="auto" w:fill="FFFFFF"/>
          <w:lang w:val="en-GB"/>
        </w:rPr>
        <w:t>households under execution of eviction sentences.</w:t>
      </w:r>
    </w:p>
    <w:p w:rsidR="00581B78" w:rsidRPr="00281994" w:rsidRDefault="00581B78" w:rsidP="00982D5F">
      <w:pPr>
        <w:spacing w:after="0" w:line="240" w:lineRule="auto"/>
        <w:ind w:left="709" w:hanging="709"/>
        <w:rPr>
          <w:spacing w:val="-2"/>
          <w:sz w:val="18"/>
          <w:lang w:val="en-GB"/>
        </w:rPr>
      </w:pPr>
      <w:r w:rsidRPr="00281994">
        <w:rPr>
          <w:b/>
          <w:spacing w:val="-2"/>
          <w:sz w:val="18"/>
          <w:lang w:val="en-GB"/>
        </w:rPr>
        <w:t xml:space="preserve">Table </w:t>
      </w:r>
      <w:r w:rsidR="00C340D8">
        <w:rPr>
          <w:b/>
          <w:spacing w:val="-2"/>
          <w:sz w:val="18"/>
          <w:lang w:val="en-GB"/>
        </w:rPr>
        <w:t>2</w:t>
      </w:r>
      <w:r w:rsidRPr="00281994">
        <w:rPr>
          <w:b/>
          <w:spacing w:val="-2"/>
          <w:sz w:val="18"/>
          <w:lang w:val="en-GB"/>
        </w:rPr>
        <w:t xml:space="preserve">. Households waiting for residential premises </w:t>
      </w:r>
      <w:r w:rsidR="005753F2" w:rsidRPr="005753F2">
        <w:rPr>
          <w:b/>
          <w:spacing w:val="-2"/>
          <w:sz w:val="18"/>
          <w:lang w:val="en-GB"/>
        </w:rPr>
        <w:t xml:space="preserve">and temporary premises </w:t>
      </w:r>
      <w:r w:rsidR="00DB47DC" w:rsidRPr="00281994">
        <w:rPr>
          <w:b/>
          <w:spacing w:val="-2"/>
          <w:sz w:val="18"/>
          <w:lang w:val="en-GB"/>
        </w:rPr>
        <w:t xml:space="preserve">rental </w:t>
      </w:r>
      <w:r w:rsidRPr="00281994">
        <w:rPr>
          <w:b/>
          <w:spacing w:val="-2"/>
          <w:sz w:val="18"/>
          <w:lang w:val="en-GB"/>
        </w:rPr>
        <w:t xml:space="preserve">from </w:t>
      </w:r>
      <w:proofErr w:type="spellStart"/>
      <w:r w:rsidRPr="00281994">
        <w:rPr>
          <w:b/>
          <w:spacing w:val="-2"/>
          <w:sz w:val="18"/>
          <w:lang w:val="en-GB"/>
        </w:rPr>
        <w:t>gmina</w:t>
      </w:r>
      <w:r w:rsidR="00DB47DC">
        <w:rPr>
          <w:b/>
          <w:spacing w:val="-2"/>
          <w:sz w:val="18"/>
          <w:lang w:val="en-GB"/>
        </w:rPr>
        <w:t>s</w:t>
      </w:r>
      <w:proofErr w:type="spellEnd"/>
      <w:r w:rsidR="00DB47DC">
        <w:rPr>
          <w:b/>
          <w:spacing w:val="-2"/>
          <w:sz w:val="18"/>
          <w:lang w:val="en-GB"/>
        </w:rPr>
        <w:t xml:space="preserve"> </w:t>
      </w:r>
      <w:r w:rsidR="00982D5F">
        <w:rPr>
          <w:b/>
          <w:spacing w:val="-2"/>
          <w:sz w:val="18"/>
          <w:lang w:val="en-GB"/>
        </w:rPr>
        <w:t xml:space="preserve">  </w:t>
      </w:r>
      <w:r w:rsidR="00DB47DC">
        <w:rPr>
          <w:b/>
          <w:spacing w:val="-2"/>
          <w:sz w:val="18"/>
          <w:lang w:val="en-GB"/>
        </w:rPr>
        <w:t>dwelling stocks</w:t>
      </w:r>
      <w:r w:rsidRPr="00281994">
        <w:rPr>
          <w:b/>
          <w:spacing w:val="-2"/>
          <w:sz w:val="18"/>
          <w:lang w:val="en-GB"/>
        </w:rPr>
        <w:t xml:space="preserve"> – as of 31.12</w:t>
      </w:r>
      <w:r w:rsidR="004C203A">
        <w:rPr>
          <w:b/>
          <w:spacing w:val="-2"/>
          <w:sz w:val="18"/>
          <w:lang w:val="en-GB"/>
        </w:rPr>
        <w:t>.2019</w:t>
      </w:r>
    </w:p>
    <w:p w:rsidR="00581B78" w:rsidRPr="00281994" w:rsidRDefault="00581B78" w:rsidP="00581B78">
      <w:pPr>
        <w:spacing w:before="0" w:after="0"/>
        <w:rPr>
          <w:rFonts w:eastAsia="Times New Roman" w:cs="Times New Roman"/>
          <w:bCs/>
          <w:color w:val="001D77"/>
          <w:szCs w:val="19"/>
          <w:lang w:val="en-GB" w:eastAsia="pl-PL"/>
        </w:rPr>
      </w:pPr>
    </w:p>
    <w:tbl>
      <w:tblPr>
        <w:tblW w:w="795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126"/>
        <w:gridCol w:w="1416"/>
        <w:gridCol w:w="1418"/>
        <w:gridCol w:w="1497"/>
        <w:gridCol w:w="1419"/>
        <w:gridCol w:w="82"/>
      </w:tblGrid>
      <w:tr w:rsidR="005753F2" w:rsidRPr="00781CE2" w:rsidTr="004846CA">
        <w:trPr>
          <w:trHeight w:val="315"/>
        </w:trPr>
        <w:tc>
          <w:tcPr>
            <w:tcW w:w="2126" w:type="dxa"/>
            <w:vMerge w:val="restart"/>
            <w:tcBorders>
              <w:top w:val="nil"/>
            </w:tcBorders>
            <w:shd w:val="clear" w:color="auto" w:fill="auto"/>
            <w:vAlign w:val="center"/>
            <w:hideMark/>
          </w:tcPr>
          <w:p w:rsidR="005753F2" w:rsidRPr="00781CE2" w:rsidRDefault="00DB47DC" w:rsidP="004846CA">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1416" w:type="dxa"/>
            <w:vMerge w:val="restart"/>
            <w:tcBorders>
              <w:top w:val="nil"/>
              <w:right w:val="single" w:sz="4" w:space="0" w:color="auto"/>
            </w:tcBorders>
            <w:shd w:val="clear" w:color="auto" w:fill="auto"/>
            <w:vAlign w:val="center"/>
            <w:hideMark/>
          </w:tcPr>
          <w:p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2915" w:type="dxa"/>
            <w:gridSpan w:val="2"/>
            <w:tcBorders>
              <w:top w:val="nil"/>
            </w:tcBorders>
            <w:shd w:val="clear" w:color="auto" w:fill="auto"/>
            <w:vAlign w:val="center"/>
          </w:tcPr>
          <w:p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 xml:space="preserve">For </w:t>
            </w:r>
            <w:proofErr w:type="spellStart"/>
            <w:r>
              <w:rPr>
                <w:rFonts w:eastAsia="Times New Roman" w:cs="Calibri"/>
                <w:sz w:val="16"/>
                <w:szCs w:val="16"/>
                <w:lang w:eastAsia="pl-PL"/>
              </w:rPr>
              <w:t>social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renting</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premises</w:t>
            </w:r>
            <w:proofErr w:type="spellEnd"/>
            <w:r w:rsidR="004846CA">
              <w:rPr>
                <w:rStyle w:val="Odwoanieprzypisudolnego"/>
                <w:rFonts w:eastAsia="Times New Roman" w:cs="Calibri"/>
                <w:sz w:val="16"/>
                <w:szCs w:val="16"/>
                <w:lang w:eastAsia="pl-PL"/>
              </w:rPr>
              <w:footnoteReference w:id="3"/>
            </w:r>
          </w:p>
        </w:tc>
        <w:tc>
          <w:tcPr>
            <w:tcW w:w="1501" w:type="dxa"/>
            <w:gridSpan w:val="2"/>
            <w:vMerge w:val="restart"/>
            <w:tcBorders>
              <w:top w:val="nil"/>
              <w:left w:val="single" w:sz="4" w:space="0" w:color="auto"/>
            </w:tcBorders>
            <w:shd w:val="clear" w:color="auto" w:fill="auto"/>
            <w:vAlign w:val="center"/>
          </w:tcPr>
          <w:p w:rsidR="005753F2" w:rsidRPr="00781CE2" w:rsidRDefault="00D52BF4" w:rsidP="004846CA">
            <w:pPr>
              <w:spacing w:before="0" w:after="0"/>
              <w:jc w:val="center"/>
              <w:rPr>
                <w:rFonts w:eastAsia="Times New Roman" w:cs="Calibri"/>
                <w:sz w:val="16"/>
                <w:szCs w:val="16"/>
                <w:lang w:eastAsia="pl-PL"/>
              </w:rPr>
            </w:pPr>
            <w:r>
              <w:rPr>
                <w:rFonts w:eastAsia="Times New Roman" w:cs="Calibri"/>
                <w:sz w:val="16"/>
                <w:szCs w:val="16"/>
                <w:lang w:eastAsia="pl-PL"/>
              </w:rPr>
              <w:t xml:space="preserve">For </w:t>
            </w:r>
            <w:proofErr w:type="spellStart"/>
            <w:r w:rsidR="00DB47DC" w:rsidRPr="00DB47DC">
              <w:rPr>
                <w:rFonts w:eastAsia="Times New Roman" w:cs="Calibri"/>
                <w:sz w:val="16"/>
                <w:szCs w:val="16"/>
                <w:lang w:eastAsia="pl-PL"/>
              </w:rPr>
              <w:t>temporary</w:t>
            </w:r>
            <w:proofErr w:type="spellEnd"/>
            <w:r w:rsidR="00DB47DC" w:rsidRPr="00DB47DC">
              <w:rPr>
                <w:rFonts w:eastAsia="Times New Roman" w:cs="Calibri"/>
                <w:sz w:val="16"/>
                <w:szCs w:val="16"/>
                <w:lang w:eastAsia="pl-PL"/>
              </w:rPr>
              <w:t xml:space="preserve"> </w:t>
            </w:r>
            <w:proofErr w:type="spellStart"/>
            <w:r w:rsidR="00DB47DC" w:rsidRPr="00DB47DC">
              <w:rPr>
                <w:rFonts w:eastAsia="Times New Roman" w:cs="Calibri"/>
                <w:sz w:val="16"/>
                <w:szCs w:val="16"/>
                <w:lang w:eastAsia="pl-PL"/>
              </w:rPr>
              <w:t>premises</w:t>
            </w:r>
            <w:proofErr w:type="spellEnd"/>
            <w:r w:rsidR="00DB47DC">
              <w:rPr>
                <w:rFonts w:eastAsia="Times New Roman" w:cs="Calibri"/>
                <w:sz w:val="16"/>
                <w:szCs w:val="16"/>
                <w:lang w:eastAsia="pl-PL"/>
              </w:rPr>
              <w:t xml:space="preserve"> </w:t>
            </w:r>
            <w:proofErr w:type="spellStart"/>
            <w:r w:rsidR="00DB47DC">
              <w:rPr>
                <w:rFonts w:eastAsia="Times New Roman" w:cs="Calibri"/>
                <w:sz w:val="16"/>
                <w:szCs w:val="16"/>
                <w:lang w:eastAsia="pl-PL"/>
              </w:rPr>
              <w:t>renting</w:t>
            </w:r>
            <w:proofErr w:type="spellEnd"/>
          </w:p>
        </w:tc>
      </w:tr>
      <w:tr w:rsidR="005753F2" w:rsidRPr="00AA7AD5" w:rsidTr="004846CA">
        <w:trPr>
          <w:trHeight w:val="315"/>
        </w:trPr>
        <w:tc>
          <w:tcPr>
            <w:tcW w:w="2126" w:type="dxa"/>
            <w:vMerge/>
            <w:tcBorders>
              <w:bottom w:val="single" w:sz="12" w:space="0" w:color="001D77"/>
            </w:tcBorders>
            <w:shd w:val="clear" w:color="auto" w:fill="auto"/>
            <w:vAlign w:val="center"/>
          </w:tcPr>
          <w:p w:rsidR="005753F2" w:rsidRPr="00781CE2" w:rsidRDefault="005753F2" w:rsidP="004846CA">
            <w:pPr>
              <w:spacing w:before="0" w:after="0"/>
              <w:jc w:val="center"/>
              <w:rPr>
                <w:rFonts w:eastAsia="Times New Roman" w:cs="Calibri"/>
                <w:sz w:val="16"/>
                <w:szCs w:val="16"/>
                <w:lang w:eastAsia="pl-PL"/>
              </w:rPr>
            </w:pPr>
          </w:p>
        </w:tc>
        <w:tc>
          <w:tcPr>
            <w:tcW w:w="1416" w:type="dxa"/>
            <w:vMerge/>
            <w:tcBorders>
              <w:bottom w:val="single" w:sz="12" w:space="0" w:color="001D77"/>
              <w:right w:val="single" w:sz="4" w:space="0" w:color="auto"/>
            </w:tcBorders>
            <w:shd w:val="clear" w:color="auto" w:fill="auto"/>
            <w:vAlign w:val="center"/>
          </w:tcPr>
          <w:p w:rsidR="005753F2" w:rsidRPr="00781CE2" w:rsidRDefault="005753F2" w:rsidP="004846CA">
            <w:pPr>
              <w:spacing w:before="0" w:after="0"/>
              <w:jc w:val="center"/>
              <w:rPr>
                <w:rFonts w:eastAsia="Times New Roman" w:cs="Calibri"/>
                <w:sz w:val="16"/>
                <w:szCs w:val="16"/>
                <w:lang w:eastAsia="pl-PL"/>
              </w:rPr>
            </w:pPr>
          </w:p>
        </w:tc>
        <w:tc>
          <w:tcPr>
            <w:tcW w:w="1418" w:type="dxa"/>
            <w:tcBorders>
              <w:bottom w:val="single" w:sz="12" w:space="0" w:color="001D77"/>
              <w:right w:val="single" w:sz="4" w:space="0" w:color="auto"/>
            </w:tcBorders>
            <w:shd w:val="clear" w:color="auto" w:fill="auto"/>
            <w:vAlign w:val="center"/>
          </w:tcPr>
          <w:p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97" w:type="dxa"/>
            <w:tcBorders>
              <w:top w:val="single" w:sz="4" w:space="0" w:color="001D77"/>
              <w:left w:val="single" w:sz="4" w:space="0" w:color="auto"/>
              <w:bottom w:val="single" w:sz="12" w:space="0" w:color="001D77"/>
              <w:right w:val="single" w:sz="4" w:space="0" w:color="auto"/>
            </w:tcBorders>
            <w:shd w:val="clear" w:color="auto" w:fill="auto"/>
            <w:vAlign w:val="center"/>
          </w:tcPr>
          <w:p w:rsidR="005753F2" w:rsidRPr="002D6A12" w:rsidRDefault="00DB47DC" w:rsidP="004846CA">
            <w:pPr>
              <w:spacing w:before="0" w:after="0"/>
              <w:jc w:val="center"/>
              <w:rPr>
                <w:rFonts w:eastAsia="Times New Roman" w:cs="Calibri"/>
                <w:sz w:val="16"/>
                <w:szCs w:val="16"/>
                <w:lang w:val="en-GB" w:eastAsia="pl-PL"/>
              </w:rPr>
            </w:pPr>
            <w:r w:rsidRPr="002D6A12">
              <w:rPr>
                <w:rFonts w:eastAsia="Times New Roman" w:cs="Calibri"/>
                <w:sz w:val="16"/>
                <w:szCs w:val="16"/>
                <w:lang w:val="en-GB" w:eastAsia="pl-PL"/>
              </w:rPr>
              <w:t>Of which execution of eviction sentences</w:t>
            </w:r>
          </w:p>
        </w:tc>
        <w:tc>
          <w:tcPr>
            <w:tcW w:w="1501" w:type="dxa"/>
            <w:gridSpan w:val="2"/>
            <w:vMerge/>
            <w:tcBorders>
              <w:left w:val="single" w:sz="4" w:space="0" w:color="auto"/>
              <w:bottom w:val="single" w:sz="12" w:space="0" w:color="001D77"/>
            </w:tcBorders>
            <w:shd w:val="clear" w:color="auto" w:fill="auto"/>
            <w:vAlign w:val="center"/>
          </w:tcPr>
          <w:p w:rsidR="005753F2" w:rsidRPr="002D6A12" w:rsidRDefault="005753F2" w:rsidP="004846CA">
            <w:pPr>
              <w:spacing w:before="0" w:after="0"/>
              <w:jc w:val="center"/>
              <w:rPr>
                <w:rFonts w:eastAsia="Times New Roman" w:cs="Calibri"/>
                <w:sz w:val="16"/>
                <w:szCs w:val="16"/>
                <w:lang w:val="en-GB" w:eastAsia="pl-PL"/>
              </w:rPr>
            </w:pPr>
          </w:p>
        </w:tc>
      </w:tr>
      <w:tr w:rsidR="005753F2" w:rsidRPr="00781CE2" w:rsidTr="004846CA">
        <w:trPr>
          <w:gridAfter w:val="1"/>
          <w:wAfter w:w="82" w:type="dxa"/>
          <w:trHeight w:val="330"/>
        </w:trPr>
        <w:tc>
          <w:tcPr>
            <w:tcW w:w="7876" w:type="dxa"/>
            <w:gridSpan w:val="5"/>
            <w:tcBorders>
              <w:top w:val="single" w:sz="12" w:space="0" w:color="001D77"/>
              <w:bottom w:val="single" w:sz="4" w:space="0" w:color="001D77"/>
            </w:tcBorders>
            <w:shd w:val="clear" w:color="auto" w:fill="auto"/>
            <w:vAlign w:val="center"/>
          </w:tcPr>
          <w:p w:rsidR="005753F2" w:rsidRPr="00781CE2" w:rsidRDefault="00DB47DC" w:rsidP="004846CA">
            <w:pPr>
              <w:spacing w:before="0" w:after="0"/>
              <w:jc w:val="center"/>
              <w:rPr>
                <w:rFonts w:eastAsia="Times New Roman" w:cs="Calibri"/>
                <w:sz w:val="16"/>
                <w:szCs w:val="16"/>
                <w:lang w:eastAsia="pl-PL"/>
              </w:rPr>
            </w:pPr>
            <w:r>
              <w:rPr>
                <w:rFonts w:eastAsia="Times New Roman" w:cs="Calibri"/>
                <w:sz w:val="16"/>
                <w:szCs w:val="16"/>
                <w:lang w:eastAsia="pl-PL"/>
              </w:rPr>
              <w:t xml:space="preserve">In </w:t>
            </w:r>
            <w:proofErr w:type="spellStart"/>
            <w:r>
              <w:rPr>
                <w:rFonts w:eastAsia="Times New Roman" w:cs="Calibri"/>
                <w:sz w:val="16"/>
                <w:szCs w:val="16"/>
                <w:lang w:eastAsia="pl-PL"/>
              </w:rPr>
              <w:t>absolute</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numbers</w:t>
            </w:r>
            <w:proofErr w:type="spellEnd"/>
          </w:p>
        </w:tc>
      </w:tr>
      <w:tr w:rsidR="005753F2" w:rsidRPr="00781CE2" w:rsidTr="004846CA">
        <w:trPr>
          <w:trHeight w:val="330"/>
        </w:trPr>
        <w:tc>
          <w:tcPr>
            <w:tcW w:w="2126" w:type="dxa"/>
            <w:tcBorders>
              <w:top w:val="single" w:sz="4" w:space="0" w:color="2F5496" w:themeColor="accent5" w:themeShade="BF"/>
              <w:bottom w:val="single" w:sz="4" w:space="0" w:color="2F5496" w:themeColor="accent5" w:themeShade="BF"/>
            </w:tcBorders>
            <w:shd w:val="clear" w:color="auto" w:fill="auto"/>
            <w:vAlign w:val="center"/>
            <w:hideMark/>
          </w:tcPr>
          <w:p w:rsidR="005753F2" w:rsidRPr="00781CE2" w:rsidRDefault="00DB47DC" w:rsidP="004846CA">
            <w:pPr>
              <w:spacing w:before="0" w:after="0"/>
              <w:rPr>
                <w:rFonts w:eastAsia="Times New Roman" w:cs="Calibri"/>
                <w:sz w:val="16"/>
                <w:szCs w:val="16"/>
                <w:lang w:eastAsia="pl-PL"/>
              </w:rPr>
            </w:pPr>
            <w:r>
              <w:rPr>
                <w:rFonts w:eastAsia="Times New Roman" w:cs="Calibri"/>
                <w:sz w:val="16"/>
                <w:szCs w:val="16"/>
                <w:lang w:eastAsia="pl-PL"/>
              </w:rPr>
              <w:t>Poland</w:t>
            </w:r>
          </w:p>
        </w:tc>
        <w:tc>
          <w:tcPr>
            <w:tcW w:w="1416" w:type="dxa"/>
            <w:tcBorders>
              <w:top w:val="single" w:sz="4" w:space="0" w:color="001D77"/>
              <w:bottom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150 579</w:t>
            </w:r>
          </w:p>
        </w:tc>
        <w:tc>
          <w:tcPr>
            <w:tcW w:w="1418" w:type="dxa"/>
            <w:tcBorders>
              <w:top w:val="single" w:sz="4" w:space="0" w:color="001D77"/>
              <w:bottom w:val="single" w:sz="4" w:space="0" w:color="2F5496" w:themeColor="accent5" w:themeShade="BF"/>
            </w:tcBorders>
            <w:shd w:val="clear" w:color="auto" w:fill="auto"/>
            <w:vAlign w:val="bottom"/>
          </w:tcPr>
          <w:p w:rsidR="005753F2" w:rsidRPr="00781CE2" w:rsidRDefault="005753F2" w:rsidP="004846CA">
            <w:pPr>
              <w:jc w:val="right"/>
              <w:rPr>
                <w:sz w:val="16"/>
                <w:szCs w:val="16"/>
              </w:rPr>
            </w:pPr>
            <w:r w:rsidRPr="00781CE2">
              <w:rPr>
                <w:sz w:val="16"/>
                <w:szCs w:val="16"/>
              </w:rPr>
              <w:t>81 214</w:t>
            </w:r>
          </w:p>
        </w:tc>
        <w:tc>
          <w:tcPr>
            <w:tcW w:w="1497" w:type="dxa"/>
            <w:tcBorders>
              <w:top w:val="single" w:sz="4" w:space="0" w:color="001D77"/>
              <w:bottom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47 644</w:t>
            </w:r>
          </w:p>
        </w:tc>
        <w:tc>
          <w:tcPr>
            <w:tcW w:w="1501" w:type="dxa"/>
            <w:gridSpan w:val="2"/>
            <w:tcBorders>
              <w:top w:val="single" w:sz="4" w:space="0" w:color="001D77"/>
              <w:bottom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17 891</w:t>
            </w:r>
          </w:p>
        </w:tc>
      </w:tr>
      <w:tr w:rsidR="005753F2" w:rsidRPr="00781CE2" w:rsidTr="004846CA">
        <w:trPr>
          <w:trHeight w:val="315"/>
        </w:trPr>
        <w:tc>
          <w:tcPr>
            <w:tcW w:w="2126" w:type="dxa"/>
            <w:tcBorders>
              <w:top w:val="single" w:sz="4" w:space="0" w:color="2F5496" w:themeColor="accent5" w:themeShade="BF"/>
              <w:bottom w:val="single" w:sz="4" w:space="0" w:color="2F5496" w:themeColor="accent5" w:themeShade="BF"/>
            </w:tcBorders>
            <w:shd w:val="clear" w:color="auto" w:fill="auto"/>
            <w:vAlign w:val="center"/>
            <w:hideMark/>
          </w:tcPr>
          <w:p w:rsidR="005753F2" w:rsidRPr="00781CE2" w:rsidRDefault="00DB47DC" w:rsidP="004846CA">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130 066</w:t>
            </w:r>
          </w:p>
        </w:tc>
        <w:tc>
          <w:tcPr>
            <w:tcW w:w="1418" w:type="dxa"/>
            <w:tcBorders>
              <w:top w:val="single" w:sz="4" w:space="0" w:color="2F5496" w:themeColor="accent5" w:themeShade="BF"/>
              <w:bottom w:val="single" w:sz="4" w:space="0" w:color="2F5496" w:themeColor="accent5" w:themeShade="BF"/>
            </w:tcBorders>
            <w:shd w:val="clear" w:color="auto" w:fill="auto"/>
            <w:vAlign w:val="bottom"/>
          </w:tcPr>
          <w:p w:rsidR="005753F2" w:rsidRPr="00781CE2" w:rsidRDefault="005753F2" w:rsidP="004846CA">
            <w:pPr>
              <w:jc w:val="right"/>
              <w:rPr>
                <w:sz w:val="16"/>
                <w:szCs w:val="16"/>
              </w:rPr>
            </w:pPr>
            <w:r w:rsidRPr="00781CE2">
              <w:rPr>
                <w:sz w:val="16"/>
                <w:szCs w:val="16"/>
              </w:rPr>
              <w:t>74 110</w:t>
            </w:r>
          </w:p>
        </w:tc>
        <w:tc>
          <w:tcPr>
            <w:tcW w:w="1497" w:type="dxa"/>
            <w:tcBorders>
              <w:top w:val="single" w:sz="4" w:space="0" w:color="2F5496" w:themeColor="accent5" w:themeShade="BF"/>
              <w:bottom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46 605</w:t>
            </w:r>
          </w:p>
        </w:tc>
        <w:tc>
          <w:tcPr>
            <w:tcW w:w="1501" w:type="dxa"/>
            <w:gridSpan w:val="2"/>
            <w:tcBorders>
              <w:top w:val="single" w:sz="4" w:space="0" w:color="2F5496" w:themeColor="accent5" w:themeShade="BF"/>
              <w:bottom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17 772</w:t>
            </w:r>
          </w:p>
        </w:tc>
      </w:tr>
      <w:tr w:rsidR="005753F2" w:rsidRPr="00781CE2" w:rsidTr="004846CA">
        <w:trPr>
          <w:trHeight w:val="315"/>
        </w:trPr>
        <w:tc>
          <w:tcPr>
            <w:tcW w:w="2126" w:type="dxa"/>
            <w:tcBorders>
              <w:top w:val="single" w:sz="4" w:space="0" w:color="2F5496" w:themeColor="accent5" w:themeShade="BF"/>
            </w:tcBorders>
            <w:shd w:val="clear" w:color="auto" w:fill="auto"/>
            <w:vAlign w:val="center"/>
          </w:tcPr>
          <w:p w:rsidR="005753F2" w:rsidRPr="00781CE2" w:rsidRDefault="00DB47DC" w:rsidP="004846CA">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shd w:val="clear" w:color="auto" w:fill="auto"/>
          </w:tcPr>
          <w:p w:rsidR="005753F2" w:rsidRPr="00781CE2" w:rsidRDefault="005753F2" w:rsidP="004846CA">
            <w:pPr>
              <w:jc w:val="right"/>
              <w:rPr>
                <w:sz w:val="16"/>
                <w:szCs w:val="16"/>
              </w:rPr>
            </w:pPr>
            <w:r w:rsidRPr="00781CE2">
              <w:rPr>
                <w:sz w:val="16"/>
                <w:szCs w:val="16"/>
              </w:rPr>
              <w:t>20 513</w:t>
            </w:r>
          </w:p>
        </w:tc>
        <w:tc>
          <w:tcPr>
            <w:tcW w:w="1418" w:type="dxa"/>
            <w:tcBorders>
              <w:top w:val="single" w:sz="4" w:space="0" w:color="2F5496" w:themeColor="accent5" w:themeShade="BF"/>
            </w:tcBorders>
            <w:shd w:val="clear" w:color="auto" w:fill="auto"/>
            <w:vAlign w:val="bottom"/>
          </w:tcPr>
          <w:p w:rsidR="005753F2" w:rsidRPr="00781CE2" w:rsidRDefault="005753F2" w:rsidP="004846CA">
            <w:pPr>
              <w:jc w:val="right"/>
              <w:rPr>
                <w:sz w:val="16"/>
                <w:szCs w:val="16"/>
              </w:rPr>
            </w:pPr>
            <w:r w:rsidRPr="00781CE2">
              <w:rPr>
                <w:sz w:val="16"/>
                <w:szCs w:val="16"/>
              </w:rPr>
              <w:t>7 104</w:t>
            </w:r>
          </w:p>
        </w:tc>
        <w:tc>
          <w:tcPr>
            <w:tcW w:w="1497" w:type="dxa"/>
            <w:tcBorders>
              <w:top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1 039</w:t>
            </w:r>
          </w:p>
        </w:tc>
        <w:tc>
          <w:tcPr>
            <w:tcW w:w="1501" w:type="dxa"/>
            <w:gridSpan w:val="2"/>
            <w:tcBorders>
              <w:top w:val="single" w:sz="4" w:space="0" w:color="2F5496" w:themeColor="accent5" w:themeShade="BF"/>
            </w:tcBorders>
            <w:shd w:val="clear" w:color="auto" w:fill="auto"/>
          </w:tcPr>
          <w:p w:rsidR="005753F2" w:rsidRPr="00781CE2" w:rsidRDefault="005753F2" w:rsidP="004846CA">
            <w:pPr>
              <w:jc w:val="right"/>
              <w:rPr>
                <w:sz w:val="16"/>
                <w:szCs w:val="16"/>
              </w:rPr>
            </w:pPr>
            <w:r w:rsidRPr="00781CE2">
              <w:rPr>
                <w:sz w:val="16"/>
                <w:szCs w:val="16"/>
              </w:rPr>
              <w:t>119</w:t>
            </w:r>
          </w:p>
        </w:tc>
      </w:tr>
      <w:tr w:rsidR="005753F2" w:rsidRPr="00781CE2" w:rsidTr="004846CA">
        <w:trPr>
          <w:gridAfter w:val="1"/>
          <w:wAfter w:w="82" w:type="dxa"/>
          <w:trHeight w:val="315"/>
        </w:trPr>
        <w:tc>
          <w:tcPr>
            <w:tcW w:w="7876" w:type="dxa"/>
            <w:gridSpan w:val="5"/>
            <w:tcBorders>
              <w:top w:val="single" w:sz="4" w:space="0" w:color="2F5496" w:themeColor="accent5" w:themeShade="BF"/>
              <w:bottom w:val="single" w:sz="4" w:space="0" w:color="001D77"/>
            </w:tcBorders>
            <w:shd w:val="clear" w:color="auto" w:fill="auto"/>
            <w:vAlign w:val="center"/>
          </w:tcPr>
          <w:p w:rsidR="005753F2" w:rsidRPr="00781CE2" w:rsidRDefault="005753F2" w:rsidP="004846CA">
            <w:pPr>
              <w:spacing w:before="0" w:after="0"/>
              <w:jc w:val="center"/>
              <w:rPr>
                <w:rFonts w:eastAsia="Times New Roman" w:cs="Calibri"/>
                <w:sz w:val="16"/>
                <w:szCs w:val="16"/>
                <w:lang w:eastAsia="pl-PL"/>
              </w:rPr>
            </w:pPr>
            <w:r w:rsidRPr="00781CE2">
              <w:rPr>
                <w:rFonts w:eastAsia="Times New Roman" w:cs="Calibri"/>
                <w:sz w:val="16"/>
                <w:szCs w:val="16"/>
                <w:lang w:eastAsia="pl-PL"/>
              </w:rPr>
              <w:t>Pol</w:t>
            </w:r>
            <w:r w:rsidR="00DB47DC">
              <w:rPr>
                <w:rFonts w:eastAsia="Times New Roman" w:cs="Calibri"/>
                <w:sz w:val="16"/>
                <w:szCs w:val="16"/>
                <w:lang w:eastAsia="pl-PL"/>
              </w:rPr>
              <w:t>and</w:t>
            </w:r>
            <w:r w:rsidRPr="00781CE2">
              <w:rPr>
                <w:rFonts w:eastAsia="Times New Roman" w:cs="Calibri"/>
                <w:sz w:val="16"/>
                <w:szCs w:val="16"/>
                <w:lang w:eastAsia="pl-PL"/>
              </w:rPr>
              <w:t xml:space="preserve"> = 100%</w:t>
            </w:r>
          </w:p>
        </w:tc>
      </w:tr>
      <w:tr w:rsidR="005753F2" w:rsidRPr="00781CE2" w:rsidTr="004846CA">
        <w:trPr>
          <w:trHeight w:val="315"/>
        </w:trPr>
        <w:tc>
          <w:tcPr>
            <w:tcW w:w="2126" w:type="dxa"/>
            <w:tcBorders>
              <w:top w:val="single" w:sz="4" w:space="0" w:color="2F5496" w:themeColor="accent5" w:themeShade="BF"/>
              <w:bottom w:val="single" w:sz="4" w:space="0" w:color="2F5496" w:themeColor="accent5" w:themeShade="BF"/>
              <w:right w:val="single" w:sz="4" w:space="0" w:color="001D77"/>
            </w:tcBorders>
            <w:shd w:val="clear" w:color="auto" w:fill="auto"/>
            <w:vAlign w:val="center"/>
          </w:tcPr>
          <w:p w:rsidR="005753F2" w:rsidRPr="00781CE2" w:rsidRDefault="00DB47DC" w:rsidP="004846CA">
            <w:pPr>
              <w:spacing w:before="0" w:after="0"/>
              <w:rPr>
                <w:rFonts w:eastAsia="Times New Roman" w:cs="Calibri"/>
                <w:sz w:val="16"/>
                <w:szCs w:val="16"/>
                <w:lang w:eastAsia="pl-PL"/>
              </w:rPr>
            </w:pPr>
            <w:r>
              <w:rPr>
                <w:rFonts w:eastAsia="Times New Roman" w:cs="Calibri"/>
                <w:sz w:val="16"/>
                <w:szCs w:val="16"/>
                <w:lang w:eastAsia="pl-PL"/>
              </w:rPr>
              <w:t xml:space="preserve">Urban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86</w:t>
            </w:r>
            <w:r w:rsidR="004846CA">
              <w:rPr>
                <w:rFonts w:eastAsia="Times New Roman" w:cs="Calibri"/>
                <w:sz w:val="16"/>
                <w:szCs w:val="16"/>
                <w:lang w:eastAsia="pl-PL"/>
              </w:rPr>
              <w:t>.</w:t>
            </w:r>
            <w:r w:rsidRPr="00781CE2">
              <w:rPr>
                <w:rFonts w:eastAsia="Times New Roman" w:cs="Calibri"/>
                <w:sz w:val="16"/>
                <w:szCs w:val="16"/>
                <w:lang w:eastAsia="pl-PL"/>
              </w:rPr>
              <w:t>4</w:t>
            </w:r>
          </w:p>
        </w:tc>
        <w:tc>
          <w:tcPr>
            <w:tcW w:w="1418"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91</w:t>
            </w:r>
            <w:r w:rsidR="004846CA">
              <w:rPr>
                <w:rFonts w:eastAsia="Times New Roman" w:cs="Calibri"/>
                <w:sz w:val="16"/>
                <w:szCs w:val="16"/>
                <w:lang w:eastAsia="pl-PL"/>
              </w:rPr>
              <w:t>.</w:t>
            </w:r>
            <w:r w:rsidRPr="00781CE2">
              <w:rPr>
                <w:rFonts w:eastAsia="Times New Roman" w:cs="Calibri"/>
                <w:sz w:val="16"/>
                <w:szCs w:val="16"/>
                <w:lang w:eastAsia="pl-PL"/>
              </w:rPr>
              <w:t>3</w:t>
            </w:r>
          </w:p>
        </w:tc>
        <w:tc>
          <w:tcPr>
            <w:tcW w:w="149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97</w:t>
            </w:r>
            <w:r w:rsidR="004846CA">
              <w:rPr>
                <w:rFonts w:eastAsia="Times New Roman" w:cs="Calibri"/>
                <w:sz w:val="16"/>
                <w:szCs w:val="16"/>
                <w:lang w:eastAsia="pl-PL"/>
              </w:rPr>
              <w:t>.</w:t>
            </w:r>
            <w:r w:rsidRPr="00781CE2">
              <w:rPr>
                <w:rFonts w:eastAsia="Times New Roman" w:cs="Calibri"/>
                <w:sz w:val="16"/>
                <w:szCs w:val="16"/>
                <w:lang w:eastAsia="pl-PL"/>
              </w:rPr>
              <w:t>8</w:t>
            </w:r>
          </w:p>
        </w:tc>
        <w:tc>
          <w:tcPr>
            <w:tcW w:w="1501" w:type="dxa"/>
            <w:gridSpan w:val="2"/>
            <w:tcBorders>
              <w:top w:val="single" w:sz="4" w:space="0" w:color="2F5496" w:themeColor="accent5" w:themeShade="BF"/>
              <w:left w:val="single" w:sz="4" w:space="0" w:color="001D77"/>
              <w:bottom w:val="single" w:sz="4" w:space="0" w:color="2F5496" w:themeColor="accent5" w:themeShade="BF"/>
            </w:tcBorders>
            <w:shd w:val="clear" w:color="auto" w:fill="auto"/>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99</w:t>
            </w:r>
            <w:r w:rsidR="004846CA">
              <w:rPr>
                <w:rFonts w:eastAsia="Times New Roman" w:cs="Calibri"/>
                <w:sz w:val="16"/>
                <w:szCs w:val="16"/>
                <w:lang w:eastAsia="pl-PL"/>
              </w:rPr>
              <w:t>.</w:t>
            </w:r>
            <w:r w:rsidRPr="00781CE2">
              <w:rPr>
                <w:rFonts w:eastAsia="Times New Roman" w:cs="Calibri"/>
                <w:sz w:val="16"/>
                <w:szCs w:val="16"/>
                <w:lang w:eastAsia="pl-PL"/>
              </w:rPr>
              <w:t>3</w:t>
            </w:r>
          </w:p>
        </w:tc>
      </w:tr>
      <w:tr w:rsidR="005753F2" w:rsidRPr="00781CE2" w:rsidTr="004846CA">
        <w:trPr>
          <w:trHeight w:val="315"/>
        </w:trPr>
        <w:tc>
          <w:tcPr>
            <w:tcW w:w="2126" w:type="dxa"/>
            <w:tcBorders>
              <w:top w:val="single" w:sz="4" w:space="0" w:color="2F5496" w:themeColor="accent5" w:themeShade="BF"/>
              <w:right w:val="single" w:sz="4" w:space="0" w:color="001D77"/>
            </w:tcBorders>
            <w:shd w:val="clear" w:color="auto" w:fill="auto"/>
            <w:vAlign w:val="center"/>
          </w:tcPr>
          <w:p w:rsidR="005753F2" w:rsidRPr="00781CE2" w:rsidRDefault="00DB47DC" w:rsidP="004846CA">
            <w:pPr>
              <w:spacing w:before="0" w:after="0"/>
              <w:rPr>
                <w:rFonts w:eastAsia="Times New Roman" w:cs="Calibri"/>
                <w:sz w:val="16"/>
                <w:szCs w:val="16"/>
                <w:lang w:eastAsia="pl-PL"/>
              </w:rPr>
            </w:pPr>
            <w:proofErr w:type="spellStart"/>
            <w:r>
              <w:rPr>
                <w:rFonts w:eastAsia="Times New Roman" w:cs="Calibri"/>
                <w:sz w:val="16"/>
                <w:szCs w:val="16"/>
                <w:lang w:eastAsia="pl-PL"/>
              </w:rPr>
              <w:t>Rural</w:t>
            </w:r>
            <w:proofErr w:type="spellEnd"/>
            <w:r>
              <w:rPr>
                <w:rFonts w:eastAsia="Times New Roman" w:cs="Calibri"/>
                <w:sz w:val="16"/>
                <w:szCs w:val="16"/>
                <w:lang w:eastAsia="pl-PL"/>
              </w:rPr>
              <w:t xml:space="preserve"> </w:t>
            </w:r>
            <w:proofErr w:type="spellStart"/>
            <w:r>
              <w:rPr>
                <w:rFonts w:eastAsia="Times New Roman" w:cs="Calibri"/>
                <w:sz w:val="16"/>
                <w:szCs w:val="16"/>
                <w:lang w:eastAsia="pl-PL"/>
              </w:rPr>
              <w:t>areas</w:t>
            </w:r>
            <w:proofErr w:type="spellEnd"/>
          </w:p>
        </w:tc>
        <w:tc>
          <w:tcPr>
            <w:tcW w:w="1416" w:type="dxa"/>
            <w:tcBorders>
              <w:top w:val="single" w:sz="4" w:space="0" w:color="2F5496" w:themeColor="accent5" w:themeShade="BF"/>
              <w:left w:val="single" w:sz="4" w:space="0" w:color="001D77"/>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13</w:t>
            </w:r>
            <w:r w:rsidR="004846CA">
              <w:rPr>
                <w:rFonts w:eastAsia="Times New Roman" w:cs="Calibri"/>
                <w:sz w:val="16"/>
                <w:szCs w:val="16"/>
                <w:lang w:eastAsia="pl-PL"/>
              </w:rPr>
              <w:t>.</w:t>
            </w:r>
            <w:r w:rsidRPr="00781CE2">
              <w:rPr>
                <w:rFonts w:eastAsia="Times New Roman" w:cs="Calibri"/>
                <w:sz w:val="16"/>
                <w:szCs w:val="16"/>
                <w:lang w:eastAsia="pl-PL"/>
              </w:rPr>
              <w:t>6</w:t>
            </w:r>
          </w:p>
        </w:tc>
        <w:tc>
          <w:tcPr>
            <w:tcW w:w="1418" w:type="dxa"/>
            <w:tcBorders>
              <w:top w:val="single" w:sz="4" w:space="0" w:color="2F5496" w:themeColor="accent5" w:themeShade="BF"/>
              <w:left w:val="single" w:sz="4" w:space="0" w:color="001D77"/>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8</w:t>
            </w:r>
            <w:r w:rsidR="004846CA">
              <w:rPr>
                <w:rFonts w:eastAsia="Times New Roman" w:cs="Calibri"/>
                <w:sz w:val="16"/>
                <w:szCs w:val="16"/>
                <w:lang w:eastAsia="pl-PL"/>
              </w:rPr>
              <w:t>.</w:t>
            </w:r>
            <w:r w:rsidRPr="00781CE2">
              <w:rPr>
                <w:rFonts w:eastAsia="Times New Roman" w:cs="Calibri"/>
                <w:sz w:val="16"/>
                <w:szCs w:val="16"/>
                <w:lang w:eastAsia="pl-PL"/>
              </w:rPr>
              <w:t>7</w:t>
            </w:r>
          </w:p>
        </w:tc>
        <w:tc>
          <w:tcPr>
            <w:tcW w:w="1497" w:type="dxa"/>
            <w:tcBorders>
              <w:top w:val="single" w:sz="4" w:space="0" w:color="2F5496" w:themeColor="accent5" w:themeShade="BF"/>
              <w:left w:val="single" w:sz="4" w:space="0" w:color="001D77"/>
              <w:right w:val="single" w:sz="4" w:space="0" w:color="001D77"/>
            </w:tcBorders>
            <w:shd w:val="clear" w:color="auto" w:fill="auto"/>
            <w:vAlign w:val="center"/>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2</w:t>
            </w:r>
            <w:r w:rsidR="004846CA">
              <w:rPr>
                <w:rFonts w:eastAsia="Times New Roman" w:cs="Calibri"/>
                <w:sz w:val="16"/>
                <w:szCs w:val="16"/>
                <w:lang w:eastAsia="pl-PL"/>
              </w:rPr>
              <w:t>.</w:t>
            </w:r>
            <w:r w:rsidRPr="00781CE2">
              <w:rPr>
                <w:rFonts w:eastAsia="Times New Roman" w:cs="Calibri"/>
                <w:sz w:val="16"/>
                <w:szCs w:val="16"/>
                <w:lang w:eastAsia="pl-PL"/>
              </w:rPr>
              <w:t>2</w:t>
            </w:r>
          </w:p>
        </w:tc>
        <w:tc>
          <w:tcPr>
            <w:tcW w:w="1501" w:type="dxa"/>
            <w:gridSpan w:val="2"/>
            <w:tcBorders>
              <w:top w:val="single" w:sz="4" w:space="0" w:color="2F5496" w:themeColor="accent5" w:themeShade="BF"/>
              <w:left w:val="single" w:sz="4" w:space="0" w:color="001D77"/>
            </w:tcBorders>
            <w:shd w:val="clear" w:color="auto" w:fill="auto"/>
          </w:tcPr>
          <w:p w:rsidR="005753F2" w:rsidRPr="00781CE2" w:rsidRDefault="005753F2" w:rsidP="004846CA">
            <w:pPr>
              <w:spacing w:before="0" w:after="0"/>
              <w:jc w:val="right"/>
              <w:rPr>
                <w:rFonts w:eastAsia="Times New Roman" w:cs="Calibri"/>
                <w:sz w:val="16"/>
                <w:szCs w:val="16"/>
                <w:lang w:eastAsia="pl-PL"/>
              </w:rPr>
            </w:pPr>
            <w:r w:rsidRPr="00781CE2">
              <w:rPr>
                <w:rFonts w:eastAsia="Times New Roman" w:cs="Calibri"/>
                <w:sz w:val="16"/>
                <w:szCs w:val="16"/>
                <w:lang w:eastAsia="pl-PL"/>
              </w:rPr>
              <w:t>0</w:t>
            </w:r>
            <w:r w:rsidR="004846CA">
              <w:rPr>
                <w:rFonts w:eastAsia="Times New Roman" w:cs="Calibri"/>
                <w:sz w:val="16"/>
                <w:szCs w:val="16"/>
                <w:lang w:eastAsia="pl-PL"/>
              </w:rPr>
              <w:t>.</w:t>
            </w:r>
            <w:r w:rsidRPr="00781CE2">
              <w:rPr>
                <w:rFonts w:eastAsia="Times New Roman" w:cs="Calibri"/>
                <w:sz w:val="16"/>
                <w:szCs w:val="16"/>
                <w:lang w:eastAsia="pl-PL"/>
              </w:rPr>
              <w:t>7</w:t>
            </w:r>
          </w:p>
        </w:tc>
      </w:tr>
    </w:tbl>
    <w:p w:rsidR="00581B78" w:rsidRDefault="00581B78" w:rsidP="00581B78">
      <w:pPr>
        <w:spacing w:after="0" w:line="240" w:lineRule="auto"/>
        <w:rPr>
          <w:shd w:val="clear" w:color="auto" w:fill="FFFFFF"/>
        </w:rPr>
      </w:pPr>
    </w:p>
    <w:p w:rsidR="00581B78" w:rsidRPr="003831DD" w:rsidRDefault="00581B78" w:rsidP="00581B78">
      <w:pPr>
        <w:spacing w:after="0" w:line="240" w:lineRule="auto"/>
        <w:rPr>
          <w:rFonts w:ascii="Fira Sans SemiBold" w:hAnsi="Fira Sans SemiBold"/>
        </w:rPr>
      </w:pPr>
      <w:r w:rsidRPr="003831DD">
        <w:rPr>
          <w:rFonts w:ascii="Fira Sans SemiBold" w:hAnsi="Fira Sans SemiBold"/>
          <w:noProof/>
          <w:color w:val="001D77"/>
          <w:spacing w:val="-2"/>
          <w:szCs w:val="19"/>
          <w:lang w:val="en-GB" w:eastAsia="en-GB"/>
        </w:rPr>
        <mc:AlternateContent>
          <mc:Choice Requires="wps">
            <w:drawing>
              <wp:anchor distT="45720" distB="45720" distL="114300" distR="114300" simplePos="0" relativeHeight="251787264" behindDoc="1" locked="0" layoutInCell="1" allowOverlap="1" wp14:anchorId="25802A99" wp14:editId="40EEEDD9">
                <wp:simplePos x="0" y="0"/>
                <wp:positionH relativeFrom="rightMargin">
                  <wp:posOffset>2070</wp:posOffset>
                </wp:positionH>
                <wp:positionV relativeFrom="paragraph">
                  <wp:posOffset>170042</wp:posOffset>
                </wp:positionV>
                <wp:extent cx="1667510" cy="877570"/>
                <wp:effectExtent l="0" t="0" r="0" b="0"/>
                <wp:wrapTight wrapText="bothSides">
                  <wp:wrapPolygon edited="0">
                    <wp:start x="740" y="0"/>
                    <wp:lineTo x="740" y="21100"/>
                    <wp:lineTo x="20728" y="21100"/>
                    <wp:lineTo x="20728" y="0"/>
                    <wp:lineTo x="74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877570"/>
                        </a:xfrm>
                        <a:prstGeom prst="rect">
                          <a:avLst/>
                        </a:prstGeom>
                        <a:noFill/>
                        <a:ln w="9525">
                          <a:noFill/>
                          <a:miter lim="800000"/>
                          <a:headEnd/>
                          <a:tailEnd/>
                        </a:ln>
                      </wps:spPr>
                      <wps:txb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1.0</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 while their amount – by 10</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.4</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02A99" id="Pole tekstowe 16" o:spid="_x0000_s1033" type="#_x0000_t202" style="position:absolute;margin-left:.15pt;margin-top:13.4pt;width:131.3pt;height:69.1pt;z-index:-2515292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" filled="f" stroked="f">
                <v:textbox>
                  <w:txbxContent>
                    <w:p w:rsidR="00C0111D" w:rsidRPr="00281994" w:rsidRDefault="00C0111D" w:rsidP="00581B78">
                      <w:pPr>
                        <w:pStyle w:val="tekstzboku"/>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decreased by 1</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1.0</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 while their amount – by 10</w:t>
                      </w:r>
                      <w:r>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.4</w:t>
                      </w:r>
                      <w:r w:rsidRPr="00281994">
                        <w:rPr>
                          <w:lang w:val="en-GB"/>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p>
                  </w:txbxContent>
                </v:textbox>
                <w10:wrap type="tight" anchorx="margin"/>
              </v:shape>
            </w:pict>
          </mc:Fallback>
        </mc:AlternateContent>
      </w:r>
      <w:proofErr w:type="spellStart"/>
      <w:r w:rsidRPr="003831DD">
        <w:rPr>
          <w:rFonts w:ascii="Fira Sans SemiBold" w:hAnsi="Fira Sans SemiBold"/>
          <w:color w:val="001D77"/>
        </w:rPr>
        <w:t>Housing</w:t>
      </w:r>
      <w:proofErr w:type="spellEnd"/>
      <w:r w:rsidRPr="003831DD">
        <w:rPr>
          <w:rFonts w:ascii="Fira Sans SemiBold" w:hAnsi="Fira Sans SemiBold"/>
          <w:color w:val="001D77"/>
        </w:rPr>
        <w:t xml:space="preserve"> </w:t>
      </w:r>
      <w:proofErr w:type="spellStart"/>
      <w:r w:rsidRPr="003831DD">
        <w:rPr>
          <w:rFonts w:ascii="Fira Sans SemiBold" w:hAnsi="Fira Sans SemiBold"/>
          <w:color w:val="001D77"/>
        </w:rPr>
        <w:t>allowances</w:t>
      </w:r>
      <w:proofErr w:type="spellEnd"/>
    </w:p>
    <w:p w:rsidR="00581B78" w:rsidRPr="00281994" w:rsidRDefault="00581B78" w:rsidP="00581B78">
      <w:pPr>
        <w:spacing w:after="0"/>
        <w:rPr>
          <w:shd w:val="clear" w:color="auto" w:fill="FFFFFF"/>
          <w:lang w:val="en-GB"/>
        </w:rPr>
      </w:pPr>
      <w:r w:rsidRPr="00281994">
        <w:rPr>
          <w:shd w:val="clear" w:color="auto" w:fill="FFFFFF"/>
          <w:lang w:val="en-GB"/>
        </w:rPr>
        <w:t>In 201</w:t>
      </w:r>
      <w:r w:rsidR="00DB47DC">
        <w:rPr>
          <w:shd w:val="clear" w:color="auto" w:fill="FFFFFF"/>
          <w:lang w:val="en-GB"/>
        </w:rPr>
        <w:t>9,</w:t>
      </w:r>
      <w:r w:rsidRPr="00281994">
        <w:rPr>
          <w:shd w:val="clear" w:color="auto" w:fill="FFFFFF"/>
          <w:lang w:val="en-GB"/>
        </w:rPr>
        <w:t xml:space="preserve"> approx. </w:t>
      </w:r>
      <w:r w:rsidR="00DB47DC">
        <w:rPr>
          <w:shd w:val="clear" w:color="auto" w:fill="FFFFFF"/>
          <w:lang w:val="en-GB"/>
        </w:rPr>
        <w:t>2.9</w:t>
      </w:r>
      <w:r w:rsidRPr="00281994">
        <w:rPr>
          <w:shd w:val="clear" w:color="auto" w:fill="FFFFFF"/>
          <w:lang w:val="en-GB"/>
        </w:rPr>
        <w:t xml:space="preserve"> million housing allowances for the total amount of PLN </w:t>
      </w:r>
      <w:r w:rsidR="00DB47DC">
        <w:rPr>
          <w:shd w:val="clear" w:color="auto" w:fill="FFFFFF"/>
          <w:lang w:val="en-GB"/>
        </w:rPr>
        <w:t>595.8</w:t>
      </w:r>
      <w:r w:rsidRPr="00281994">
        <w:rPr>
          <w:shd w:val="clear" w:color="auto" w:fill="FFFFFF"/>
          <w:lang w:val="en-GB"/>
        </w:rPr>
        <w:t xml:space="preserve"> million</w:t>
      </w:r>
      <w:r>
        <w:rPr>
          <w:shd w:val="clear" w:color="auto" w:fill="FFFFFF"/>
          <w:lang w:val="en-GB"/>
        </w:rPr>
        <w:t xml:space="preserve"> were paid</w:t>
      </w:r>
      <w:r w:rsidRPr="00281994">
        <w:rPr>
          <w:shd w:val="clear" w:color="auto" w:fill="FFFFFF"/>
          <w:lang w:val="en-GB"/>
        </w:rPr>
        <w:t>. Analogically to the previous year</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the highest number of housing allowance</w:t>
      </w:r>
      <w:r>
        <w:rPr>
          <w:shd w:val="clear" w:color="auto" w:fill="FFFFFF"/>
          <w:lang w:val="en-GB"/>
        </w:rPr>
        <w:t>s</w:t>
      </w:r>
      <w:r w:rsidRPr="00281994">
        <w:rPr>
          <w:shd w:val="clear" w:color="auto" w:fill="FFFFFF"/>
          <w:lang w:val="en-GB"/>
        </w:rPr>
        <w:t xml:space="preserve"> was paid to the users of </w:t>
      </w:r>
      <w:proofErr w:type="spellStart"/>
      <w:r w:rsidRPr="00281994">
        <w:rPr>
          <w:shd w:val="clear" w:color="auto" w:fill="FFFFFF"/>
          <w:lang w:val="en-GB"/>
        </w:rPr>
        <w:t>gminas</w:t>
      </w:r>
      <w:proofErr w:type="spellEnd"/>
      <w:r w:rsidRPr="00281994">
        <w:rPr>
          <w:shd w:val="clear" w:color="auto" w:fill="FFFFFF"/>
          <w:lang w:val="en-GB"/>
        </w:rPr>
        <w:t xml:space="preserve"> premises</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i.e. 40.</w:t>
      </w:r>
      <w:r w:rsidR="00DB47DC">
        <w:rPr>
          <w:shd w:val="clear" w:color="auto" w:fill="FFFFFF"/>
          <w:lang w:val="en-GB"/>
        </w:rPr>
        <w:t>6</w:t>
      </w:r>
      <w:r w:rsidRPr="00281994">
        <w:rPr>
          <w:shd w:val="clear" w:color="auto" w:fill="FFFFFF"/>
          <w:lang w:val="en-GB"/>
        </w:rPr>
        <w:t xml:space="preserve"> % and </w:t>
      </w:r>
      <w:r>
        <w:rPr>
          <w:shd w:val="clear" w:color="auto" w:fill="FFFFFF"/>
          <w:lang w:val="en-GB"/>
        </w:rPr>
        <w:t xml:space="preserve">housing </w:t>
      </w:r>
      <w:r w:rsidRPr="00281994">
        <w:rPr>
          <w:shd w:val="clear" w:color="auto" w:fill="FFFFFF"/>
          <w:lang w:val="en-GB"/>
        </w:rPr>
        <w:t>cooperative</w:t>
      </w:r>
      <w:r>
        <w:rPr>
          <w:shd w:val="clear" w:color="auto" w:fill="FFFFFF"/>
          <w:lang w:val="en-GB"/>
        </w:rPr>
        <w:t>s</w:t>
      </w:r>
      <w:r w:rsidRPr="00281994">
        <w:rPr>
          <w:shd w:val="clear" w:color="auto" w:fill="FFFFFF"/>
          <w:lang w:val="en-GB"/>
        </w:rPr>
        <w:t xml:space="preserve"> dwellings – 26.2 </w:t>
      </w:r>
      <w:r w:rsidR="004C203A" w:rsidRPr="00281994">
        <w:rPr>
          <w:shd w:val="clear" w:color="auto" w:fill="FFFFFF"/>
          <w:lang w:val="en-GB"/>
        </w:rPr>
        <w:t>%</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while the lowest number was paid to the users of dwellings of public building societies – 2.</w:t>
      </w:r>
      <w:r w:rsidR="00DB47DC">
        <w:rPr>
          <w:shd w:val="clear" w:color="auto" w:fill="FFFFFF"/>
          <w:lang w:val="en-GB"/>
        </w:rPr>
        <w:t>1</w:t>
      </w:r>
      <w:r w:rsidRPr="00281994">
        <w:rPr>
          <w:shd w:val="clear" w:color="auto" w:fill="FFFFFF"/>
          <w:lang w:val="en-GB"/>
        </w:rPr>
        <w:t> %</w:t>
      </w:r>
      <w:r w:rsidR="004C203A">
        <w:rPr>
          <w:shd w:val="clear" w:color="auto" w:fill="FFFFFF"/>
          <w:lang w:val="en-GB"/>
        </w:rPr>
        <w:t>,</w:t>
      </w:r>
      <w:r w:rsidRPr="00281994">
        <w:rPr>
          <w:shd w:val="clear" w:color="auto" w:fill="FFFFFF"/>
          <w:lang w:val="en-GB"/>
        </w:rPr>
        <w:t xml:space="preserve"> and other entities – </w:t>
      </w:r>
      <w:r w:rsidR="00DB47DC">
        <w:rPr>
          <w:shd w:val="clear" w:color="auto" w:fill="FFFFFF"/>
          <w:lang w:val="en-GB"/>
        </w:rPr>
        <w:t>6.0</w:t>
      </w:r>
      <w:r w:rsidRPr="00281994">
        <w:rPr>
          <w:shd w:val="clear" w:color="auto" w:fill="FFFFFF"/>
          <w:lang w:val="en-GB"/>
        </w:rPr>
        <w:t> %.</w:t>
      </w:r>
    </w:p>
    <w:p w:rsidR="00581B78" w:rsidRPr="00281994" w:rsidRDefault="00581B78" w:rsidP="00581B78">
      <w:pPr>
        <w:spacing w:after="0"/>
        <w:rPr>
          <w:shd w:val="clear" w:color="auto" w:fill="FFFFFF"/>
          <w:lang w:val="en-GB"/>
        </w:rPr>
      </w:pPr>
      <w:r w:rsidRPr="00281994">
        <w:rPr>
          <w:shd w:val="clear" w:color="auto" w:fill="FFFFFF"/>
          <w:lang w:val="en-GB"/>
        </w:rPr>
        <w:t>Average amount of housing allowance was PLN 20</w:t>
      </w:r>
      <w:r w:rsidR="00DB47DC">
        <w:rPr>
          <w:shd w:val="clear" w:color="auto" w:fill="FFFFFF"/>
          <w:lang w:val="en-GB"/>
        </w:rPr>
        <w:t>6.9</w:t>
      </w:r>
      <w:r w:rsidRPr="00281994">
        <w:rPr>
          <w:shd w:val="clear" w:color="auto" w:fill="FFFFFF"/>
          <w:lang w:val="en-GB"/>
        </w:rPr>
        <w:t>. The highest average amount of the allowance was paid to the users of private premises – PLN 25</w:t>
      </w:r>
      <w:r w:rsidR="00DB47DC">
        <w:rPr>
          <w:shd w:val="clear" w:color="auto" w:fill="FFFFFF"/>
          <w:lang w:val="en-GB"/>
        </w:rPr>
        <w:t>9</w:t>
      </w:r>
      <w:r w:rsidRPr="00281994">
        <w:rPr>
          <w:shd w:val="clear" w:color="auto" w:fill="FFFFFF"/>
          <w:lang w:val="en-GB"/>
        </w:rPr>
        <w:t>.9</w:t>
      </w:r>
      <w:r w:rsidR="004C203A">
        <w:rPr>
          <w:shd w:val="clear" w:color="auto" w:fill="FFFFFF"/>
          <w:lang w:val="en-GB"/>
        </w:rPr>
        <w:t>,</w:t>
      </w:r>
      <w:r w:rsidR="004C203A" w:rsidRPr="00281994">
        <w:rPr>
          <w:shd w:val="clear" w:color="auto" w:fill="FFFFFF"/>
          <w:lang w:val="en-GB"/>
        </w:rPr>
        <w:t xml:space="preserve"> </w:t>
      </w:r>
      <w:r w:rsidRPr="00281994">
        <w:rPr>
          <w:shd w:val="clear" w:color="auto" w:fill="FFFFFF"/>
          <w:lang w:val="en-GB"/>
        </w:rPr>
        <w:t>while the lowest – to the users of premises being part of housing cooperatives stocks – PLN 18</w:t>
      </w:r>
      <w:r w:rsidR="00DB47DC">
        <w:rPr>
          <w:shd w:val="clear" w:color="auto" w:fill="FFFFFF"/>
          <w:lang w:val="en-GB"/>
        </w:rPr>
        <w:t>3.0</w:t>
      </w:r>
      <w:r w:rsidRPr="00281994">
        <w:rPr>
          <w:shd w:val="clear" w:color="auto" w:fill="FFFFFF"/>
          <w:lang w:val="en-GB"/>
        </w:rPr>
        <w:t>.</w:t>
      </w:r>
    </w:p>
    <w:p w:rsidR="00581B78" w:rsidRPr="00281994" w:rsidRDefault="00581B78" w:rsidP="00581B78">
      <w:pPr>
        <w:spacing w:after="0"/>
        <w:rPr>
          <w:shd w:val="clear" w:color="auto" w:fill="FFFFFF"/>
          <w:lang w:val="en-GB"/>
        </w:rPr>
      </w:pPr>
    </w:p>
    <w:p w:rsidR="00581B78" w:rsidRDefault="00581B78" w:rsidP="00581B78">
      <w:pPr>
        <w:spacing w:before="0" w:after="0"/>
        <w:rPr>
          <w:b/>
          <w:spacing w:val="-2"/>
          <w:sz w:val="18"/>
        </w:rPr>
      </w:pPr>
      <w:proofErr w:type="spellStart"/>
      <w:r w:rsidRPr="00F0243D">
        <w:rPr>
          <w:b/>
          <w:spacing w:val="-2"/>
          <w:sz w:val="18"/>
        </w:rPr>
        <w:t>Tabl</w:t>
      </w:r>
      <w:r>
        <w:rPr>
          <w:b/>
          <w:spacing w:val="-2"/>
          <w:sz w:val="18"/>
        </w:rPr>
        <w:t>e</w:t>
      </w:r>
      <w:proofErr w:type="spellEnd"/>
      <w:r w:rsidRPr="00F0243D">
        <w:rPr>
          <w:b/>
          <w:spacing w:val="-2"/>
          <w:sz w:val="18"/>
        </w:rPr>
        <w:t xml:space="preserve"> </w:t>
      </w:r>
      <w:r w:rsidR="00C340D8">
        <w:rPr>
          <w:b/>
          <w:spacing w:val="-2"/>
          <w:sz w:val="18"/>
        </w:rPr>
        <w:t>3</w:t>
      </w:r>
      <w:r w:rsidRPr="00F0243D">
        <w:rPr>
          <w:b/>
          <w:spacing w:val="-2"/>
          <w:sz w:val="18"/>
        </w:rPr>
        <w:t xml:space="preserve">. </w:t>
      </w:r>
      <w:proofErr w:type="spellStart"/>
      <w:r>
        <w:rPr>
          <w:b/>
          <w:spacing w:val="-2"/>
          <w:sz w:val="18"/>
        </w:rPr>
        <w:t>Housing</w:t>
      </w:r>
      <w:proofErr w:type="spellEnd"/>
      <w:r>
        <w:rPr>
          <w:b/>
          <w:spacing w:val="-2"/>
          <w:sz w:val="18"/>
        </w:rPr>
        <w:t xml:space="preserve"> </w:t>
      </w:r>
      <w:proofErr w:type="spellStart"/>
      <w:r>
        <w:rPr>
          <w:b/>
          <w:spacing w:val="-2"/>
          <w:sz w:val="18"/>
        </w:rPr>
        <w:t>allowances</w:t>
      </w:r>
      <w:proofErr w:type="spellEnd"/>
    </w:p>
    <w:p w:rsidR="004846CA" w:rsidRPr="00F0243D" w:rsidRDefault="004846CA" w:rsidP="00581B78">
      <w:pPr>
        <w:spacing w:before="0" w:after="0"/>
        <w:rPr>
          <w:b/>
          <w:spacing w:val="-2"/>
          <w:sz w:val="18"/>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29"/>
        <w:gridCol w:w="864"/>
        <w:gridCol w:w="985"/>
        <w:gridCol w:w="872"/>
        <w:gridCol w:w="928"/>
      </w:tblGrid>
      <w:tr w:rsidR="00DB47DC" w:rsidRPr="00F0243D" w:rsidTr="004846CA">
        <w:trPr>
          <w:trHeight w:val="315"/>
        </w:trPr>
        <w:tc>
          <w:tcPr>
            <w:tcW w:w="4229" w:type="dxa"/>
            <w:tcBorders>
              <w:top w:val="nil"/>
              <w:bottom w:val="single" w:sz="12" w:space="0" w:color="001D77"/>
            </w:tcBorders>
            <w:shd w:val="clear" w:color="auto" w:fill="auto"/>
            <w:vAlign w:val="center"/>
            <w:hideMark/>
          </w:tcPr>
          <w:p w:rsidR="00DB47DC" w:rsidRPr="00F0243D" w:rsidRDefault="00DB47DC" w:rsidP="00DB47DC">
            <w:pPr>
              <w:spacing w:before="0" w:after="0"/>
              <w:jc w:val="center"/>
              <w:rPr>
                <w:rFonts w:eastAsia="Times New Roman" w:cs="Calibri"/>
                <w:sz w:val="16"/>
                <w:szCs w:val="16"/>
                <w:lang w:eastAsia="pl-PL"/>
              </w:rPr>
            </w:pPr>
            <w:proofErr w:type="spellStart"/>
            <w:r>
              <w:rPr>
                <w:rFonts w:eastAsia="Times New Roman" w:cs="Calibri"/>
                <w:sz w:val="16"/>
                <w:szCs w:val="16"/>
                <w:lang w:eastAsia="pl-PL"/>
              </w:rPr>
              <w:t>Specification</w:t>
            </w:r>
            <w:proofErr w:type="spellEnd"/>
          </w:p>
        </w:tc>
        <w:tc>
          <w:tcPr>
            <w:tcW w:w="864" w:type="dxa"/>
            <w:tcBorders>
              <w:top w:val="nil"/>
              <w:bottom w:val="single" w:sz="12" w:space="0" w:color="001D77"/>
            </w:tcBorders>
            <w:shd w:val="clear" w:color="auto" w:fill="auto"/>
            <w:vAlign w:val="center"/>
            <w:hideMark/>
          </w:tcPr>
          <w:p w:rsidR="00DB47DC" w:rsidRPr="00781CE2" w:rsidRDefault="00DB47DC" w:rsidP="00DB47DC">
            <w:pPr>
              <w:spacing w:before="0" w:after="0"/>
              <w:jc w:val="center"/>
              <w:rPr>
                <w:rFonts w:eastAsia="Times New Roman" w:cs="Calibri"/>
                <w:sz w:val="16"/>
                <w:szCs w:val="16"/>
                <w:lang w:eastAsia="pl-PL"/>
              </w:rPr>
            </w:pPr>
            <w:r w:rsidRPr="00781CE2">
              <w:rPr>
                <w:rFonts w:eastAsia="Times New Roman" w:cs="Calibri"/>
                <w:sz w:val="16"/>
                <w:szCs w:val="16"/>
                <w:lang w:eastAsia="pl-PL"/>
              </w:rPr>
              <w:t>2018</w:t>
            </w:r>
          </w:p>
        </w:tc>
        <w:tc>
          <w:tcPr>
            <w:tcW w:w="985" w:type="dxa"/>
            <w:tcBorders>
              <w:top w:val="nil"/>
              <w:bottom w:val="single" w:sz="12" w:space="0" w:color="001D77"/>
            </w:tcBorders>
            <w:shd w:val="clear" w:color="auto" w:fill="auto"/>
            <w:vAlign w:val="center"/>
            <w:hideMark/>
          </w:tcPr>
          <w:p w:rsidR="00DB47DC" w:rsidRPr="00781CE2" w:rsidRDefault="00DB47DC" w:rsidP="00DB47DC">
            <w:pPr>
              <w:spacing w:before="0" w:after="0"/>
              <w:jc w:val="center"/>
              <w:rPr>
                <w:rFonts w:eastAsia="Times New Roman" w:cs="Calibri"/>
                <w:sz w:val="16"/>
                <w:szCs w:val="16"/>
                <w:lang w:eastAsia="pl-PL"/>
              </w:rPr>
            </w:pPr>
            <w:r w:rsidRPr="00781CE2">
              <w:rPr>
                <w:rFonts w:eastAsia="Times New Roman" w:cs="Calibri"/>
                <w:sz w:val="16"/>
                <w:szCs w:val="16"/>
                <w:lang w:eastAsia="pl-PL"/>
              </w:rPr>
              <w:t>2017 = 100</w:t>
            </w:r>
          </w:p>
        </w:tc>
        <w:tc>
          <w:tcPr>
            <w:tcW w:w="872" w:type="dxa"/>
            <w:tcBorders>
              <w:top w:val="nil"/>
              <w:bottom w:val="single" w:sz="12" w:space="0" w:color="001D77"/>
            </w:tcBorders>
            <w:shd w:val="clear" w:color="auto" w:fill="auto"/>
            <w:vAlign w:val="center"/>
            <w:hideMark/>
          </w:tcPr>
          <w:p w:rsidR="00DB47DC" w:rsidRPr="00781CE2" w:rsidRDefault="00DB47DC" w:rsidP="00DB47DC">
            <w:pPr>
              <w:spacing w:before="0" w:after="0"/>
              <w:jc w:val="center"/>
              <w:rPr>
                <w:rFonts w:eastAsia="Times New Roman" w:cs="Calibri"/>
                <w:sz w:val="16"/>
                <w:szCs w:val="16"/>
                <w:lang w:eastAsia="pl-PL"/>
              </w:rPr>
            </w:pPr>
            <w:r w:rsidRPr="00781CE2">
              <w:rPr>
                <w:rFonts w:eastAsia="Times New Roman" w:cs="Calibri"/>
                <w:sz w:val="16"/>
                <w:szCs w:val="16"/>
                <w:lang w:eastAsia="pl-PL"/>
              </w:rPr>
              <w:t>2019</w:t>
            </w:r>
          </w:p>
        </w:tc>
        <w:tc>
          <w:tcPr>
            <w:tcW w:w="928" w:type="dxa"/>
            <w:tcBorders>
              <w:top w:val="nil"/>
              <w:bottom w:val="single" w:sz="12" w:space="0" w:color="001D77"/>
            </w:tcBorders>
            <w:shd w:val="clear" w:color="auto" w:fill="auto"/>
            <w:vAlign w:val="center"/>
            <w:hideMark/>
          </w:tcPr>
          <w:p w:rsidR="00DB47DC" w:rsidRPr="00781CE2" w:rsidRDefault="00DB47DC" w:rsidP="00DB47DC">
            <w:pPr>
              <w:spacing w:before="0" w:after="0"/>
              <w:jc w:val="center"/>
              <w:rPr>
                <w:rFonts w:eastAsia="Times New Roman" w:cs="Calibri"/>
                <w:sz w:val="16"/>
                <w:szCs w:val="16"/>
                <w:lang w:eastAsia="pl-PL"/>
              </w:rPr>
            </w:pPr>
            <w:r w:rsidRPr="00781CE2">
              <w:rPr>
                <w:rFonts w:eastAsia="Times New Roman" w:cs="Calibri"/>
                <w:sz w:val="16"/>
                <w:szCs w:val="16"/>
                <w:lang w:eastAsia="pl-PL"/>
              </w:rPr>
              <w:t>2018 = 100</w:t>
            </w:r>
          </w:p>
        </w:tc>
      </w:tr>
      <w:tr w:rsidR="00DB47DC" w:rsidRPr="00F0243D" w:rsidTr="004846CA">
        <w:trPr>
          <w:trHeight w:val="330"/>
        </w:trPr>
        <w:tc>
          <w:tcPr>
            <w:tcW w:w="4229" w:type="dxa"/>
            <w:tcBorders>
              <w:top w:val="single" w:sz="12" w:space="0" w:color="001D77"/>
            </w:tcBorders>
            <w:shd w:val="clear" w:color="auto" w:fill="auto"/>
            <w:vAlign w:val="center"/>
            <w:hideMark/>
          </w:tcPr>
          <w:p w:rsidR="00DB47DC" w:rsidRPr="00281994" w:rsidRDefault="00DB47DC" w:rsidP="00DB47DC">
            <w:pPr>
              <w:spacing w:before="0" w:after="0"/>
              <w:rPr>
                <w:rFonts w:eastAsia="Times New Roman" w:cs="Calibri"/>
                <w:sz w:val="16"/>
                <w:szCs w:val="16"/>
                <w:lang w:val="en-GB" w:eastAsia="pl-PL"/>
              </w:rPr>
            </w:pPr>
            <w:r w:rsidRPr="00281994">
              <w:rPr>
                <w:rFonts w:eastAsia="Times New Roman" w:cs="Calibri"/>
                <w:sz w:val="16"/>
                <w:szCs w:val="16"/>
                <w:lang w:val="en-GB" w:eastAsia="pl-PL"/>
              </w:rPr>
              <w:t>Number of housing allowances paid in thousand</w:t>
            </w:r>
            <w:r w:rsidR="005D075A">
              <w:rPr>
                <w:rFonts w:eastAsia="Times New Roman" w:cs="Calibri"/>
                <w:sz w:val="16"/>
                <w:szCs w:val="16"/>
                <w:lang w:val="en-GB" w:eastAsia="pl-PL"/>
              </w:rPr>
              <w:t>s</w:t>
            </w:r>
          </w:p>
        </w:tc>
        <w:tc>
          <w:tcPr>
            <w:tcW w:w="864" w:type="dxa"/>
            <w:tcBorders>
              <w:top w:val="single" w:sz="12" w:space="0" w:color="001D77"/>
            </w:tcBorders>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3</w:t>
            </w:r>
            <w:r w:rsidR="004846CA">
              <w:rPr>
                <w:rFonts w:eastAsia="Times New Roman" w:cs="Calibri"/>
                <w:sz w:val="16"/>
                <w:szCs w:val="16"/>
                <w:lang w:eastAsia="pl-PL"/>
              </w:rPr>
              <w:t> </w:t>
            </w:r>
            <w:r w:rsidRPr="00781CE2">
              <w:rPr>
                <w:rFonts w:eastAsia="Times New Roman" w:cs="Calibri"/>
                <w:sz w:val="16"/>
                <w:szCs w:val="16"/>
                <w:lang w:eastAsia="pl-PL"/>
              </w:rPr>
              <w:t>235</w:t>
            </w:r>
            <w:r w:rsidR="004846CA">
              <w:rPr>
                <w:rFonts w:eastAsia="Times New Roman" w:cs="Calibri"/>
                <w:sz w:val="16"/>
                <w:szCs w:val="16"/>
                <w:lang w:eastAsia="pl-PL"/>
              </w:rPr>
              <w:t>.</w:t>
            </w:r>
            <w:r w:rsidRPr="00781CE2">
              <w:rPr>
                <w:rFonts w:eastAsia="Times New Roman" w:cs="Calibri"/>
                <w:sz w:val="16"/>
                <w:szCs w:val="16"/>
                <w:lang w:eastAsia="pl-PL"/>
              </w:rPr>
              <w:t>9</w:t>
            </w:r>
          </w:p>
        </w:tc>
        <w:tc>
          <w:tcPr>
            <w:tcW w:w="985" w:type="dxa"/>
            <w:tcBorders>
              <w:top w:val="single" w:sz="12" w:space="0" w:color="001D77"/>
            </w:tcBorders>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sidR="004846CA">
              <w:rPr>
                <w:rFonts w:eastAsia="Times New Roman" w:cs="Calibri"/>
                <w:sz w:val="16"/>
                <w:szCs w:val="16"/>
                <w:lang w:eastAsia="pl-PL"/>
              </w:rPr>
              <w:t>.</w:t>
            </w:r>
            <w:r w:rsidRPr="00781CE2">
              <w:rPr>
                <w:rFonts w:eastAsia="Times New Roman" w:cs="Calibri"/>
                <w:sz w:val="16"/>
                <w:szCs w:val="16"/>
                <w:lang w:eastAsia="pl-PL"/>
              </w:rPr>
              <w:t>2</w:t>
            </w:r>
          </w:p>
        </w:tc>
        <w:tc>
          <w:tcPr>
            <w:tcW w:w="872" w:type="dxa"/>
            <w:tcBorders>
              <w:top w:val="single" w:sz="12" w:space="0" w:color="001D77"/>
            </w:tcBorders>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2</w:t>
            </w:r>
            <w:r w:rsidR="004846CA">
              <w:rPr>
                <w:rFonts w:eastAsia="Times New Roman" w:cs="Calibri"/>
                <w:sz w:val="16"/>
                <w:szCs w:val="16"/>
                <w:lang w:eastAsia="pl-PL"/>
              </w:rPr>
              <w:t> </w:t>
            </w:r>
            <w:r w:rsidRPr="00781CE2">
              <w:rPr>
                <w:rFonts w:eastAsia="Times New Roman" w:cs="Calibri"/>
                <w:sz w:val="16"/>
                <w:szCs w:val="16"/>
                <w:lang w:eastAsia="pl-PL"/>
              </w:rPr>
              <w:t>879</w:t>
            </w:r>
            <w:r w:rsidR="004846CA">
              <w:rPr>
                <w:rFonts w:eastAsia="Times New Roman" w:cs="Calibri"/>
                <w:sz w:val="16"/>
                <w:szCs w:val="16"/>
                <w:lang w:eastAsia="pl-PL"/>
              </w:rPr>
              <w:t>.</w:t>
            </w:r>
            <w:r w:rsidRPr="00781CE2">
              <w:rPr>
                <w:rFonts w:eastAsia="Times New Roman" w:cs="Calibri"/>
                <w:sz w:val="16"/>
                <w:szCs w:val="16"/>
                <w:lang w:eastAsia="pl-PL"/>
              </w:rPr>
              <w:t>0</w:t>
            </w:r>
          </w:p>
        </w:tc>
        <w:tc>
          <w:tcPr>
            <w:tcW w:w="928" w:type="dxa"/>
            <w:tcBorders>
              <w:top w:val="single" w:sz="12" w:space="0" w:color="001D77"/>
            </w:tcBorders>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sidR="004846CA">
              <w:rPr>
                <w:rFonts w:eastAsia="Times New Roman" w:cs="Calibri"/>
                <w:sz w:val="16"/>
                <w:szCs w:val="16"/>
                <w:lang w:eastAsia="pl-PL"/>
              </w:rPr>
              <w:t>.</w:t>
            </w:r>
            <w:r w:rsidRPr="00781CE2">
              <w:rPr>
                <w:rFonts w:eastAsia="Times New Roman" w:cs="Calibri"/>
                <w:sz w:val="16"/>
                <w:szCs w:val="16"/>
                <w:lang w:eastAsia="pl-PL"/>
              </w:rPr>
              <w:t>0</w:t>
            </w:r>
          </w:p>
        </w:tc>
      </w:tr>
      <w:tr w:rsidR="00DB47DC" w:rsidRPr="00F0243D" w:rsidTr="004846CA">
        <w:trPr>
          <w:trHeight w:val="315"/>
        </w:trPr>
        <w:tc>
          <w:tcPr>
            <w:tcW w:w="4229" w:type="dxa"/>
            <w:shd w:val="clear" w:color="auto" w:fill="auto"/>
            <w:vAlign w:val="center"/>
            <w:hideMark/>
          </w:tcPr>
          <w:p w:rsidR="00DB47DC" w:rsidRPr="00281994" w:rsidRDefault="00DB47DC" w:rsidP="00DB47DC">
            <w:pPr>
              <w:spacing w:before="0" w:after="0"/>
              <w:rPr>
                <w:rFonts w:eastAsia="Times New Roman" w:cs="Calibri"/>
                <w:sz w:val="16"/>
                <w:szCs w:val="16"/>
                <w:lang w:val="en-GB" w:eastAsia="pl-PL"/>
              </w:rPr>
            </w:pPr>
            <w:r w:rsidRPr="00281994">
              <w:rPr>
                <w:rFonts w:eastAsia="Times New Roman" w:cs="Calibri"/>
                <w:sz w:val="16"/>
                <w:szCs w:val="16"/>
                <w:lang w:val="en-GB" w:eastAsia="pl-PL"/>
              </w:rPr>
              <w:t>Amount of housing allowances paid in thousand PLN</w:t>
            </w:r>
          </w:p>
        </w:tc>
        <w:tc>
          <w:tcPr>
            <w:tcW w:w="864" w:type="dxa"/>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664</w:t>
            </w:r>
            <w:r w:rsidR="004846CA">
              <w:rPr>
                <w:rFonts w:eastAsia="Times New Roman" w:cs="Calibri"/>
                <w:sz w:val="16"/>
                <w:szCs w:val="16"/>
                <w:lang w:eastAsia="pl-PL"/>
              </w:rPr>
              <w:t> </w:t>
            </w:r>
            <w:r w:rsidRPr="00781CE2">
              <w:rPr>
                <w:rFonts w:eastAsia="Times New Roman" w:cs="Calibri"/>
                <w:sz w:val="16"/>
                <w:szCs w:val="16"/>
                <w:lang w:eastAsia="pl-PL"/>
              </w:rPr>
              <w:t>796</w:t>
            </w:r>
            <w:r w:rsidR="004846CA">
              <w:rPr>
                <w:rFonts w:eastAsia="Times New Roman" w:cs="Calibri"/>
                <w:sz w:val="16"/>
                <w:szCs w:val="16"/>
                <w:lang w:eastAsia="pl-PL"/>
              </w:rPr>
              <w:t>.</w:t>
            </w:r>
            <w:r w:rsidRPr="00781CE2">
              <w:rPr>
                <w:rFonts w:eastAsia="Times New Roman" w:cs="Calibri"/>
                <w:sz w:val="16"/>
                <w:szCs w:val="16"/>
                <w:lang w:eastAsia="pl-PL"/>
              </w:rPr>
              <w:t>2</w:t>
            </w:r>
          </w:p>
        </w:tc>
        <w:tc>
          <w:tcPr>
            <w:tcW w:w="985" w:type="dxa"/>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sidR="004846CA">
              <w:rPr>
                <w:rFonts w:eastAsia="Times New Roman" w:cs="Calibri"/>
                <w:sz w:val="16"/>
                <w:szCs w:val="16"/>
                <w:lang w:eastAsia="pl-PL"/>
              </w:rPr>
              <w:t>.</w:t>
            </w:r>
            <w:r w:rsidRPr="00781CE2">
              <w:rPr>
                <w:rFonts w:eastAsia="Times New Roman" w:cs="Calibri"/>
                <w:sz w:val="16"/>
                <w:szCs w:val="16"/>
                <w:lang w:eastAsia="pl-PL"/>
              </w:rPr>
              <w:t>0</w:t>
            </w:r>
          </w:p>
        </w:tc>
        <w:tc>
          <w:tcPr>
            <w:tcW w:w="872" w:type="dxa"/>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595</w:t>
            </w:r>
            <w:r w:rsidR="004846CA">
              <w:rPr>
                <w:rFonts w:eastAsia="Times New Roman" w:cs="Calibri"/>
                <w:sz w:val="16"/>
                <w:szCs w:val="16"/>
                <w:lang w:eastAsia="pl-PL"/>
              </w:rPr>
              <w:t> </w:t>
            </w:r>
            <w:r w:rsidRPr="00781CE2">
              <w:rPr>
                <w:rFonts w:eastAsia="Times New Roman" w:cs="Calibri"/>
                <w:sz w:val="16"/>
                <w:szCs w:val="16"/>
                <w:lang w:eastAsia="pl-PL"/>
              </w:rPr>
              <w:t>776</w:t>
            </w:r>
            <w:r w:rsidR="004846CA">
              <w:rPr>
                <w:rFonts w:eastAsia="Times New Roman" w:cs="Calibri"/>
                <w:sz w:val="16"/>
                <w:szCs w:val="16"/>
                <w:lang w:eastAsia="pl-PL"/>
              </w:rPr>
              <w:t>.</w:t>
            </w:r>
            <w:r w:rsidRPr="00781CE2">
              <w:rPr>
                <w:rFonts w:eastAsia="Times New Roman" w:cs="Calibri"/>
                <w:sz w:val="16"/>
                <w:szCs w:val="16"/>
                <w:lang w:eastAsia="pl-PL"/>
              </w:rPr>
              <w:t>0</w:t>
            </w:r>
          </w:p>
        </w:tc>
        <w:tc>
          <w:tcPr>
            <w:tcW w:w="928" w:type="dxa"/>
            <w:shd w:val="clear" w:color="auto" w:fill="auto"/>
            <w:vAlign w:val="center"/>
            <w:hideMark/>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89</w:t>
            </w:r>
            <w:r w:rsidR="004846CA">
              <w:rPr>
                <w:rFonts w:eastAsia="Times New Roman" w:cs="Calibri"/>
                <w:sz w:val="16"/>
                <w:szCs w:val="16"/>
                <w:lang w:eastAsia="pl-PL"/>
              </w:rPr>
              <w:t>.</w:t>
            </w:r>
            <w:r w:rsidRPr="00781CE2">
              <w:rPr>
                <w:rFonts w:eastAsia="Times New Roman" w:cs="Calibri"/>
                <w:sz w:val="16"/>
                <w:szCs w:val="16"/>
                <w:lang w:eastAsia="pl-PL"/>
              </w:rPr>
              <w:t>6</w:t>
            </w:r>
          </w:p>
        </w:tc>
      </w:tr>
      <w:tr w:rsidR="00DB47DC" w:rsidRPr="00F0243D" w:rsidTr="004846CA">
        <w:trPr>
          <w:trHeight w:val="315"/>
        </w:trPr>
        <w:tc>
          <w:tcPr>
            <w:tcW w:w="4229" w:type="dxa"/>
            <w:shd w:val="clear" w:color="auto" w:fill="auto"/>
            <w:vAlign w:val="center"/>
          </w:tcPr>
          <w:p w:rsidR="00DB47DC" w:rsidRPr="00281994" w:rsidRDefault="00DB47DC" w:rsidP="00DB47DC">
            <w:pPr>
              <w:spacing w:before="0" w:after="0"/>
              <w:rPr>
                <w:rFonts w:eastAsia="Times New Roman" w:cs="Calibri"/>
                <w:sz w:val="16"/>
                <w:szCs w:val="16"/>
                <w:lang w:val="en-GB" w:eastAsia="pl-PL"/>
              </w:rPr>
            </w:pPr>
            <w:r w:rsidRPr="00281994">
              <w:rPr>
                <w:rFonts w:eastAsia="Times New Roman" w:cs="Calibri"/>
                <w:sz w:val="16"/>
                <w:szCs w:val="16"/>
                <w:lang w:val="en-GB" w:eastAsia="pl-PL"/>
              </w:rPr>
              <w:t>Average amount of housing allowance in PLN</w:t>
            </w:r>
          </w:p>
        </w:tc>
        <w:tc>
          <w:tcPr>
            <w:tcW w:w="864" w:type="dxa"/>
            <w:shd w:val="clear" w:color="auto" w:fill="auto"/>
            <w:vAlign w:val="center"/>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205</w:t>
            </w:r>
            <w:r w:rsidR="004846CA">
              <w:rPr>
                <w:rFonts w:eastAsia="Times New Roman" w:cs="Calibri"/>
                <w:sz w:val="16"/>
                <w:szCs w:val="16"/>
                <w:lang w:eastAsia="pl-PL"/>
              </w:rPr>
              <w:t>.</w:t>
            </w:r>
            <w:r w:rsidRPr="00781CE2">
              <w:rPr>
                <w:rFonts w:eastAsia="Times New Roman" w:cs="Calibri"/>
                <w:sz w:val="16"/>
                <w:szCs w:val="16"/>
                <w:lang w:eastAsia="pl-PL"/>
              </w:rPr>
              <w:t>4</w:t>
            </w:r>
          </w:p>
        </w:tc>
        <w:tc>
          <w:tcPr>
            <w:tcW w:w="985" w:type="dxa"/>
            <w:shd w:val="clear" w:color="auto" w:fill="auto"/>
            <w:vAlign w:val="center"/>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99</w:t>
            </w:r>
            <w:r w:rsidR="004846CA">
              <w:rPr>
                <w:rFonts w:eastAsia="Times New Roman" w:cs="Calibri"/>
                <w:sz w:val="16"/>
                <w:szCs w:val="16"/>
                <w:lang w:eastAsia="pl-PL"/>
              </w:rPr>
              <w:t>.</w:t>
            </w:r>
            <w:r w:rsidRPr="00781CE2">
              <w:rPr>
                <w:rFonts w:eastAsia="Times New Roman" w:cs="Calibri"/>
                <w:sz w:val="16"/>
                <w:szCs w:val="16"/>
                <w:lang w:eastAsia="pl-PL"/>
              </w:rPr>
              <w:t>8</w:t>
            </w:r>
          </w:p>
        </w:tc>
        <w:tc>
          <w:tcPr>
            <w:tcW w:w="872" w:type="dxa"/>
            <w:shd w:val="clear" w:color="auto" w:fill="auto"/>
            <w:vAlign w:val="center"/>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206</w:t>
            </w:r>
            <w:r w:rsidR="004846CA">
              <w:rPr>
                <w:rFonts w:eastAsia="Times New Roman" w:cs="Calibri"/>
                <w:sz w:val="16"/>
                <w:szCs w:val="16"/>
                <w:lang w:eastAsia="pl-PL"/>
              </w:rPr>
              <w:t>.</w:t>
            </w:r>
            <w:r w:rsidRPr="00781CE2">
              <w:rPr>
                <w:rFonts w:eastAsia="Times New Roman" w:cs="Calibri"/>
                <w:sz w:val="16"/>
                <w:szCs w:val="16"/>
                <w:lang w:eastAsia="pl-PL"/>
              </w:rPr>
              <w:t>9</w:t>
            </w:r>
          </w:p>
        </w:tc>
        <w:tc>
          <w:tcPr>
            <w:tcW w:w="928" w:type="dxa"/>
            <w:shd w:val="clear" w:color="auto" w:fill="auto"/>
            <w:vAlign w:val="center"/>
          </w:tcPr>
          <w:p w:rsidR="00DB47DC" w:rsidRPr="00781CE2" w:rsidRDefault="00DB47DC" w:rsidP="00DB47DC">
            <w:pPr>
              <w:spacing w:before="0" w:after="0"/>
              <w:jc w:val="right"/>
              <w:rPr>
                <w:rFonts w:eastAsia="Times New Roman" w:cs="Calibri"/>
                <w:sz w:val="16"/>
                <w:szCs w:val="16"/>
                <w:lang w:eastAsia="pl-PL"/>
              </w:rPr>
            </w:pPr>
            <w:r w:rsidRPr="00781CE2">
              <w:rPr>
                <w:rFonts w:eastAsia="Times New Roman" w:cs="Calibri"/>
                <w:sz w:val="16"/>
                <w:szCs w:val="16"/>
                <w:lang w:eastAsia="pl-PL"/>
              </w:rPr>
              <w:t>100</w:t>
            </w:r>
            <w:r w:rsidR="004846CA">
              <w:rPr>
                <w:rFonts w:eastAsia="Times New Roman" w:cs="Calibri"/>
                <w:sz w:val="16"/>
                <w:szCs w:val="16"/>
                <w:lang w:eastAsia="pl-PL"/>
              </w:rPr>
              <w:t>.</w:t>
            </w:r>
            <w:r w:rsidRPr="00781CE2">
              <w:rPr>
                <w:rFonts w:eastAsia="Times New Roman" w:cs="Calibri"/>
                <w:sz w:val="16"/>
                <w:szCs w:val="16"/>
                <w:lang w:eastAsia="pl-PL"/>
              </w:rPr>
              <w:t>7</w:t>
            </w:r>
          </w:p>
        </w:tc>
      </w:tr>
    </w:tbl>
    <w:p w:rsidR="00581B78" w:rsidRDefault="00581B78" w:rsidP="00581B78">
      <w:pPr>
        <w:spacing w:after="0"/>
        <w:rPr>
          <w:shd w:val="clear" w:color="auto" w:fill="FFFFFF"/>
        </w:rPr>
      </w:pPr>
    </w:p>
    <w:p w:rsidR="00581B78" w:rsidRPr="00281994" w:rsidRDefault="00581B78" w:rsidP="00581B78">
      <w:pPr>
        <w:spacing w:after="0"/>
        <w:rPr>
          <w:rFonts w:ascii="Fira Sans SemiBold" w:hAnsi="Fira Sans SemiBold"/>
          <w:szCs w:val="19"/>
          <w:lang w:val="en-GB"/>
        </w:rPr>
      </w:pPr>
      <w:r w:rsidRPr="003831DD">
        <w:rPr>
          <w:rFonts w:ascii="Fira Sans SemiBold" w:hAnsi="Fira Sans SemiBold"/>
          <w:noProof/>
          <w:color w:val="001D77"/>
          <w:szCs w:val="19"/>
          <w:lang w:val="en-GB" w:eastAsia="en-GB"/>
        </w:rPr>
        <mc:AlternateContent>
          <mc:Choice Requires="wps">
            <w:drawing>
              <wp:anchor distT="45720" distB="45720" distL="114300" distR="114300" simplePos="0" relativeHeight="251786240" behindDoc="1" locked="0" layoutInCell="1" allowOverlap="1" wp14:anchorId="29277580" wp14:editId="69D376E8">
                <wp:simplePos x="0" y="0"/>
                <wp:positionH relativeFrom="rightMargin">
                  <wp:posOffset>5715</wp:posOffset>
                </wp:positionH>
                <wp:positionV relativeFrom="paragraph">
                  <wp:posOffset>151765</wp:posOffset>
                </wp:positionV>
                <wp:extent cx="1743710" cy="994410"/>
                <wp:effectExtent l="0" t="0" r="0" b="0"/>
                <wp:wrapTight wrapText="bothSides">
                  <wp:wrapPolygon edited="0">
                    <wp:start x="708" y="0"/>
                    <wp:lineTo x="708" y="21103"/>
                    <wp:lineTo x="20766" y="21103"/>
                    <wp:lineTo x="20766" y="0"/>
                    <wp:lineTo x="708" y="0"/>
                  </wp:wrapPolygon>
                </wp:wrapTight>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94410"/>
                        </a:xfrm>
                        <a:prstGeom prst="rect">
                          <a:avLst/>
                        </a:prstGeom>
                        <a:noFill/>
                        <a:ln w="9525">
                          <a:noFill/>
                          <a:miter lim="800000"/>
                          <a:headEnd/>
                          <a:tailEnd/>
                        </a:ln>
                      </wps:spPr>
                      <wps:txbx>
                        <w:txbxContent>
                          <w:p w:rsidR="00C0111D" w:rsidRPr="00281994" w:rsidRDefault="00C0111D" w:rsidP="00581B78">
                            <w:pPr>
                              <w:pStyle w:val="tekstzboku"/>
                              <w:rPr>
                                <w:lang w:val="en-GB"/>
                              </w:rPr>
                            </w:pPr>
                            <w:proofErr w:type="spellStart"/>
                            <w:r w:rsidRPr="00281994">
                              <w:rPr>
                                <w:lang w:val="en-GB"/>
                              </w:rPr>
                              <w:t>Gminas</w:t>
                            </w:r>
                            <w:proofErr w:type="spellEnd"/>
                            <w:r w:rsidRPr="00281994">
                              <w:rPr>
                                <w:lang w:val="en-GB"/>
                              </w:rPr>
                              <w:t xml:space="preserve"> owned 28</w:t>
                            </w:r>
                            <w:r>
                              <w:rPr>
                                <w:lang w:val="en-GB"/>
                              </w:rPr>
                              <w:t> 088.3</w:t>
                            </w:r>
                            <w:r w:rsidRPr="00281994">
                              <w:rPr>
                                <w:lang w:val="en-GB"/>
                              </w:rPr>
                              <w:t xml:space="preserve"> ha of lands destined for housing construction, of which 78</w:t>
                            </w:r>
                            <w:r>
                              <w:rPr>
                                <w:lang w:val="en-GB"/>
                              </w:rPr>
                              <w:t>.5</w:t>
                            </w:r>
                            <w:r w:rsidRPr="00281994">
                              <w:rPr>
                                <w:lang w:val="en-GB"/>
                              </w:rPr>
                              <w:t> % of their total area for single</w:t>
                            </w:r>
                            <w:r w:rsidRPr="00281994">
                              <w:rPr>
                                <w:lang w:val="en-GB"/>
                              </w:rPr>
                              <w:noBreakHyphen/>
                              <w:t xml:space="preserve">family housing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77580" id="Pole tekstowe 25" o:spid="_x0000_s1034" type="#_x0000_t202" style="position:absolute;margin-left:.45pt;margin-top:11.95pt;width:137.3pt;height:78.3pt;z-index:-2515302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" filled="f" stroked="f">
                <v:textbox>
                  <w:txbxContent>
                    <w:p w:rsidR="00C0111D" w:rsidRPr="00281994" w:rsidRDefault="00C0111D" w:rsidP="00581B78">
                      <w:pPr>
                        <w:pStyle w:val="tekstzboku"/>
                        <w:rPr>
                          <w:lang w:val="en-GB"/>
                        </w:rPr>
                      </w:pPr>
                      <w:proofErr w:type="spellStart"/>
                      <w:r w:rsidRPr="00281994">
                        <w:rPr>
                          <w:lang w:val="en-GB"/>
                        </w:rPr>
                        <w:t>Gminas</w:t>
                      </w:r>
                      <w:proofErr w:type="spellEnd"/>
                      <w:r w:rsidRPr="00281994">
                        <w:rPr>
                          <w:lang w:val="en-GB"/>
                        </w:rPr>
                        <w:t xml:space="preserve"> owned 28</w:t>
                      </w:r>
                      <w:r>
                        <w:rPr>
                          <w:lang w:val="en-GB"/>
                        </w:rPr>
                        <w:t> 088.3</w:t>
                      </w:r>
                      <w:r w:rsidRPr="00281994">
                        <w:rPr>
                          <w:lang w:val="en-GB"/>
                        </w:rPr>
                        <w:t xml:space="preserve"> ha of lands destined for housing construction, of which 78</w:t>
                      </w:r>
                      <w:r>
                        <w:rPr>
                          <w:lang w:val="en-GB"/>
                        </w:rPr>
                        <w:t>.5</w:t>
                      </w:r>
                      <w:r w:rsidRPr="00281994">
                        <w:rPr>
                          <w:lang w:val="en-GB"/>
                        </w:rPr>
                        <w:t> % of their total area for single</w:t>
                      </w:r>
                      <w:r w:rsidRPr="00281994">
                        <w:rPr>
                          <w:lang w:val="en-GB"/>
                        </w:rPr>
                        <w:noBreakHyphen/>
                        <w:t xml:space="preserve">family housing </w:t>
                      </w:r>
                    </w:p>
                  </w:txbxContent>
                </v:textbox>
                <w10:wrap type="tight" anchorx="margin"/>
              </v:shape>
            </w:pict>
          </mc:Fallback>
        </mc:AlternateContent>
      </w:r>
      <w:r w:rsidRPr="00281994">
        <w:rPr>
          <w:rFonts w:ascii="Fira Sans SemiBold" w:hAnsi="Fira Sans SemiBold"/>
          <w:noProof/>
          <w:color w:val="001D77"/>
          <w:szCs w:val="19"/>
          <w:lang w:val="en-GB" w:eastAsia="pl-PL"/>
        </w:rPr>
        <w:t>Management of land for housing construction</w:t>
      </w:r>
    </w:p>
    <w:p w:rsidR="00581B78" w:rsidRPr="00281994" w:rsidRDefault="00581B78" w:rsidP="00581B78">
      <w:pPr>
        <w:spacing w:after="0"/>
        <w:rPr>
          <w:shd w:val="clear" w:color="auto" w:fill="FFFFFF"/>
          <w:lang w:val="en-GB"/>
        </w:rPr>
      </w:pPr>
      <w:r w:rsidRPr="00281994">
        <w:rPr>
          <w:shd w:val="clear" w:color="auto" w:fill="FFFFFF"/>
          <w:lang w:val="en-GB"/>
        </w:rPr>
        <w:t xml:space="preserve">As for the land being part of </w:t>
      </w:r>
      <w:proofErr w:type="spellStart"/>
      <w:r w:rsidRPr="00281994">
        <w:rPr>
          <w:shd w:val="clear" w:color="auto" w:fill="FFFFFF"/>
          <w:lang w:val="en-GB"/>
        </w:rPr>
        <w:t>gminas</w:t>
      </w:r>
      <w:proofErr w:type="spellEnd"/>
      <w:r w:rsidRPr="00281994">
        <w:rPr>
          <w:shd w:val="clear" w:color="auto" w:fill="FFFFFF"/>
          <w:lang w:val="en-GB"/>
        </w:rPr>
        <w:t xml:space="preserve"> stocks meant for housing construction </w:t>
      </w:r>
      <w:r w:rsidR="005D075A">
        <w:rPr>
          <w:shd w:val="clear" w:color="auto" w:fill="FFFFFF"/>
          <w:lang w:val="en-GB"/>
        </w:rPr>
        <w:t>as of</w:t>
      </w:r>
      <w:r w:rsidR="005D075A" w:rsidRPr="00281994">
        <w:rPr>
          <w:shd w:val="clear" w:color="auto" w:fill="FFFFFF"/>
          <w:lang w:val="en-GB"/>
        </w:rPr>
        <w:t xml:space="preserve"> </w:t>
      </w:r>
      <w:r w:rsidRPr="00281994">
        <w:rPr>
          <w:shd w:val="clear" w:color="auto" w:fill="FFFFFF"/>
          <w:lang w:val="en-GB"/>
        </w:rPr>
        <w:t>the end of 201</w:t>
      </w:r>
      <w:r w:rsidR="00DB47DC">
        <w:rPr>
          <w:shd w:val="clear" w:color="auto" w:fill="FFFFFF"/>
          <w:lang w:val="en-GB"/>
        </w:rPr>
        <w:t>9,</w:t>
      </w:r>
      <w:r w:rsidRPr="00281994">
        <w:rPr>
          <w:shd w:val="clear" w:color="auto" w:fill="FFFFFF"/>
          <w:lang w:val="en-GB"/>
        </w:rPr>
        <w:t xml:space="preserve"> </w:t>
      </w:r>
      <w:r>
        <w:rPr>
          <w:shd w:val="clear" w:color="auto" w:fill="FFFFFF"/>
          <w:lang w:val="en-GB"/>
        </w:rPr>
        <w:t xml:space="preserve">about </w:t>
      </w:r>
      <w:r w:rsidRPr="00281994">
        <w:rPr>
          <w:shd w:val="clear" w:color="auto" w:fill="FFFFFF"/>
          <w:lang w:val="en-GB"/>
        </w:rPr>
        <w:t>5</w:t>
      </w:r>
      <w:r w:rsidR="0096456C">
        <w:rPr>
          <w:shd w:val="clear" w:color="auto" w:fill="FFFFFF"/>
          <w:lang w:val="en-GB"/>
        </w:rPr>
        <w:t>7.</w:t>
      </w:r>
      <w:r w:rsidRPr="00281994">
        <w:rPr>
          <w:shd w:val="clear" w:color="auto" w:fill="FFFFFF"/>
          <w:lang w:val="en-GB"/>
        </w:rPr>
        <w:t>8 % was located in urban areas</w:t>
      </w:r>
      <w:r w:rsidR="005D075A">
        <w:rPr>
          <w:shd w:val="clear" w:color="auto" w:fill="FFFFFF"/>
          <w:lang w:val="en-GB"/>
        </w:rPr>
        <w:t>,</w:t>
      </w:r>
      <w:r w:rsidR="005D075A" w:rsidRPr="00281994">
        <w:rPr>
          <w:shd w:val="clear" w:color="auto" w:fill="FFFFFF"/>
          <w:lang w:val="en-GB"/>
        </w:rPr>
        <w:t xml:space="preserve"> </w:t>
      </w:r>
      <w:r w:rsidRPr="00281994">
        <w:rPr>
          <w:shd w:val="clear" w:color="auto" w:fill="FFFFFF"/>
          <w:lang w:val="en-GB"/>
        </w:rPr>
        <w:t>and 6</w:t>
      </w:r>
      <w:r w:rsidR="0096456C">
        <w:rPr>
          <w:shd w:val="clear" w:color="auto" w:fill="FFFFFF"/>
          <w:lang w:val="en-GB"/>
        </w:rPr>
        <w:t>5.0</w:t>
      </w:r>
      <w:r w:rsidRPr="00281994">
        <w:rPr>
          <w:shd w:val="clear" w:color="auto" w:fill="FFFFFF"/>
          <w:lang w:val="en-GB"/>
        </w:rPr>
        <w:t> % of land was meant for single</w:t>
      </w:r>
      <w:r>
        <w:rPr>
          <w:shd w:val="clear" w:color="auto" w:fill="FFFFFF"/>
          <w:lang w:val="en-GB"/>
        </w:rPr>
        <w:noBreakHyphen/>
      </w:r>
      <w:r w:rsidRPr="00281994">
        <w:rPr>
          <w:shd w:val="clear" w:color="auto" w:fill="FFFFFF"/>
          <w:lang w:val="en-GB"/>
        </w:rPr>
        <w:t>family housing.</w:t>
      </w:r>
    </w:p>
    <w:p w:rsidR="00581B78" w:rsidRPr="00281994" w:rsidRDefault="00581B78" w:rsidP="00581B78">
      <w:pPr>
        <w:spacing w:after="0"/>
        <w:rPr>
          <w:shd w:val="clear" w:color="auto" w:fill="FFFFFF"/>
          <w:lang w:val="en-GB"/>
        </w:rPr>
      </w:pPr>
      <w:r w:rsidRPr="00281994">
        <w:rPr>
          <w:shd w:val="clear" w:color="auto" w:fill="FFFFFF"/>
          <w:lang w:val="en-GB"/>
        </w:rPr>
        <w:t>Out of the total area of land meant for housing construction</w:t>
      </w:r>
      <w:r w:rsidR="005D075A">
        <w:rPr>
          <w:shd w:val="clear" w:color="auto" w:fill="FFFFFF"/>
          <w:lang w:val="en-GB"/>
        </w:rPr>
        <w:t>,</w:t>
      </w:r>
      <w:r w:rsidR="005D075A" w:rsidRPr="00281994">
        <w:rPr>
          <w:shd w:val="clear" w:color="auto" w:fill="FFFFFF"/>
          <w:lang w:val="en-GB"/>
        </w:rPr>
        <w:t xml:space="preserve"> </w:t>
      </w:r>
      <w:r w:rsidRPr="00281994">
        <w:rPr>
          <w:shd w:val="clear" w:color="auto" w:fill="FFFFFF"/>
          <w:lang w:val="en-GB"/>
        </w:rPr>
        <w:t>45.</w:t>
      </w:r>
      <w:r w:rsidR="0096456C">
        <w:rPr>
          <w:shd w:val="clear" w:color="auto" w:fill="FFFFFF"/>
          <w:lang w:val="en-GB"/>
        </w:rPr>
        <w:t>3</w:t>
      </w:r>
      <w:r w:rsidRPr="00281994">
        <w:rPr>
          <w:shd w:val="clear" w:color="auto" w:fill="FFFFFF"/>
          <w:lang w:val="en-GB"/>
        </w:rPr>
        <w:t> % accounted for non</w:t>
      </w:r>
      <w:r w:rsidRPr="00281994">
        <w:rPr>
          <w:shd w:val="clear" w:color="auto" w:fill="FFFFFF"/>
          <w:lang w:val="en-GB"/>
        </w:rPr>
        <w:noBreakHyphen/>
        <w:t>developed land (of which 61</w:t>
      </w:r>
      <w:r>
        <w:rPr>
          <w:shd w:val="clear" w:color="auto" w:fill="FFFFFF"/>
          <w:lang w:val="en-GB"/>
        </w:rPr>
        <w:t>.</w:t>
      </w:r>
      <w:r w:rsidR="0096456C">
        <w:rPr>
          <w:shd w:val="clear" w:color="auto" w:fill="FFFFFF"/>
          <w:lang w:val="en-GB"/>
        </w:rPr>
        <w:t>3</w:t>
      </w:r>
      <w:r w:rsidRPr="00281994">
        <w:rPr>
          <w:shd w:val="clear" w:color="auto" w:fill="FFFFFF"/>
          <w:lang w:val="en-GB"/>
        </w:rPr>
        <w:t> % was in urban areas).</w:t>
      </w:r>
    </w:p>
    <w:p w:rsidR="00581B78" w:rsidRPr="00281994" w:rsidRDefault="00581B78" w:rsidP="00581B78">
      <w:pPr>
        <w:spacing w:after="0" w:line="240" w:lineRule="auto"/>
        <w:rPr>
          <w:shd w:val="clear" w:color="auto" w:fill="FFFFFF"/>
          <w:lang w:val="en-GB"/>
        </w:rPr>
      </w:pPr>
      <w:r w:rsidRPr="00281994">
        <w:rPr>
          <w:shd w:val="clear" w:color="auto" w:fill="FFFFFF"/>
          <w:lang w:val="en-GB"/>
        </w:rPr>
        <w:lastRenderedPageBreak/>
        <w:t>In 201</w:t>
      </w:r>
      <w:r w:rsidR="0096456C">
        <w:rPr>
          <w:shd w:val="clear" w:color="auto" w:fill="FFFFFF"/>
          <w:lang w:val="en-GB"/>
        </w:rPr>
        <w:t>9</w:t>
      </w:r>
      <w:r w:rsidR="005D075A">
        <w:rPr>
          <w:shd w:val="clear" w:color="auto" w:fill="FFFFFF"/>
          <w:lang w:val="en-GB"/>
        </w:rPr>
        <w:t>,</w:t>
      </w:r>
      <w:r w:rsidRPr="00281994">
        <w:rPr>
          <w:shd w:val="clear" w:color="auto" w:fill="FFFFFF"/>
          <w:lang w:val="en-GB"/>
        </w:rPr>
        <w:t xml:space="preserve"> </w:t>
      </w:r>
      <w:proofErr w:type="spellStart"/>
      <w:r w:rsidRPr="00281994">
        <w:rPr>
          <w:shd w:val="clear" w:color="auto" w:fill="FFFFFF"/>
          <w:lang w:val="en-GB"/>
        </w:rPr>
        <w:t>gminas</w:t>
      </w:r>
      <w:proofErr w:type="spellEnd"/>
      <w:r w:rsidRPr="00281994">
        <w:rPr>
          <w:shd w:val="clear" w:color="auto" w:fill="FFFFFF"/>
          <w:lang w:val="en-GB"/>
        </w:rPr>
        <w:t xml:space="preserve"> handed over to investors </w:t>
      </w:r>
      <w:r w:rsidR="0096456C">
        <w:rPr>
          <w:shd w:val="clear" w:color="auto" w:fill="FFFFFF"/>
          <w:lang w:val="en-GB"/>
        </w:rPr>
        <w:t>776.6</w:t>
      </w:r>
      <w:r w:rsidRPr="00281994">
        <w:rPr>
          <w:shd w:val="clear" w:color="auto" w:fill="FFFFFF"/>
          <w:lang w:val="en-GB"/>
        </w:rPr>
        <w:t xml:space="preserve"> ha of land for housing construction</w:t>
      </w:r>
      <w:r w:rsidR="005D075A">
        <w:rPr>
          <w:shd w:val="clear" w:color="auto" w:fill="FFFFFF"/>
          <w:lang w:val="en-GB"/>
        </w:rPr>
        <w:t>,</w:t>
      </w:r>
      <w:r w:rsidR="005D075A" w:rsidRPr="00281994">
        <w:rPr>
          <w:shd w:val="clear" w:color="auto" w:fill="FFFFFF"/>
          <w:lang w:val="en-GB"/>
        </w:rPr>
        <w:t xml:space="preserve"> </w:t>
      </w:r>
      <w:r w:rsidRPr="00281994">
        <w:rPr>
          <w:shd w:val="clear" w:color="auto" w:fill="FFFFFF"/>
          <w:lang w:val="en-GB"/>
        </w:rPr>
        <w:t>of which 8</w:t>
      </w:r>
      <w:r w:rsidR="0096456C">
        <w:rPr>
          <w:shd w:val="clear" w:color="auto" w:fill="FFFFFF"/>
          <w:lang w:val="en-GB"/>
        </w:rPr>
        <w:t>4.8</w:t>
      </w:r>
      <w:r w:rsidRPr="00281994">
        <w:rPr>
          <w:shd w:val="clear" w:color="auto" w:fill="FFFFFF"/>
          <w:lang w:val="en-GB"/>
        </w:rPr>
        <w:t> % were meant for single-family housing. Of the total area of land meant for housing construction 58.</w:t>
      </w:r>
      <w:r w:rsidR="0096456C">
        <w:rPr>
          <w:shd w:val="clear" w:color="auto" w:fill="FFFFFF"/>
          <w:lang w:val="en-GB"/>
        </w:rPr>
        <w:t>4</w:t>
      </w:r>
      <w:r>
        <w:rPr>
          <w:shd w:val="clear" w:color="auto" w:fill="FFFFFF"/>
          <w:lang w:val="en-GB"/>
        </w:rPr>
        <w:t> </w:t>
      </w:r>
      <w:r w:rsidRPr="00281994">
        <w:rPr>
          <w:shd w:val="clear" w:color="auto" w:fill="FFFFFF"/>
          <w:lang w:val="en-GB"/>
        </w:rPr>
        <w:t>% accounted for land in urban areas.</w:t>
      </w:r>
    </w:p>
    <w:p w:rsidR="00B02FD4" w:rsidRPr="00975517" w:rsidRDefault="00B02FD4" w:rsidP="00265626">
      <w:pPr>
        <w:rPr>
          <w:spacing w:val="-2"/>
          <w:sz w:val="18"/>
          <w:lang w:val="en-US"/>
        </w:rPr>
      </w:pPr>
    </w:p>
    <w:p w:rsidR="00982D5F" w:rsidRDefault="00982D5F" w:rsidP="00E76D26">
      <w:pPr>
        <w:rPr>
          <w:iCs/>
          <w:lang w:val="en-GB"/>
        </w:rPr>
      </w:pPr>
    </w:p>
    <w:p w:rsidR="00694AF0" w:rsidRPr="00B02FD4" w:rsidRDefault="00B02FD4" w:rsidP="00E76D26">
      <w:pPr>
        <w:rPr>
          <w:iCs/>
          <w:lang w:val="en-GB"/>
        </w:rPr>
      </w:pPr>
      <w:r w:rsidRPr="00B02FD4">
        <w:rPr>
          <w:iCs/>
          <w:lang w:val="en-GB"/>
        </w:rPr>
        <w:t>In case of quoting Statistics Poland data</w:t>
      </w:r>
      <w:r w:rsidR="005D075A">
        <w:rPr>
          <w:iCs/>
          <w:lang w:val="en-GB"/>
        </w:rPr>
        <w:t>,</w:t>
      </w:r>
      <w:r w:rsidR="005D075A" w:rsidRPr="00B02FD4">
        <w:rPr>
          <w:iCs/>
          <w:lang w:val="en-GB"/>
        </w:rPr>
        <w:t xml:space="preserve"> </w:t>
      </w:r>
      <w:r w:rsidRPr="00B02FD4">
        <w:rPr>
          <w:iCs/>
          <w:lang w:val="en-GB"/>
        </w:rPr>
        <w:t>please provide information: “Source of data: Statistics Poland</w:t>
      </w:r>
      <w:r w:rsidR="005D075A" w:rsidRPr="00B02FD4">
        <w:rPr>
          <w:iCs/>
          <w:lang w:val="en-GB"/>
        </w:rPr>
        <w:t>”</w:t>
      </w:r>
      <w:r w:rsidR="005D075A">
        <w:rPr>
          <w:iCs/>
          <w:lang w:val="en-GB"/>
        </w:rPr>
        <w:t>,</w:t>
      </w:r>
      <w:r w:rsidR="005D075A" w:rsidRPr="00B02FD4">
        <w:rPr>
          <w:iCs/>
          <w:lang w:val="en-GB"/>
        </w:rPr>
        <w:t xml:space="preserve"> </w:t>
      </w:r>
      <w:r w:rsidRPr="00B02FD4">
        <w:rPr>
          <w:iCs/>
          <w:lang w:val="en-GB"/>
        </w:rPr>
        <w:t>and in case of publishing calculations made on data published by Statistics Poland</w:t>
      </w:r>
      <w:r w:rsidR="005D075A">
        <w:rPr>
          <w:iCs/>
          <w:lang w:val="en-GB"/>
        </w:rPr>
        <w:t>,</w:t>
      </w:r>
      <w:r w:rsidR="005D075A" w:rsidRPr="00B02FD4">
        <w:rPr>
          <w:iCs/>
          <w:lang w:val="en-GB"/>
        </w:rPr>
        <w:t xml:space="preserve"> </w:t>
      </w:r>
      <w:r w:rsidRPr="00B02FD4">
        <w:rPr>
          <w:iCs/>
          <w:lang w:val="en-GB"/>
        </w:rPr>
        <w:t>please include the following disclaimer: “Own study based on figures from Statistics Poland”.</w:t>
      </w:r>
    </w:p>
    <w:p w:rsidR="00694AF0" w:rsidRPr="00975517" w:rsidRDefault="00694AF0" w:rsidP="00E76D26">
      <w:pPr>
        <w:rPr>
          <w:sz w:val="18"/>
          <w:lang w:val="en-US"/>
        </w:rPr>
        <w:sectPr w:rsidR="00694AF0" w:rsidRPr="00975517" w:rsidSect="00D02CCD">
          <w:headerReference w:type="default" r:id="rId14"/>
          <w:footerReference w:type="default" r:id="rId15"/>
          <w:headerReference w:type="first" r:id="rId16"/>
          <w:footerReference w:type="first" r:id="rId17"/>
          <w:pgSz w:w="11906" w:h="16838"/>
          <w:pgMar w:top="720" w:right="2975" w:bottom="720" w:left="720" w:header="284" w:footer="284" w:gutter="0"/>
          <w:cols w:space="708"/>
          <w:titlePg/>
          <w:docGrid w:linePitch="360"/>
        </w:sectPr>
      </w:pPr>
    </w:p>
    <w:p w:rsidR="000470AA" w:rsidRPr="00975517"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222E38" w:rsidRPr="00504345" w:rsidTr="004846CA">
        <w:trPr>
          <w:trHeight w:val="1506"/>
        </w:trPr>
        <w:tc>
          <w:tcPr>
            <w:tcW w:w="4165" w:type="dxa"/>
          </w:tcPr>
          <w:p w:rsidR="00222E38" w:rsidRPr="00975517" w:rsidRDefault="00222E38" w:rsidP="00222E38">
            <w:pPr>
              <w:spacing w:before="0" w:after="0" w:line="276" w:lineRule="auto"/>
              <w:rPr>
                <w:rFonts w:cs="Arial"/>
                <w:color w:val="000000" w:themeColor="text1"/>
                <w:sz w:val="20"/>
                <w:lang w:val="en-US"/>
              </w:rPr>
            </w:pPr>
            <w:r w:rsidRPr="00975517">
              <w:rPr>
                <w:rFonts w:cs="Arial"/>
                <w:color w:val="000000" w:themeColor="text1"/>
                <w:sz w:val="20"/>
                <w:lang w:val="en-US"/>
              </w:rPr>
              <w:t>Prepared by:</w:t>
            </w:r>
          </w:p>
          <w:p w:rsidR="00222E38" w:rsidRPr="00975517" w:rsidRDefault="00222E38" w:rsidP="00222E38">
            <w:pPr>
              <w:pStyle w:val="Nagwek3"/>
              <w:spacing w:before="0" w:line="240" w:lineRule="auto"/>
              <w:rPr>
                <w:rFonts w:ascii="Fira Sans" w:eastAsiaTheme="minorHAnsi" w:hAnsi="Fira Sans" w:cs="Arial"/>
                <w:b/>
                <w:bCs/>
                <w:color w:val="000000" w:themeColor="text1"/>
                <w:sz w:val="20"/>
                <w:szCs w:val="22"/>
                <w:lang w:val="en-US"/>
              </w:rPr>
            </w:pPr>
            <w:r w:rsidRPr="00975517">
              <w:rPr>
                <w:rFonts w:ascii="Fira Sans" w:eastAsiaTheme="minorHAnsi" w:hAnsi="Fira Sans" w:cs="Arial"/>
                <w:b/>
                <w:bCs/>
                <w:color w:val="000000" w:themeColor="text1"/>
                <w:sz w:val="20"/>
                <w:szCs w:val="22"/>
                <w:lang w:val="en-US"/>
              </w:rPr>
              <w:t>Trade and Services Department</w:t>
            </w:r>
          </w:p>
          <w:p w:rsidR="00222E38" w:rsidRPr="00DA44FA" w:rsidRDefault="004B2082" w:rsidP="00222E38">
            <w:pPr>
              <w:pStyle w:val="Nagwek3"/>
              <w:spacing w:before="0" w:line="240" w:lineRule="auto"/>
              <w:rPr>
                <w:rFonts w:ascii="Fira Sans" w:hAnsi="Fira Sans" w:cs="Arial"/>
                <w:b/>
                <w:color w:val="000000" w:themeColor="text1"/>
                <w:sz w:val="20"/>
                <w:szCs w:val="28"/>
              </w:rPr>
            </w:pPr>
            <w:proofErr w:type="spellStart"/>
            <w:r>
              <w:rPr>
                <w:rFonts w:ascii="Fira Sans" w:hAnsi="Fira Sans" w:cs="Arial"/>
                <w:b/>
                <w:color w:val="000000" w:themeColor="text1"/>
                <w:sz w:val="20"/>
                <w:szCs w:val="28"/>
              </w:rPr>
              <w:t>D</w:t>
            </w:r>
            <w:r w:rsidRPr="004B2082">
              <w:rPr>
                <w:rFonts w:ascii="Fira Sans" w:hAnsi="Fira Sans" w:cs="Arial"/>
                <w:b/>
                <w:color w:val="000000" w:themeColor="text1"/>
                <w:sz w:val="20"/>
                <w:szCs w:val="28"/>
              </w:rPr>
              <w:t>irector</w:t>
            </w:r>
            <w:proofErr w:type="spellEnd"/>
            <w:r w:rsidRPr="004B2082">
              <w:rPr>
                <w:rFonts w:ascii="Fira Sans" w:hAnsi="Fira Sans" w:cs="Arial"/>
                <w:b/>
                <w:color w:val="000000" w:themeColor="text1"/>
                <w:sz w:val="20"/>
                <w:szCs w:val="28"/>
              </w:rPr>
              <w:t xml:space="preserve"> </w:t>
            </w:r>
            <w:r>
              <w:rPr>
                <w:rFonts w:ascii="Fira Sans" w:hAnsi="Fira Sans" w:cs="Arial"/>
                <w:b/>
                <w:color w:val="000000" w:themeColor="text1"/>
                <w:sz w:val="20"/>
                <w:szCs w:val="28"/>
              </w:rPr>
              <w:t>E</w:t>
            </w:r>
            <w:r w:rsidRPr="004B2082">
              <w:rPr>
                <w:rFonts w:ascii="Fira Sans" w:hAnsi="Fira Sans" w:cs="Arial"/>
                <w:b/>
                <w:color w:val="000000" w:themeColor="text1"/>
                <w:sz w:val="20"/>
                <w:szCs w:val="28"/>
              </w:rPr>
              <w:t>wa Adach-Stankiewicz</w:t>
            </w:r>
          </w:p>
          <w:p w:rsidR="00222E38" w:rsidRPr="008F3638" w:rsidRDefault="00E44C1B" w:rsidP="00222E38">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fi-FI"/>
              </w:rPr>
              <w:t>Office</w:t>
            </w:r>
            <w:r w:rsidR="00222E38"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tel. (</w:t>
            </w:r>
            <w:r w:rsidR="00222E38">
              <w:rPr>
                <w:rFonts w:ascii="Fira Sans" w:hAnsi="Fira Sans" w:cs="Arial"/>
                <w:color w:val="000000" w:themeColor="text1"/>
                <w:sz w:val="20"/>
                <w:lang w:val="fi-FI"/>
              </w:rPr>
              <w:t>+48 22</w:t>
            </w:r>
            <w:r>
              <w:rPr>
                <w:rFonts w:ascii="Fira Sans" w:hAnsi="Fira Sans" w:cs="Arial"/>
                <w:color w:val="000000" w:themeColor="text1"/>
                <w:sz w:val="20"/>
                <w:lang w:val="fi-FI"/>
              </w:rPr>
              <w:t>)</w:t>
            </w:r>
            <w:r w:rsidR="00222E38" w:rsidRPr="008F3638">
              <w:rPr>
                <w:rFonts w:ascii="Fira Sans" w:hAnsi="Fira Sans" w:cs="Arial"/>
                <w:color w:val="000000" w:themeColor="text1"/>
                <w:sz w:val="20"/>
                <w:lang w:val="fi-FI"/>
              </w:rPr>
              <w:t> </w:t>
            </w:r>
            <w:r w:rsidR="00222E38">
              <w:rPr>
                <w:rFonts w:ascii="Fira Sans" w:hAnsi="Fira Sans" w:cs="Arial"/>
                <w:color w:val="000000" w:themeColor="text1"/>
                <w:sz w:val="20"/>
                <w:lang w:val="fi-FI"/>
              </w:rPr>
              <w:t xml:space="preserve">608 </w:t>
            </w:r>
            <w:r w:rsidR="004C203A">
              <w:rPr>
                <w:rFonts w:ascii="Fira Sans" w:hAnsi="Fira Sans" w:cs="Arial"/>
                <w:color w:val="000000" w:themeColor="text1"/>
                <w:sz w:val="20"/>
                <w:lang w:val="fi-FI"/>
              </w:rPr>
              <w:t>30 67</w:t>
            </w:r>
          </w:p>
          <w:p w:rsidR="00222E38" w:rsidRPr="008F3638" w:rsidRDefault="00222E38" w:rsidP="003D2833">
            <w:pPr>
              <w:pStyle w:val="Nagwek3"/>
              <w:spacing w:before="0" w:line="240" w:lineRule="auto"/>
              <w:rPr>
                <w:rFonts w:ascii="Fira Sans" w:hAnsi="Fira Sans"/>
                <w:color w:val="000000" w:themeColor="text1"/>
                <w:lang w:val="fi-FI"/>
              </w:rPr>
            </w:pPr>
          </w:p>
        </w:tc>
        <w:tc>
          <w:tcPr>
            <w:tcW w:w="3728" w:type="dxa"/>
          </w:tcPr>
          <w:p w:rsidR="00222E38" w:rsidRPr="00975517" w:rsidRDefault="00222E38" w:rsidP="00222E38">
            <w:pPr>
              <w:spacing w:before="0" w:after="0" w:line="276" w:lineRule="auto"/>
              <w:rPr>
                <w:rFonts w:cs="Arial"/>
                <w:b/>
                <w:color w:val="000000" w:themeColor="text1"/>
                <w:sz w:val="20"/>
                <w:lang w:val="en-US"/>
              </w:rPr>
            </w:pPr>
            <w:r w:rsidRPr="00975517">
              <w:rPr>
                <w:rFonts w:cs="Arial"/>
                <w:color w:val="000000" w:themeColor="text1"/>
                <w:sz w:val="20"/>
                <w:lang w:val="en-US"/>
              </w:rPr>
              <w:t>Issued by:</w:t>
            </w:r>
            <w:r w:rsidRPr="00975517">
              <w:rPr>
                <w:rFonts w:cs="Arial"/>
                <w:color w:val="000000" w:themeColor="text1"/>
                <w:sz w:val="20"/>
                <w:lang w:val="en-US"/>
              </w:rPr>
              <w:br/>
            </w:r>
            <w:r w:rsidRPr="00975517">
              <w:rPr>
                <w:rFonts w:cs="Arial"/>
                <w:b/>
                <w:color w:val="000000" w:themeColor="text1"/>
                <w:sz w:val="20"/>
                <w:lang w:val="en-US"/>
              </w:rPr>
              <w:t>The Spoke</w:t>
            </w:r>
            <w:r w:rsidR="00D31190">
              <w:rPr>
                <w:rFonts w:cs="Arial"/>
                <w:b/>
                <w:color w:val="000000" w:themeColor="text1"/>
                <w:sz w:val="20"/>
                <w:lang w:val="en-US"/>
              </w:rPr>
              <w:t>s</w:t>
            </w:r>
            <w:r w:rsidRPr="00975517">
              <w:rPr>
                <w:rFonts w:cs="Arial"/>
                <w:b/>
                <w:color w:val="000000" w:themeColor="text1"/>
                <w:sz w:val="20"/>
                <w:lang w:val="en-US"/>
              </w:rPr>
              <w:t xml:space="preserve">person for the President </w:t>
            </w:r>
          </w:p>
          <w:p w:rsidR="00222E38" w:rsidRPr="00975517" w:rsidRDefault="00222E38" w:rsidP="00222E38">
            <w:pPr>
              <w:spacing w:before="0" w:after="0" w:line="276" w:lineRule="auto"/>
              <w:rPr>
                <w:rFonts w:cs="Arial"/>
                <w:b/>
                <w:color w:val="000000" w:themeColor="text1"/>
                <w:sz w:val="20"/>
                <w:lang w:val="en-US"/>
              </w:rPr>
            </w:pPr>
            <w:r w:rsidRPr="00975517">
              <w:rPr>
                <w:rFonts w:cs="Arial"/>
                <w:b/>
                <w:color w:val="000000" w:themeColor="text1"/>
                <w:sz w:val="20"/>
                <w:lang w:val="en-US"/>
              </w:rPr>
              <w:t>of the Statistic</w:t>
            </w:r>
            <w:r w:rsidR="00AD5110">
              <w:rPr>
                <w:rFonts w:cs="Arial"/>
                <w:b/>
                <w:color w:val="000000" w:themeColor="text1"/>
                <w:sz w:val="20"/>
                <w:lang w:val="en-US"/>
              </w:rPr>
              <w:t>s</w:t>
            </w:r>
            <w:r w:rsidRPr="00975517">
              <w:rPr>
                <w:rFonts w:cs="Arial"/>
                <w:b/>
                <w:color w:val="000000" w:themeColor="text1"/>
                <w:sz w:val="20"/>
                <w:lang w:val="en-US"/>
              </w:rPr>
              <w:t xml:space="preserve"> Poland</w:t>
            </w:r>
          </w:p>
          <w:p w:rsidR="00222E38" w:rsidRPr="00975517" w:rsidRDefault="00222E38" w:rsidP="00222E38">
            <w:pPr>
              <w:pStyle w:val="Nagwek3"/>
              <w:spacing w:before="0" w:line="240" w:lineRule="auto"/>
              <w:rPr>
                <w:rFonts w:ascii="Fira Sans" w:hAnsi="Fira Sans" w:cs="Arial"/>
                <w:b/>
                <w:color w:val="000000" w:themeColor="text1"/>
                <w:sz w:val="20"/>
                <w:szCs w:val="28"/>
                <w:lang w:val="en-US"/>
              </w:rPr>
            </w:pPr>
            <w:r w:rsidRPr="00975517">
              <w:rPr>
                <w:rFonts w:ascii="Fira Sans" w:hAnsi="Fira Sans" w:cs="Arial"/>
                <w:b/>
                <w:color w:val="000000" w:themeColor="text1"/>
                <w:sz w:val="20"/>
                <w:szCs w:val="28"/>
                <w:lang w:val="en-US"/>
              </w:rPr>
              <w:t xml:space="preserve">Karolina </w:t>
            </w:r>
            <w:proofErr w:type="spellStart"/>
            <w:r w:rsidR="006E325C">
              <w:rPr>
                <w:rFonts w:ascii="Fira Sans" w:hAnsi="Fira Sans" w:cs="Arial"/>
                <w:b/>
                <w:color w:val="000000" w:themeColor="text1"/>
                <w:sz w:val="20"/>
                <w:szCs w:val="28"/>
                <w:lang w:val="en-US"/>
              </w:rPr>
              <w:t>Banaszek</w:t>
            </w:r>
            <w:proofErr w:type="spellEnd"/>
          </w:p>
          <w:p w:rsidR="00222E38" w:rsidRPr="008F3638" w:rsidRDefault="004B2082" w:rsidP="00222E38">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lang w:val="fi-FI"/>
              </w:rPr>
              <w:t>Mobile:</w:t>
            </w:r>
            <w:r w:rsidRPr="003A56B5">
              <w:rPr>
                <w:rFonts w:ascii="Fira Sans" w:hAnsi="Fira Sans" w:cs="Arial"/>
                <w:color w:val="000000" w:themeColor="text1"/>
                <w:sz w:val="20"/>
                <w:lang w:val="fi-FI"/>
              </w:rPr>
              <w:t xml:space="preserve"> (+48) </w:t>
            </w:r>
            <w:r w:rsidRPr="00F60BA8">
              <w:rPr>
                <w:rFonts w:ascii="Fira Sans" w:hAnsi="Fira Sans" w:cs="Arial"/>
                <w:color w:val="000000" w:themeColor="text1"/>
                <w:sz w:val="20"/>
                <w:lang w:val="fi-FI"/>
              </w:rPr>
              <w:t>695 255</w:t>
            </w:r>
            <w:r>
              <w:rPr>
                <w:rFonts w:ascii="Fira Sans" w:hAnsi="Fira Sans" w:cs="Arial"/>
                <w:color w:val="000000" w:themeColor="text1"/>
                <w:sz w:val="20"/>
                <w:lang w:val="fi-FI"/>
              </w:rPr>
              <w:t> </w:t>
            </w:r>
            <w:r w:rsidRPr="00F60BA8">
              <w:rPr>
                <w:rFonts w:ascii="Fira Sans" w:hAnsi="Fira Sans" w:cs="Arial"/>
                <w:color w:val="000000" w:themeColor="text1"/>
                <w:sz w:val="20"/>
                <w:lang w:val="fi-FI"/>
              </w:rPr>
              <w:t>011</w:t>
            </w:r>
          </w:p>
        </w:tc>
      </w:tr>
    </w:tbl>
    <w:p w:rsidR="00222E38" w:rsidRPr="00975517" w:rsidRDefault="00222E38" w:rsidP="00222E38">
      <w:pPr>
        <w:rPr>
          <w:sz w:val="20"/>
          <w:lang w:val="en-US"/>
        </w:rPr>
      </w:pPr>
    </w:p>
    <w:p w:rsidR="00222E38" w:rsidRPr="00975517" w:rsidRDefault="00222E38" w:rsidP="00222E38">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222E38" w:rsidRPr="00AA7AD5" w:rsidTr="000B572E">
        <w:trPr>
          <w:trHeight w:val="610"/>
        </w:trPr>
        <w:tc>
          <w:tcPr>
            <w:tcW w:w="2721" w:type="pct"/>
            <w:vMerge w:val="restart"/>
          </w:tcPr>
          <w:p w:rsidR="00222E38" w:rsidRPr="00975517" w:rsidRDefault="00222E38" w:rsidP="000B572E">
            <w:pPr>
              <w:rPr>
                <w:b/>
                <w:sz w:val="20"/>
                <w:lang w:val="en-US"/>
              </w:rPr>
            </w:pPr>
            <w:r w:rsidRPr="00975517">
              <w:rPr>
                <w:b/>
                <w:sz w:val="20"/>
                <w:lang w:val="en-US"/>
              </w:rPr>
              <w:t>Press Office</w:t>
            </w:r>
          </w:p>
          <w:p w:rsidR="00222E38" w:rsidRPr="00975517" w:rsidRDefault="004B2082" w:rsidP="000B572E">
            <w:pPr>
              <w:rPr>
                <w:sz w:val="20"/>
                <w:lang w:val="en-US"/>
              </w:rPr>
            </w:pPr>
            <w:r w:rsidRPr="004B2082">
              <w:rPr>
                <w:sz w:val="20"/>
                <w:lang w:val="en-US"/>
              </w:rPr>
              <w:t xml:space="preserve">Office: </w:t>
            </w:r>
            <w:r w:rsidR="00222E38" w:rsidRPr="004B2082">
              <w:rPr>
                <w:sz w:val="20"/>
                <w:lang w:val="en-US"/>
              </w:rPr>
              <w:t>tel</w:t>
            </w:r>
            <w:r w:rsidR="00982D5F">
              <w:rPr>
                <w:sz w:val="20"/>
                <w:lang w:val="en-US"/>
              </w:rPr>
              <w:t>.</w:t>
            </w:r>
            <w:r w:rsidR="00222E38" w:rsidRPr="00E44C1B">
              <w:rPr>
                <w:sz w:val="20"/>
                <w:lang w:val="en-US"/>
              </w:rPr>
              <w:t xml:space="preserve"> </w:t>
            </w:r>
            <w:r w:rsidR="00E44C1B" w:rsidRPr="00E44C1B">
              <w:rPr>
                <w:sz w:val="20"/>
                <w:lang w:val="en-US"/>
              </w:rPr>
              <w:t>(</w:t>
            </w:r>
            <w:r w:rsidR="00222E38" w:rsidRPr="00975517">
              <w:rPr>
                <w:sz w:val="20"/>
                <w:lang w:val="en-US"/>
              </w:rPr>
              <w:t>+48 22</w:t>
            </w:r>
            <w:r w:rsidR="00E44C1B">
              <w:rPr>
                <w:sz w:val="20"/>
                <w:lang w:val="en-US"/>
              </w:rPr>
              <w:t>)</w:t>
            </w:r>
            <w:r w:rsidR="00222E38" w:rsidRPr="00975517">
              <w:rPr>
                <w:sz w:val="20"/>
                <w:lang w:val="en-US"/>
              </w:rPr>
              <w:t xml:space="preserve"> 608 3491</w:t>
            </w:r>
            <w:r w:rsidR="004C203A">
              <w:rPr>
                <w:sz w:val="20"/>
                <w:lang w:val="en-US"/>
              </w:rPr>
              <w:t>,</w:t>
            </w:r>
            <w:r w:rsidR="00222E38" w:rsidRPr="00975517">
              <w:rPr>
                <w:sz w:val="20"/>
                <w:lang w:val="en-US"/>
              </w:rPr>
              <w:t xml:space="preserve"> 608 3804 </w:t>
            </w:r>
          </w:p>
          <w:p w:rsidR="00222E38" w:rsidRPr="00975517" w:rsidRDefault="00222E38" w:rsidP="000B572E">
            <w:pPr>
              <w:rPr>
                <w:sz w:val="18"/>
                <w:lang w:val="en-US"/>
              </w:rPr>
            </w:pPr>
            <w:r w:rsidRPr="00975517">
              <w:rPr>
                <w:b/>
                <w:sz w:val="20"/>
                <w:lang w:val="en-US"/>
              </w:rPr>
              <w:t>e-mail</w:t>
            </w:r>
            <w:r w:rsidRPr="00001737">
              <w:rPr>
                <w:b/>
                <w:sz w:val="20"/>
                <w:lang w:val="en-US"/>
              </w:rPr>
              <w:t xml:space="preserve">: </w:t>
            </w:r>
            <w:hyperlink r:id="rId18" w:history="1">
              <w:r w:rsidRPr="00001737">
                <w:rPr>
                  <w:rStyle w:val="Hipercze"/>
                  <w:rFonts w:cstheme="minorBidi"/>
                  <w:b/>
                  <w:color w:val="auto"/>
                  <w:sz w:val="20"/>
                  <w:lang w:val="en-US"/>
                </w:rPr>
                <w:t>obslugaprasowa@stat.gov.pl</w:t>
              </w:r>
            </w:hyperlink>
          </w:p>
        </w:tc>
        <w:tc>
          <w:tcPr>
            <w:tcW w:w="369" w:type="pct"/>
            <w:vAlign w:val="center"/>
          </w:tcPr>
          <w:p w:rsidR="00222E38" w:rsidRPr="00975517" w:rsidRDefault="00222E38" w:rsidP="00222E38">
            <w:pPr>
              <w:rPr>
                <w:sz w:val="18"/>
                <w:lang w:val="en-US"/>
              </w:rPr>
            </w:pPr>
            <w:r>
              <w:rPr>
                <w:noProof/>
                <w:sz w:val="20"/>
                <w:lang w:val="en-GB" w:eastAsia="en-GB"/>
              </w:rPr>
              <w:drawing>
                <wp:anchor distT="0" distB="0" distL="114300" distR="114300" simplePos="0" relativeHeight="251770880" behindDoc="0" locked="0" layoutInCell="1" allowOverlap="1" wp14:anchorId="1503B56A" wp14:editId="4A5366A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222E38" w:rsidRPr="00975517" w:rsidRDefault="00222E38" w:rsidP="00222E38">
            <w:pPr>
              <w:rPr>
                <w:sz w:val="18"/>
                <w:lang w:val="en-US"/>
              </w:rPr>
            </w:pPr>
            <w:r w:rsidRPr="00975517">
              <w:rPr>
                <w:sz w:val="20"/>
                <w:lang w:val="en-US"/>
              </w:rPr>
              <w:t>www.stat.gov.pl/en/</w:t>
            </w:r>
          </w:p>
        </w:tc>
      </w:tr>
      <w:tr w:rsidR="00222E38" w:rsidRPr="00982D5F" w:rsidTr="004846CA">
        <w:trPr>
          <w:trHeight w:val="436"/>
        </w:trPr>
        <w:tc>
          <w:tcPr>
            <w:tcW w:w="2721" w:type="pct"/>
            <w:vMerge/>
            <w:vAlign w:val="center"/>
          </w:tcPr>
          <w:p w:rsidR="00222E38" w:rsidRPr="00975517" w:rsidRDefault="00222E38" w:rsidP="00222E38">
            <w:pPr>
              <w:rPr>
                <w:sz w:val="18"/>
                <w:lang w:val="en-US"/>
              </w:rPr>
            </w:pPr>
          </w:p>
        </w:tc>
        <w:tc>
          <w:tcPr>
            <w:tcW w:w="369" w:type="pct"/>
            <w:vAlign w:val="center"/>
          </w:tcPr>
          <w:p w:rsidR="00222E38" w:rsidRPr="00975517" w:rsidRDefault="00222E38" w:rsidP="00222E38">
            <w:pPr>
              <w:rPr>
                <w:sz w:val="18"/>
                <w:lang w:val="en-US"/>
              </w:rPr>
            </w:pPr>
            <w:r>
              <w:rPr>
                <w:noProof/>
                <w:sz w:val="20"/>
                <w:lang w:val="en-GB" w:eastAsia="en-GB"/>
              </w:rPr>
              <w:drawing>
                <wp:anchor distT="0" distB="0" distL="114300" distR="114300" simplePos="0" relativeHeight="251772928" behindDoc="0" locked="0" layoutInCell="1" allowOverlap="1" wp14:anchorId="7C959830" wp14:editId="11FC57E3">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22E38" w:rsidRPr="00982D5F" w:rsidRDefault="00222E38" w:rsidP="00222E38">
            <w:pPr>
              <w:rPr>
                <w:sz w:val="18"/>
                <w:lang w:val="en-US"/>
              </w:rPr>
            </w:pPr>
            <w:r w:rsidRPr="00982D5F">
              <w:rPr>
                <w:sz w:val="20"/>
                <w:lang w:val="en-US"/>
              </w:rPr>
              <w:t>@</w:t>
            </w:r>
            <w:proofErr w:type="spellStart"/>
            <w:r w:rsidRPr="00982D5F">
              <w:rPr>
                <w:sz w:val="20"/>
                <w:lang w:val="en-US"/>
              </w:rPr>
              <w:t>StatPoland</w:t>
            </w:r>
            <w:proofErr w:type="spellEnd"/>
          </w:p>
        </w:tc>
      </w:tr>
      <w:tr w:rsidR="00222E38" w:rsidRPr="00982D5F" w:rsidTr="004846CA">
        <w:trPr>
          <w:trHeight w:val="436"/>
        </w:trPr>
        <w:tc>
          <w:tcPr>
            <w:tcW w:w="2721" w:type="pct"/>
            <w:vMerge/>
            <w:vAlign w:val="center"/>
          </w:tcPr>
          <w:p w:rsidR="00222E38" w:rsidRPr="00982D5F" w:rsidRDefault="00222E38" w:rsidP="00222E38">
            <w:pPr>
              <w:rPr>
                <w:sz w:val="18"/>
                <w:lang w:val="en-US"/>
              </w:rPr>
            </w:pPr>
          </w:p>
        </w:tc>
        <w:tc>
          <w:tcPr>
            <w:tcW w:w="369" w:type="pct"/>
            <w:vAlign w:val="center"/>
          </w:tcPr>
          <w:p w:rsidR="00222E38" w:rsidRPr="00982D5F" w:rsidRDefault="00222E38" w:rsidP="00222E38">
            <w:pPr>
              <w:rPr>
                <w:sz w:val="18"/>
                <w:lang w:val="en-US"/>
              </w:rPr>
            </w:pPr>
            <w:r>
              <w:rPr>
                <w:noProof/>
                <w:sz w:val="20"/>
                <w:lang w:val="en-GB" w:eastAsia="en-GB"/>
              </w:rPr>
              <w:drawing>
                <wp:anchor distT="0" distB="0" distL="114300" distR="114300" simplePos="0" relativeHeight="251771904" behindDoc="0" locked="0" layoutInCell="1" allowOverlap="1" wp14:anchorId="18C4490E" wp14:editId="3D334A4B">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22E38" w:rsidRPr="00982D5F" w:rsidRDefault="00222E38" w:rsidP="00222E38">
            <w:pPr>
              <w:rPr>
                <w:sz w:val="20"/>
                <w:lang w:val="en-US"/>
              </w:rPr>
            </w:pPr>
            <w:r w:rsidRPr="00982D5F">
              <w:rPr>
                <w:sz w:val="20"/>
                <w:lang w:val="en-US"/>
              </w:rPr>
              <w:t>@</w:t>
            </w:r>
            <w:proofErr w:type="spellStart"/>
            <w:r w:rsidRPr="00982D5F">
              <w:rPr>
                <w:sz w:val="20"/>
                <w:lang w:val="en-US"/>
              </w:rPr>
              <w:t>GlownyUrzadStatystyczny</w:t>
            </w:r>
            <w:proofErr w:type="spellEnd"/>
          </w:p>
        </w:tc>
      </w:tr>
    </w:tbl>
    <w:p w:rsidR="00222E38" w:rsidRPr="00982D5F" w:rsidRDefault="00184EA6" w:rsidP="00222E38">
      <w:pPr>
        <w:rPr>
          <w:sz w:val="18"/>
          <w:lang w:val="en-US"/>
        </w:rPr>
      </w:pPr>
      <w:r>
        <w:rPr>
          <w:noProof/>
          <w:lang w:val="en-GB" w:eastAsia="en-GB"/>
        </w:rPr>
        <mc:AlternateContent>
          <mc:Choice Requires="wps">
            <w:drawing>
              <wp:anchor distT="45720" distB="45720" distL="114300" distR="114300" simplePos="0" relativeHeight="251769856" behindDoc="0" locked="0" layoutInCell="1" allowOverlap="1">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C0111D" w:rsidRDefault="00C0111D" w:rsidP="00222E38">
                            <w:pPr>
                              <w:rPr>
                                <w:b/>
                              </w:rPr>
                            </w:pPr>
                          </w:p>
                          <w:p w:rsidR="00C0111D" w:rsidRPr="00975517" w:rsidRDefault="00C0111D" w:rsidP="00222E38">
                            <w:pPr>
                              <w:rPr>
                                <w:b/>
                                <w:lang w:val="en-US"/>
                              </w:rPr>
                            </w:pPr>
                            <w:r w:rsidRPr="00975517">
                              <w:rPr>
                                <w:b/>
                                <w:lang w:val="en-US"/>
                              </w:rPr>
                              <w:t>Related information</w:t>
                            </w:r>
                          </w:p>
                          <w:p w:rsidR="00C0111D" w:rsidRPr="00DA3416" w:rsidRDefault="0064614F" w:rsidP="00222E38">
                            <w:pPr>
                              <w:rPr>
                                <w:rStyle w:val="Hipercze"/>
                                <w:rFonts w:cs="Arial"/>
                                <w:color w:val="001D77"/>
                                <w:sz w:val="18"/>
                                <w:szCs w:val="18"/>
                                <w:shd w:val="clear" w:color="auto" w:fill="F0F0F0"/>
                                <w:lang w:val="en-US"/>
                              </w:rPr>
                            </w:pPr>
                            <w:hyperlink r:id="rId22" w:history="1">
                              <w:r w:rsidR="00C0111D">
                                <w:rPr>
                                  <w:rStyle w:val="Hipercze"/>
                                  <w:rFonts w:cstheme="minorBidi"/>
                                  <w:color w:val="001D77"/>
                                  <w:sz w:val="18"/>
                                  <w:szCs w:val="18"/>
                                  <w:lang w:val="en-US"/>
                                </w:rPr>
                                <w:t>Housing economy</w:t>
                              </w:r>
                              <w:r w:rsidR="00C0111D" w:rsidRPr="00DA3416">
                                <w:rPr>
                                  <w:rStyle w:val="Hipercze"/>
                                  <w:rFonts w:cstheme="minorBidi"/>
                                  <w:color w:val="001D77"/>
                                  <w:sz w:val="18"/>
                                  <w:szCs w:val="18"/>
                                  <w:lang w:val="en-US"/>
                                </w:rPr>
                                <w:t xml:space="preserve"> in 2018</w:t>
                              </w:r>
                            </w:hyperlink>
                          </w:p>
                          <w:p w:rsidR="00C0111D" w:rsidRPr="00C61CF5" w:rsidRDefault="0064614F" w:rsidP="00222E38">
                            <w:pPr>
                              <w:rPr>
                                <w:rFonts w:cs="Arial"/>
                                <w:color w:val="001D77"/>
                                <w:sz w:val="18"/>
                                <w:szCs w:val="30"/>
                                <w:u w:val="single"/>
                                <w:shd w:val="clear" w:color="auto" w:fill="F0F0F0"/>
                                <w:lang w:val="en-US"/>
                              </w:rPr>
                            </w:pPr>
                            <w:hyperlink r:id="rId23" w:tooltip="Municipal infrastructure in 2016" w:history="1">
                              <w:r w:rsidR="00C0111D" w:rsidRPr="00576459">
                                <w:rPr>
                                  <w:rStyle w:val="Hipercze"/>
                                  <w:rFonts w:cstheme="minorBidi"/>
                                  <w:color w:val="001D77"/>
                                  <w:sz w:val="18"/>
                                  <w:szCs w:val="18"/>
                                  <w:lang w:val="en-US"/>
                                </w:rPr>
                                <w:t xml:space="preserve">Housing Economy and </w:t>
                              </w:r>
                              <w:r w:rsidR="00C0111D" w:rsidRPr="00C61CF5">
                                <w:rPr>
                                  <w:rStyle w:val="Hipercze"/>
                                  <w:rFonts w:cs="Arial"/>
                                  <w:color w:val="001D77"/>
                                  <w:sz w:val="18"/>
                                  <w:szCs w:val="30"/>
                                  <w:shd w:val="clear" w:color="auto" w:fill="F0F0F0"/>
                                  <w:lang w:val="en-US"/>
                                </w:rPr>
                                <w:t>Municipal infrastructure in 2018</w:t>
                              </w:r>
                            </w:hyperlink>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Data available in databases</w:t>
                            </w:r>
                          </w:p>
                          <w:p w:rsidR="00C0111D" w:rsidRPr="00A1211A" w:rsidRDefault="0064614F" w:rsidP="00CB6C00">
                            <w:pPr>
                              <w:rPr>
                                <w:rFonts w:cs="Arial"/>
                                <w:color w:val="001D77"/>
                                <w:sz w:val="18"/>
                                <w:szCs w:val="30"/>
                                <w:u w:val="single"/>
                                <w:shd w:val="clear" w:color="auto" w:fill="F0F0F0"/>
                                <w:lang w:val="en-US"/>
                              </w:rPr>
                            </w:pPr>
                            <w:hyperlink r:id="rId24" w:history="1">
                              <w:r w:rsidR="00C0111D" w:rsidRPr="00A1211A">
                                <w:rPr>
                                  <w:rStyle w:val="Hipercze"/>
                                  <w:rFonts w:cs="Arial"/>
                                  <w:color w:val="001D77"/>
                                  <w:sz w:val="18"/>
                                  <w:szCs w:val="30"/>
                                  <w:shd w:val="clear" w:color="auto" w:fill="F0F0F0"/>
                                  <w:lang w:val="en-US"/>
                                </w:rPr>
                                <w:t>Local Data B</w:t>
                              </w:r>
                              <w:r w:rsidR="00A1211A" w:rsidRPr="00A1211A">
                                <w:rPr>
                                  <w:rStyle w:val="Hipercze"/>
                                  <w:rFonts w:cs="Arial"/>
                                  <w:color w:val="001D77"/>
                                  <w:sz w:val="18"/>
                                  <w:szCs w:val="30"/>
                                  <w:shd w:val="clear" w:color="auto" w:fill="F0F0F0"/>
                                  <w:lang w:val="en-US"/>
                                </w:rPr>
                                <w:t>ank</w:t>
                              </w:r>
                            </w:hyperlink>
                          </w:p>
                          <w:p w:rsidR="00C0111D" w:rsidRPr="00A1211A" w:rsidRDefault="0064614F" w:rsidP="00222E38">
                            <w:pPr>
                              <w:rPr>
                                <w:rStyle w:val="Hipercze"/>
                                <w:rFonts w:cs="Arial"/>
                                <w:color w:val="001D77"/>
                                <w:sz w:val="18"/>
                                <w:szCs w:val="30"/>
                                <w:shd w:val="clear" w:color="auto" w:fill="F0F0F0"/>
                                <w:lang w:val="en-US"/>
                              </w:rPr>
                            </w:pPr>
                            <w:hyperlink r:id="rId25" w:history="1">
                              <w:r w:rsidR="00C0111D" w:rsidRPr="00A1211A">
                                <w:rPr>
                                  <w:rStyle w:val="Hipercze"/>
                                  <w:rFonts w:cs="Arial"/>
                                  <w:color w:val="001D77"/>
                                  <w:sz w:val="18"/>
                                  <w:szCs w:val="30"/>
                                  <w:shd w:val="clear" w:color="auto" w:fill="F0F0F0"/>
                                  <w:lang w:val="en-US"/>
                                </w:rPr>
                                <w:t>Knowledge Databases (DBW) Municipal and Dwelling Infrastructure</w:t>
                              </w:r>
                            </w:hyperlink>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Terms used in official statistics</w:t>
                            </w:r>
                          </w:p>
                          <w:p w:rsidR="00C0111D" w:rsidRPr="0096456C" w:rsidRDefault="0064614F" w:rsidP="00222E38">
                            <w:pPr>
                              <w:rPr>
                                <w:rStyle w:val="Hipercze"/>
                                <w:rFonts w:cs="Arial"/>
                                <w:color w:val="001D77"/>
                                <w:sz w:val="18"/>
                                <w:szCs w:val="30"/>
                                <w:shd w:val="clear" w:color="auto" w:fill="F0F0F0"/>
                                <w:lang w:val="en-US"/>
                              </w:rPr>
                            </w:pPr>
                            <w:hyperlink r:id="rId26" w:history="1">
                              <w:r w:rsidR="00C0111D" w:rsidRPr="0096456C">
                                <w:rPr>
                                  <w:rStyle w:val="Hipercze"/>
                                  <w:rFonts w:cs="Arial"/>
                                  <w:color w:val="001D77"/>
                                  <w:sz w:val="18"/>
                                  <w:szCs w:val="30"/>
                                  <w:shd w:val="clear" w:color="auto" w:fill="F0F0F0"/>
                                  <w:lang w:val="en-US"/>
                                </w:rPr>
                                <w:t>Dwelling</w:t>
                              </w:r>
                            </w:hyperlink>
                          </w:p>
                          <w:p w:rsidR="00C0111D" w:rsidRPr="0096456C" w:rsidRDefault="0064614F" w:rsidP="00222E38">
                            <w:pPr>
                              <w:rPr>
                                <w:rStyle w:val="Hipercze"/>
                                <w:rFonts w:cs="Arial"/>
                                <w:color w:val="001D77"/>
                                <w:sz w:val="18"/>
                                <w:szCs w:val="30"/>
                                <w:shd w:val="clear" w:color="auto" w:fill="F0F0F0"/>
                                <w:lang w:val="en-US"/>
                              </w:rPr>
                            </w:pPr>
                            <w:hyperlink r:id="rId27" w:history="1">
                              <w:r w:rsidR="00C0111D" w:rsidRPr="0096456C">
                                <w:rPr>
                                  <w:rStyle w:val="Hipercze"/>
                                  <w:rFonts w:cs="Arial"/>
                                  <w:color w:val="001D77"/>
                                  <w:sz w:val="18"/>
                                  <w:szCs w:val="30"/>
                                  <w:shd w:val="clear" w:color="auto" w:fill="F0F0F0"/>
                                  <w:lang w:val="en-US"/>
                                </w:rPr>
                                <w:t>Useful floor area of a dwelling</w:t>
                              </w:r>
                            </w:hyperlink>
                          </w:p>
                          <w:p w:rsidR="00C0111D" w:rsidRPr="0096456C" w:rsidRDefault="0064614F" w:rsidP="00222E38">
                            <w:pPr>
                              <w:rPr>
                                <w:rStyle w:val="Hipercze"/>
                                <w:rFonts w:cs="Arial"/>
                                <w:color w:val="001D77"/>
                                <w:sz w:val="18"/>
                                <w:szCs w:val="30"/>
                                <w:shd w:val="clear" w:color="auto" w:fill="F0F0F0"/>
                                <w:lang w:val="en-US"/>
                              </w:rPr>
                            </w:pPr>
                            <w:hyperlink r:id="rId28" w:history="1">
                              <w:r w:rsidR="00C0111D" w:rsidRPr="0096456C">
                                <w:rPr>
                                  <w:rStyle w:val="Hipercze"/>
                                  <w:rFonts w:cs="Arial"/>
                                  <w:color w:val="001D77"/>
                                  <w:sz w:val="18"/>
                                  <w:szCs w:val="30"/>
                                  <w:shd w:val="clear" w:color="auto" w:fill="F0F0F0"/>
                                  <w:lang w:val="en-US"/>
                                </w:rPr>
                                <w:t>Room</w:t>
                              </w:r>
                            </w:hyperlink>
                          </w:p>
                          <w:p w:rsidR="00C0111D" w:rsidRPr="0096456C" w:rsidRDefault="0064614F" w:rsidP="00222E38">
                            <w:pPr>
                              <w:rPr>
                                <w:rStyle w:val="Hipercze"/>
                                <w:rFonts w:cs="Arial"/>
                                <w:color w:val="001D77"/>
                                <w:sz w:val="18"/>
                                <w:szCs w:val="30"/>
                                <w:shd w:val="clear" w:color="auto" w:fill="F0F0F0"/>
                                <w:lang w:val="en-US"/>
                              </w:rPr>
                            </w:pPr>
                            <w:hyperlink r:id="rId29" w:tooltip="Water supply distribution network" w:history="1">
                              <w:r w:rsidR="00C0111D" w:rsidRPr="0096456C">
                                <w:rPr>
                                  <w:rStyle w:val="Hipercze"/>
                                  <w:rFonts w:cs="Arial"/>
                                  <w:color w:val="001D77"/>
                                  <w:sz w:val="18"/>
                                  <w:szCs w:val="30"/>
                                  <w:shd w:val="clear" w:color="auto" w:fill="F0F0F0"/>
                                  <w:lang w:val="en-US"/>
                                </w:rPr>
                                <w:t>Housing allowance</w:t>
                              </w:r>
                            </w:hyperlink>
                          </w:p>
                          <w:p w:rsidR="00C0111D" w:rsidRPr="0096456C" w:rsidRDefault="0064614F" w:rsidP="00222E38">
                            <w:pPr>
                              <w:rPr>
                                <w:rStyle w:val="Hipercze"/>
                                <w:rFonts w:cs="Arial"/>
                                <w:color w:val="001D77"/>
                                <w:sz w:val="18"/>
                                <w:szCs w:val="30"/>
                                <w:shd w:val="clear" w:color="auto" w:fill="F0F0F0"/>
                                <w:lang w:val="en-GB"/>
                              </w:rPr>
                            </w:pPr>
                            <w:hyperlink r:id="rId30" w:tooltip="Water supply system" w:history="1">
                              <w:r w:rsidR="00C0111D" w:rsidRPr="0096456C">
                                <w:rPr>
                                  <w:rStyle w:val="Hipercze"/>
                                  <w:rFonts w:cs="Arial"/>
                                  <w:color w:val="001D77"/>
                                  <w:sz w:val="18"/>
                                  <w:szCs w:val="30"/>
                                  <w:shd w:val="clear" w:color="auto" w:fill="F0F0F0"/>
                                  <w:lang w:val="en-GB"/>
                                </w:rPr>
                                <w:t>Common lands</w:t>
                              </w:r>
                            </w:hyperlink>
                          </w:p>
                          <w:p w:rsidR="00C0111D" w:rsidRPr="0096456C" w:rsidRDefault="00C0111D" w:rsidP="00222E38">
                            <w:pPr>
                              <w:rPr>
                                <w:rFonts w:cs="Arial"/>
                                <w:color w:val="001D77"/>
                                <w:sz w:val="18"/>
                                <w:szCs w:val="30"/>
                                <w:u w:val="single"/>
                                <w:shd w:val="clear" w:color="auto" w:fill="F0F0F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5pt;margin-top:33.5pt;width:516.5pt;height:349.8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Afe2JRPwIAAHMEAAAO&#10;AAAAAAAAAAAAAAAAAC4CAABkcnMvZTJvRG9jLnhtbFBLAQItABQABgAIAAAAIQBuwDF83wAAAAkB&#10;AAAPAAAAAAAAAAAAAAAAAJkEAABkcnMvZG93bnJldi54bWxQSwUGAAAAAAQABADzAAAApQUAAAAA&#10;" fillcolor="#f2f2f2 [3052]" strokecolor="white [3212]">
                <v:textbox>
                  <w:txbxContent>
                    <w:p w:rsidR="00C0111D" w:rsidRDefault="00C0111D" w:rsidP="00222E38">
                      <w:pPr>
                        <w:rPr>
                          <w:b/>
                        </w:rPr>
                      </w:pPr>
                    </w:p>
                    <w:p w:rsidR="00C0111D" w:rsidRPr="00975517" w:rsidRDefault="00C0111D" w:rsidP="00222E38">
                      <w:pPr>
                        <w:rPr>
                          <w:b/>
                          <w:lang w:val="en-US"/>
                        </w:rPr>
                      </w:pPr>
                      <w:r w:rsidRPr="00975517">
                        <w:rPr>
                          <w:b/>
                          <w:lang w:val="en-US"/>
                        </w:rPr>
                        <w:t>Related information</w:t>
                      </w:r>
                    </w:p>
                    <w:p w:rsidR="00C0111D" w:rsidRPr="00DA3416" w:rsidRDefault="00A1211A" w:rsidP="00222E38">
                      <w:pPr>
                        <w:rPr>
                          <w:rStyle w:val="Hipercze"/>
                          <w:rFonts w:cs="Arial"/>
                          <w:color w:val="001D77"/>
                          <w:sz w:val="18"/>
                          <w:szCs w:val="18"/>
                          <w:shd w:val="clear" w:color="auto" w:fill="F0F0F0"/>
                          <w:lang w:val="en-US"/>
                        </w:rPr>
                      </w:pPr>
                      <w:hyperlink r:id="rId31" w:history="1">
                        <w:r w:rsidR="00C0111D">
                          <w:rPr>
                            <w:rStyle w:val="Hipercze"/>
                            <w:rFonts w:cstheme="minorBidi"/>
                            <w:color w:val="001D77"/>
                            <w:sz w:val="18"/>
                            <w:szCs w:val="18"/>
                            <w:lang w:val="en-US"/>
                          </w:rPr>
                          <w:t>Housing economy</w:t>
                        </w:r>
                        <w:r w:rsidR="00C0111D" w:rsidRPr="00DA3416">
                          <w:rPr>
                            <w:rStyle w:val="Hipercze"/>
                            <w:rFonts w:cstheme="minorBidi"/>
                            <w:color w:val="001D77"/>
                            <w:sz w:val="18"/>
                            <w:szCs w:val="18"/>
                            <w:lang w:val="en-US"/>
                          </w:rPr>
                          <w:t xml:space="preserve"> in 2018</w:t>
                        </w:r>
                      </w:hyperlink>
                    </w:p>
                    <w:p w:rsidR="00C0111D" w:rsidRPr="00C61CF5" w:rsidRDefault="00A1211A" w:rsidP="00222E38">
                      <w:pPr>
                        <w:rPr>
                          <w:rFonts w:cs="Arial"/>
                          <w:color w:val="001D77"/>
                          <w:sz w:val="18"/>
                          <w:szCs w:val="30"/>
                          <w:u w:val="single"/>
                          <w:shd w:val="clear" w:color="auto" w:fill="F0F0F0"/>
                          <w:lang w:val="en-US"/>
                        </w:rPr>
                      </w:pPr>
                      <w:hyperlink r:id="rId32" w:tooltip="Municipal infrastructure in 2016" w:history="1">
                        <w:r w:rsidR="00C0111D" w:rsidRPr="00576459">
                          <w:rPr>
                            <w:rStyle w:val="Hipercze"/>
                            <w:rFonts w:cstheme="minorBidi"/>
                            <w:color w:val="001D77"/>
                            <w:sz w:val="18"/>
                            <w:szCs w:val="18"/>
                            <w:lang w:val="en-US"/>
                          </w:rPr>
                          <w:t xml:space="preserve">Housing Economy and </w:t>
                        </w:r>
                        <w:r w:rsidR="00C0111D" w:rsidRPr="00C61CF5">
                          <w:rPr>
                            <w:rStyle w:val="Hipercze"/>
                            <w:rFonts w:cs="Arial"/>
                            <w:color w:val="001D77"/>
                            <w:sz w:val="18"/>
                            <w:szCs w:val="30"/>
                            <w:shd w:val="clear" w:color="auto" w:fill="F0F0F0"/>
                            <w:lang w:val="en-US"/>
                          </w:rPr>
                          <w:t>Municipal infrastructure in 2018</w:t>
                        </w:r>
                      </w:hyperlink>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Data available in databases</w:t>
                      </w:r>
                    </w:p>
                    <w:p w:rsidR="00C0111D" w:rsidRPr="00A1211A" w:rsidRDefault="00A1211A" w:rsidP="00CB6C00">
                      <w:pPr>
                        <w:rPr>
                          <w:rFonts w:cs="Arial"/>
                          <w:color w:val="001D77"/>
                          <w:sz w:val="18"/>
                          <w:szCs w:val="30"/>
                          <w:u w:val="single"/>
                          <w:shd w:val="clear" w:color="auto" w:fill="F0F0F0"/>
                          <w:lang w:val="en-US"/>
                        </w:rPr>
                      </w:pPr>
                      <w:hyperlink r:id="rId33" w:history="1">
                        <w:r w:rsidR="00C0111D" w:rsidRPr="00A1211A">
                          <w:rPr>
                            <w:rStyle w:val="Hipercze"/>
                            <w:rFonts w:cs="Arial"/>
                            <w:color w:val="001D77"/>
                            <w:sz w:val="18"/>
                            <w:szCs w:val="30"/>
                            <w:shd w:val="clear" w:color="auto" w:fill="F0F0F0"/>
                            <w:lang w:val="en-US"/>
                          </w:rPr>
                          <w:t>Local Data B</w:t>
                        </w:r>
                        <w:r w:rsidRPr="00A1211A">
                          <w:rPr>
                            <w:rStyle w:val="Hipercze"/>
                            <w:rFonts w:cs="Arial"/>
                            <w:color w:val="001D77"/>
                            <w:sz w:val="18"/>
                            <w:szCs w:val="30"/>
                            <w:shd w:val="clear" w:color="auto" w:fill="F0F0F0"/>
                            <w:lang w:val="en-US"/>
                          </w:rPr>
                          <w:t>ank</w:t>
                        </w:r>
                      </w:hyperlink>
                    </w:p>
                    <w:p w:rsidR="00C0111D" w:rsidRPr="00A1211A" w:rsidRDefault="00A1211A" w:rsidP="00222E38">
                      <w:pPr>
                        <w:rPr>
                          <w:rStyle w:val="Hipercze"/>
                          <w:rFonts w:cs="Arial"/>
                          <w:color w:val="001D77"/>
                          <w:sz w:val="18"/>
                          <w:szCs w:val="30"/>
                          <w:shd w:val="clear" w:color="auto" w:fill="F0F0F0"/>
                          <w:lang w:val="en-US"/>
                        </w:rPr>
                      </w:pPr>
                      <w:hyperlink r:id="rId34" w:history="1">
                        <w:r w:rsidR="00C0111D" w:rsidRPr="00A1211A">
                          <w:rPr>
                            <w:rStyle w:val="Hipercze"/>
                            <w:rFonts w:cs="Arial"/>
                            <w:color w:val="001D77"/>
                            <w:sz w:val="18"/>
                            <w:szCs w:val="30"/>
                            <w:shd w:val="clear" w:color="auto" w:fill="F0F0F0"/>
                            <w:lang w:val="en-US"/>
                          </w:rPr>
                          <w:t>Knowle</w:t>
                        </w:r>
                        <w:r w:rsidR="00C0111D" w:rsidRPr="00A1211A">
                          <w:rPr>
                            <w:rStyle w:val="Hipercze"/>
                            <w:rFonts w:cs="Arial"/>
                            <w:color w:val="001D77"/>
                            <w:sz w:val="18"/>
                            <w:szCs w:val="30"/>
                            <w:shd w:val="clear" w:color="auto" w:fill="F0F0F0"/>
                            <w:lang w:val="en-US"/>
                          </w:rPr>
                          <w:t>d</w:t>
                        </w:r>
                        <w:r w:rsidR="00C0111D" w:rsidRPr="00A1211A">
                          <w:rPr>
                            <w:rStyle w:val="Hipercze"/>
                            <w:rFonts w:cs="Arial"/>
                            <w:color w:val="001D77"/>
                            <w:sz w:val="18"/>
                            <w:szCs w:val="30"/>
                            <w:shd w:val="clear" w:color="auto" w:fill="F0F0F0"/>
                            <w:lang w:val="en-US"/>
                          </w:rPr>
                          <w:t>ge Databases (DBW) Municipal and Dwelling Infrastructure</w:t>
                        </w:r>
                      </w:hyperlink>
                    </w:p>
                    <w:p w:rsidR="00C0111D" w:rsidRPr="00975517" w:rsidRDefault="00C0111D" w:rsidP="00222E38">
                      <w:pPr>
                        <w:rPr>
                          <w:b/>
                          <w:color w:val="000000" w:themeColor="text1"/>
                          <w:szCs w:val="24"/>
                          <w:lang w:val="en-US"/>
                        </w:rPr>
                      </w:pPr>
                    </w:p>
                    <w:p w:rsidR="00C0111D" w:rsidRPr="00975517" w:rsidRDefault="00C0111D" w:rsidP="00222E38">
                      <w:pPr>
                        <w:rPr>
                          <w:b/>
                          <w:color w:val="000000" w:themeColor="text1"/>
                          <w:szCs w:val="24"/>
                          <w:lang w:val="en-US"/>
                        </w:rPr>
                      </w:pPr>
                      <w:r w:rsidRPr="00975517">
                        <w:rPr>
                          <w:b/>
                          <w:color w:val="000000" w:themeColor="text1"/>
                          <w:szCs w:val="24"/>
                          <w:lang w:val="en-US"/>
                        </w:rPr>
                        <w:t>Terms used in official statistics</w:t>
                      </w:r>
                    </w:p>
                    <w:p w:rsidR="00C0111D" w:rsidRPr="0096456C" w:rsidRDefault="00A1211A" w:rsidP="00222E38">
                      <w:pPr>
                        <w:rPr>
                          <w:rStyle w:val="Hipercze"/>
                          <w:rFonts w:cs="Arial"/>
                          <w:color w:val="001D77"/>
                          <w:sz w:val="18"/>
                          <w:szCs w:val="30"/>
                          <w:shd w:val="clear" w:color="auto" w:fill="F0F0F0"/>
                          <w:lang w:val="en-US"/>
                        </w:rPr>
                      </w:pPr>
                      <w:hyperlink r:id="rId35" w:history="1">
                        <w:r w:rsidR="00C0111D" w:rsidRPr="0096456C">
                          <w:rPr>
                            <w:rStyle w:val="Hipercze"/>
                            <w:rFonts w:cs="Arial"/>
                            <w:color w:val="001D77"/>
                            <w:sz w:val="18"/>
                            <w:szCs w:val="30"/>
                            <w:shd w:val="clear" w:color="auto" w:fill="F0F0F0"/>
                            <w:lang w:val="en-US"/>
                          </w:rPr>
                          <w:t>Dwe</w:t>
                        </w:r>
                        <w:r w:rsidR="00C0111D" w:rsidRPr="0096456C">
                          <w:rPr>
                            <w:rStyle w:val="Hipercze"/>
                            <w:rFonts w:cs="Arial"/>
                            <w:color w:val="001D77"/>
                            <w:sz w:val="18"/>
                            <w:szCs w:val="30"/>
                            <w:shd w:val="clear" w:color="auto" w:fill="F0F0F0"/>
                            <w:lang w:val="en-US"/>
                          </w:rPr>
                          <w:t>l</w:t>
                        </w:r>
                        <w:r w:rsidR="00C0111D" w:rsidRPr="0096456C">
                          <w:rPr>
                            <w:rStyle w:val="Hipercze"/>
                            <w:rFonts w:cs="Arial"/>
                            <w:color w:val="001D77"/>
                            <w:sz w:val="18"/>
                            <w:szCs w:val="30"/>
                            <w:shd w:val="clear" w:color="auto" w:fill="F0F0F0"/>
                            <w:lang w:val="en-US"/>
                          </w:rPr>
                          <w:t>ling</w:t>
                        </w:r>
                      </w:hyperlink>
                    </w:p>
                    <w:p w:rsidR="00C0111D" w:rsidRPr="0096456C" w:rsidRDefault="00A1211A" w:rsidP="00222E38">
                      <w:pPr>
                        <w:rPr>
                          <w:rStyle w:val="Hipercze"/>
                          <w:rFonts w:cs="Arial"/>
                          <w:color w:val="001D77"/>
                          <w:sz w:val="18"/>
                          <w:szCs w:val="30"/>
                          <w:shd w:val="clear" w:color="auto" w:fill="F0F0F0"/>
                          <w:lang w:val="en-US"/>
                        </w:rPr>
                      </w:pPr>
                      <w:hyperlink r:id="rId36" w:history="1">
                        <w:r w:rsidR="00C0111D" w:rsidRPr="0096456C">
                          <w:rPr>
                            <w:rStyle w:val="Hipercze"/>
                            <w:rFonts w:cs="Arial"/>
                            <w:color w:val="001D77"/>
                            <w:sz w:val="18"/>
                            <w:szCs w:val="30"/>
                            <w:shd w:val="clear" w:color="auto" w:fill="F0F0F0"/>
                            <w:lang w:val="en-US"/>
                          </w:rPr>
                          <w:t>Useful floor area</w:t>
                        </w:r>
                        <w:r w:rsidR="00C0111D" w:rsidRPr="0096456C">
                          <w:rPr>
                            <w:rStyle w:val="Hipercze"/>
                            <w:rFonts w:cs="Arial"/>
                            <w:color w:val="001D77"/>
                            <w:sz w:val="18"/>
                            <w:szCs w:val="30"/>
                            <w:shd w:val="clear" w:color="auto" w:fill="F0F0F0"/>
                            <w:lang w:val="en-US"/>
                          </w:rPr>
                          <w:t xml:space="preserve"> </w:t>
                        </w:r>
                        <w:r w:rsidR="00C0111D" w:rsidRPr="0096456C">
                          <w:rPr>
                            <w:rStyle w:val="Hipercze"/>
                            <w:rFonts w:cs="Arial"/>
                            <w:color w:val="001D77"/>
                            <w:sz w:val="18"/>
                            <w:szCs w:val="30"/>
                            <w:shd w:val="clear" w:color="auto" w:fill="F0F0F0"/>
                            <w:lang w:val="en-US"/>
                          </w:rPr>
                          <w:t>of a dwelling</w:t>
                        </w:r>
                      </w:hyperlink>
                    </w:p>
                    <w:p w:rsidR="00C0111D" w:rsidRPr="0096456C" w:rsidRDefault="00A1211A" w:rsidP="00222E38">
                      <w:pPr>
                        <w:rPr>
                          <w:rStyle w:val="Hipercze"/>
                          <w:rFonts w:cs="Arial"/>
                          <w:color w:val="001D77"/>
                          <w:sz w:val="18"/>
                          <w:szCs w:val="30"/>
                          <w:shd w:val="clear" w:color="auto" w:fill="F0F0F0"/>
                          <w:lang w:val="en-US"/>
                        </w:rPr>
                      </w:pPr>
                      <w:hyperlink r:id="rId37" w:history="1">
                        <w:r w:rsidR="00C0111D" w:rsidRPr="0096456C">
                          <w:rPr>
                            <w:rStyle w:val="Hipercze"/>
                            <w:rFonts w:cs="Arial"/>
                            <w:color w:val="001D77"/>
                            <w:sz w:val="18"/>
                            <w:szCs w:val="30"/>
                            <w:shd w:val="clear" w:color="auto" w:fill="F0F0F0"/>
                            <w:lang w:val="en-US"/>
                          </w:rPr>
                          <w:t>Ro</w:t>
                        </w:r>
                        <w:r w:rsidR="00C0111D" w:rsidRPr="0096456C">
                          <w:rPr>
                            <w:rStyle w:val="Hipercze"/>
                            <w:rFonts w:cs="Arial"/>
                            <w:color w:val="001D77"/>
                            <w:sz w:val="18"/>
                            <w:szCs w:val="30"/>
                            <w:shd w:val="clear" w:color="auto" w:fill="F0F0F0"/>
                            <w:lang w:val="en-US"/>
                          </w:rPr>
                          <w:t>o</w:t>
                        </w:r>
                        <w:r w:rsidR="00C0111D" w:rsidRPr="0096456C">
                          <w:rPr>
                            <w:rStyle w:val="Hipercze"/>
                            <w:rFonts w:cs="Arial"/>
                            <w:color w:val="001D77"/>
                            <w:sz w:val="18"/>
                            <w:szCs w:val="30"/>
                            <w:shd w:val="clear" w:color="auto" w:fill="F0F0F0"/>
                            <w:lang w:val="en-US"/>
                          </w:rPr>
                          <w:t>m</w:t>
                        </w:r>
                      </w:hyperlink>
                    </w:p>
                    <w:p w:rsidR="00C0111D" w:rsidRPr="0096456C" w:rsidRDefault="00A1211A" w:rsidP="00222E38">
                      <w:pPr>
                        <w:rPr>
                          <w:rStyle w:val="Hipercze"/>
                          <w:rFonts w:cs="Arial"/>
                          <w:color w:val="001D77"/>
                          <w:sz w:val="18"/>
                          <w:szCs w:val="30"/>
                          <w:shd w:val="clear" w:color="auto" w:fill="F0F0F0"/>
                          <w:lang w:val="en-US"/>
                        </w:rPr>
                      </w:pPr>
                      <w:hyperlink r:id="rId38" w:tooltip="Water supply distribution network" w:history="1">
                        <w:r w:rsidR="00C0111D" w:rsidRPr="0096456C">
                          <w:rPr>
                            <w:rStyle w:val="Hipercze"/>
                            <w:rFonts w:cs="Arial"/>
                            <w:color w:val="001D77"/>
                            <w:sz w:val="18"/>
                            <w:szCs w:val="30"/>
                            <w:shd w:val="clear" w:color="auto" w:fill="F0F0F0"/>
                            <w:lang w:val="en-US"/>
                          </w:rPr>
                          <w:t>Housing all</w:t>
                        </w:r>
                        <w:r w:rsidR="00C0111D" w:rsidRPr="0096456C">
                          <w:rPr>
                            <w:rStyle w:val="Hipercze"/>
                            <w:rFonts w:cs="Arial"/>
                            <w:color w:val="001D77"/>
                            <w:sz w:val="18"/>
                            <w:szCs w:val="30"/>
                            <w:shd w:val="clear" w:color="auto" w:fill="F0F0F0"/>
                            <w:lang w:val="en-US"/>
                          </w:rPr>
                          <w:t>o</w:t>
                        </w:r>
                        <w:r w:rsidR="00C0111D" w:rsidRPr="0096456C">
                          <w:rPr>
                            <w:rStyle w:val="Hipercze"/>
                            <w:rFonts w:cs="Arial"/>
                            <w:color w:val="001D77"/>
                            <w:sz w:val="18"/>
                            <w:szCs w:val="30"/>
                            <w:shd w:val="clear" w:color="auto" w:fill="F0F0F0"/>
                            <w:lang w:val="en-US"/>
                          </w:rPr>
                          <w:t>wance</w:t>
                        </w:r>
                      </w:hyperlink>
                    </w:p>
                    <w:p w:rsidR="00C0111D" w:rsidRPr="0096456C" w:rsidRDefault="00A1211A" w:rsidP="00222E38">
                      <w:pPr>
                        <w:rPr>
                          <w:rStyle w:val="Hipercze"/>
                          <w:rFonts w:cs="Arial"/>
                          <w:color w:val="001D77"/>
                          <w:sz w:val="18"/>
                          <w:szCs w:val="30"/>
                          <w:shd w:val="clear" w:color="auto" w:fill="F0F0F0"/>
                          <w:lang w:val="en-GB"/>
                        </w:rPr>
                      </w:pPr>
                      <w:hyperlink r:id="rId39" w:tooltip="Water supply system" w:history="1">
                        <w:r w:rsidR="00C0111D" w:rsidRPr="0096456C">
                          <w:rPr>
                            <w:rStyle w:val="Hipercze"/>
                            <w:rFonts w:cs="Arial"/>
                            <w:color w:val="001D77"/>
                            <w:sz w:val="18"/>
                            <w:szCs w:val="30"/>
                            <w:shd w:val="clear" w:color="auto" w:fill="F0F0F0"/>
                            <w:lang w:val="en-GB"/>
                          </w:rPr>
                          <w:t>Comm</w:t>
                        </w:r>
                        <w:bookmarkStart w:id="1" w:name="_GoBack"/>
                        <w:bookmarkEnd w:id="1"/>
                        <w:r w:rsidR="00C0111D" w:rsidRPr="0096456C">
                          <w:rPr>
                            <w:rStyle w:val="Hipercze"/>
                            <w:rFonts w:cs="Arial"/>
                            <w:color w:val="001D77"/>
                            <w:sz w:val="18"/>
                            <w:szCs w:val="30"/>
                            <w:shd w:val="clear" w:color="auto" w:fill="F0F0F0"/>
                            <w:lang w:val="en-GB"/>
                          </w:rPr>
                          <w:t>o</w:t>
                        </w:r>
                        <w:r w:rsidR="00C0111D" w:rsidRPr="0096456C">
                          <w:rPr>
                            <w:rStyle w:val="Hipercze"/>
                            <w:rFonts w:cs="Arial"/>
                            <w:color w:val="001D77"/>
                            <w:sz w:val="18"/>
                            <w:szCs w:val="30"/>
                            <w:shd w:val="clear" w:color="auto" w:fill="F0F0F0"/>
                            <w:lang w:val="en-GB"/>
                          </w:rPr>
                          <w:t>n lands</w:t>
                        </w:r>
                      </w:hyperlink>
                    </w:p>
                    <w:p w:rsidR="00C0111D" w:rsidRPr="0096456C" w:rsidRDefault="00C0111D" w:rsidP="00222E38">
                      <w:pPr>
                        <w:rPr>
                          <w:rFonts w:cs="Arial"/>
                          <w:color w:val="001D77"/>
                          <w:sz w:val="18"/>
                          <w:szCs w:val="30"/>
                          <w:u w:val="single"/>
                          <w:shd w:val="clear" w:color="auto" w:fill="F0F0F0"/>
                          <w:lang w:val="en-GB"/>
                        </w:rPr>
                      </w:pPr>
                    </w:p>
                  </w:txbxContent>
                </v:textbox>
                <w10:wrap type="square" anchorx="margin"/>
              </v:shape>
            </w:pict>
          </mc:Fallback>
        </mc:AlternateContent>
      </w:r>
    </w:p>
    <w:p w:rsidR="00D261A2" w:rsidRPr="00982D5F" w:rsidRDefault="00D261A2" w:rsidP="00E76D26">
      <w:pPr>
        <w:rPr>
          <w:sz w:val="18"/>
          <w:lang w:val="en-US"/>
        </w:rPr>
      </w:pPr>
    </w:p>
    <w:sectPr w:rsidR="00D261A2" w:rsidRPr="00982D5F" w:rsidSect="003B18B6">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25B" w:rsidRDefault="00FE725B" w:rsidP="000662E2">
      <w:pPr>
        <w:spacing w:after="0" w:line="240" w:lineRule="auto"/>
      </w:pPr>
      <w:r>
        <w:separator/>
      </w:r>
    </w:p>
  </w:endnote>
  <w:endnote w:type="continuationSeparator" w:id="0">
    <w:p w:rsidR="00FE725B" w:rsidRDefault="00FE725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Condensed SemiBold">
    <w:panose1 w:val="020B0603050000020004"/>
    <w:charset w:val="00"/>
    <w:family w:val="swiss"/>
    <w:notTrueType/>
    <w:pitch w:val="variable"/>
    <w:sig w:usb0="00000007"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rsidR="00C0111D" w:rsidRDefault="00C0111D" w:rsidP="003B18B6">
        <w:pPr>
          <w:pStyle w:val="Stopka"/>
          <w:jc w:val="center"/>
        </w:pPr>
        <w:r>
          <w:fldChar w:fldCharType="begin"/>
        </w:r>
        <w:r>
          <w:instrText>PAGE   \* MERGEFORMAT</w:instrText>
        </w:r>
        <w:r>
          <w:fldChar w:fldCharType="separate"/>
        </w:r>
        <w:r w:rsidR="00D60292">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rsidR="00C0111D" w:rsidRDefault="00C0111D" w:rsidP="003B18B6">
        <w:pPr>
          <w:pStyle w:val="Stopka"/>
          <w:jc w:val="center"/>
        </w:pPr>
        <w:r>
          <w:fldChar w:fldCharType="begin"/>
        </w:r>
        <w:r>
          <w:instrText>PAGE   \* MERGEFORMAT</w:instrText>
        </w:r>
        <w:r>
          <w:fldChar w:fldCharType="separate"/>
        </w:r>
        <w:r w:rsidR="00AA7AD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1D" w:rsidRDefault="00C0111D" w:rsidP="003B18B6">
    <w:pPr>
      <w:pStyle w:val="Stopka"/>
      <w:jc w:val="center"/>
    </w:pPr>
    <w:r>
      <w:fldChar w:fldCharType="begin"/>
    </w:r>
    <w:r>
      <w:instrText>PAGE   \* MERGEFORMAT</w:instrText>
    </w:r>
    <w:r>
      <w:fldChar w:fldCharType="separate"/>
    </w:r>
    <w:r w:rsidR="00D6029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25B" w:rsidRDefault="00FE725B" w:rsidP="000662E2">
      <w:pPr>
        <w:spacing w:after="0" w:line="240" w:lineRule="auto"/>
      </w:pPr>
      <w:r>
        <w:separator/>
      </w:r>
    </w:p>
  </w:footnote>
  <w:footnote w:type="continuationSeparator" w:id="0">
    <w:p w:rsidR="00FE725B" w:rsidRDefault="00FE725B" w:rsidP="000662E2">
      <w:pPr>
        <w:spacing w:after="0" w:line="240" w:lineRule="auto"/>
      </w:pPr>
      <w:r>
        <w:continuationSeparator/>
      </w:r>
    </w:p>
  </w:footnote>
  <w:footnote w:id="1">
    <w:p w:rsidR="008A0F67" w:rsidRPr="002D6A12" w:rsidRDefault="008A0F67">
      <w:pPr>
        <w:pStyle w:val="Tekstprzypisudolnego"/>
        <w:rPr>
          <w:lang w:val="en-GB"/>
        </w:rPr>
      </w:pPr>
      <w:r>
        <w:rPr>
          <w:rStyle w:val="Odwoanieprzypisudolnego"/>
        </w:rPr>
        <w:footnoteRef/>
      </w:r>
      <w:r w:rsidRPr="002D6A12">
        <w:rPr>
          <w:lang w:val="en-GB"/>
        </w:rPr>
        <w:t xml:space="preserve"> </w:t>
      </w:r>
      <w:r w:rsidRPr="007C471E">
        <w:rPr>
          <w:sz w:val="16"/>
          <w:szCs w:val="16"/>
          <w:lang w:val="en-GB"/>
        </w:rPr>
        <w:t xml:space="preserve">Concerns contracts for social premises and social premises rental contracts concluded both prior and following the entry into force of </w:t>
      </w:r>
      <w:r w:rsidR="00AD5621" w:rsidRPr="00AD5621">
        <w:rPr>
          <w:sz w:val="16"/>
          <w:szCs w:val="16"/>
          <w:lang w:val="en-GB"/>
        </w:rPr>
        <w:t>the act of 22 March 2018 on amendment of the act of financial support for creation of social premises, sheltered housing, night shelters and shelters for homeless people, the act on protection of rights of occupants, municipal dwelling stock, and amendment of the Civil Code, and amendment of certain other acts</w:t>
      </w:r>
      <w:r w:rsidR="0064614F">
        <w:rPr>
          <w:sz w:val="16"/>
          <w:szCs w:val="16"/>
          <w:lang w:val="en-GB"/>
        </w:rPr>
        <w:t>.</w:t>
      </w:r>
      <w:bookmarkStart w:id="0" w:name="_GoBack"/>
      <w:bookmarkEnd w:id="0"/>
    </w:p>
  </w:footnote>
  <w:footnote w:id="2">
    <w:p w:rsidR="008A0F67" w:rsidRDefault="008A0F67" w:rsidP="00982D5F">
      <w:pPr>
        <w:pStyle w:val="Tekstprzypisudolnego"/>
        <w:spacing w:before="0"/>
      </w:pPr>
      <w:r>
        <w:rPr>
          <w:rStyle w:val="Odwoanieprzypisudolnego"/>
        </w:rPr>
        <w:footnoteRef/>
      </w:r>
      <w:r>
        <w:t xml:space="preserve"> </w:t>
      </w:r>
      <w:r w:rsidRPr="002D6A12">
        <w:rPr>
          <w:sz w:val="16"/>
          <w:szCs w:val="16"/>
          <w:lang w:val="en-GB"/>
        </w:rPr>
        <w:t>As above.</w:t>
      </w:r>
    </w:p>
  </w:footnote>
  <w:footnote w:id="3">
    <w:p w:rsidR="00C0111D" w:rsidRDefault="00C0111D" w:rsidP="00982D5F">
      <w:pPr>
        <w:pStyle w:val="Tekstprzypisudolnego"/>
        <w:spacing w:before="0"/>
      </w:pPr>
      <w:r w:rsidRPr="00B4556B">
        <w:rPr>
          <w:rStyle w:val="Odwoanieprzypisudolnego"/>
        </w:rPr>
        <w:footnoteRef/>
      </w:r>
      <w:r w:rsidRPr="00B4556B">
        <w:t xml:space="preserve"> </w:t>
      </w:r>
      <w:r w:rsidRPr="00B4556B">
        <w:rPr>
          <w:sz w:val="16"/>
          <w:szCs w:val="16"/>
        </w:rPr>
        <w:t>A</w:t>
      </w:r>
      <w:r>
        <w:rPr>
          <w:sz w:val="16"/>
          <w:szCs w:val="16"/>
        </w:rPr>
        <w:t xml:space="preserve">s </w:t>
      </w:r>
      <w:proofErr w:type="spellStart"/>
      <w:r>
        <w:rPr>
          <w:sz w:val="16"/>
          <w:szCs w:val="16"/>
        </w:rPr>
        <w:t>above</w:t>
      </w:r>
      <w:proofErr w:type="spellEnd"/>
      <w:r w:rsidRPr="004846C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1D" w:rsidRDefault="00C0111D">
    <w:pPr>
      <w:pStyle w:val="Nagwek"/>
    </w:pPr>
    <w:r>
      <w:rPr>
        <w:noProof/>
        <w:lang w:val="en-GB" w:eastAsia="en-GB"/>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64097"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" fillcolor="#f2f2f2 [3052]" stroked="f" strokeweight="1pt"/>
          </w:pict>
        </mc:Fallback>
      </mc:AlternateContent>
    </w:r>
  </w:p>
  <w:p w:rsidR="00C0111D" w:rsidRDefault="00C011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1D" w:rsidRDefault="00C0111D">
    <w:pPr>
      <w:pStyle w:val="Nagwek"/>
      <w:rPr>
        <w:noProof/>
        <w:lang w:eastAsia="pl-PL"/>
      </w:rPr>
    </w:pPr>
    <w:r>
      <w:rPr>
        <w:noProof/>
        <w:lang w:val="en-GB" w:eastAsia="en-GB"/>
      </w:rPr>
      <mc:AlternateContent>
        <mc:Choice Requires="wps">
          <w:drawing>
            <wp:anchor distT="0" distB="0" distL="114300" distR="114300" simplePos="0" relativeHeight="251666432" behindDoc="1" locked="0" layoutInCell="1" allowOverlap="1">
              <wp:simplePos x="0" y="0"/>
              <wp:positionH relativeFrom="page">
                <wp:align>right</wp:align>
              </wp:positionH>
              <wp:positionV relativeFrom="paragraph">
                <wp:posOffset>483235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054D" id="Prostokąt 10" o:spid="_x0000_s1026" style="position:absolute;margin-left:96.2pt;margin-top:38.05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" fillcolor="#f2f2f2" stroked="f" strokeweight="1pt">
              <w10:wrap type="tight" anchorx="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111D" w:rsidRPr="003C6C8D" w:rsidRDefault="00C0111D" w:rsidP="002670F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6"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C0111D" w:rsidRPr="003C6C8D" w:rsidRDefault="00C0111D" w:rsidP="002670F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val="en-GB" w:eastAsia="en-GB"/>
      </w:rPr>
      <w:drawing>
        <wp:inline distT="0" distB="0" distL="0" distR="0" wp14:anchorId="7A706ECF" wp14:editId="4657EDEA">
          <wp:extent cx="2079603" cy="720000"/>
          <wp:effectExtent l="0" t="0" r="0" b="4445"/>
          <wp:docPr id="15" name="Obraz 15" descr="http://intranet/GUS/GP/SIWSP/05%20-%20GUS/Materiały%20graficzne%20-%20logo/LOGO%20GUS/Wersja%20anglojęzyczna/Logo%20GUS%20wersja%20ang%20wariant%20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GUS/GP/SIWSP/05%20-%20GUS/Materiały%20graficzne%20-%20logo/LOGO%20GUS/Wersja%20anglojęzyczna/Logo%20GUS%20wersja%20ang%20wariant%20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03" cy="720000"/>
                  </a:xfrm>
                  <a:prstGeom prst="rect">
                    <a:avLst/>
                  </a:prstGeom>
                  <a:noFill/>
                  <a:ln>
                    <a:noFill/>
                  </a:ln>
                </pic:spPr>
              </pic:pic>
            </a:graphicData>
          </a:graphic>
        </wp:inline>
      </w:drawing>
    </w:r>
  </w:p>
  <w:p w:rsidR="00C0111D" w:rsidRDefault="00C0111D">
    <w:pPr>
      <w:pStyle w:val="Nagwek"/>
      <w:rPr>
        <w:noProof/>
        <w:lang w:eastAsia="pl-PL"/>
      </w:rPr>
    </w:pPr>
    <w:r>
      <w:rPr>
        <w:noProof/>
        <w:lang w:val="en-GB" w:eastAsia="en-GB"/>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C0111D" w:rsidRPr="00C97596" w:rsidRDefault="00C0111D" w:rsidP="00F37172">
                          <w:pPr>
                            <w:jc w:val="both"/>
                            <w:rPr>
                              <w:rFonts w:ascii="Fira Sans SemiBold" w:hAnsi="Fira Sans SemiBold"/>
                              <w:color w:val="001D77"/>
                            </w:rPr>
                          </w:pPr>
                          <w:r>
                            <w:rPr>
                              <w:rFonts w:ascii="Fira Sans SemiBold" w:hAnsi="Fira Sans SemiBold"/>
                              <w:color w:val="001D77"/>
                            </w:rPr>
                            <w:t>15.09.2020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C0111D" w:rsidRPr="00C97596" w:rsidRDefault="00C0111D" w:rsidP="00F37172">
                    <w:pPr>
                      <w:jc w:val="both"/>
                      <w:rPr>
                        <w:rFonts w:ascii="Fira Sans SemiBold" w:hAnsi="Fira Sans SemiBold"/>
                        <w:color w:val="001D77"/>
                      </w:rPr>
                    </w:pPr>
                    <w:r>
                      <w:rPr>
                        <w:rFonts w:ascii="Fira Sans SemiBold" w:hAnsi="Fira Sans SemiBold"/>
                        <w:color w:val="001D77"/>
                      </w:rPr>
                      <w:t>15.09.2020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11D" w:rsidRDefault="00C0111D">
    <w:pPr>
      <w:pStyle w:val="Nagwek"/>
    </w:pPr>
  </w:p>
  <w:p w:rsidR="00C0111D" w:rsidRDefault="00C011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6pt;height:124.8pt;visibility:visible" o:bullet="t">
        <v:imagedata r:id="rId1" o:title=""/>
      </v:shape>
    </w:pict>
  </w:numPicBullet>
  <w:numPicBullet w:numPicBulletId="1">
    <w:pict>
      <v:shape id="_x0000_i1029" type="#_x0000_t75" style="width:124.2pt;height:124.8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737"/>
    <w:rsid w:val="00001C5B"/>
    <w:rsid w:val="00003437"/>
    <w:rsid w:val="0000709F"/>
    <w:rsid w:val="0001041C"/>
    <w:rsid w:val="000108B8"/>
    <w:rsid w:val="00012758"/>
    <w:rsid w:val="00012F89"/>
    <w:rsid w:val="00013DC3"/>
    <w:rsid w:val="000152F5"/>
    <w:rsid w:val="0002005A"/>
    <w:rsid w:val="0004582E"/>
    <w:rsid w:val="000470AA"/>
    <w:rsid w:val="00051E39"/>
    <w:rsid w:val="00052330"/>
    <w:rsid w:val="00057CA1"/>
    <w:rsid w:val="000662E2"/>
    <w:rsid w:val="00066883"/>
    <w:rsid w:val="00070963"/>
    <w:rsid w:val="00074DD8"/>
    <w:rsid w:val="000806F7"/>
    <w:rsid w:val="0008281C"/>
    <w:rsid w:val="00097840"/>
    <w:rsid w:val="000A3422"/>
    <w:rsid w:val="000B0727"/>
    <w:rsid w:val="000B572E"/>
    <w:rsid w:val="000C072D"/>
    <w:rsid w:val="000C135D"/>
    <w:rsid w:val="000D1D43"/>
    <w:rsid w:val="000D225C"/>
    <w:rsid w:val="000D2A5C"/>
    <w:rsid w:val="000D578D"/>
    <w:rsid w:val="000D5B99"/>
    <w:rsid w:val="000E0918"/>
    <w:rsid w:val="000E218E"/>
    <w:rsid w:val="000E2F7E"/>
    <w:rsid w:val="001011C3"/>
    <w:rsid w:val="001022EA"/>
    <w:rsid w:val="00110D87"/>
    <w:rsid w:val="00113606"/>
    <w:rsid w:val="00114DB9"/>
    <w:rsid w:val="00116087"/>
    <w:rsid w:val="00124700"/>
    <w:rsid w:val="00130296"/>
    <w:rsid w:val="00136290"/>
    <w:rsid w:val="00137E3D"/>
    <w:rsid w:val="00141F9D"/>
    <w:rsid w:val="001423B6"/>
    <w:rsid w:val="001448A7"/>
    <w:rsid w:val="00146621"/>
    <w:rsid w:val="00161B7B"/>
    <w:rsid w:val="00162325"/>
    <w:rsid w:val="001651D7"/>
    <w:rsid w:val="0017685D"/>
    <w:rsid w:val="001835B3"/>
    <w:rsid w:val="00184EA6"/>
    <w:rsid w:val="00187BD0"/>
    <w:rsid w:val="001951DA"/>
    <w:rsid w:val="00196599"/>
    <w:rsid w:val="001A6B1E"/>
    <w:rsid w:val="001A6D85"/>
    <w:rsid w:val="001B7F97"/>
    <w:rsid w:val="001C3269"/>
    <w:rsid w:val="001C3DB8"/>
    <w:rsid w:val="001D1214"/>
    <w:rsid w:val="001D1DB4"/>
    <w:rsid w:val="001E159D"/>
    <w:rsid w:val="001F6DBA"/>
    <w:rsid w:val="00200289"/>
    <w:rsid w:val="00202C00"/>
    <w:rsid w:val="002072FC"/>
    <w:rsid w:val="00207D57"/>
    <w:rsid w:val="002205AF"/>
    <w:rsid w:val="00222E38"/>
    <w:rsid w:val="0022731A"/>
    <w:rsid w:val="002311DA"/>
    <w:rsid w:val="00231F5E"/>
    <w:rsid w:val="002327F1"/>
    <w:rsid w:val="002337C3"/>
    <w:rsid w:val="00235562"/>
    <w:rsid w:val="00240ABF"/>
    <w:rsid w:val="002574F9"/>
    <w:rsid w:val="00261383"/>
    <w:rsid w:val="00262B61"/>
    <w:rsid w:val="00264DBF"/>
    <w:rsid w:val="00265051"/>
    <w:rsid w:val="00265626"/>
    <w:rsid w:val="002670FC"/>
    <w:rsid w:val="00271592"/>
    <w:rsid w:val="00276811"/>
    <w:rsid w:val="00282699"/>
    <w:rsid w:val="002847F1"/>
    <w:rsid w:val="00286F19"/>
    <w:rsid w:val="002915BA"/>
    <w:rsid w:val="002926DF"/>
    <w:rsid w:val="00296697"/>
    <w:rsid w:val="00296C9E"/>
    <w:rsid w:val="0029742B"/>
    <w:rsid w:val="002A1D83"/>
    <w:rsid w:val="002B0472"/>
    <w:rsid w:val="002B5932"/>
    <w:rsid w:val="002B6B12"/>
    <w:rsid w:val="002C6197"/>
    <w:rsid w:val="002D63C1"/>
    <w:rsid w:val="002D6A12"/>
    <w:rsid w:val="002D739D"/>
    <w:rsid w:val="002E3864"/>
    <w:rsid w:val="002E5444"/>
    <w:rsid w:val="002E6140"/>
    <w:rsid w:val="002E6985"/>
    <w:rsid w:val="002E71B6"/>
    <w:rsid w:val="002F113C"/>
    <w:rsid w:val="002F2493"/>
    <w:rsid w:val="002F593B"/>
    <w:rsid w:val="002F5CB4"/>
    <w:rsid w:val="002F77C8"/>
    <w:rsid w:val="002F7B63"/>
    <w:rsid w:val="00300931"/>
    <w:rsid w:val="0030130D"/>
    <w:rsid w:val="00304F22"/>
    <w:rsid w:val="00305491"/>
    <w:rsid w:val="00306C7C"/>
    <w:rsid w:val="00310683"/>
    <w:rsid w:val="00314CA0"/>
    <w:rsid w:val="003166C9"/>
    <w:rsid w:val="00320FAF"/>
    <w:rsid w:val="00322EDD"/>
    <w:rsid w:val="00325B5B"/>
    <w:rsid w:val="00332320"/>
    <w:rsid w:val="00334BC6"/>
    <w:rsid w:val="0033646D"/>
    <w:rsid w:val="003401C2"/>
    <w:rsid w:val="00347D72"/>
    <w:rsid w:val="003509C1"/>
    <w:rsid w:val="00352BEE"/>
    <w:rsid w:val="00353B5B"/>
    <w:rsid w:val="00353D75"/>
    <w:rsid w:val="003557A3"/>
    <w:rsid w:val="003571C0"/>
    <w:rsid w:val="00357611"/>
    <w:rsid w:val="00363878"/>
    <w:rsid w:val="00365427"/>
    <w:rsid w:val="00367237"/>
    <w:rsid w:val="0037077F"/>
    <w:rsid w:val="00372411"/>
    <w:rsid w:val="00373882"/>
    <w:rsid w:val="003843DB"/>
    <w:rsid w:val="0038440D"/>
    <w:rsid w:val="0038453C"/>
    <w:rsid w:val="00393761"/>
    <w:rsid w:val="003955D1"/>
    <w:rsid w:val="00397D18"/>
    <w:rsid w:val="003A1B36"/>
    <w:rsid w:val="003B1454"/>
    <w:rsid w:val="003B18B6"/>
    <w:rsid w:val="003B28EB"/>
    <w:rsid w:val="003C3321"/>
    <w:rsid w:val="003C59E0"/>
    <w:rsid w:val="003C65B9"/>
    <w:rsid w:val="003C6C8D"/>
    <w:rsid w:val="003C7BCB"/>
    <w:rsid w:val="003D2833"/>
    <w:rsid w:val="003D4F95"/>
    <w:rsid w:val="003D5F42"/>
    <w:rsid w:val="003D60A9"/>
    <w:rsid w:val="003E5D54"/>
    <w:rsid w:val="003F4C97"/>
    <w:rsid w:val="003F7FE6"/>
    <w:rsid w:val="00400193"/>
    <w:rsid w:val="00416C79"/>
    <w:rsid w:val="004212E7"/>
    <w:rsid w:val="00422082"/>
    <w:rsid w:val="0042446D"/>
    <w:rsid w:val="00427BF8"/>
    <w:rsid w:val="00431C02"/>
    <w:rsid w:val="00437395"/>
    <w:rsid w:val="00442767"/>
    <w:rsid w:val="00445047"/>
    <w:rsid w:val="00452A21"/>
    <w:rsid w:val="00463E39"/>
    <w:rsid w:val="004657FC"/>
    <w:rsid w:val="004733F6"/>
    <w:rsid w:val="00474E69"/>
    <w:rsid w:val="00482BF3"/>
    <w:rsid w:val="004846CA"/>
    <w:rsid w:val="0049138C"/>
    <w:rsid w:val="0049621B"/>
    <w:rsid w:val="004A7486"/>
    <w:rsid w:val="004B2082"/>
    <w:rsid w:val="004C1895"/>
    <w:rsid w:val="004C203A"/>
    <w:rsid w:val="004C4179"/>
    <w:rsid w:val="004C6D40"/>
    <w:rsid w:val="004C7B41"/>
    <w:rsid w:val="004D245F"/>
    <w:rsid w:val="004D51E6"/>
    <w:rsid w:val="004E1826"/>
    <w:rsid w:val="004E1FDB"/>
    <w:rsid w:val="004E2AD1"/>
    <w:rsid w:val="004F0C3C"/>
    <w:rsid w:val="004F63FC"/>
    <w:rsid w:val="00504345"/>
    <w:rsid w:val="00505A92"/>
    <w:rsid w:val="0051586F"/>
    <w:rsid w:val="005203F1"/>
    <w:rsid w:val="00521BC3"/>
    <w:rsid w:val="00524067"/>
    <w:rsid w:val="00531348"/>
    <w:rsid w:val="00533632"/>
    <w:rsid w:val="005347B0"/>
    <w:rsid w:val="005358E1"/>
    <w:rsid w:val="005359B1"/>
    <w:rsid w:val="00541E6E"/>
    <w:rsid w:val="0054251F"/>
    <w:rsid w:val="00542998"/>
    <w:rsid w:val="005471F4"/>
    <w:rsid w:val="005520D8"/>
    <w:rsid w:val="00556CF1"/>
    <w:rsid w:val="00561D3C"/>
    <w:rsid w:val="0057102B"/>
    <w:rsid w:val="005753F2"/>
    <w:rsid w:val="005762A7"/>
    <w:rsid w:val="00576459"/>
    <w:rsid w:val="00581B78"/>
    <w:rsid w:val="005851E8"/>
    <w:rsid w:val="005916D7"/>
    <w:rsid w:val="005A698C"/>
    <w:rsid w:val="005B0B72"/>
    <w:rsid w:val="005B438D"/>
    <w:rsid w:val="005B655D"/>
    <w:rsid w:val="005C4B2A"/>
    <w:rsid w:val="005C5A96"/>
    <w:rsid w:val="005D075A"/>
    <w:rsid w:val="005D59A8"/>
    <w:rsid w:val="005E0799"/>
    <w:rsid w:val="005E45B2"/>
    <w:rsid w:val="005E5CA7"/>
    <w:rsid w:val="005E6CAA"/>
    <w:rsid w:val="005F37BA"/>
    <w:rsid w:val="005F5A80"/>
    <w:rsid w:val="005F5F10"/>
    <w:rsid w:val="006044FF"/>
    <w:rsid w:val="006064EC"/>
    <w:rsid w:val="0060749B"/>
    <w:rsid w:val="00607796"/>
    <w:rsid w:val="00607CC5"/>
    <w:rsid w:val="006153AE"/>
    <w:rsid w:val="0062763C"/>
    <w:rsid w:val="006317C7"/>
    <w:rsid w:val="00633014"/>
    <w:rsid w:val="0063437B"/>
    <w:rsid w:val="006345A9"/>
    <w:rsid w:val="0064614F"/>
    <w:rsid w:val="00647864"/>
    <w:rsid w:val="00652655"/>
    <w:rsid w:val="0065395C"/>
    <w:rsid w:val="006573ED"/>
    <w:rsid w:val="00657EC1"/>
    <w:rsid w:val="00660001"/>
    <w:rsid w:val="006673CA"/>
    <w:rsid w:val="00667D50"/>
    <w:rsid w:val="00671847"/>
    <w:rsid w:val="006735CC"/>
    <w:rsid w:val="00673C26"/>
    <w:rsid w:val="006812AF"/>
    <w:rsid w:val="006829C1"/>
    <w:rsid w:val="0068327D"/>
    <w:rsid w:val="00692576"/>
    <w:rsid w:val="00693C68"/>
    <w:rsid w:val="00694AF0"/>
    <w:rsid w:val="006955E8"/>
    <w:rsid w:val="00695E71"/>
    <w:rsid w:val="006A4686"/>
    <w:rsid w:val="006B0E9E"/>
    <w:rsid w:val="006B5AE4"/>
    <w:rsid w:val="006C61DC"/>
    <w:rsid w:val="006D03F9"/>
    <w:rsid w:val="006D0F90"/>
    <w:rsid w:val="006D1507"/>
    <w:rsid w:val="006D4054"/>
    <w:rsid w:val="006D46CD"/>
    <w:rsid w:val="006E02EC"/>
    <w:rsid w:val="006E0786"/>
    <w:rsid w:val="006E325C"/>
    <w:rsid w:val="006F5DCB"/>
    <w:rsid w:val="007029A1"/>
    <w:rsid w:val="007112C2"/>
    <w:rsid w:val="007211B1"/>
    <w:rsid w:val="007278AC"/>
    <w:rsid w:val="00734327"/>
    <w:rsid w:val="00741D4F"/>
    <w:rsid w:val="007448F7"/>
    <w:rsid w:val="0074532C"/>
    <w:rsid w:val="00746187"/>
    <w:rsid w:val="00746BBA"/>
    <w:rsid w:val="00747E59"/>
    <w:rsid w:val="007573F9"/>
    <w:rsid w:val="007602DB"/>
    <w:rsid w:val="0076254F"/>
    <w:rsid w:val="007801F5"/>
    <w:rsid w:val="00783CA4"/>
    <w:rsid w:val="007842FB"/>
    <w:rsid w:val="00786124"/>
    <w:rsid w:val="0079514B"/>
    <w:rsid w:val="007A2DC1"/>
    <w:rsid w:val="007A38B8"/>
    <w:rsid w:val="007B3D04"/>
    <w:rsid w:val="007C049E"/>
    <w:rsid w:val="007C5D10"/>
    <w:rsid w:val="007D3319"/>
    <w:rsid w:val="007D335D"/>
    <w:rsid w:val="007E3314"/>
    <w:rsid w:val="007E4B03"/>
    <w:rsid w:val="007F324B"/>
    <w:rsid w:val="007F7430"/>
    <w:rsid w:val="0080553C"/>
    <w:rsid w:val="00805B46"/>
    <w:rsid w:val="0080613E"/>
    <w:rsid w:val="00806878"/>
    <w:rsid w:val="008079F8"/>
    <w:rsid w:val="00814B49"/>
    <w:rsid w:val="00820C18"/>
    <w:rsid w:val="00821E51"/>
    <w:rsid w:val="00824A20"/>
    <w:rsid w:val="00825DC2"/>
    <w:rsid w:val="00834A43"/>
    <w:rsid w:val="00834AD3"/>
    <w:rsid w:val="0083727A"/>
    <w:rsid w:val="00837EFE"/>
    <w:rsid w:val="00840C7C"/>
    <w:rsid w:val="00843795"/>
    <w:rsid w:val="00847F0F"/>
    <w:rsid w:val="00850F1D"/>
    <w:rsid w:val="008514C5"/>
    <w:rsid w:val="00852448"/>
    <w:rsid w:val="008531B0"/>
    <w:rsid w:val="008620CE"/>
    <w:rsid w:val="00876F94"/>
    <w:rsid w:val="0088258A"/>
    <w:rsid w:val="00885AD2"/>
    <w:rsid w:val="00886332"/>
    <w:rsid w:val="00896A0B"/>
    <w:rsid w:val="008A0F67"/>
    <w:rsid w:val="008A26D9"/>
    <w:rsid w:val="008B3161"/>
    <w:rsid w:val="008B7592"/>
    <w:rsid w:val="008C0C29"/>
    <w:rsid w:val="008D3C14"/>
    <w:rsid w:val="008F2233"/>
    <w:rsid w:val="008F3638"/>
    <w:rsid w:val="008F4441"/>
    <w:rsid w:val="008F54D4"/>
    <w:rsid w:val="008F6F31"/>
    <w:rsid w:val="008F74DF"/>
    <w:rsid w:val="00901121"/>
    <w:rsid w:val="00905965"/>
    <w:rsid w:val="00906EE7"/>
    <w:rsid w:val="00911C62"/>
    <w:rsid w:val="009127BA"/>
    <w:rsid w:val="00917388"/>
    <w:rsid w:val="00920A55"/>
    <w:rsid w:val="009227A6"/>
    <w:rsid w:val="009302EF"/>
    <w:rsid w:val="00933EC1"/>
    <w:rsid w:val="0093623A"/>
    <w:rsid w:val="009417C0"/>
    <w:rsid w:val="009530DB"/>
    <w:rsid w:val="00953676"/>
    <w:rsid w:val="0096456C"/>
    <w:rsid w:val="009705EE"/>
    <w:rsid w:val="00975484"/>
    <w:rsid w:val="00975517"/>
    <w:rsid w:val="00976067"/>
    <w:rsid w:val="00977927"/>
    <w:rsid w:val="0098135C"/>
    <w:rsid w:val="0098156A"/>
    <w:rsid w:val="009817A4"/>
    <w:rsid w:val="00982D5F"/>
    <w:rsid w:val="00991BAC"/>
    <w:rsid w:val="00997A7D"/>
    <w:rsid w:val="009A3802"/>
    <w:rsid w:val="009A6EA0"/>
    <w:rsid w:val="009B03C5"/>
    <w:rsid w:val="009B3644"/>
    <w:rsid w:val="009B44F1"/>
    <w:rsid w:val="009B4996"/>
    <w:rsid w:val="009C1335"/>
    <w:rsid w:val="009C1AB2"/>
    <w:rsid w:val="009C312A"/>
    <w:rsid w:val="009C7251"/>
    <w:rsid w:val="009E0E16"/>
    <w:rsid w:val="009E2E91"/>
    <w:rsid w:val="009F1320"/>
    <w:rsid w:val="009F270F"/>
    <w:rsid w:val="009F793F"/>
    <w:rsid w:val="00A055D0"/>
    <w:rsid w:val="00A06E5D"/>
    <w:rsid w:val="00A1211A"/>
    <w:rsid w:val="00A12C70"/>
    <w:rsid w:val="00A12E2A"/>
    <w:rsid w:val="00A139F5"/>
    <w:rsid w:val="00A365F4"/>
    <w:rsid w:val="00A47D80"/>
    <w:rsid w:val="00A53132"/>
    <w:rsid w:val="00A55947"/>
    <w:rsid w:val="00A563F2"/>
    <w:rsid w:val="00A566E8"/>
    <w:rsid w:val="00A57CA1"/>
    <w:rsid w:val="00A64A17"/>
    <w:rsid w:val="00A72918"/>
    <w:rsid w:val="00A77702"/>
    <w:rsid w:val="00A810F9"/>
    <w:rsid w:val="00A84ADE"/>
    <w:rsid w:val="00A86ECC"/>
    <w:rsid w:val="00A86FCC"/>
    <w:rsid w:val="00A911C5"/>
    <w:rsid w:val="00AA4FDB"/>
    <w:rsid w:val="00AA710D"/>
    <w:rsid w:val="00AA7AD5"/>
    <w:rsid w:val="00AB6D25"/>
    <w:rsid w:val="00AD3BD2"/>
    <w:rsid w:val="00AD4A02"/>
    <w:rsid w:val="00AD5110"/>
    <w:rsid w:val="00AD5621"/>
    <w:rsid w:val="00AE2D4B"/>
    <w:rsid w:val="00AE4F99"/>
    <w:rsid w:val="00AE5B74"/>
    <w:rsid w:val="00AE686E"/>
    <w:rsid w:val="00AF2DF1"/>
    <w:rsid w:val="00AF323E"/>
    <w:rsid w:val="00B02FD4"/>
    <w:rsid w:val="00B04EE6"/>
    <w:rsid w:val="00B11B69"/>
    <w:rsid w:val="00B13BC3"/>
    <w:rsid w:val="00B14789"/>
    <w:rsid w:val="00B14952"/>
    <w:rsid w:val="00B1729F"/>
    <w:rsid w:val="00B174F0"/>
    <w:rsid w:val="00B20162"/>
    <w:rsid w:val="00B222E9"/>
    <w:rsid w:val="00B24FAF"/>
    <w:rsid w:val="00B251F9"/>
    <w:rsid w:val="00B30E95"/>
    <w:rsid w:val="00B31E5A"/>
    <w:rsid w:val="00B4556B"/>
    <w:rsid w:val="00B46DE6"/>
    <w:rsid w:val="00B54313"/>
    <w:rsid w:val="00B653AB"/>
    <w:rsid w:val="00B65F9E"/>
    <w:rsid w:val="00B66B19"/>
    <w:rsid w:val="00B74914"/>
    <w:rsid w:val="00B754AD"/>
    <w:rsid w:val="00B77C4E"/>
    <w:rsid w:val="00B868B4"/>
    <w:rsid w:val="00B914E9"/>
    <w:rsid w:val="00B956EE"/>
    <w:rsid w:val="00BA1994"/>
    <w:rsid w:val="00BA2BA1"/>
    <w:rsid w:val="00BA3562"/>
    <w:rsid w:val="00BB4F09"/>
    <w:rsid w:val="00BC2A97"/>
    <w:rsid w:val="00BC35B1"/>
    <w:rsid w:val="00BC7172"/>
    <w:rsid w:val="00BD31CC"/>
    <w:rsid w:val="00BD3467"/>
    <w:rsid w:val="00BD4798"/>
    <w:rsid w:val="00BD4E33"/>
    <w:rsid w:val="00BE3E23"/>
    <w:rsid w:val="00BF3836"/>
    <w:rsid w:val="00BF49A0"/>
    <w:rsid w:val="00BF578A"/>
    <w:rsid w:val="00C0111D"/>
    <w:rsid w:val="00C030DE"/>
    <w:rsid w:val="00C03B6D"/>
    <w:rsid w:val="00C114AB"/>
    <w:rsid w:val="00C14CB6"/>
    <w:rsid w:val="00C211C3"/>
    <w:rsid w:val="00C22105"/>
    <w:rsid w:val="00C244B6"/>
    <w:rsid w:val="00C31CA6"/>
    <w:rsid w:val="00C330BC"/>
    <w:rsid w:val="00C340D8"/>
    <w:rsid w:val="00C36A86"/>
    <w:rsid w:val="00C36B4B"/>
    <w:rsid w:val="00C3702F"/>
    <w:rsid w:val="00C41FDA"/>
    <w:rsid w:val="00C4500A"/>
    <w:rsid w:val="00C52918"/>
    <w:rsid w:val="00C5796B"/>
    <w:rsid w:val="00C61CF5"/>
    <w:rsid w:val="00C64A37"/>
    <w:rsid w:val="00C7158E"/>
    <w:rsid w:val="00C7250B"/>
    <w:rsid w:val="00C7346B"/>
    <w:rsid w:val="00C765EC"/>
    <w:rsid w:val="00C772CD"/>
    <w:rsid w:val="00C77C0E"/>
    <w:rsid w:val="00C8609F"/>
    <w:rsid w:val="00C87891"/>
    <w:rsid w:val="00C91687"/>
    <w:rsid w:val="00C924A8"/>
    <w:rsid w:val="00C945FE"/>
    <w:rsid w:val="00C96FAA"/>
    <w:rsid w:val="00C97A04"/>
    <w:rsid w:val="00CA0CAA"/>
    <w:rsid w:val="00CA107B"/>
    <w:rsid w:val="00CA2554"/>
    <w:rsid w:val="00CA294D"/>
    <w:rsid w:val="00CA484D"/>
    <w:rsid w:val="00CA4FB6"/>
    <w:rsid w:val="00CB307B"/>
    <w:rsid w:val="00CB652B"/>
    <w:rsid w:val="00CB695D"/>
    <w:rsid w:val="00CB6C00"/>
    <w:rsid w:val="00CB72A1"/>
    <w:rsid w:val="00CB7B09"/>
    <w:rsid w:val="00CC739E"/>
    <w:rsid w:val="00CD2891"/>
    <w:rsid w:val="00CD58B7"/>
    <w:rsid w:val="00CD790B"/>
    <w:rsid w:val="00CE5EAF"/>
    <w:rsid w:val="00CF141E"/>
    <w:rsid w:val="00CF15D8"/>
    <w:rsid w:val="00CF19C9"/>
    <w:rsid w:val="00CF4099"/>
    <w:rsid w:val="00D00796"/>
    <w:rsid w:val="00D02B9F"/>
    <w:rsid w:val="00D02CCD"/>
    <w:rsid w:val="00D0664B"/>
    <w:rsid w:val="00D144E5"/>
    <w:rsid w:val="00D261A2"/>
    <w:rsid w:val="00D31190"/>
    <w:rsid w:val="00D4181C"/>
    <w:rsid w:val="00D46ECB"/>
    <w:rsid w:val="00D52BF4"/>
    <w:rsid w:val="00D5596B"/>
    <w:rsid w:val="00D56D33"/>
    <w:rsid w:val="00D60292"/>
    <w:rsid w:val="00D60C5B"/>
    <w:rsid w:val="00D616D2"/>
    <w:rsid w:val="00D6369F"/>
    <w:rsid w:val="00D63B5F"/>
    <w:rsid w:val="00D64AAD"/>
    <w:rsid w:val="00D65847"/>
    <w:rsid w:val="00D6642C"/>
    <w:rsid w:val="00D70EF7"/>
    <w:rsid w:val="00D7413A"/>
    <w:rsid w:val="00D77510"/>
    <w:rsid w:val="00D82147"/>
    <w:rsid w:val="00D8397C"/>
    <w:rsid w:val="00D90796"/>
    <w:rsid w:val="00D91092"/>
    <w:rsid w:val="00D94786"/>
    <w:rsid w:val="00D94EED"/>
    <w:rsid w:val="00D96026"/>
    <w:rsid w:val="00DA3416"/>
    <w:rsid w:val="00DA44FA"/>
    <w:rsid w:val="00DA5462"/>
    <w:rsid w:val="00DA632D"/>
    <w:rsid w:val="00DA7C1C"/>
    <w:rsid w:val="00DB147A"/>
    <w:rsid w:val="00DB1B7A"/>
    <w:rsid w:val="00DB31A0"/>
    <w:rsid w:val="00DB47DC"/>
    <w:rsid w:val="00DB6942"/>
    <w:rsid w:val="00DC17C5"/>
    <w:rsid w:val="00DC6708"/>
    <w:rsid w:val="00DD2513"/>
    <w:rsid w:val="00DD5E37"/>
    <w:rsid w:val="00DE58BF"/>
    <w:rsid w:val="00DF2A73"/>
    <w:rsid w:val="00DF4FE7"/>
    <w:rsid w:val="00DF5866"/>
    <w:rsid w:val="00E01436"/>
    <w:rsid w:val="00E02A76"/>
    <w:rsid w:val="00E045BD"/>
    <w:rsid w:val="00E1220A"/>
    <w:rsid w:val="00E127B0"/>
    <w:rsid w:val="00E17B77"/>
    <w:rsid w:val="00E23337"/>
    <w:rsid w:val="00E259EA"/>
    <w:rsid w:val="00E2731E"/>
    <w:rsid w:val="00E32061"/>
    <w:rsid w:val="00E33E33"/>
    <w:rsid w:val="00E42FF9"/>
    <w:rsid w:val="00E44C1B"/>
    <w:rsid w:val="00E4714C"/>
    <w:rsid w:val="00E51AEB"/>
    <w:rsid w:val="00E522A7"/>
    <w:rsid w:val="00E5255B"/>
    <w:rsid w:val="00E54452"/>
    <w:rsid w:val="00E55805"/>
    <w:rsid w:val="00E664C5"/>
    <w:rsid w:val="00E671A2"/>
    <w:rsid w:val="00E72A65"/>
    <w:rsid w:val="00E72B3E"/>
    <w:rsid w:val="00E76D26"/>
    <w:rsid w:val="00E82163"/>
    <w:rsid w:val="00E87A1F"/>
    <w:rsid w:val="00E953C7"/>
    <w:rsid w:val="00EA742A"/>
    <w:rsid w:val="00EB1390"/>
    <w:rsid w:val="00EB2C71"/>
    <w:rsid w:val="00EB4340"/>
    <w:rsid w:val="00EB556D"/>
    <w:rsid w:val="00EB5A7D"/>
    <w:rsid w:val="00EC1A34"/>
    <w:rsid w:val="00ED55C0"/>
    <w:rsid w:val="00ED682B"/>
    <w:rsid w:val="00EE41D5"/>
    <w:rsid w:val="00EE4F38"/>
    <w:rsid w:val="00EF1AAF"/>
    <w:rsid w:val="00F037A4"/>
    <w:rsid w:val="00F05910"/>
    <w:rsid w:val="00F121E5"/>
    <w:rsid w:val="00F26489"/>
    <w:rsid w:val="00F27A45"/>
    <w:rsid w:val="00F27C8F"/>
    <w:rsid w:val="00F32590"/>
    <w:rsid w:val="00F32749"/>
    <w:rsid w:val="00F37172"/>
    <w:rsid w:val="00F4477E"/>
    <w:rsid w:val="00F458CE"/>
    <w:rsid w:val="00F608D8"/>
    <w:rsid w:val="00F6727E"/>
    <w:rsid w:val="00F67D8F"/>
    <w:rsid w:val="00F769CE"/>
    <w:rsid w:val="00F802BE"/>
    <w:rsid w:val="00F80E93"/>
    <w:rsid w:val="00F81CDC"/>
    <w:rsid w:val="00F86024"/>
    <w:rsid w:val="00F8611A"/>
    <w:rsid w:val="00F8685F"/>
    <w:rsid w:val="00F87C30"/>
    <w:rsid w:val="00F9509C"/>
    <w:rsid w:val="00FA1A2B"/>
    <w:rsid w:val="00FA32C0"/>
    <w:rsid w:val="00FA5128"/>
    <w:rsid w:val="00FB42D4"/>
    <w:rsid w:val="00FB5906"/>
    <w:rsid w:val="00FB762F"/>
    <w:rsid w:val="00FC2AED"/>
    <w:rsid w:val="00FC5D93"/>
    <w:rsid w:val="00FD428E"/>
    <w:rsid w:val="00FD5EA7"/>
    <w:rsid w:val="00FD7CFC"/>
    <w:rsid w:val="00FE5015"/>
    <w:rsid w:val="00FE6B60"/>
    <w:rsid w:val="00FE725B"/>
    <w:rsid w:val="00FF78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08BCB"/>
  <w15:docId w15:val="{9AA6C36A-C516-4BC4-B32A-F1D761CD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
    <w:name w:val="Body Text"/>
    <w:basedOn w:val="Normalny"/>
    <w:link w:val="TekstpodstawowyZnak"/>
    <w:uiPriority w:val="1"/>
    <w:qFormat/>
    <w:rsid w:val="00C03B6D"/>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C03B6D"/>
    <w:rPr>
      <w:rFonts w:ascii="Fira Sans" w:eastAsia="Times New Roman" w:hAnsi="Fira Sans" w:cs="Fira Sans"/>
      <w:sz w:val="19"/>
      <w:szCs w:val="19"/>
      <w:lang w:eastAsia="pl-PL"/>
    </w:rPr>
  </w:style>
  <w:style w:type="character" w:styleId="Odwoaniedokomentarza">
    <w:name w:val="annotation reference"/>
    <w:basedOn w:val="Domylnaczcionkaakapitu"/>
    <w:uiPriority w:val="99"/>
    <w:semiHidden/>
    <w:unhideWhenUsed/>
    <w:rsid w:val="003509C1"/>
    <w:rPr>
      <w:sz w:val="16"/>
      <w:szCs w:val="16"/>
    </w:rPr>
  </w:style>
  <w:style w:type="paragraph" w:styleId="Tekstkomentarza">
    <w:name w:val="annotation text"/>
    <w:basedOn w:val="Normalny"/>
    <w:link w:val="TekstkomentarzaZnak"/>
    <w:uiPriority w:val="99"/>
    <w:semiHidden/>
    <w:unhideWhenUsed/>
    <w:rsid w:val="003509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9C1"/>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509C1"/>
    <w:rPr>
      <w:b/>
      <w:bCs/>
    </w:rPr>
  </w:style>
  <w:style w:type="character" w:customStyle="1" w:styleId="TematkomentarzaZnak">
    <w:name w:val="Temat komentarza Znak"/>
    <w:basedOn w:val="TekstkomentarzaZnak"/>
    <w:link w:val="Tematkomentarza"/>
    <w:uiPriority w:val="99"/>
    <w:semiHidden/>
    <w:rsid w:val="003509C1"/>
    <w:rPr>
      <w:rFonts w:ascii="Fira Sans" w:hAnsi="Fira Sans"/>
      <w:b/>
      <w:bCs/>
      <w:sz w:val="20"/>
      <w:szCs w:val="20"/>
    </w:rPr>
  </w:style>
  <w:style w:type="table" w:customStyle="1" w:styleId="Tabela-Siatka1">
    <w:name w:val="Tabela - Siatka1"/>
    <w:basedOn w:val="Standardowy"/>
    <w:next w:val="Tabela-Siatka"/>
    <w:rsid w:val="00D64A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64AAD"/>
    <w:pPr>
      <w:spacing w:before="0" w:after="200" w:line="276" w:lineRule="auto"/>
    </w:pPr>
    <w:rPr>
      <w:rFonts w:ascii="Times New Roman" w:hAnsi="Times New Roman" w:cs="Times New Roman"/>
      <w:sz w:val="24"/>
      <w:szCs w:val="24"/>
    </w:rPr>
  </w:style>
  <w:style w:type="character" w:styleId="UyteHipercze">
    <w:name w:val="FollowedHyperlink"/>
    <w:basedOn w:val="Domylnaczcionkaakapitu"/>
    <w:uiPriority w:val="99"/>
    <w:semiHidden/>
    <w:unhideWhenUsed/>
    <w:rsid w:val="000E218E"/>
    <w:rPr>
      <w:color w:val="954F72" w:themeColor="followedHyperlink"/>
      <w:u w:val="single"/>
    </w:rPr>
  </w:style>
  <w:style w:type="character" w:customStyle="1" w:styleId="shorttext">
    <w:name w:val="short_text"/>
    <w:basedOn w:val="Domylnaczcionkaakapitu"/>
    <w:rsid w:val="002847F1"/>
  </w:style>
  <w:style w:type="character" w:customStyle="1" w:styleId="gt-card-ttl-txt">
    <w:name w:val="gt-card-ttl-txt"/>
    <w:basedOn w:val="Domylnaczcionkaakapitu"/>
    <w:rsid w:val="00E5255B"/>
  </w:style>
  <w:style w:type="character" w:customStyle="1" w:styleId="Nierozpoznanawzmianka1">
    <w:name w:val="Nierozpoznana wzmianka1"/>
    <w:basedOn w:val="Domylnaczcionkaakapitu"/>
    <w:uiPriority w:val="99"/>
    <w:semiHidden/>
    <w:unhideWhenUsed/>
    <w:rsid w:val="003557A3"/>
    <w:rPr>
      <w:color w:val="605E5C"/>
      <w:shd w:val="clear" w:color="auto" w:fill="E1DFDD"/>
    </w:rPr>
  </w:style>
  <w:style w:type="character" w:customStyle="1" w:styleId="Nierozpoznanawzmianka2">
    <w:name w:val="Nierozpoznana wzmianka2"/>
    <w:basedOn w:val="Domylnaczcionkaakapitu"/>
    <w:uiPriority w:val="99"/>
    <w:semiHidden/>
    <w:unhideWhenUsed/>
    <w:rsid w:val="0096456C"/>
    <w:rPr>
      <w:color w:val="605E5C"/>
      <w:shd w:val="clear" w:color="auto" w:fill="E1DFDD"/>
    </w:rPr>
  </w:style>
  <w:style w:type="paragraph" w:styleId="Tekstprzypisukocowego">
    <w:name w:val="endnote text"/>
    <w:basedOn w:val="Normalny"/>
    <w:link w:val="TekstprzypisukocowegoZnak"/>
    <w:uiPriority w:val="99"/>
    <w:semiHidden/>
    <w:unhideWhenUsed/>
    <w:rsid w:val="008A0F6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0F67"/>
    <w:rPr>
      <w:rFonts w:ascii="Fira Sans" w:hAnsi="Fira Sans"/>
      <w:sz w:val="20"/>
      <w:szCs w:val="20"/>
    </w:rPr>
  </w:style>
  <w:style w:type="character" w:styleId="Odwoanieprzypisukocowego">
    <w:name w:val="endnote reference"/>
    <w:basedOn w:val="Domylnaczcionkaakapitu"/>
    <w:uiPriority w:val="99"/>
    <w:semiHidden/>
    <w:unhideWhenUsed/>
    <w:rsid w:val="008A0F67"/>
    <w:rPr>
      <w:vertAlign w:val="superscript"/>
    </w:rPr>
  </w:style>
  <w:style w:type="character" w:customStyle="1" w:styleId="Nierozpoznanawzmianka3">
    <w:name w:val="Nierozpoznana wzmianka3"/>
    <w:basedOn w:val="Domylnaczcionkaakapitu"/>
    <w:uiPriority w:val="99"/>
    <w:semiHidden/>
    <w:unhideWhenUsed/>
    <w:rsid w:val="00A1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6699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4770051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99294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95551668">
      <w:bodyDiv w:val="1"/>
      <w:marLeft w:val="0"/>
      <w:marRight w:val="0"/>
      <w:marTop w:val="0"/>
      <w:marBottom w:val="0"/>
      <w:divBdr>
        <w:top w:val="none" w:sz="0" w:space="0" w:color="auto"/>
        <w:left w:val="none" w:sz="0" w:space="0" w:color="auto"/>
        <w:bottom w:val="none" w:sz="0" w:space="0" w:color="auto"/>
        <w:right w:val="none" w:sz="0" w:space="0" w:color="auto"/>
      </w:divBdr>
    </w:div>
    <w:div w:id="723672951">
      <w:bodyDiv w:val="1"/>
      <w:marLeft w:val="0"/>
      <w:marRight w:val="0"/>
      <w:marTop w:val="0"/>
      <w:marBottom w:val="0"/>
      <w:divBdr>
        <w:top w:val="none" w:sz="0" w:space="0" w:color="auto"/>
        <w:left w:val="none" w:sz="0" w:space="0" w:color="auto"/>
        <w:bottom w:val="none" w:sz="0" w:space="0" w:color="auto"/>
        <w:right w:val="none" w:sz="0" w:space="0" w:color="auto"/>
      </w:divBdr>
    </w:div>
    <w:div w:id="729039505">
      <w:bodyDiv w:val="1"/>
      <w:marLeft w:val="0"/>
      <w:marRight w:val="0"/>
      <w:marTop w:val="0"/>
      <w:marBottom w:val="0"/>
      <w:divBdr>
        <w:top w:val="none" w:sz="0" w:space="0" w:color="auto"/>
        <w:left w:val="none" w:sz="0" w:space="0" w:color="auto"/>
        <w:bottom w:val="none" w:sz="0" w:space="0" w:color="auto"/>
        <w:right w:val="none" w:sz="0" w:space="0" w:color="auto"/>
      </w:divBdr>
    </w:div>
    <w:div w:id="750007876">
      <w:bodyDiv w:val="1"/>
      <w:marLeft w:val="0"/>
      <w:marRight w:val="0"/>
      <w:marTop w:val="0"/>
      <w:marBottom w:val="0"/>
      <w:divBdr>
        <w:top w:val="none" w:sz="0" w:space="0" w:color="auto"/>
        <w:left w:val="none" w:sz="0" w:space="0" w:color="auto"/>
        <w:bottom w:val="none" w:sz="0" w:space="0" w:color="auto"/>
        <w:right w:val="none" w:sz="0" w:space="0" w:color="auto"/>
      </w:divBdr>
    </w:div>
    <w:div w:id="843322887">
      <w:bodyDiv w:val="1"/>
      <w:marLeft w:val="0"/>
      <w:marRight w:val="0"/>
      <w:marTop w:val="0"/>
      <w:marBottom w:val="0"/>
      <w:divBdr>
        <w:top w:val="none" w:sz="0" w:space="0" w:color="auto"/>
        <w:left w:val="none" w:sz="0" w:space="0" w:color="auto"/>
        <w:bottom w:val="none" w:sz="0" w:space="0" w:color="auto"/>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20445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8366">
      <w:bodyDiv w:val="1"/>
      <w:marLeft w:val="0"/>
      <w:marRight w:val="0"/>
      <w:marTop w:val="0"/>
      <w:marBottom w:val="0"/>
      <w:divBdr>
        <w:top w:val="none" w:sz="0" w:space="0" w:color="auto"/>
        <w:left w:val="none" w:sz="0" w:space="0" w:color="auto"/>
        <w:bottom w:val="none" w:sz="0" w:space="0" w:color="auto"/>
        <w:right w:val="none" w:sz="0" w:space="0" w:color="auto"/>
      </w:divBdr>
    </w:div>
    <w:div w:id="1224176626">
      <w:bodyDiv w:val="1"/>
      <w:marLeft w:val="0"/>
      <w:marRight w:val="0"/>
      <w:marTop w:val="0"/>
      <w:marBottom w:val="0"/>
      <w:divBdr>
        <w:top w:val="none" w:sz="0" w:space="0" w:color="auto"/>
        <w:left w:val="none" w:sz="0" w:space="0" w:color="auto"/>
        <w:bottom w:val="none" w:sz="0" w:space="0" w:color="auto"/>
        <w:right w:val="none" w:sz="0" w:space="0" w:color="auto"/>
      </w:divBdr>
      <w:divsChild>
        <w:div w:id="38669982">
          <w:marLeft w:val="0"/>
          <w:marRight w:val="0"/>
          <w:marTop w:val="0"/>
          <w:marBottom w:val="0"/>
          <w:divBdr>
            <w:top w:val="none" w:sz="0" w:space="0" w:color="auto"/>
            <w:left w:val="none" w:sz="0" w:space="0" w:color="auto"/>
            <w:bottom w:val="none" w:sz="0" w:space="0" w:color="auto"/>
            <w:right w:val="none" w:sz="0" w:space="0" w:color="auto"/>
          </w:divBdr>
          <w:divsChild>
            <w:div w:id="1265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3339251">
      <w:bodyDiv w:val="1"/>
      <w:marLeft w:val="0"/>
      <w:marRight w:val="0"/>
      <w:marTop w:val="0"/>
      <w:marBottom w:val="0"/>
      <w:divBdr>
        <w:top w:val="none" w:sz="0" w:space="0" w:color="auto"/>
        <w:left w:val="none" w:sz="0" w:space="0" w:color="auto"/>
        <w:bottom w:val="none" w:sz="0" w:space="0" w:color="auto"/>
        <w:right w:val="none" w:sz="0" w:space="0" w:color="auto"/>
      </w:divBdr>
    </w:div>
    <w:div w:id="1293248202">
      <w:bodyDiv w:val="1"/>
      <w:marLeft w:val="0"/>
      <w:marRight w:val="0"/>
      <w:marTop w:val="0"/>
      <w:marBottom w:val="0"/>
      <w:divBdr>
        <w:top w:val="none" w:sz="0" w:space="0" w:color="auto"/>
        <w:left w:val="none" w:sz="0" w:space="0" w:color="auto"/>
        <w:bottom w:val="none" w:sz="0" w:space="0" w:color="auto"/>
        <w:right w:val="none" w:sz="0" w:space="0" w:color="auto"/>
      </w:divBdr>
    </w:div>
    <w:div w:id="1462381588">
      <w:bodyDiv w:val="1"/>
      <w:marLeft w:val="0"/>
      <w:marRight w:val="0"/>
      <w:marTop w:val="0"/>
      <w:marBottom w:val="0"/>
      <w:divBdr>
        <w:top w:val="none" w:sz="0" w:space="0" w:color="auto"/>
        <w:left w:val="none" w:sz="0" w:space="0" w:color="auto"/>
        <w:bottom w:val="none" w:sz="0" w:space="0" w:color="auto"/>
        <w:right w:val="none" w:sz="0" w:space="0" w:color="auto"/>
      </w:divBdr>
    </w:div>
    <w:div w:id="1654723233">
      <w:bodyDiv w:val="1"/>
      <w:marLeft w:val="0"/>
      <w:marRight w:val="0"/>
      <w:marTop w:val="0"/>
      <w:marBottom w:val="0"/>
      <w:divBdr>
        <w:top w:val="none" w:sz="0" w:space="0" w:color="auto"/>
        <w:left w:val="none" w:sz="0" w:space="0" w:color="auto"/>
        <w:bottom w:val="none" w:sz="0" w:space="0" w:color="auto"/>
        <w:right w:val="none" w:sz="0" w:space="0" w:color="auto"/>
      </w:divBdr>
    </w:div>
    <w:div w:id="1684821458">
      <w:bodyDiv w:val="1"/>
      <w:marLeft w:val="0"/>
      <w:marRight w:val="0"/>
      <w:marTop w:val="0"/>
      <w:marBottom w:val="0"/>
      <w:divBdr>
        <w:top w:val="none" w:sz="0" w:space="0" w:color="auto"/>
        <w:left w:val="none" w:sz="0" w:space="0" w:color="auto"/>
        <w:bottom w:val="none" w:sz="0" w:space="0" w:color="auto"/>
        <w:right w:val="none" w:sz="0" w:space="0" w:color="auto"/>
      </w:divBdr>
      <w:divsChild>
        <w:div w:id="719473819">
          <w:marLeft w:val="0"/>
          <w:marRight w:val="0"/>
          <w:marTop w:val="0"/>
          <w:marBottom w:val="0"/>
          <w:divBdr>
            <w:top w:val="none" w:sz="0" w:space="0" w:color="auto"/>
            <w:left w:val="none" w:sz="0" w:space="0" w:color="auto"/>
            <w:bottom w:val="none" w:sz="0" w:space="0" w:color="auto"/>
            <w:right w:val="none" w:sz="0" w:space="0" w:color="auto"/>
          </w:divBdr>
          <w:divsChild>
            <w:div w:id="419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663">
      <w:bodyDiv w:val="1"/>
      <w:marLeft w:val="0"/>
      <w:marRight w:val="0"/>
      <w:marTop w:val="0"/>
      <w:marBottom w:val="0"/>
      <w:divBdr>
        <w:top w:val="none" w:sz="0" w:space="0" w:color="auto"/>
        <w:left w:val="none" w:sz="0" w:space="0" w:color="auto"/>
        <w:bottom w:val="none" w:sz="0" w:space="0" w:color="auto"/>
        <w:right w:val="none" w:sz="0" w:space="0" w:color="auto"/>
      </w:divBdr>
    </w:div>
    <w:div w:id="1795052736">
      <w:bodyDiv w:val="1"/>
      <w:marLeft w:val="0"/>
      <w:marRight w:val="0"/>
      <w:marTop w:val="0"/>
      <w:marBottom w:val="0"/>
      <w:divBdr>
        <w:top w:val="none" w:sz="0" w:space="0" w:color="auto"/>
        <w:left w:val="none" w:sz="0" w:space="0" w:color="auto"/>
        <w:bottom w:val="none" w:sz="0" w:space="0" w:color="auto"/>
        <w:right w:val="none" w:sz="0" w:space="0" w:color="auto"/>
      </w:divBdr>
    </w:div>
    <w:div w:id="183838264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6566768">
      <w:bodyDiv w:val="1"/>
      <w:marLeft w:val="0"/>
      <w:marRight w:val="0"/>
      <w:marTop w:val="0"/>
      <w:marBottom w:val="0"/>
      <w:divBdr>
        <w:top w:val="none" w:sz="0" w:space="0" w:color="auto"/>
        <w:left w:val="none" w:sz="0" w:space="0" w:color="auto"/>
        <w:bottom w:val="none" w:sz="0" w:space="0" w:color="auto"/>
        <w:right w:val="none" w:sz="0" w:space="0" w:color="auto"/>
      </w:divBdr>
    </w:div>
    <w:div w:id="2107727180">
      <w:bodyDiv w:val="1"/>
      <w:marLeft w:val="0"/>
      <w:marRight w:val="0"/>
      <w:marTop w:val="0"/>
      <w:marBottom w:val="0"/>
      <w:divBdr>
        <w:top w:val="none" w:sz="0" w:space="0" w:color="auto"/>
        <w:left w:val="none" w:sz="0" w:space="0" w:color="auto"/>
        <w:bottom w:val="none" w:sz="0" w:space="0" w:color="auto"/>
        <w:right w:val="none" w:sz="0" w:space="0" w:color="auto"/>
      </w:divBdr>
      <w:divsChild>
        <w:div w:id="1387408357">
          <w:marLeft w:val="0"/>
          <w:marRight w:val="0"/>
          <w:marTop w:val="0"/>
          <w:marBottom w:val="0"/>
          <w:divBdr>
            <w:top w:val="none" w:sz="0" w:space="0" w:color="auto"/>
            <w:left w:val="none" w:sz="0" w:space="0" w:color="auto"/>
            <w:bottom w:val="none" w:sz="0" w:space="0" w:color="auto"/>
            <w:right w:val="none" w:sz="0" w:space="0" w:color="auto"/>
          </w:divBdr>
          <w:divsChild>
            <w:div w:id="483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mailto:obslugaprasowa@stat.gov.pl" TargetMode="External"/><Relationship Id="rId26" Type="http://schemas.openxmlformats.org/officeDocument/2006/relationships/hyperlink" Target="https://stat.gov.pl/en/metainformations/glossary/terms-used-in-official-statistics/202,term.html" TargetMode="External"/><Relationship Id="rId39" Type="http://schemas.openxmlformats.org/officeDocument/2006/relationships/hyperlink" Target="https://stat.gov.pl/en/metainformations/glossary/terms-used-in-official-statistics/1375,term.html" TargetMode="External"/><Relationship Id="rId21" Type="http://schemas.openxmlformats.org/officeDocument/2006/relationships/image" Target="media/image7.png"/><Relationship Id="rId34" Type="http://schemas.openxmlformats.org/officeDocument/2006/relationships/hyperlink" Target="http://swaid.stat.gov.pl/en/SitePagesDBW/InfrastrukturaKomMieszk.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s/glossary/terms-used-in-official-statistics/1481,term.htm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bdl.stat.gov.pl/BDL/start" TargetMode="External"/><Relationship Id="rId32" Type="http://schemas.openxmlformats.org/officeDocument/2006/relationships/hyperlink" Target="https://stat.gov.pl/en/topics/municipal-infrastructure/municipal-infrastructure/housing-economy-and-municipal-infrastructure-in-2018,5,15.html" TargetMode="External"/><Relationship Id="rId37" Type="http://schemas.openxmlformats.org/officeDocument/2006/relationships/hyperlink" Target="https://stat.gov.pl/en/metainformations/glossary/terms-used-in-official-statistics/133,term.html" TargetMode="Externa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municipal-infrastructure/municipal-infrastructure/housing-economy-and-municipal-infrastructure-in-2018,5,15.html" TargetMode="External"/><Relationship Id="rId28" Type="http://schemas.openxmlformats.org/officeDocument/2006/relationships/hyperlink" Target="https://stat.gov.pl/en/metainformations/glossary/terms-used-in-official-statistics/133,term.html" TargetMode="External"/><Relationship Id="rId36" Type="http://schemas.openxmlformats.org/officeDocument/2006/relationships/hyperlink" Target="https://stat.gov.pl/en/metainformations/glossary/terms-used-in-official-statistics/324,term.htm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stat.gov.pl/en/topics/municipal-infrastructure/municipal-infrastructure/housing-economy-in-poland-in-2018,1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tat.gov.pl/en/topics/municipal-infrastructure/municipal-infrastructure/housing-economy-in-poland-in-2018,10,2.html" TargetMode="External"/><Relationship Id="rId27" Type="http://schemas.openxmlformats.org/officeDocument/2006/relationships/hyperlink" Target="https://stat.gov.pl/en/metainformations/glossary/terms-used-in-official-statistics/324,term.html" TargetMode="External"/><Relationship Id="rId30" Type="http://schemas.openxmlformats.org/officeDocument/2006/relationships/hyperlink" Target="https://stat.gov.pl/en/metainformations/glossary/terms-used-in-official-statistics/1375,term.html" TargetMode="External"/><Relationship Id="rId35" Type="http://schemas.openxmlformats.org/officeDocument/2006/relationships/hyperlink" Target="https://stat.gov.pl/en/metainformations/glossary/terms-used-in-official-statistics/202,term.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footer" Target="footer2.xml"/><Relationship Id="rId25" Type="http://schemas.openxmlformats.org/officeDocument/2006/relationships/hyperlink" Target="http://swaid.stat.gov.pl/en/SitePagesDBW/InfrastrukturaKomMieszk.aspx" TargetMode="External"/><Relationship Id="rId33" Type="http://schemas.openxmlformats.org/officeDocument/2006/relationships/hyperlink" Target="https://bdl.stat.gov.pl/BDL/start" TargetMode="External"/><Relationship Id="rId38" Type="http://schemas.openxmlformats.org/officeDocument/2006/relationships/hyperlink" Target="https://stat.gov.pl/en/metainformations/glossary/terms-used-in-official-statistics/1481,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76373074183572"/>
          <c:y val="4.5900271228875446E-2"/>
          <c:w val="0.73828469396715735"/>
          <c:h val="0.7322000095283312"/>
        </c:manualLayout>
      </c:layout>
      <c:barChart>
        <c:barDir val="bar"/>
        <c:grouping val="clustered"/>
        <c:varyColors val="0"/>
        <c:ser>
          <c:idx val="0"/>
          <c:order val="0"/>
          <c:tx>
            <c:strRef>
              <c:f>Arkusz2!$E$2</c:f>
              <c:strCache>
                <c:ptCount val="1"/>
                <c:pt idx="0">
                  <c:v>Urban areas</c:v>
                </c:pt>
              </c:strCache>
            </c:strRef>
          </c:tx>
          <c:spPr>
            <a:solidFill>
              <a:srgbClr val="CCD2E4"/>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Arkusz2!$E$3:$E$7</c:f>
              <c:numCache>
                <c:formatCode>0.0</c:formatCode>
                <c:ptCount val="5"/>
                <c:pt idx="0">
                  <c:v>87.9</c:v>
                </c:pt>
                <c:pt idx="1">
                  <c:v>71.400000000000006</c:v>
                </c:pt>
                <c:pt idx="2">
                  <c:v>95.7</c:v>
                </c:pt>
                <c:pt idx="3">
                  <c:v>97.3</c:v>
                </c:pt>
                <c:pt idx="4">
                  <c:v>99.1</c:v>
                </c:pt>
              </c:numCache>
            </c:numRef>
          </c:val>
          <c:extLst>
            <c:ext xmlns:c16="http://schemas.microsoft.com/office/drawing/2014/chart" uri="{C3380CC4-5D6E-409C-BE32-E72D297353CC}">
              <c16:uniqueId val="{00000000-07A2-425E-88F0-DF4E7114734C}"/>
            </c:ext>
          </c:extLst>
        </c:ser>
        <c:ser>
          <c:idx val="1"/>
          <c:order val="1"/>
          <c:tx>
            <c:strRef>
              <c:f>Arkusz2!$F$2</c:f>
              <c:strCache>
                <c:ptCount val="1"/>
                <c:pt idx="0">
                  <c:v>Rural areas</c:v>
                </c:pt>
              </c:strCache>
            </c:strRef>
          </c:tx>
          <c:spPr>
            <a:solidFill>
              <a:srgbClr val="6677AD"/>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Arkusz2!$F$3:$F$7</c:f>
              <c:numCache>
                <c:formatCode>0.0</c:formatCode>
                <c:ptCount val="5"/>
                <c:pt idx="0">
                  <c:v>72.3</c:v>
                </c:pt>
                <c:pt idx="1">
                  <c:v>23.8</c:v>
                </c:pt>
                <c:pt idx="2">
                  <c:v>83.3</c:v>
                </c:pt>
                <c:pt idx="3">
                  <c:v>86.8</c:v>
                </c:pt>
                <c:pt idx="4">
                  <c:v>92.4</c:v>
                </c:pt>
              </c:numCache>
            </c:numRef>
          </c:val>
          <c:extLst>
            <c:ext xmlns:c16="http://schemas.microsoft.com/office/drawing/2014/chart" uri="{C3380CC4-5D6E-409C-BE32-E72D297353CC}">
              <c16:uniqueId val="{00000001-07A2-425E-88F0-DF4E7114734C}"/>
            </c:ext>
          </c:extLst>
        </c:ser>
        <c:ser>
          <c:idx val="2"/>
          <c:order val="2"/>
          <c:tx>
            <c:strRef>
              <c:f>Arkusz2!$G$2</c:f>
              <c:strCache>
                <c:ptCount val="1"/>
                <c:pt idx="0">
                  <c:v>Total</c:v>
                </c:pt>
              </c:strCache>
            </c:strRef>
          </c:tx>
          <c:spPr>
            <a:solidFill>
              <a:srgbClr val="001D77"/>
            </a:solidFill>
            <a:ln>
              <a:noFill/>
            </a:ln>
            <a:effectLst/>
          </c:spPr>
          <c:invertIfNegative val="0"/>
          <c:cat>
            <c:strRef>
              <c:f>Arkusz2!$D$3:$D$7</c:f>
              <c:strCache>
                <c:ptCount val="5"/>
                <c:pt idx="0">
                  <c:v>central heating</c:v>
                </c:pt>
                <c:pt idx="1">
                  <c:v>gas supply system</c:v>
                </c:pt>
                <c:pt idx="2">
                  <c:v>bathroom</c:v>
                </c:pt>
                <c:pt idx="3">
                  <c:v>lavatory</c:v>
                </c:pt>
                <c:pt idx="4">
                  <c:v>water supply system</c:v>
                </c:pt>
              </c:strCache>
            </c:strRef>
          </c:cat>
          <c:val>
            <c:numRef>
              <c:f>Arkusz2!$G$3:$G$7</c:f>
              <c:numCache>
                <c:formatCode>General</c:formatCode>
                <c:ptCount val="5"/>
                <c:pt idx="0">
                  <c:v>82.8</c:v>
                </c:pt>
                <c:pt idx="1">
                  <c:v>56</c:v>
                </c:pt>
                <c:pt idx="2">
                  <c:v>91.7</c:v>
                </c:pt>
                <c:pt idx="3">
                  <c:v>93.9</c:v>
                </c:pt>
                <c:pt idx="4">
                  <c:v>96.9</c:v>
                </c:pt>
              </c:numCache>
            </c:numRef>
          </c:val>
          <c:extLst>
            <c:ext xmlns:c16="http://schemas.microsoft.com/office/drawing/2014/chart" uri="{C3380CC4-5D6E-409C-BE32-E72D297353CC}">
              <c16:uniqueId val="{00000002-07A2-425E-88F0-DF4E7114734C}"/>
            </c:ext>
          </c:extLst>
        </c:ser>
        <c:dLbls>
          <c:showLegendKey val="0"/>
          <c:showVal val="0"/>
          <c:showCatName val="0"/>
          <c:showSerName val="0"/>
          <c:showPercent val="0"/>
          <c:showBubbleSize val="0"/>
        </c:dLbls>
        <c:gapWidth val="182"/>
        <c:axId val="-1684065184"/>
        <c:axId val="-1684067360"/>
      </c:barChart>
      <c:catAx>
        <c:axId val="-168406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1684067360"/>
        <c:crossesAt val="0"/>
        <c:auto val="1"/>
        <c:lblAlgn val="ctr"/>
        <c:lblOffset val="100"/>
        <c:noMultiLvlLbl val="0"/>
      </c:catAx>
      <c:valAx>
        <c:axId val="-168406736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crossAx val="-1684065184"/>
        <c:crosses val="autoZero"/>
        <c:crossBetween val="between"/>
        <c:majorUnit val="10"/>
      </c:valAx>
      <c:spPr>
        <a:noFill/>
        <a:ln>
          <a:noFill/>
        </a:ln>
        <a:effectLst/>
      </c:spPr>
    </c:plotArea>
    <c:legend>
      <c:legendPos val="b"/>
      <c:layout>
        <c:manualLayout>
          <c:xMode val="edge"/>
          <c:yMode val="edge"/>
          <c:x val="0.25211017767760441"/>
          <c:y val="0.89296234173524058"/>
          <c:w val="0.49082301515284565"/>
          <c:h val="4.0273528308961387E-2"/>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Fira Sans" panose="020B0503050000020004" pitchFamily="34" charset="0"/>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0.82156</cdr:x>
      <cdr:y>0.82857</cdr:y>
    </cdr:from>
    <cdr:to>
      <cdr:x>1</cdr:x>
      <cdr:y>1</cdr:y>
    </cdr:to>
    <cdr:sp macro="" textlink="">
      <cdr:nvSpPr>
        <cdr:cNvPr id="2" name="Pole tekstowe 1"/>
        <cdr:cNvSpPr txBox="1"/>
      </cdr:nvSpPr>
      <cdr:spPr>
        <a:xfrm xmlns:a="http://schemas.openxmlformats.org/drawingml/2006/main">
          <a:off x="5057775" y="5057775"/>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9804-E15D-40D9-A3F2-808567566B96}">
  <ds:schemaRefs>
    <ds:schemaRef ds:uri="30d47203-49ec-4c8c-a442-62231931aabb"/>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4.xml><?xml version="1.0" encoding="utf-8"?>
<ds:datastoreItem xmlns:ds="http://schemas.openxmlformats.org/officeDocument/2006/customXml" ds:itemID="{2538319F-04E8-46D2-A59B-86459F3B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1132</Words>
  <Characters>6795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Gravmann</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2018-06-28T08:10:00Z</cp:lastPrinted>
  <dcterms:created xsi:type="dcterms:W3CDTF">2020-09-14T11:17:00Z</dcterms:created>
  <dcterms:modified xsi:type="dcterms:W3CDTF">2020-09-14T12:32:00Z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