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33DDD82C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0C5471">
        <w:rPr>
          <w:rFonts w:cs="Arial"/>
          <w:szCs w:val="40"/>
          <w:lang w:val="en-US"/>
        </w:rPr>
        <w:t>3</w:t>
      </w:r>
      <w:r w:rsidR="000C5471">
        <w:rPr>
          <w:rFonts w:cs="Arial"/>
          <w:szCs w:val="40"/>
          <w:vertAlign w:val="superscript"/>
          <w:lang w:val="en-US"/>
        </w:rPr>
        <w:t>r</w:t>
      </w:r>
      <w:r w:rsidR="00A600D0">
        <w:rPr>
          <w:rFonts w:cs="Arial"/>
          <w:szCs w:val="40"/>
          <w:vertAlign w:val="superscript"/>
          <w:lang w:val="en-US"/>
        </w:rPr>
        <w:t>d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20</w:t>
      </w:r>
    </w:p>
    <w:p w14:paraId="2C69B8B8" w14:textId="1A142430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40B832E6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23F61649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E6CC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9E6CC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0C54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C54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</w:p>
                          <w:p w14:paraId="355287FA" w14:textId="424603DF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4B476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0C5471">
                              <w:rPr>
                                <w:sz w:val="20"/>
                                <w:szCs w:val="20"/>
                                <w:lang w:val="en"/>
                              </w:rPr>
                              <w:t>3</w:t>
                            </w:r>
                            <w:r w:rsidR="000C5471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rd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AE04"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40B832E6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23F61649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E6CC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9E6CC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0C54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C54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</w:p>
                    <w:p w14:paraId="355287FA" w14:textId="424603DF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4B476C">
                        <w:rPr>
                          <w:sz w:val="20"/>
                          <w:szCs w:val="20"/>
                          <w:lang w:val="en-US"/>
                        </w:rPr>
                        <w:t xml:space="preserve">rate </w:t>
                      </w: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0C5471">
                        <w:rPr>
                          <w:sz w:val="20"/>
                          <w:szCs w:val="20"/>
                          <w:lang w:val="en"/>
                        </w:rPr>
                        <w:t>3</w:t>
                      </w:r>
                      <w:r w:rsidR="000C5471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rd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</w:t>
      </w:r>
      <w:r w:rsidR="00FD35F2">
        <w:rPr>
          <w:rFonts w:ascii="Fira Sans" w:hAnsi="Fira Sans"/>
          <w:b/>
          <w:sz w:val="19"/>
          <w:szCs w:val="19"/>
          <w:lang w:val="en"/>
        </w:rPr>
        <w:t>lower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by </w:t>
      </w:r>
      <w:r w:rsidR="000C5471">
        <w:rPr>
          <w:rFonts w:ascii="Fira Sans" w:hAnsi="Fira Sans"/>
          <w:b/>
          <w:sz w:val="19"/>
          <w:szCs w:val="19"/>
          <w:lang w:val="en"/>
        </w:rPr>
        <w:t>1.6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300DCA">
        <w:rPr>
          <w:rFonts w:ascii="Fira Sans" w:hAnsi="Fira Sans"/>
          <w:b/>
          <w:sz w:val="19"/>
          <w:szCs w:val="19"/>
          <w:lang w:val="en"/>
        </w:rPr>
        <w:t>3</w:t>
      </w:r>
      <w:r w:rsidR="00300DCA">
        <w:rPr>
          <w:rFonts w:ascii="Fira Sans" w:hAnsi="Fira Sans"/>
          <w:b/>
          <w:sz w:val="19"/>
          <w:szCs w:val="19"/>
          <w:vertAlign w:val="superscript"/>
          <w:lang w:val="en"/>
        </w:rPr>
        <w:t>r</w:t>
      </w:r>
      <w:r w:rsidR="00A600D0">
        <w:rPr>
          <w:rFonts w:ascii="Fira Sans" w:hAnsi="Fira Sans"/>
          <w:b/>
          <w:sz w:val="19"/>
          <w:szCs w:val="19"/>
          <w:vertAlign w:val="superscript"/>
          <w:lang w:val="en"/>
        </w:rPr>
        <w:t>d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2660F">
        <w:rPr>
          <w:rFonts w:ascii="Fira Sans" w:hAnsi="Fira Sans"/>
          <w:b/>
          <w:sz w:val="19"/>
          <w:szCs w:val="19"/>
          <w:lang w:val="en"/>
        </w:rPr>
        <w:t>20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FD35F2">
        <w:rPr>
          <w:rFonts w:ascii="Fira Sans" w:hAnsi="Fira Sans"/>
          <w:b/>
          <w:sz w:val="19"/>
          <w:szCs w:val="19"/>
          <w:lang w:val="en"/>
        </w:rPr>
        <w:t>4.</w:t>
      </w:r>
      <w:r w:rsidR="000C5471">
        <w:rPr>
          <w:rFonts w:ascii="Fira Sans" w:hAnsi="Fira Sans"/>
          <w:b/>
          <w:sz w:val="19"/>
          <w:szCs w:val="19"/>
          <w:lang w:val="en"/>
        </w:rPr>
        <w:t>4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</w:t>
      </w:r>
      <w:r w:rsidR="00304A59">
        <w:rPr>
          <w:rFonts w:ascii="Fira Sans" w:hAnsi="Fira Sans"/>
          <w:b/>
          <w:sz w:val="19"/>
          <w:szCs w:val="19"/>
          <w:lang w:val="en"/>
        </w:rPr>
        <w:t xml:space="preserve">increase </w:t>
      </w:r>
      <w:r w:rsidRPr="00975E05">
        <w:rPr>
          <w:rFonts w:ascii="Fira Sans" w:hAnsi="Fira Sans"/>
          <w:b/>
          <w:sz w:val="19"/>
          <w:szCs w:val="19"/>
          <w:lang w:val="en"/>
        </w:rPr>
        <w:t>in the corresponding period of 20</w:t>
      </w:r>
      <w:r w:rsidR="00E2660F">
        <w:rPr>
          <w:rFonts w:ascii="Fira Sans" w:hAnsi="Fira Sans"/>
          <w:b/>
          <w:sz w:val="19"/>
          <w:szCs w:val="19"/>
          <w:lang w:val="en"/>
        </w:rPr>
        <w:t>19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2BBBCE39" w14:textId="24C0D25E" w:rsidR="00C656EA" w:rsidRPr="00284DD9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 w:rsidR="00121076">
        <w:rPr>
          <w:rFonts w:cs="Arial"/>
          <w:color w:val="000000" w:themeColor="text1"/>
          <w:szCs w:val="19"/>
          <w:lang w:val="en-US"/>
        </w:rPr>
        <w:t>3</w:t>
      </w:r>
      <w:r w:rsidR="00121076">
        <w:rPr>
          <w:rFonts w:cs="Arial"/>
          <w:color w:val="000000" w:themeColor="text1"/>
          <w:szCs w:val="19"/>
          <w:vertAlign w:val="superscript"/>
          <w:lang w:val="en-US"/>
        </w:rPr>
        <w:t>r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d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 w:rsidR="00344E54">
        <w:rPr>
          <w:rFonts w:cs="Arial"/>
          <w:color w:val="000000" w:themeColor="text1"/>
          <w:szCs w:val="19"/>
          <w:lang w:val="en-US"/>
        </w:rPr>
        <w:t>20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</w:t>
      </w:r>
      <w:r w:rsidR="007811D6">
        <w:rPr>
          <w:rFonts w:cs="Arial"/>
          <w:color w:val="000000" w:themeColor="text1"/>
          <w:szCs w:val="19"/>
          <w:lang w:val="en-US"/>
        </w:rPr>
        <w:t>5</w:t>
      </w:r>
      <w:r w:rsidRPr="00284DD9">
        <w:rPr>
          <w:rFonts w:cs="Arial"/>
          <w:color w:val="000000" w:themeColor="text1"/>
          <w:szCs w:val="19"/>
          <w:lang w:val="en-US"/>
        </w:rPr>
        <w:t xml:space="preserve">) was </w:t>
      </w:r>
      <w:r w:rsidR="00121076">
        <w:rPr>
          <w:rFonts w:cs="Arial"/>
          <w:color w:val="000000" w:themeColor="text1"/>
          <w:szCs w:val="19"/>
          <w:lang w:val="en-US"/>
        </w:rPr>
        <w:t>higher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 w:rsidR="00121076">
        <w:rPr>
          <w:rFonts w:cs="Arial"/>
          <w:color w:val="000000" w:themeColor="text1"/>
          <w:szCs w:val="19"/>
          <w:lang w:val="en-US"/>
        </w:rPr>
        <w:t>7.7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 w:rsidR="00121076">
        <w:rPr>
          <w:rFonts w:cs="Arial"/>
          <w:color w:val="000000" w:themeColor="text1"/>
          <w:szCs w:val="19"/>
          <w:lang w:val="en-US"/>
        </w:rPr>
        <w:t>2.0</w:t>
      </w:r>
      <w:r w:rsidRPr="00284DD9">
        <w:rPr>
          <w:rFonts w:cs="Arial"/>
          <w:color w:val="000000" w:themeColor="text1"/>
          <w:szCs w:val="19"/>
          <w:lang w:val="en-US"/>
        </w:rPr>
        <w:t xml:space="preserve">% </w:t>
      </w:r>
      <w:r w:rsidR="00FD35F2">
        <w:rPr>
          <w:rFonts w:cs="Arial"/>
          <w:color w:val="000000" w:themeColor="text1"/>
          <w:szCs w:val="19"/>
          <w:lang w:val="en-US"/>
        </w:rPr>
        <w:t>lowe</w:t>
      </w:r>
      <w:r w:rsidRPr="00284DD9">
        <w:rPr>
          <w:rFonts w:cs="Arial"/>
          <w:color w:val="000000" w:themeColor="text1"/>
          <w:szCs w:val="19"/>
          <w:lang w:val="en-US"/>
        </w:rPr>
        <w:t xml:space="preserve">r than in the </w:t>
      </w:r>
      <w:r w:rsidR="00300DCA">
        <w:rPr>
          <w:rFonts w:cs="Arial"/>
          <w:color w:val="000000" w:themeColor="text1"/>
          <w:szCs w:val="19"/>
          <w:lang w:val="en-US"/>
        </w:rPr>
        <w:t>3</w:t>
      </w:r>
      <w:r w:rsidR="00300DCA">
        <w:rPr>
          <w:rFonts w:cs="Arial"/>
          <w:color w:val="000000" w:themeColor="text1"/>
          <w:szCs w:val="19"/>
          <w:vertAlign w:val="superscript"/>
          <w:lang w:val="en-US"/>
        </w:rPr>
        <w:t>r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d</w:t>
      </w:r>
      <w:r w:rsidR="00344E54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5EE318C0" w14:textId="512C835C" w:rsidR="00C656EA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</w:t>
      </w:r>
      <w:r w:rsidR="007E62F7">
        <w:rPr>
          <w:rFonts w:cs="Arial"/>
          <w:color w:val="000000" w:themeColor="text1"/>
          <w:szCs w:val="19"/>
          <w:lang w:val="en-US"/>
        </w:rPr>
        <w:t>low</w:t>
      </w:r>
      <w:r w:rsidRPr="00284DD9">
        <w:rPr>
          <w:rFonts w:cs="Arial"/>
          <w:color w:val="000000" w:themeColor="text1"/>
          <w:szCs w:val="19"/>
          <w:lang w:val="en-US"/>
        </w:rPr>
        <w:t xml:space="preserve">er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 w:rsidR="006B3D72">
        <w:rPr>
          <w:rFonts w:cs="Arial"/>
          <w:color w:val="000000" w:themeColor="text1"/>
          <w:szCs w:val="19"/>
          <w:lang w:val="en-US"/>
        </w:rPr>
        <w:t>1.6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2C08C235" w14:textId="6A20179D" w:rsidR="00D2118B" w:rsidRDefault="006C37F6" w:rsidP="00C656EA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GDP </w:t>
      </w:r>
      <w:r w:rsidR="00B47A6F">
        <w:rPr>
          <w:rFonts w:cs="Arial"/>
          <w:color w:val="000000" w:themeColor="text1"/>
          <w:szCs w:val="19"/>
          <w:lang w:val="en-US"/>
        </w:rPr>
        <w:t xml:space="preserve">flash </w:t>
      </w:r>
      <w:r w:rsidRPr="006C37F6">
        <w:rPr>
          <w:rFonts w:cs="Arial"/>
          <w:color w:val="000000" w:themeColor="text1"/>
          <w:szCs w:val="19"/>
          <w:lang w:val="en-US"/>
        </w:rPr>
        <w:t xml:space="preserve">estimate for the </w:t>
      </w:r>
      <w:r w:rsidR="00720C2D">
        <w:rPr>
          <w:rFonts w:cs="Arial"/>
          <w:color w:val="000000" w:themeColor="text1"/>
          <w:szCs w:val="19"/>
          <w:lang w:val="en-US"/>
        </w:rPr>
        <w:t>3</w:t>
      </w:r>
      <w:r w:rsidR="00720C2D">
        <w:rPr>
          <w:rFonts w:cs="Arial"/>
          <w:color w:val="000000" w:themeColor="text1"/>
          <w:szCs w:val="19"/>
          <w:vertAlign w:val="superscript"/>
          <w:lang w:val="en-US"/>
        </w:rPr>
        <w:t>r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d</w:t>
      </w:r>
      <w:r w:rsidR="00360182" w:rsidRPr="006C37F6">
        <w:rPr>
          <w:rFonts w:cs="Arial"/>
          <w:color w:val="000000" w:themeColor="text1"/>
          <w:szCs w:val="19"/>
          <w:lang w:val="en-US"/>
        </w:rPr>
        <w:t xml:space="preserve"> </w:t>
      </w:r>
      <w:r w:rsidR="00360182"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 w:rsidR="00B47A6F">
        <w:rPr>
          <w:rFonts w:cs="Arial"/>
          <w:color w:val="000000" w:themeColor="text1"/>
          <w:szCs w:val="19"/>
          <w:lang w:val="en-US"/>
        </w:rPr>
        <w:t>includes</w:t>
      </w:r>
      <w:r w:rsidR="0038153E">
        <w:rPr>
          <w:rFonts w:cs="Arial"/>
          <w:color w:val="000000" w:themeColor="text1"/>
          <w:szCs w:val="19"/>
          <w:lang w:val="en-US"/>
        </w:rPr>
        <w:t xml:space="preserve">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 w:rsidR="0038153E"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 to </w:t>
      </w:r>
      <w:r w:rsidR="0038153E"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 w:rsidR="0038153E"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 w:rsidR="0054039D"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</w:t>
      </w:r>
      <w:r w:rsidR="00225623">
        <w:rPr>
          <w:rFonts w:cs="Arial"/>
          <w:color w:val="000000" w:themeColor="text1"/>
          <w:szCs w:val="19"/>
          <w:lang w:val="en-US"/>
        </w:rPr>
        <w:t>pandemic.</w:t>
      </w:r>
      <w:r w:rsidRPr="006C37F6">
        <w:rPr>
          <w:rFonts w:cs="Arial"/>
          <w:color w:val="000000" w:themeColor="text1"/>
          <w:szCs w:val="19"/>
          <w:lang w:val="en-US"/>
        </w:rPr>
        <w:t xml:space="preserve"> The methods and data sources used to estimate GDP have not changed. As regards data sources, </w:t>
      </w:r>
      <w:r w:rsidR="0038153E"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 w:rsidR="00610D5D">
        <w:rPr>
          <w:rFonts w:cs="Arial"/>
          <w:color w:val="000000" w:themeColor="text1"/>
          <w:szCs w:val="19"/>
          <w:lang w:val="en-US"/>
        </w:rPr>
        <w:t>.</w:t>
      </w:r>
    </w:p>
    <w:p w14:paraId="7F65614C" w14:textId="25BD6E96" w:rsidR="00D2118B" w:rsidRDefault="00D2118B" w:rsidP="00D2118B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 w:rsidR="00360182">
        <w:rPr>
          <w:rFonts w:cs="Arial"/>
          <w:color w:val="000000" w:themeColor="text1"/>
          <w:szCs w:val="19"/>
          <w:lang w:val="en-US"/>
        </w:rPr>
        <w:t xml:space="preserve">the </w:t>
      </w:r>
      <w:r w:rsidR="00720C2D">
        <w:rPr>
          <w:rFonts w:cs="Arial"/>
          <w:color w:val="000000" w:themeColor="text1"/>
          <w:szCs w:val="19"/>
          <w:lang w:val="en-US"/>
        </w:rPr>
        <w:t>3</w:t>
      </w:r>
      <w:r w:rsidR="00720C2D">
        <w:rPr>
          <w:rFonts w:cs="Arial"/>
          <w:color w:val="000000" w:themeColor="text1"/>
          <w:szCs w:val="19"/>
          <w:vertAlign w:val="superscript"/>
          <w:lang w:val="en-US"/>
        </w:rPr>
        <w:t>r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d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20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720C2D">
        <w:rPr>
          <w:rFonts w:cs="Arial"/>
          <w:color w:val="000000" w:themeColor="text1"/>
          <w:szCs w:val="19"/>
          <w:lang w:val="en-US"/>
        </w:rPr>
        <w:t>November</w:t>
      </w:r>
      <w:r>
        <w:rPr>
          <w:rFonts w:cs="Arial"/>
          <w:color w:val="000000" w:themeColor="text1"/>
          <w:szCs w:val="19"/>
          <w:lang w:val="en-US"/>
        </w:rPr>
        <w:t xml:space="preserve"> </w:t>
      </w:r>
      <w:r w:rsidR="00A600D0">
        <w:rPr>
          <w:rFonts w:cs="Arial"/>
          <w:color w:val="000000" w:themeColor="text1"/>
          <w:szCs w:val="19"/>
          <w:lang w:val="en-US"/>
        </w:rPr>
        <w:t>3</w:t>
      </w:r>
      <w:r w:rsidR="00720C2D">
        <w:rPr>
          <w:rFonts w:cs="Arial"/>
          <w:color w:val="000000" w:themeColor="text1"/>
          <w:szCs w:val="19"/>
          <w:lang w:val="en-US"/>
        </w:rPr>
        <w:t>0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20.</w:t>
      </w:r>
    </w:p>
    <w:p w14:paraId="21C43657" w14:textId="77777777" w:rsidR="00D2118B" w:rsidRPr="00284DD9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40D48D85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</w:t>
      </w:r>
      <w:r w:rsidR="00720C2D">
        <w:rPr>
          <w:b/>
          <w:sz w:val="18"/>
          <w:szCs w:val="18"/>
          <w:lang w:val="en-US"/>
        </w:rPr>
        <w:t>5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19"/>
        <w:gridCol w:w="619"/>
        <w:gridCol w:w="620"/>
        <w:gridCol w:w="623"/>
        <w:gridCol w:w="621"/>
        <w:gridCol w:w="620"/>
        <w:gridCol w:w="620"/>
        <w:gridCol w:w="621"/>
        <w:gridCol w:w="621"/>
        <w:gridCol w:w="623"/>
        <w:gridCol w:w="620"/>
      </w:tblGrid>
      <w:tr w:rsidR="006D7DB9" w:rsidRPr="00761152" w14:paraId="375BDFA7" w14:textId="22DB8882" w:rsidTr="006D7DB9">
        <w:trPr>
          <w:trHeight w:val="207"/>
        </w:trPr>
        <w:tc>
          <w:tcPr>
            <w:tcW w:w="769" w:type="pct"/>
            <w:vMerge w:val="restart"/>
            <w:shd w:val="clear" w:color="auto" w:fill="auto"/>
            <w:noWrap/>
            <w:vAlign w:val="center"/>
            <w:hideMark/>
          </w:tcPr>
          <w:p w14:paraId="0E8A0395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38" w:type="pct"/>
            <w:gridSpan w:val="4"/>
            <w:shd w:val="clear" w:color="auto" w:fill="auto"/>
            <w:noWrap/>
            <w:vAlign w:val="bottom"/>
          </w:tcPr>
          <w:p w14:paraId="25E1C24D" w14:textId="4EFB8398" w:rsidR="006D7DB9" w:rsidRPr="00761152" w:rsidRDefault="006D7DB9" w:rsidP="00E9647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18</w:t>
            </w:r>
          </w:p>
        </w:tc>
        <w:tc>
          <w:tcPr>
            <w:tcW w:w="1538" w:type="pct"/>
            <w:gridSpan w:val="4"/>
            <w:shd w:val="clear" w:color="auto" w:fill="auto"/>
            <w:vAlign w:val="bottom"/>
          </w:tcPr>
          <w:p w14:paraId="22071BFC" w14:textId="21F43B6F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155" w:type="pct"/>
            <w:gridSpan w:val="3"/>
            <w:shd w:val="clear" w:color="auto" w:fill="auto"/>
            <w:vAlign w:val="bottom"/>
          </w:tcPr>
          <w:p w14:paraId="5B10A589" w14:textId="0640433A" w:rsidR="006D7DB9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6D7DB9" w:rsidRPr="00761152" w14:paraId="365FBB03" w14:textId="28AB6F75" w:rsidTr="006D7DB9">
        <w:trPr>
          <w:trHeight w:val="352"/>
        </w:trPr>
        <w:tc>
          <w:tcPr>
            <w:tcW w:w="769" w:type="pct"/>
            <w:vMerge/>
            <w:vAlign w:val="center"/>
            <w:hideMark/>
          </w:tcPr>
          <w:p w14:paraId="5A9FD0A0" w14:textId="77777777" w:rsidR="006D7DB9" w:rsidRPr="00761152" w:rsidRDefault="006D7DB9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013647D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302EB7F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2114A0A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C5258D8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E272FF0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066B905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FD4BC72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F4E5421" w14:textId="77777777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2440424" w14:textId="28C5CAA9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6" w:type="pct"/>
            <w:vAlign w:val="center"/>
          </w:tcPr>
          <w:p w14:paraId="3284BA72" w14:textId="4F9DE251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4" w:type="pct"/>
            <w:vAlign w:val="center"/>
          </w:tcPr>
          <w:p w14:paraId="53DFAA8D" w14:textId="3DE838EE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6D7DB9" w:rsidRPr="00761152" w14:paraId="77FC91FA" w14:textId="469ED543" w:rsidTr="006D7DB9">
        <w:trPr>
          <w:trHeight w:val="207"/>
        </w:trPr>
        <w:tc>
          <w:tcPr>
            <w:tcW w:w="769" w:type="pct"/>
            <w:vMerge/>
            <w:vAlign w:val="center"/>
            <w:hideMark/>
          </w:tcPr>
          <w:p w14:paraId="11962527" w14:textId="77777777" w:rsidR="006D7DB9" w:rsidRPr="00761152" w:rsidRDefault="006D7DB9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31" w:type="pct"/>
            <w:gridSpan w:val="11"/>
            <w:shd w:val="clear" w:color="auto" w:fill="auto"/>
            <w:noWrap/>
            <w:vAlign w:val="center"/>
            <w:hideMark/>
          </w:tcPr>
          <w:p w14:paraId="566856B6" w14:textId="13CE4EA3" w:rsidR="006D7DB9" w:rsidRPr="00761152" w:rsidRDefault="006D7DB9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6D7DB9" w14:paraId="32CA814E" w14:textId="7BD3691E" w:rsidTr="00C60A53">
        <w:trPr>
          <w:trHeight w:val="498"/>
        </w:trPr>
        <w:tc>
          <w:tcPr>
            <w:tcW w:w="769" w:type="pct"/>
            <w:shd w:val="clear" w:color="auto" w:fill="auto"/>
            <w:vAlign w:val="center"/>
            <w:hideMark/>
          </w:tcPr>
          <w:p w14:paraId="2F79199C" w14:textId="4AA172F8" w:rsidR="006D7DB9" w:rsidRPr="00246C1E" w:rsidRDefault="006D7DB9" w:rsidP="00E5148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October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3D83DD4" w14:textId="67AF2A65" w:rsidR="006D7DB9" w:rsidRPr="009E66C5" w:rsidRDefault="006D7DB9" w:rsidP="00D827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D8276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9C8C4C9" w14:textId="04ACA169" w:rsidR="006D7DB9" w:rsidRPr="009E66C5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6321389" w14:textId="2D99896E" w:rsidR="006D7DB9" w:rsidRPr="009E66C5" w:rsidRDefault="006D7DB9" w:rsidP="00D827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D8276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A24314F" w14:textId="6224E9AC" w:rsidR="006D7DB9" w:rsidRPr="009E66C5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9846290" w14:textId="2E149CCB" w:rsidR="006D7DB9" w:rsidRPr="009E66C5" w:rsidRDefault="006D7DB9" w:rsidP="00D827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D8276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6C6175C" w14:textId="3D2B8EAA" w:rsidR="006D7DB9" w:rsidRPr="009E66C5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87B17BC" w14:textId="4919E7E0" w:rsidR="006D7DB9" w:rsidRPr="009E66C5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101.2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54A760B" w14:textId="3CAF8DE9" w:rsidR="006D7DB9" w:rsidRPr="009E66C5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64D693A" w14:textId="2CBC3876" w:rsidR="006D7DB9" w:rsidRDefault="006D7DB9" w:rsidP="00D8276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</w:t>
            </w:r>
            <w:r w:rsidR="00D82761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6" w:type="pct"/>
            <w:vAlign w:val="center"/>
          </w:tcPr>
          <w:p w14:paraId="045874C0" w14:textId="5A785276" w:rsidR="006D7DB9" w:rsidRDefault="00D82761" w:rsidP="00D827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384" w:type="pct"/>
            <w:vAlign w:val="center"/>
          </w:tcPr>
          <w:p w14:paraId="78749E67" w14:textId="55004CDC" w:rsidR="006D7DB9" w:rsidRDefault="00D82761" w:rsidP="003331D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304A99" w14:paraId="7F2DE33C" w14:textId="2CEDD506" w:rsidTr="00C60A53">
        <w:trPr>
          <w:trHeight w:val="488"/>
        </w:trPr>
        <w:tc>
          <w:tcPr>
            <w:tcW w:w="769" w:type="pct"/>
            <w:shd w:val="clear" w:color="auto" w:fill="auto"/>
            <w:vAlign w:val="center"/>
            <w:hideMark/>
          </w:tcPr>
          <w:p w14:paraId="1DCF5FC2" w14:textId="19D83327" w:rsidR="00304A99" w:rsidRPr="006D1B4E" w:rsidRDefault="00304A99" w:rsidP="00304A9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 2020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79967D3" w14:textId="5F0E4D04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330D509" w14:textId="173C3014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3696368" w14:textId="429E7D53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101.4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D175BE9" w14:textId="472E14BD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42DA5ED" w14:textId="6B3DDCC5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6435C59" w14:textId="4BA06C97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13AA7B7" w14:textId="2019B95D" w:rsidR="00304A99" w:rsidRPr="009E66C5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101.2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240C1D1" w14:textId="23B711BE" w:rsidR="00304A99" w:rsidRPr="00081A4B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15BF0B3" w14:textId="79E5D2A3" w:rsidR="00304A99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99.7</w:t>
            </w:r>
          </w:p>
        </w:tc>
        <w:tc>
          <w:tcPr>
            <w:tcW w:w="386" w:type="pct"/>
            <w:vAlign w:val="center"/>
          </w:tcPr>
          <w:p w14:paraId="6261E0B1" w14:textId="1722A13E" w:rsidR="00304A99" w:rsidRPr="004C68E2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384" w:type="pct"/>
            <w:vAlign w:val="center"/>
          </w:tcPr>
          <w:p w14:paraId="3B12078B" w14:textId="799CD111" w:rsidR="00304A99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107.7</w:t>
            </w:r>
          </w:p>
        </w:tc>
      </w:tr>
      <w:tr w:rsidR="006D7DB9" w14:paraId="30C3115F" w14:textId="3DB83A76" w:rsidTr="00C60A53">
        <w:trPr>
          <w:trHeight w:val="303"/>
        </w:trPr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E7362CB" w14:textId="77777777" w:rsidR="006D7DB9" w:rsidRPr="00246C1E" w:rsidRDefault="006D7DB9" w:rsidP="003331D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BA1D219" w14:textId="55E6C594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A05E672" w14:textId="78524F6A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F666353" w14:textId="6B9E1EDD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5FD6508" w14:textId="1080A407" w:rsidR="006D7DB9" w:rsidRPr="00E9792B" w:rsidRDefault="00304A99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2519C3BE" w14:textId="384BC1D3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8770FB6" w14:textId="35A14257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AA2A218" w14:textId="32437373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C31388E" w14:textId="7ACA798D" w:rsidR="006D7DB9" w:rsidRPr="00E9792B" w:rsidRDefault="006D7DB9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200B8EC" w14:textId="739B53D3" w:rsidR="006D7DB9" w:rsidRDefault="006D7DB9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6" w:type="pct"/>
            <w:vAlign w:val="center"/>
          </w:tcPr>
          <w:p w14:paraId="7417DCE2" w14:textId="4717DD97" w:rsidR="006D7DB9" w:rsidRDefault="00304A99" w:rsidP="00304A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vAlign w:val="center"/>
          </w:tcPr>
          <w:p w14:paraId="5FA787F9" w14:textId="100D6E38" w:rsidR="006D7DB9" w:rsidRDefault="00304A99" w:rsidP="003331D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6D7DB9" w:rsidRPr="0070577B" w14:paraId="3777E657" w14:textId="391843C2" w:rsidTr="006D7DB9">
        <w:trPr>
          <w:trHeight w:val="228"/>
        </w:trPr>
        <w:tc>
          <w:tcPr>
            <w:tcW w:w="769" w:type="pct"/>
            <w:shd w:val="clear" w:color="auto" w:fill="auto"/>
            <w:noWrap/>
            <w:vAlign w:val="bottom"/>
            <w:hideMark/>
          </w:tcPr>
          <w:p w14:paraId="467E48F8" w14:textId="77777777" w:rsidR="006D7DB9" w:rsidRPr="00E9792B" w:rsidRDefault="006D7DB9" w:rsidP="003331D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31" w:type="pct"/>
            <w:gridSpan w:val="11"/>
            <w:shd w:val="clear" w:color="auto" w:fill="auto"/>
            <w:noWrap/>
            <w:vAlign w:val="bottom"/>
            <w:hideMark/>
          </w:tcPr>
          <w:p w14:paraId="72EC3D52" w14:textId="20B30AFC" w:rsidR="006D7DB9" w:rsidRPr="003246D2" w:rsidRDefault="006D7DB9" w:rsidP="00473EA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6D7DB9" w14:paraId="38DCB7F6" w14:textId="6BF95671" w:rsidTr="00C60A53">
        <w:trPr>
          <w:trHeight w:val="478"/>
        </w:trPr>
        <w:tc>
          <w:tcPr>
            <w:tcW w:w="769" w:type="pct"/>
            <w:shd w:val="clear" w:color="auto" w:fill="auto"/>
            <w:vAlign w:val="center"/>
            <w:hideMark/>
          </w:tcPr>
          <w:p w14:paraId="0DCC5B92" w14:textId="602FC748" w:rsidR="006D7DB9" w:rsidRPr="00246C1E" w:rsidRDefault="006D7DB9" w:rsidP="00E5148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October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3E199D9" w14:textId="1D867569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0D8014F" w14:textId="524A255A" w:rsidR="006D7DB9" w:rsidRPr="00E9792B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9B707B1" w14:textId="6A92792F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DAF02E5" w14:textId="7D3010D2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2E0ECCC1" w14:textId="4C55E811" w:rsidR="006D7DB9" w:rsidRPr="00E9792B" w:rsidRDefault="00E83C43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8D1DF7C" w14:textId="2D453876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6774394" w14:textId="69ECBF43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868730F" w14:textId="4FE78170" w:rsidR="006D7DB9" w:rsidRPr="00E9792B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5FF93FB" w14:textId="438FF195" w:rsidR="006D7DB9" w:rsidRDefault="006D7DB9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</w:t>
            </w:r>
            <w:r w:rsidR="00E83C4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6" w:type="pct"/>
            <w:vAlign w:val="center"/>
          </w:tcPr>
          <w:p w14:paraId="679BF582" w14:textId="4F5F105A" w:rsidR="006D7DB9" w:rsidRPr="00393CD8" w:rsidRDefault="00E83C43" w:rsidP="00D8276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92.0</w:t>
            </w:r>
          </w:p>
        </w:tc>
        <w:tc>
          <w:tcPr>
            <w:tcW w:w="384" w:type="pct"/>
            <w:vAlign w:val="center"/>
          </w:tcPr>
          <w:p w14:paraId="57761D5E" w14:textId="0D032BC8" w:rsidR="006D7DB9" w:rsidRDefault="00E83C43" w:rsidP="00E5148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E83C43" w14:paraId="5C77AD15" w14:textId="695183C6" w:rsidTr="00C60A53">
        <w:trPr>
          <w:trHeight w:val="447"/>
        </w:trPr>
        <w:tc>
          <w:tcPr>
            <w:tcW w:w="769" w:type="pct"/>
            <w:shd w:val="clear" w:color="auto" w:fill="auto"/>
            <w:vAlign w:val="center"/>
            <w:hideMark/>
          </w:tcPr>
          <w:p w14:paraId="068A1F8E" w14:textId="39BFBA6E" w:rsidR="00E83C43" w:rsidRPr="006D1B4E" w:rsidRDefault="00E83C43" w:rsidP="00E83C4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 2020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BE92D20" w14:textId="569876D6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B751AB6" w14:textId="3CBEA414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68E9C26" w14:textId="135BDE0F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105.9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8092416" w14:textId="4EC29715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1BA485F" w14:textId="7773D1A0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277190A" w14:textId="3044C33A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E0854C6" w14:textId="4A95A346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104.4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0A8F5FD" w14:textId="10CE0D8B" w:rsidR="00E83C43" w:rsidRPr="009E66C5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2A85721E" w14:textId="731395EA" w:rsidR="00E83C43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386" w:type="pct"/>
            <w:vAlign w:val="center"/>
          </w:tcPr>
          <w:p w14:paraId="1046DC39" w14:textId="15221971" w:rsidR="00E83C43" w:rsidRPr="00393CD8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92.0</w:t>
            </w:r>
          </w:p>
        </w:tc>
        <w:tc>
          <w:tcPr>
            <w:tcW w:w="384" w:type="pct"/>
            <w:vAlign w:val="center"/>
          </w:tcPr>
          <w:p w14:paraId="773940F5" w14:textId="5836D187" w:rsidR="00E83C43" w:rsidRDefault="00E83C43" w:rsidP="00E83C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</w:tr>
      <w:tr w:rsidR="006D7DB9" w:rsidRPr="00E465A0" w14:paraId="0137A928" w14:textId="6A7DE4C6" w:rsidTr="00C60A53">
        <w:trPr>
          <w:trHeight w:val="303"/>
        </w:trPr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637E3B4" w14:textId="77777777" w:rsidR="006D7DB9" w:rsidRPr="009E66C5" w:rsidRDefault="006D7DB9" w:rsidP="00E5148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2771DE" w14:textId="72F750A4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94826B1" w14:textId="12DBC445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001345C" w14:textId="29AA3BBF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9428205" w14:textId="0690D612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782B010" w14:textId="1D187858" w:rsidR="006D7DB9" w:rsidRPr="009E66C5" w:rsidRDefault="00457744" w:rsidP="004577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BA94322" w14:textId="129ED81C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78149B7" w14:textId="7CC46E80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5F5CD90" w14:textId="4B53512B" w:rsidR="006D7DB9" w:rsidRPr="009E66C5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5CE96795" w14:textId="49C235FB" w:rsidR="006D7DB9" w:rsidRDefault="006D7DB9" w:rsidP="00E5148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6" w:type="pct"/>
            <w:vAlign w:val="center"/>
          </w:tcPr>
          <w:p w14:paraId="55D755B1" w14:textId="0873D8EF" w:rsidR="006D7DB9" w:rsidRDefault="00E83C43" w:rsidP="0045774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4" w:type="pct"/>
            <w:vAlign w:val="center"/>
          </w:tcPr>
          <w:p w14:paraId="7ABE5DD0" w14:textId="5F55FF98" w:rsidR="006D7DB9" w:rsidRDefault="00E83C43" w:rsidP="00E5148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77777777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lastRenderedPageBreak/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5ADC17FA" w14:textId="591FF9D9" w:rsidR="00C656EA" w:rsidRPr="00C53FA6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627"/>
        <w:gridCol w:w="627"/>
        <w:gridCol w:w="628"/>
        <w:gridCol w:w="634"/>
        <w:gridCol w:w="628"/>
        <w:gridCol w:w="628"/>
        <w:gridCol w:w="628"/>
        <w:gridCol w:w="632"/>
        <w:gridCol w:w="639"/>
        <w:gridCol w:w="565"/>
        <w:gridCol w:w="557"/>
      </w:tblGrid>
      <w:tr w:rsidR="00AF151C" w:rsidRPr="00761152" w14:paraId="1B11C078" w14:textId="07E90E3C" w:rsidTr="00650276">
        <w:trPr>
          <w:trHeight w:val="207"/>
        </w:trPr>
        <w:tc>
          <w:tcPr>
            <w:tcW w:w="790" w:type="pct"/>
            <w:vMerge w:val="restart"/>
            <w:shd w:val="clear" w:color="auto" w:fill="auto"/>
            <w:noWrap/>
            <w:vAlign w:val="center"/>
            <w:hideMark/>
          </w:tcPr>
          <w:p w14:paraId="4890AFB5" w14:textId="00ADA534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59" w:type="pct"/>
            <w:gridSpan w:val="4"/>
            <w:shd w:val="clear" w:color="auto" w:fill="auto"/>
            <w:noWrap/>
            <w:vAlign w:val="bottom"/>
            <w:hideMark/>
          </w:tcPr>
          <w:p w14:paraId="75E9993C" w14:textId="366497DB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pct"/>
            <w:gridSpan w:val="4"/>
            <w:shd w:val="clear" w:color="auto" w:fill="auto"/>
            <w:vAlign w:val="bottom"/>
          </w:tcPr>
          <w:p w14:paraId="3F1BAD02" w14:textId="2B6626A9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091" w:type="pct"/>
            <w:gridSpan w:val="3"/>
            <w:shd w:val="clear" w:color="auto" w:fill="auto"/>
            <w:vAlign w:val="bottom"/>
          </w:tcPr>
          <w:p w14:paraId="12D3D8F5" w14:textId="0545E800" w:rsidR="00AF151C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AF151C" w:rsidRPr="00761152" w14:paraId="21F494FF" w14:textId="6436FB94" w:rsidTr="00650276">
        <w:trPr>
          <w:trHeight w:val="352"/>
        </w:trPr>
        <w:tc>
          <w:tcPr>
            <w:tcW w:w="790" w:type="pct"/>
            <w:vMerge/>
            <w:vAlign w:val="center"/>
            <w:hideMark/>
          </w:tcPr>
          <w:p w14:paraId="1311834E" w14:textId="77777777" w:rsidR="00AF151C" w:rsidRPr="00761152" w:rsidRDefault="00AF151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1E6F44C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436BA7D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29D0DB3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E236005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E279168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F022AB6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12D391E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EF52C29" w14:textId="77777777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02120CF" w14:textId="755FB7D0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0" w:type="pct"/>
            <w:vAlign w:val="center"/>
          </w:tcPr>
          <w:p w14:paraId="7D8C63AC" w14:textId="187BDD7F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5" w:type="pct"/>
            <w:vAlign w:val="center"/>
          </w:tcPr>
          <w:p w14:paraId="2C5E4F08" w14:textId="61B8EF72" w:rsidR="00AF151C" w:rsidRPr="00761152" w:rsidRDefault="00AF151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AF151C" w:rsidRPr="0070577B" w14:paraId="76C95234" w14:textId="390ABFD2" w:rsidTr="00AF151C">
        <w:trPr>
          <w:trHeight w:val="207"/>
        </w:trPr>
        <w:tc>
          <w:tcPr>
            <w:tcW w:w="790" w:type="pct"/>
            <w:vMerge/>
            <w:vAlign w:val="center"/>
            <w:hideMark/>
          </w:tcPr>
          <w:p w14:paraId="3F04AE6A" w14:textId="77777777" w:rsidR="00AF151C" w:rsidRPr="00761152" w:rsidRDefault="00AF151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10" w:type="pct"/>
            <w:gridSpan w:val="11"/>
            <w:shd w:val="clear" w:color="auto" w:fill="auto"/>
            <w:noWrap/>
            <w:vAlign w:val="center"/>
            <w:hideMark/>
          </w:tcPr>
          <w:p w14:paraId="6C6DB3ED" w14:textId="3A6AF3C5" w:rsidR="00AF151C" w:rsidRPr="003246D2" w:rsidRDefault="00AF151C" w:rsidP="00473EA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AF151C" w:rsidRPr="005C1D71" w14:paraId="3981497A" w14:textId="479C86BB" w:rsidTr="00650276">
        <w:trPr>
          <w:trHeight w:val="498"/>
        </w:trPr>
        <w:tc>
          <w:tcPr>
            <w:tcW w:w="790" w:type="pct"/>
            <w:shd w:val="clear" w:color="auto" w:fill="auto"/>
            <w:vAlign w:val="center"/>
            <w:hideMark/>
          </w:tcPr>
          <w:p w14:paraId="24638AFB" w14:textId="5AAD70C3" w:rsidR="00AF151C" w:rsidRPr="00246C1E" w:rsidRDefault="00AF151C" w:rsidP="00E5148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October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9D77CDA" w14:textId="2EA43894" w:rsidR="00AF151C" w:rsidRPr="00E9792B" w:rsidRDefault="00AF151C" w:rsidP="00DB430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="00DB4300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DD7D7A" w14:textId="3E4C8FC2" w:rsidR="00AF151C" w:rsidRPr="00E9792B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E2399B3" w14:textId="4CF91CF2" w:rsidR="00AF151C" w:rsidRPr="00E9792B" w:rsidRDefault="00AF151C" w:rsidP="00DB430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="00DB4300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6CC1C8D" w14:textId="032E5413" w:rsidR="00AF151C" w:rsidRPr="00E9792B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F7033B9" w14:textId="06FC1B79" w:rsidR="00AF151C" w:rsidRPr="00E9792B" w:rsidRDefault="00DB4300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E7D2CA1" w14:textId="4BB7B203" w:rsidR="00AF151C" w:rsidRPr="005C1D71" w:rsidRDefault="00DB4300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325F008" w14:textId="465F6C3D" w:rsidR="00AF151C" w:rsidRPr="005C1D71" w:rsidRDefault="00AF151C" w:rsidP="00DB430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="00DB4300">
              <w:rPr>
                <w:rFonts w:eastAsia="Times New Roman" w:cs="Calibri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176510D" w14:textId="7D8E21DC" w:rsidR="00AF151C" w:rsidRPr="005C1D71" w:rsidRDefault="00AF151C" w:rsidP="00DB430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="00DB4300">
              <w:rPr>
                <w:rFonts w:eastAsia="Times New Roman" w:cs="Calibri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7F0BCA2" w14:textId="6C92C083" w:rsidR="00AF151C" w:rsidRPr="005C1D71" w:rsidRDefault="00DB4300" w:rsidP="00E5148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101.9</w:t>
            </w:r>
          </w:p>
        </w:tc>
        <w:tc>
          <w:tcPr>
            <w:tcW w:w="350" w:type="pct"/>
            <w:vAlign w:val="center"/>
          </w:tcPr>
          <w:p w14:paraId="71D91927" w14:textId="6919EA75" w:rsidR="00AF151C" w:rsidRPr="005C1D71" w:rsidRDefault="00DB4300" w:rsidP="0026593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</w:t>
            </w:r>
            <w:r w:rsidR="0026593C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45" w:type="pct"/>
            <w:vAlign w:val="center"/>
          </w:tcPr>
          <w:p w14:paraId="5AE982AF" w14:textId="6BE2BD99" w:rsidR="00AF151C" w:rsidRDefault="00DB4300" w:rsidP="00E5148A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650276" w:rsidRPr="005C1D71" w14:paraId="0E8B2BD3" w14:textId="4B4749BE" w:rsidTr="00650276">
        <w:trPr>
          <w:trHeight w:val="488"/>
        </w:trPr>
        <w:tc>
          <w:tcPr>
            <w:tcW w:w="790" w:type="pct"/>
            <w:shd w:val="clear" w:color="auto" w:fill="auto"/>
            <w:vAlign w:val="center"/>
            <w:hideMark/>
          </w:tcPr>
          <w:p w14:paraId="2FEC9F22" w14:textId="1BF5445B" w:rsidR="00650276" w:rsidRPr="006D1B4E" w:rsidRDefault="00650276" w:rsidP="0065027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 2020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A1B365" w14:textId="05E00076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D6BED94" w14:textId="7361C938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0860FFA" w14:textId="5AB7E1F9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21F88B1" w14:textId="4B06E964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ECBC1D8" w14:textId="6F4093F9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9D8751D" w14:textId="23FE28CE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011C283" w14:textId="346E2A08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.4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45FE16D" w14:textId="57F4C4EF" w:rsidR="00650276" w:rsidRPr="00A05EE2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496A4FFB" w14:textId="33CFA9F5" w:rsidR="00650276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101.9</w:t>
            </w:r>
          </w:p>
        </w:tc>
        <w:tc>
          <w:tcPr>
            <w:tcW w:w="350" w:type="pct"/>
            <w:vAlign w:val="center"/>
          </w:tcPr>
          <w:p w14:paraId="0C15E80E" w14:textId="6A3D09B6" w:rsidR="00650276" w:rsidRPr="005C1D71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91.6</w:t>
            </w:r>
          </w:p>
        </w:tc>
        <w:tc>
          <w:tcPr>
            <w:tcW w:w="345" w:type="pct"/>
            <w:vAlign w:val="center"/>
          </w:tcPr>
          <w:p w14:paraId="08E4D385" w14:textId="42AA743E" w:rsidR="00650276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98.4</w:t>
            </w:r>
          </w:p>
        </w:tc>
      </w:tr>
      <w:tr w:rsidR="00AF151C" w14:paraId="1A6FCAFC" w14:textId="4D935275" w:rsidTr="00650276">
        <w:trPr>
          <w:trHeight w:val="303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0C1CF6C0" w14:textId="77777777" w:rsidR="00AF151C" w:rsidRPr="00A05EE2" w:rsidRDefault="00AF151C" w:rsidP="00E5148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E32E6F6" w14:textId="7265A956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1D34296" w14:textId="42C823FC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0AE3873" w14:textId="4DCFCB40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B88A50" w14:textId="3B172A25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09F06B0" w14:textId="7D44915F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FD06FCA" w14:textId="29BDC460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5DA120" w14:textId="19631CC5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4FB357E" w14:textId="3D15E022" w:rsidR="00AF151C" w:rsidRPr="00A05EE2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3C1BCAB" w14:textId="2804A197" w:rsidR="00AF151C" w:rsidRDefault="00AF151C" w:rsidP="00E5148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0" w:type="pct"/>
            <w:vAlign w:val="center"/>
          </w:tcPr>
          <w:p w14:paraId="6650A6EF" w14:textId="760E13EE" w:rsidR="00AF151C" w:rsidRDefault="00650276" w:rsidP="00650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5" w:type="pct"/>
            <w:vAlign w:val="center"/>
          </w:tcPr>
          <w:p w14:paraId="27CF34BD" w14:textId="755AECFD" w:rsidR="00AF151C" w:rsidRDefault="00650276" w:rsidP="00E5148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095BD0A0" w14:textId="11807F9F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63E11589" w:rsidR="00C656EA" w:rsidRDefault="0069476F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69476F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0FA16BB7" wp14:editId="32D2D392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5050790" cy="320357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650276">
        <w:rPr>
          <w:bCs/>
          <w:shd w:val="clear" w:color="auto" w:fill="FFFFFF"/>
          <w:lang w:val="en-US"/>
        </w:rPr>
        <w:t>-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7A30436C" w14:textId="65480E2F" w:rsidR="00C656EA" w:rsidRDefault="00C656EA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>
        <w:rPr>
          <w:lang w:val="en-US"/>
        </w:rPr>
        <w:t xml:space="preserve">Chart 2. </w:t>
      </w:r>
      <w:r w:rsidRPr="00120854">
        <w:rPr>
          <w:bCs/>
          <w:shd w:val="clear" w:color="auto" w:fill="FFFFFF"/>
          <w:lang w:val="en-US"/>
        </w:rPr>
        <w:t>Gross domestic product seasonally adjusted</w:t>
      </w:r>
      <w:r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volume growth rate</w:t>
      </w:r>
      <w:r>
        <w:rPr>
          <w:bCs/>
          <w:shd w:val="clear" w:color="auto" w:fill="FFFFFF"/>
          <w:lang w:val="en-US"/>
        </w:rPr>
        <w:br/>
        <w:t>(</w:t>
      </w:r>
      <w:r w:rsidRPr="00120854">
        <w:rPr>
          <w:bCs/>
          <w:shd w:val="clear" w:color="auto" w:fill="FFFFFF"/>
          <w:lang w:val="en-US"/>
        </w:rPr>
        <w:t>the previous quarter = 100</w:t>
      </w:r>
      <w:r>
        <w:rPr>
          <w:bCs/>
          <w:shd w:val="clear" w:color="auto" w:fill="FFFFFF"/>
          <w:lang w:val="en-US"/>
        </w:rPr>
        <w:t>)</w:t>
      </w:r>
    </w:p>
    <w:p w14:paraId="289772A8" w14:textId="18550CC0" w:rsidR="00C656EA" w:rsidRDefault="00EF5070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EF5070"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C5D45DF" wp14:editId="02A73D60">
            <wp:simplePos x="0" y="0"/>
            <wp:positionH relativeFrom="column">
              <wp:posOffset>53575</wp:posOffset>
            </wp:positionH>
            <wp:positionV relativeFrom="paragraph">
              <wp:posOffset>40780</wp:posOffset>
            </wp:positionV>
            <wp:extent cx="4687200" cy="2491200"/>
            <wp:effectExtent l="0" t="0" r="0" b="4445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200" cy="24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FD5F4" w14:textId="1F96F5C0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59FED649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206F84C4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7145094C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0082AE5C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3067BBBE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169A23F8" w14:textId="77777777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6B13AA3A" w14:textId="6F7C8431" w:rsidR="00F73C11" w:rsidRDefault="00F73C11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4C7226F1" w14:textId="6351C557" w:rsidR="00B119FA" w:rsidRDefault="00D550DE" w:rsidP="00E76D26">
      <w:pPr>
        <w:rPr>
          <w:rFonts w:cs="Arial"/>
          <w:color w:val="000000" w:themeColor="text1"/>
          <w:szCs w:val="19"/>
          <w:lang w:val="en-US"/>
        </w:rPr>
      </w:pPr>
      <w:r w:rsidRPr="00D550DE">
        <w:rPr>
          <w:rFonts w:cs="Arial"/>
          <w:color w:val="000000" w:themeColor="text1"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14:paraId="16E84BDB" w14:textId="77777777" w:rsidR="00B42479" w:rsidRDefault="00B42479" w:rsidP="00E76D26">
      <w:pPr>
        <w:rPr>
          <w:rFonts w:cs="Arial"/>
          <w:color w:val="000000" w:themeColor="text1"/>
          <w:szCs w:val="19"/>
          <w:lang w:val="en-US"/>
        </w:rPr>
      </w:pPr>
    </w:p>
    <w:p w14:paraId="09BD5F7D" w14:textId="77777777" w:rsidR="00B42479" w:rsidRDefault="00B42479" w:rsidP="00E76D26">
      <w:pPr>
        <w:rPr>
          <w:rFonts w:cs="Arial"/>
          <w:color w:val="000000" w:themeColor="text1"/>
          <w:szCs w:val="19"/>
          <w:lang w:val="en-US"/>
        </w:rPr>
      </w:pPr>
    </w:p>
    <w:p w14:paraId="410506F1" w14:textId="77777777" w:rsidR="00B42479" w:rsidRPr="00D550DE" w:rsidRDefault="00B42479" w:rsidP="00E76D26">
      <w:pPr>
        <w:rPr>
          <w:rFonts w:cs="Arial"/>
          <w:color w:val="000000" w:themeColor="text1"/>
          <w:szCs w:val="19"/>
          <w:lang w:val="en-US"/>
        </w:rPr>
        <w:sectPr w:rsidR="00B42479" w:rsidRPr="00D550DE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70577B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0577B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3A16C2C6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tel.</w:t>
            </w:r>
            <w:bookmarkStart w:id="0" w:name="_GoBack"/>
            <w:bookmarkEnd w:id="0"/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9946"/>
                              <w:gridCol w:w="81"/>
                            </w:tblGrid>
                            <w:tr w:rsidR="0049634C" w:rsidRPr="007816C8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Pr="001118A9" w:rsidRDefault="0049634C" w:rsidP="00B03D81">
                                  <w:pPr>
                                    <w:rPr>
                                      <w:b/>
                                      <w:szCs w:val="19"/>
                                    </w:rPr>
                                  </w:pPr>
                                  <w:r w:rsidRPr="001118A9">
                                    <w:rPr>
                                      <w:b/>
                                      <w:szCs w:val="19"/>
                                    </w:rPr>
                                    <w:t xml:space="preserve">Related </w:t>
                                  </w:r>
                                  <w:r w:rsidR="001C013A" w:rsidRPr="001118A9">
                                    <w:rPr>
                                      <w:b/>
                                      <w:szCs w:val="19"/>
                                    </w:rPr>
                                    <w:t>information</w:t>
                                  </w:r>
                                </w:p>
                                <w:p w14:paraId="46FCB8E4" w14:textId="77777777" w:rsidR="0049634C" w:rsidRPr="007816C8" w:rsidRDefault="001118A9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</w:rPr>
                                  </w:pPr>
                                  <w:hyperlink r:id="rId21" w:history="1">
                                    <w:r w:rsidR="007816C8" w:rsidRPr="007816C8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</w:rPr>
                                      <w:t>Informacja Głównego Urzędu Statystycznego na temat rewizji rachunków narodowych w latach 1995–2018</w:t>
                                    </w:r>
                                  </w:hyperlink>
                                </w:p>
                                <w:p w14:paraId="0DD65F8D" w14:textId="4287A5A8" w:rsidR="007816C8" w:rsidRPr="007816C8" w:rsidRDefault="00BF03FD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</w:rPr>
                                  </w:pPr>
                                  <w:hyperlink r:id="rId22" w:history="1">
                                    <w:r w:rsidR="007816C8" w:rsidRPr="007816C8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</w:rPr>
                                      <w:t xml:space="preserve">Informacja Głównego Urzędu Statystycznego w sprawie zaktualizowanego kwartalnego szacunku PKB za okres 1995 – 2019 oraz I </w:t>
                                    </w:r>
                                    <w:proofErr w:type="spellStart"/>
                                    <w:r w:rsidR="007816C8" w:rsidRPr="007816C8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</w:rPr>
                                      <w:t>i</w:t>
                                    </w:r>
                                    <w:proofErr w:type="spellEnd"/>
                                    <w:r w:rsidR="007816C8" w:rsidRPr="007816C8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</w:rPr>
                                      <w:t xml:space="preserve"> II kwartał 2020 r.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7816C8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BF03FD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BF03FD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BF03FD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BF03FD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9946"/>
                        <w:gridCol w:w="81"/>
                      </w:tblGrid>
                      <w:tr w:rsidR="0049634C" w:rsidRPr="007816C8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Pr="001118A9" w:rsidRDefault="0049634C" w:rsidP="00B03D81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1118A9">
                              <w:rPr>
                                <w:b/>
                                <w:szCs w:val="19"/>
                              </w:rPr>
                              <w:t xml:space="preserve">Related </w:t>
                            </w:r>
                            <w:r w:rsidR="001C013A" w:rsidRPr="001118A9">
                              <w:rPr>
                                <w:b/>
                                <w:szCs w:val="19"/>
                              </w:rPr>
                              <w:t>information</w:t>
                            </w:r>
                          </w:p>
                          <w:p w14:paraId="46FCB8E4" w14:textId="77777777" w:rsidR="0049634C" w:rsidRPr="007816C8" w:rsidRDefault="001118A9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816C8" w:rsidRPr="007816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na temat rewizji rachunków narodowych w latach 1995–2018</w:t>
                              </w:r>
                            </w:hyperlink>
                          </w:p>
                          <w:p w14:paraId="0DD65F8D" w14:textId="4287A5A8" w:rsidR="007816C8" w:rsidRPr="007816C8" w:rsidRDefault="00BF03FD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7816C8" w:rsidRPr="007816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Informacja Głównego Urzędu Statystycznego w sprawie zaktualizowanego kwartalnego szacunku PKB za okres 1995 – 2019 oraz I </w:t>
                              </w:r>
                              <w:proofErr w:type="spellStart"/>
                              <w:r w:rsidR="007816C8" w:rsidRPr="007816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</w:t>
                              </w:r>
                              <w:proofErr w:type="spellEnd"/>
                              <w:r w:rsidR="007816C8" w:rsidRPr="007816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II kwartał 2020 r.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7816C8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BF03FD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BF03FD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BF03FD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BF03FD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FBD8" w14:textId="77777777" w:rsidR="00BF03FD" w:rsidRDefault="00BF03FD" w:rsidP="000662E2">
      <w:pPr>
        <w:spacing w:after="0" w:line="240" w:lineRule="auto"/>
      </w:pPr>
      <w:r>
        <w:separator/>
      </w:r>
    </w:p>
  </w:endnote>
  <w:endnote w:type="continuationSeparator" w:id="0">
    <w:p w14:paraId="7CDF4B89" w14:textId="77777777" w:rsidR="00BF03FD" w:rsidRDefault="00BF03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FCFE" w14:textId="77777777" w:rsidR="00BF03FD" w:rsidRDefault="00BF03FD" w:rsidP="000662E2">
      <w:pPr>
        <w:spacing w:after="0" w:line="240" w:lineRule="auto"/>
      </w:pPr>
      <w:r>
        <w:separator/>
      </w:r>
    </w:p>
  </w:footnote>
  <w:footnote w:type="continuationSeparator" w:id="0">
    <w:p w14:paraId="5A22C0A6" w14:textId="77777777" w:rsidR="00BF03FD" w:rsidRDefault="00BF03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1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56BC34DB" w:rsidR="00F37172" w:rsidRPr="00C97596" w:rsidRDefault="00A600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C5471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C5471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56BC34DB" w:rsidR="00F37172" w:rsidRPr="00C97596" w:rsidRDefault="00A600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C5471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C5471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C5471"/>
    <w:rsid w:val="000D1D43"/>
    <w:rsid w:val="000D225C"/>
    <w:rsid w:val="000D2A5C"/>
    <w:rsid w:val="000D699A"/>
    <w:rsid w:val="000E0918"/>
    <w:rsid w:val="000E165C"/>
    <w:rsid w:val="000E34B0"/>
    <w:rsid w:val="000E421C"/>
    <w:rsid w:val="000E6618"/>
    <w:rsid w:val="000E6D47"/>
    <w:rsid w:val="000F3A5E"/>
    <w:rsid w:val="001011C3"/>
    <w:rsid w:val="001036E7"/>
    <w:rsid w:val="001073D2"/>
    <w:rsid w:val="00110D87"/>
    <w:rsid w:val="001118A9"/>
    <w:rsid w:val="00111EC2"/>
    <w:rsid w:val="00114DB9"/>
    <w:rsid w:val="00116087"/>
    <w:rsid w:val="0011642E"/>
    <w:rsid w:val="00120854"/>
    <w:rsid w:val="00121076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532"/>
    <w:rsid w:val="00146621"/>
    <w:rsid w:val="001501D5"/>
    <w:rsid w:val="0015187D"/>
    <w:rsid w:val="00152273"/>
    <w:rsid w:val="001542BB"/>
    <w:rsid w:val="0016104F"/>
    <w:rsid w:val="00162325"/>
    <w:rsid w:val="00165FC9"/>
    <w:rsid w:val="00182A1A"/>
    <w:rsid w:val="00185EB3"/>
    <w:rsid w:val="001860D6"/>
    <w:rsid w:val="001951DA"/>
    <w:rsid w:val="001A2CAB"/>
    <w:rsid w:val="001A31EB"/>
    <w:rsid w:val="001B2EAF"/>
    <w:rsid w:val="001B4C58"/>
    <w:rsid w:val="001B6F2F"/>
    <w:rsid w:val="001C013A"/>
    <w:rsid w:val="001C3269"/>
    <w:rsid w:val="001C423F"/>
    <w:rsid w:val="001C4607"/>
    <w:rsid w:val="001D1DB4"/>
    <w:rsid w:val="00216218"/>
    <w:rsid w:val="00217F93"/>
    <w:rsid w:val="002205B7"/>
    <w:rsid w:val="00225623"/>
    <w:rsid w:val="00225813"/>
    <w:rsid w:val="00225B24"/>
    <w:rsid w:val="002279F4"/>
    <w:rsid w:val="00246C1E"/>
    <w:rsid w:val="00253FB1"/>
    <w:rsid w:val="002574F9"/>
    <w:rsid w:val="00264291"/>
    <w:rsid w:val="0026593C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D13DF"/>
    <w:rsid w:val="002E0C25"/>
    <w:rsid w:val="002E6140"/>
    <w:rsid w:val="002E6985"/>
    <w:rsid w:val="002E71B6"/>
    <w:rsid w:val="002F77C8"/>
    <w:rsid w:val="00300DCA"/>
    <w:rsid w:val="00302435"/>
    <w:rsid w:val="00304A59"/>
    <w:rsid w:val="00304A99"/>
    <w:rsid w:val="00304F22"/>
    <w:rsid w:val="00306C7C"/>
    <w:rsid w:val="00307453"/>
    <w:rsid w:val="00315759"/>
    <w:rsid w:val="00322EDD"/>
    <w:rsid w:val="003246D2"/>
    <w:rsid w:val="00331235"/>
    <w:rsid w:val="00332320"/>
    <w:rsid w:val="003331D3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75BFC"/>
    <w:rsid w:val="0038153E"/>
    <w:rsid w:val="0038292F"/>
    <w:rsid w:val="003843DB"/>
    <w:rsid w:val="00384C9F"/>
    <w:rsid w:val="00385926"/>
    <w:rsid w:val="00393761"/>
    <w:rsid w:val="00397D18"/>
    <w:rsid w:val="003A1B36"/>
    <w:rsid w:val="003A3413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57744"/>
    <w:rsid w:val="00463E39"/>
    <w:rsid w:val="004657FC"/>
    <w:rsid w:val="00470CEE"/>
    <w:rsid w:val="00471179"/>
    <w:rsid w:val="004733F6"/>
    <w:rsid w:val="00473EA6"/>
    <w:rsid w:val="00474E69"/>
    <w:rsid w:val="0048305B"/>
    <w:rsid w:val="004858B3"/>
    <w:rsid w:val="0049158F"/>
    <w:rsid w:val="004916D2"/>
    <w:rsid w:val="0049578A"/>
    <w:rsid w:val="0049621B"/>
    <w:rsid w:val="0049634C"/>
    <w:rsid w:val="004A3631"/>
    <w:rsid w:val="004B181A"/>
    <w:rsid w:val="004B476C"/>
    <w:rsid w:val="004C1895"/>
    <w:rsid w:val="004C4E39"/>
    <w:rsid w:val="004C6D40"/>
    <w:rsid w:val="004C7BD0"/>
    <w:rsid w:val="004D119F"/>
    <w:rsid w:val="004D37DF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6F3"/>
    <w:rsid w:val="00533632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62A7"/>
    <w:rsid w:val="00586228"/>
    <w:rsid w:val="005916D7"/>
    <w:rsid w:val="005A698C"/>
    <w:rsid w:val="005C1D71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0276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76F"/>
    <w:rsid w:val="00694AF0"/>
    <w:rsid w:val="00695E23"/>
    <w:rsid w:val="006B0E9E"/>
    <w:rsid w:val="006B18B5"/>
    <w:rsid w:val="006B3D72"/>
    <w:rsid w:val="006B5AE4"/>
    <w:rsid w:val="006C0E1A"/>
    <w:rsid w:val="006C37F6"/>
    <w:rsid w:val="006C514A"/>
    <w:rsid w:val="006C7581"/>
    <w:rsid w:val="006D1B4E"/>
    <w:rsid w:val="006D4054"/>
    <w:rsid w:val="006D462D"/>
    <w:rsid w:val="006D49AB"/>
    <w:rsid w:val="006D7DB9"/>
    <w:rsid w:val="006E02EC"/>
    <w:rsid w:val="006E0939"/>
    <w:rsid w:val="006E25C2"/>
    <w:rsid w:val="006E5BAE"/>
    <w:rsid w:val="006F4E90"/>
    <w:rsid w:val="00700499"/>
    <w:rsid w:val="00700BD6"/>
    <w:rsid w:val="0070577B"/>
    <w:rsid w:val="0071633F"/>
    <w:rsid w:val="00720C2D"/>
    <w:rsid w:val="007211B1"/>
    <w:rsid w:val="00723CA8"/>
    <w:rsid w:val="00726EEF"/>
    <w:rsid w:val="00727807"/>
    <w:rsid w:val="0073040E"/>
    <w:rsid w:val="0073631F"/>
    <w:rsid w:val="00743DE9"/>
    <w:rsid w:val="00746187"/>
    <w:rsid w:val="00747BF9"/>
    <w:rsid w:val="00752ADB"/>
    <w:rsid w:val="00761152"/>
    <w:rsid w:val="0076254F"/>
    <w:rsid w:val="00774BD1"/>
    <w:rsid w:val="007801F5"/>
    <w:rsid w:val="007811D6"/>
    <w:rsid w:val="007816C8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E62F7"/>
    <w:rsid w:val="007F324B"/>
    <w:rsid w:val="007F4994"/>
    <w:rsid w:val="0080553C"/>
    <w:rsid w:val="00805B46"/>
    <w:rsid w:val="008101A3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B79F5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E6CC1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0D0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4983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151C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42479"/>
    <w:rsid w:val="00B47A6F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BF03FD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5567F"/>
    <w:rsid w:val="00C60A53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0A41"/>
    <w:rsid w:val="00C91687"/>
    <w:rsid w:val="00C924A8"/>
    <w:rsid w:val="00C945FE"/>
    <w:rsid w:val="00C96FAA"/>
    <w:rsid w:val="00C97A04"/>
    <w:rsid w:val="00CA107B"/>
    <w:rsid w:val="00CA246C"/>
    <w:rsid w:val="00CA484D"/>
    <w:rsid w:val="00CB0EA0"/>
    <w:rsid w:val="00CB53BC"/>
    <w:rsid w:val="00CC28E4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61A2"/>
    <w:rsid w:val="00D34EC5"/>
    <w:rsid w:val="00D54A72"/>
    <w:rsid w:val="00D550DE"/>
    <w:rsid w:val="00D60E26"/>
    <w:rsid w:val="00D616D2"/>
    <w:rsid w:val="00D63B5F"/>
    <w:rsid w:val="00D65B1C"/>
    <w:rsid w:val="00D70EF7"/>
    <w:rsid w:val="00D778D5"/>
    <w:rsid w:val="00D82761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4300"/>
    <w:rsid w:val="00DB562E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6051"/>
    <w:rsid w:val="00E37B67"/>
    <w:rsid w:val="00E41E1F"/>
    <w:rsid w:val="00E42FF9"/>
    <w:rsid w:val="00E43971"/>
    <w:rsid w:val="00E465A0"/>
    <w:rsid w:val="00E4714C"/>
    <w:rsid w:val="00E5148A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83C43"/>
    <w:rsid w:val="00E9647F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244B"/>
    <w:rsid w:val="00EE41D5"/>
    <w:rsid w:val="00EF3E56"/>
    <w:rsid w:val="00EF5070"/>
    <w:rsid w:val="00F037A4"/>
    <w:rsid w:val="00F1520B"/>
    <w:rsid w:val="00F218DD"/>
    <w:rsid w:val="00F222AF"/>
    <w:rsid w:val="00F27C8F"/>
    <w:rsid w:val="00F32749"/>
    <w:rsid w:val="00F37172"/>
    <w:rsid w:val="00F41736"/>
    <w:rsid w:val="00F4477E"/>
    <w:rsid w:val="00F45821"/>
    <w:rsid w:val="00F514A4"/>
    <w:rsid w:val="00F5393E"/>
    <w:rsid w:val="00F53D6A"/>
    <w:rsid w:val="00F600B0"/>
    <w:rsid w:val="00F601A0"/>
    <w:rsid w:val="00F67D8F"/>
    <w:rsid w:val="00F728FF"/>
    <w:rsid w:val="00F73C11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5F2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://stat.gov.pl/en/metainformations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roczne-rachunki-narodowe/informacja-glownego-urzedu-statystycznego-na-temat-rewizji-rachunkow-narodowych-w-latach-19952018,13,1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563,term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waid.stat.gov.pl/EN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364,term.html" TargetMode="External"/><Relationship Id="rId32" Type="http://schemas.openxmlformats.org/officeDocument/2006/relationships/hyperlink" Target="http://stat.gov.pl/en/metainformations/glossary/terms-used-in-official-statistics/6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RachunkiNarodowe.aspx" TargetMode="External"/><Relationship Id="rId28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stat.gov.pl/en/metainformations/glossary/terms-used-in-official-statistics/563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27" Type="http://schemas.openxmlformats.org/officeDocument/2006/relationships/hyperlink" Target="https://stat.gov.pl/obszary-tematyczne/rachunki-narodowe/roczne-rachunki-narodowe/informacja-glownego-urzedu-statystycznego-na-temat-rewizji-rachunkow-narodowych-w-latach-19952018,13,1.html" TargetMode="External"/><Relationship Id="rId30" Type="http://schemas.openxmlformats.org/officeDocument/2006/relationships/hyperlink" Target="http://stat.gov.pl/en/metainformations/glossary/terms-used-in-official-statistics/364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2AF0D-5049-48ED-9775-DD8B16E3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2020-11-12T14:33:00Z</cp:lastPrinted>
  <dcterms:created xsi:type="dcterms:W3CDTF">2018-08-13T11:23:00Z</dcterms:created>
  <dcterms:modified xsi:type="dcterms:W3CDTF">2020-11-13T07:05:00Z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